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88746739"/>
    <w:p w14:paraId="695C8BB2" w14:textId="267DB334" w:rsidR="00942FBF" w:rsidRDefault="00942FBF" w:rsidP="00942FBF">
      <w:r>
        <w:object w:dxaOrig="2146" w:dyaOrig="1561" w14:anchorId="0C495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48417560" r:id="rId8"/>
        </w:object>
      </w:r>
    </w:p>
    <w:p w14:paraId="51D6D25E" w14:textId="77777777" w:rsidR="00942FBF" w:rsidRDefault="00942FBF" w:rsidP="00942FBF"/>
    <w:p w14:paraId="0D39E577" w14:textId="77777777" w:rsidR="00942FBF" w:rsidRDefault="00942FBF" w:rsidP="00942FBF"/>
    <w:p w14:paraId="2332B756" w14:textId="77777777" w:rsidR="00942FBF" w:rsidRDefault="00942FBF" w:rsidP="00942FBF"/>
    <w:p w14:paraId="58E9B639" w14:textId="77777777" w:rsidR="00942FBF" w:rsidRDefault="00942FBF" w:rsidP="00942FBF"/>
    <w:p w14:paraId="4D8F919B" w14:textId="77777777" w:rsidR="00942FBF" w:rsidRDefault="00942FBF" w:rsidP="00942FBF"/>
    <w:p w14:paraId="3DED2CB4" w14:textId="77777777" w:rsidR="00942FBF" w:rsidRDefault="00942FBF" w:rsidP="00942FBF"/>
    <w:p w14:paraId="14E66310" w14:textId="3B6FD98C" w:rsidR="00345E7F" w:rsidRPr="0011418E" w:rsidRDefault="00942FBF" w:rsidP="00345E7F">
      <w:pPr>
        <w:pStyle w:val="ShortT"/>
      </w:pPr>
      <w:r>
        <w:t>Ozone Protection and Synthetic Greenhouse Gas (Import Levy) Amendment Act 2022</w:t>
      </w:r>
    </w:p>
    <w:bookmarkEnd w:id="0"/>
    <w:p w14:paraId="65731741" w14:textId="77777777" w:rsidR="00345E7F" w:rsidRPr="0011418E" w:rsidRDefault="00345E7F" w:rsidP="00345E7F"/>
    <w:p w14:paraId="0B500C88" w14:textId="5B171B2E" w:rsidR="00345E7F" w:rsidRPr="0011418E" w:rsidRDefault="00345E7F" w:rsidP="00942FBF">
      <w:pPr>
        <w:pStyle w:val="Actno"/>
        <w:spacing w:before="400"/>
      </w:pPr>
      <w:r w:rsidRPr="0011418E">
        <w:t>No.</w:t>
      </w:r>
      <w:r w:rsidR="00165378">
        <w:t xml:space="preserve"> 93</w:t>
      </w:r>
      <w:r w:rsidRPr="0011418E">
        <w:t>, 2022</w:t>
      </w:r>
    </w:p>
    <w:p w14:paraId="18FD70CF" w14:textId="77777777" w:rsidR="00345E7F" w:rsidRPr="0011418E" w:rsidRDefault="00345E7F" w:rsidP="00345E7F"/>
    <w:p w14:paraId="464837C6" w14:textId="77777777" w:rsidR="00596704" w:rsidRDefault="00596704" w:rsidP="00596704">
      <w:pPr>
        <w:rPr>
          <w:lang w:eastAsia="en-AU"/>
        </w:rPr>
      </w:pPr>
    </w:p>
    <w:p w14:paraId="45809E6E" w14:textId="6DC55484" w:rsidR="00345E7F" w:rsidRPr="0011418E" w:rsidRDefault="00345E7F" w:rsidP="00345E7F"/>
    <w:p w14:paraId="724AAFCF" w14:textId="77777777" w:rsidR="00345E7F" w:rsidRPr="0011418E" w:rsidRDefault="00345E7F" w:rsidP="00345E7F"/>
    <w:p w14:paraId="36478DD6" w14:textId="77777777" w:rsidR="00345E7F" w:rsidRPr="0011418E" w:rsidRDefault="00345E7F" w:rsidP="00345E7F"/>
    <w:p w14:paraId="6C952EA7" w14:textId="77777777" w:rsidR="00942FBF" w:rsidRDefault="00942FBF" w:rsidP="00942FBF">
      <w:pPr>
        <w:pStyle w:val="LongT"/>
      </w:pPr>
      <w:r>
        <w:t xml:space="preserve">An Act to amend the </w:t>
      </w:r>
      <w:r w:rsidRPr="00942FBF">
        <w:rPr>
          <w:i/>
        </w:rPr>
        <w:t>Ozone Protection and Synthetic Greenhouse Gas (Import Levy) Act 1995</w:t>
      </w:r>
      <w:r>
        <w:t>, and for related purposes</w:t>
      </w:r>
    </w:p>
    <w:p w14:paraId="4AA5ADE7" w14:textId="303E998B" w:rsidR="00345E7F" w:rsidRPr="00350C8C" w:rsidRDefault="00345E7F" w:rsidP="00345E7F">
      <w:pPr>
        <w:pStyle w:val="Header"/>
        <w:tabs>
          <w:tab w:val="clear" w:pos="4150"/>
          <w:tab w:val="clear" w:pos="8307"/>
        </w:tabs>
      </w:pPr>
      <w:r w:rsidRPr="00350C8C">
        <w:rPr>
          <w:rStyle w:val="CharAmSchNo"/>
        </w:rPr>
        <w:t xml:space="preserve"> </w:t>
      </w:r>
      <w:r w:rsidRPr="00350C8C">
        <w:rPr>
          <w:rStyle w:val="CharAmSchText"/>
        </w:rPr>
        <w:t xml:space="preserve"> </w:t>
      </w:r>
    </w:p>
    <w:p w14:paraId="510D54F4" w14:textId="77777777" w:rsidR="00345E7F" w:rsidRPr="00350C8C" w:rsidRDefault="00345E7F" w:rsidP="00345E7F">
      <w:pPr>
        <w:pStyle w:val="Header"/>
        <w:tabs>
          <w:tab w:val="clear" w:pos="4150"/>
          <w:tab w:val="clear" w:pos="8307"/>
        </w:tabs>
      </w:pPr>
      <w:r w:rsidRPr="00350C8C">
        <w:rPr>
          <w:rStyle w:val="CharAmPartNo"/>
        </w:rPr>
        <w:t xml:space="preserve"> </w:t>
      </w:r>
      <w:r w:rsidRPr="00350C8C">
        <w:rPr>
          <w:rStyle w:val="CharAmPartText"/>
        </w:rPr>
        <w:t xml:space="preserve"> </w:t>
      </w:r>
    </w:p>
    <w:p w14:paraId="0780ECE9" w14:textId="77777777" w:rsidR="00345E7F" w:rsidRPr="0011418E" w:rsidRDefault="00345E7F" w:rsidP="00345E7F">
      <w:pPr>
        <w:sectPr w:rsidR="00345E7F" w:rsidRPr="0011418E" w:rsidSect="00942FBF">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780D5911" w14:textId="77777777" w:rsidR="00345E7F" w:rsidRPr="0011418E" w:rsidRDefault="00345E7F" w:rsidP="00345E7F">
      <w:pPr>
        <w:rPr>
          <w:sz w:val="36"/>
        </w:rPr>
      </w:pPr>
      <w:r w:rsidRPr="0011418E">
        <w:rPr>
          <w:sz w:val="36"/>
        </w:rPr>
        <w:lastRenderedPageBreak/>
        <w:t>Contents</w:t>
      </w:r>
    </w:p>
    <w:p w14:paraId="4E3DC7AF" w14:textId="44D0DD87" w:rsidR="00165378" w:rsidRDefault="00165378">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165378">
        <w:rPr>
          <w:noProof/>
        </w:rPr>
        <w:tab/>
      </w:r>
      <w:r w:rsidRPr="00165378">
        <w:rPr>
          <w:noProof/>
        </w:rPr>
        <w:fldChar w:fldCharType="begin"/>
      </w:r>
      <w:r w:rsidRPr="00165378">
        <w:rPr>
          <w:noProof/>
        </w:rPr>
        <w:instrText xml:space="preserve"> PAGEREF _Toc121910389 \h </w:instrText>
      </w:r>
      <w:r w:rsidRPr="00165378">
        <w:rPr>
          <w:noProof/>
        </w:rPr>
      </w:r>
      <w:r w:rsidRPr="00165378">
        <w:rPr>
          <w:noProof/>
        </w:rPr>
        <w:fldChar w:fldCharType="separate"/>
      </w:r>
      <w:r w:rsidRPr="00165378">
        <w:rPr>
          <w:noProof/>
        </w:rPr>
        <w:t>2</w:t>
      </w:r>
      <w:r w:rsidRPr="00165378">
        <w:rPr>
          <w:noProof/>
        </w:rPr>
        <w:fldChar w:fldCharType="end"/>
      </w:r>
    </w:p>
    <w:p w14:paraId="33225340" w14:textId="7BFE4808" w:rsidR="00165378" w:rsidRDefault="00165378">
      <w:pPr>
        <w:pStyle w:val="TOC5"/>
        <w:rPr>
          <w:rFonts w:asciiTheme="minorHAnsi" w:eastAsiaTheme="minorEastAsia" w:hAnsiTheme="minorHAnsi" w:cstheme="minorBidi"/>
          <w:noProof/>
          <w:kern w:val="0"/>
          <w:sz w:val="22"/>
          <w:szCs w:val="22"/>
        </w:rPr>
      </w:pPr>
      <w:r>
        <w:rPr>
          <w:noProof/>
        </w:rPr>
        <w:t>2</w:t>
      </w:r>
      <w:r>
        <w:rPr>
          <w:noProof/>
        </w:rPr>
        <w:tab/>
        <w:t>Commencement</w:t>
      </w:r>
      <w:r w:rsidRPr="00165378">
        <w:rPr>
          <w:noProof/>
        </w:rPr>
        <w:tab/>
      </w:r>
      <w:r w:rsidRPr="00165378">
        <w:rPr>
          <w:noProof/>
        </w:rPr>
        <w:fldChar w:fldCharType="begin"/>
      </w:r>
      <w:r w:rsidRPr="00165378">
        <w:rPr>
          <w:noProof/>
        </w:rPr>
        <w:instrText xml:space="preserve"> PAGEREF _Toc121910390 \h </w:instrText>
      </w:r>
      <w:r w:rsidRPr="00165378">
        <w:rPr>
          <w:noProof/>
        </w:rPr>
      </w:r>
      <w:r w:rsidRPr="00165378">
        <w:rPr>
          <w:noProof/>
        </w:rPr>
        <w:fldChar w:fldCharType="separate"/>
      </w:r>
      <w:r w:rsidRPr="00165378">
        <w:rPr>
          <w:noProof/>
        </w:rPr>
        <w:t>2</w:t>
      </w:r>
      <w:r w:rsidRPr="00165378">
        <w:rPr>
          <w:noProof/>
        </w:rPr>
        <w:fldChar w:fldCharType="end"/>
      </w:r>
    </w:p>
    <w:p w14:paraId="46E08D73" w14:textId="56ABA929" w:rsidR="00165378" w:rsidRDefault="00165378">
      <w:pPr>
        <w:pStyle w:val="TOC5"/>
        <w:rPr>
          <w:rFonts w:asciiTheme="minorHAnsi" w:eastAsiaTheme="minorEastAsia" w:hAnsiTheme="minorHAnsi" w:cstheme="minorBidi"/>
          <w:noProof/>
          <w:kern w:val="0"/>
          <w:sz w:val="22"/>
          <w:szCs w:val="22"/>
        </w:rPr>
      </w:pPr>
      <w:r>
        <w:rPr>
          <w:noProof/>
        </w:rPr>
        <w:t>3</w:t>
      </w:r>
      <w:r>
        <w:rPr>
          <w:noProof/>
        </w:rPr>
        <w:tab/>
        <w:t>Schedules</w:t>
      </w:r>
      <w:r w:rsidRPr="00165378">
        <w:rPr>
          <w:noProof/>
        </w:rPr>
        <w:tab/>
      </w:r>
      <w:r w:rsidRPr="00165378">
        <w:rPr>
          <w:noProof/>
        </w:rPr>
        <w:fldChar w:fldCharType="begin"/>
      </w:r>
      <w:r w:rsidRPr="00165378">
        <w:rPr>
          <w:noProof/>
        </w:rPr>
        <w:instrText xml:space="preserve"> PAGEREF _Toc121910391 \h </w:instrText>
      </w:r>
      <w:r w:rsidRPr="00165378">
        <w:rPr>
          <w:noProof/>
        </w:rPr>
      </w:r>
      <w:r w:rsidRPr="00165378">
        <w:rPr>
          <w:noProof/>
        </w:rPr>
        <w:fldChar w:fldCharType="separate"/>
      </w:r>
      <w:r w:rsidRPr="00165378">
        <w:rPr>
          <w:noProof/>
        </w:rPr>
        <w:t>2</w:t>
      </w:r>
      <w:r w:rsidRPr="00165378">
        <w:rPr>
          <w:noProof/>
        </w:rPr>
        <w:fldChar w:fldCharType="end"/>
      </w:r>
    </w:p>
    <w:p w14:paraId="2F9F4E65" w14:textId="3B57FF5B" w:rsidR="00165378" w:rsidRDefault="00165378">
      <w:pPr>
        <w:pStyle w:val="TOC6"/>
        <w:rPr>
          <w:rFonts w:asciiTheme="minorHAnsi" w:eastAsiaTheme="minorEastAsia" w:hAnsiTheme="minorHAnsi" w:cstheme="minorBidi"/>
          <w:b w:val="0"/>
          <w:noProof/>
          <w:kern w:val="0"/>
          <w:sz w:val="22"/>
          <w:szCs w:val="22"/>
        </w:rPr>
      </w:pPr>
      <w:r>
        <w:rPr>
          <w:noProof/>
        </w:rPr>
        <w:t>Schedule 1—Amendments</w:t>
      </w:r>
      <w:r w:rsidRPr="00165378">
        <w:rPr>
          <w:b w:val="0"/>
          <w:noProof/>
          <w:sz w:val="18"/>
        </w:rPr>
        <w:tab/>
      </w:r>
      <w:r w:rsidRPr="00165378">
        <w:rPr>
          <w:b w:val="0"/>
          <w:noProof/>
          <w:sz w:val="18"/>
        </w:rPr>
        <w:fldChar w:fldCharType="begin"/>
      </w:r>
      <w:r w:rsidRPr="00165378">
        <w:rPr>
          <w:b w:val="0"/>
          <w:noProof/>
          <w:sz w:val="18"/>
        </w:rPr>
        <w:instrText xml:space="preserve"> PAGEREF _Toc121910392 \h </w:instrText>
      </w:r>
      <w:r w:rsidRPr="00165378">
        <w:rPr>
          <w:b w:val="0"/>
          <w:noProof/>
          <w:sz w:val="18"/>
        </w:rPr>
      </w:r>
      <w:r w:rsidRPr="00165378">
        <w:rPr>
          <w:b w:val="0"/>
          <w:noProof/>
          <w:sz w:val="18"/>
        </w:rPr>
        <w:fldChar w:fldCharType="separate"/>
      </w:r>
      <w:r w:rsidRPr="00165378">
        <w:rPr>
          <w:b w:val="0"/>
          <w:noProof/>
          <w:sz w:val="18"/>
        </w:rPr>
        <w:t>3</w:t>
      </w:r>
      <w:r w:rsidRPr="00165378">
        <w:rPr>
          <w:b w:val="0"/>
          <w:noProof/>
          <w:sz w:val="18"/>
        </w:rPr>
        <w:fldChar w:fldCharType="end"/>
      </w:r>
    </w:p>
    <w:p w14:paraId="0D8F3576" w14:textId="50A1E66F" w:rsidR="00165378" w:rsidRDefault="00165378">
      <w:pPr>
        <w:pStyle w:val="TOC9"/>
        <w:rPr>
          <w:rFonts w:asciiTheme="minorHAnsi" w:eastAsiaTheme="minorEastAsia" w:hAnsiTheme="minorHAnsi" w:cstheme="minorBidi"/>
          <w:i w:val="0"/>
          <w:noProof/>
          <w:kern w:val="0"/>
          <w:sz w:val="22"/>
          <w:szCs w:val="22"/>
        </w:rPr>
      </w:pPr>
      <w:r>
        <w:rPr>
          <w:noProof/>
        </w:rPr>
        <w:t>Ozone Protection and Synthetic Greenhouse Gas (Import Levy) Act 1995</w:t>
      </w:r>
      <w:r w:rsidRPr="00165378">
        <w:rPr>
          <w:i w:val="0"/>
          <w:noProof/>
          <w:sz w:val="18"/>
        </w:rPr>
        <w:tab/>
      </w:r>
      <w:r w:rsidRPr="00165378">
        <w:rPr>
          <w:i w:val="0"/>
          <w:noProof/>
          <w:sz w:val="18"/>
        </w:rPr>
        <w:fldChar w:fldCharType="begin"/>
      </w:r>
      <w:r w:rsidRPr="00165378">
        <w:rPr>
          <w:i w:val="0"/>
          <w:noProof/>
          <w:sz w:val="18"/>
        </w:rPr>
        <w:instrText xml:space="preserve"> PAGEREF _Toc121910393 \h </w:instrText>
      </w:r>
      <w:r w:rsidRPr="00165378">
        <w:rPr>
          <w:i w:val="0"/>
          <w:noProof/>
          <w:sz w:val="18"/>
        </w:rPr>
      </w:r>
      <w:r w:rsidRPr="00165378">
        <w:rPr>
          <w:i w:val="0"/>
          <w:noProof/>
          <w:sz w:val="18"/>
        </w:rPr>
        <w:fldChar w:fldCharType="separate"/>
      </w:r>
      <w:r w:rsidRPr="00165378">
        <w:rPr>
          <w:i w:val="0"/>
          <w:noProof/>
          <w:sz w:val="18"/>
        </w:rPr>
        <w:t>3</w:t>
      </w:r>
      <w:r w:rsidRPr="00165378">
        <w:rPr>
          <w:i w:val="0"/>
          <w:noProof/>
          <w:sz w:val="18"/>
        </w:rPr>
        <w:fldChar w:fldCharType="end"/>
      </w:r>
    </w:p>
    <w:p w14:paraId="0952831D" w14:textId="58286F33" w:rsidR="00345E7F" w:rsidRPr="0011418E" w:rsidRDefault="00165378" w:rsidP="00345E7F">
      <w:r>
        <w:fldChar w:fldCharType="end"/>
      </w:r>
    </w:p>
    <w:p w14:paraId="3D7CAE1A" w14:textId="77777777" w:rsidR="00345E7F" w:rsidRPr="0011418E" w:rsidRDefault="00345E7F" w:rsidP="00345E7F">
      <w:pPr>
        <w:sectPr w:rsidR="00345E7F" w:rsidRPr="0011418E" w:rsidSect="00942FBF">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6A4B5BB5" w14:textId="77777777" w:rsidR="00942FBF" w:rsidRDefault="00942FBF">
      <w:r>
        <w:object w:dxaOrig="2146" w:dyaOrig="1561" w14:anchorId="48B1DBD5">
          <v:shape id="_x0000_i1026" type="#_x0000_t75" alt="Commonwealth Coat of Arms of Australia" style="width:110.25pt;height:80.25pt" o:ole="" fillcolor="window">
            <v:imagedata r:id="rId7" o:title=""/>
          </v:shape>
          <o:OLEObject Type="Embed" ProgID="Word.Picture.8" ShapeID="_x0000_i1026" DrawAspect="Content" ObjectID="_1748417561" r:id="rId20"/>
        </w:object>
      </w:r>
    </w:p>
    <w:p w14:paraId="680A2D15" w14:textId="77777777" w:rsidR="00942FBF" w:rsidRDefault="00942FBF"/>
    <w:p w14:paraId="697061E8" w14:textId="77777777" w:rsidR="00942FBF" w:rsidRDefault="00942FBF" w:rsidP="000178F8">
      <w:pPr>
        <w:spacing w:line="240" w:lineRule="auto"/>
      </w:pPr>
    </w:p>
    <w:p w14:paraId="1768F4F9" w14:textId="4DEE2BF9" w:rsidR="00942FBF" w:rsidRDefault="000215DC" w:rsidP="000178F8">
      <w:pPr>
        <w:pStyle w:val="ShortTP1"/>
      </w:pPr>
      <w:r>
        <w:fldChar w:fldCharType="begin"/>
      </w:r>
      <w:r>
        <w:instrText xml:space="preserve"> STYLEREF ShortT </w:instrText>
      </w:r>
      <w:r>
        <w:fldChar w:fldCharType="separate"/>
      </w:r>
      <w:r w:rsidR="00165378">
        <w:rPr>
          <w:noProof/>
        </w:rPr>
        <w:t>Ozone Protection and Synthetic Greenhouse Gas (Import Levy) Amendment Act 2022</w:t>
      </w:r>
      <w:r>
        <w:rPr>
          <w:noProof/>
        </w:rPr>
        <w:fldChar w:fldCharType="end"/>
      </w:r>
    </w:p>
    <w:p w14:paraId="308AB951" w14:textId="0ADEA82E" w:rsidR="00942FBF" w:rsidRDefault="000215DC" w:rsidP="000178F8">
      <w:pPr>
        <w:pStyle w:val="ActNoP1"/>
      </w:pPr>
      <w:r>
        <w:fldChar w:fldCharType="begin"/>
      </w:r>
      <w:r>
        <w:instrText xml:space="preserve"> STYLEREF Actno </w:instrText>
      </w:r>
      <w:r>
        <w:fldChar w:fldCharType="separate"/>
      </w:r>
      <w:r w:rsidR="00165378">
        <w:rPr>
          <w:noProof/>
        </w:rPr>
        <w:t>No. 93, 2022</w:t>
      </w:r>
      <w:r>
        <w:rPr>
          <w:noProof/>
        </w:rPr>
        <w:fldChar w:fldCharType="end"/>
      </w:r>
    </w:p>
    <w:p w14:paraId="54F42F7E" w14:textId="77777777" w:rsidR="00942FBF" w:rsidRPr="009A0728" w:rsidRDefault="00942FBF" w:rsidP="009A0728">
      <w:pPr>
        <w:pBdr>
          <w:bottom w:val="single" w:sz="6" w:space="0" w:color="auto"/>
        </w:pBdr>
        <w:spacing w:before="400" w:line="240" w:lineRule="auto"/>
        <w:rPr>
          <w:rFonts w:eastAsia="Times New Roman"/>
          <w:b/>
          <w:sz w:val="28"/>
        </w:rPr>
      </w:pPr>
    </w:p>
    <w:p w14:paraId="36CED129" w14:textId="77777777" w:rsidR="00942FBF" w:rsidRPr="009A0728" w:rsidRDefault="00942FBF" w:rsidP="009A0728">
      <w:pPr>
        <w:spacing w:line="40" w:lineRule="exact"/>
        <w:rPr>
          <w:rFonts w:eastAsia="Calibri"/>
          <w:b/>
          <w:sz w:val="28"/>
        </w:rPr>
      </w:pPr>
    </w:p>
    <w:p w14:paraId="373AEA50" w14:textId="77777777" w:rsidR="00942FBF" w:rsidRPr="009A0728" w:rsidRDefault="00942FBF" w:rsidP="009A0728">
      <w:pPr>
        <w:pBdr>
          <w:top w:val="single" w:sz="12" w:space="0" w:color="auto"/>
        </w:pBdr>
        <w:spacing w:line="240" w:lineRule="auto"/>
        <w:rPr>
          <w:rFonts w:eastAsia="Times New Roman"/>
          <w:b/>
          <w:sz w:val="28"/>
        </w:rPr>
      </w:pPr>
    </w:p>
    <w:p w14:paraId="5AFF3290" w14:textId="77777777" w:rsidR="00942FBF" w:rsidRDefault="00942FBF" w:rsidP="00942FBF">
      <w:pPr>
        <w:pStyle w:val="Page1"/>
        <w:spacing w:before="400"/>
      </w:pPr>
      <w:r>
        <w:t xml:space="preserve">An Act to amend the </w:t>
      </w:r>
      <w:r w:rsidRPr="00942FBF">
        <w:rPr>
          <w:i/>
        </w:rPr>
        <w:t>Ozone Protection and Synthetic Greenhouse Gas (Import Levy) Act 1995</w:t>
      </w:r>
      <w:r>
        <w:t>, and for related purposes</w:t>
      </w:r>
    </w:p>
    <w:p w14:paraId="193CCBF9" w14:textId="31FDC741" w:rsidR="00165378" w:rsidRDefault="00165378" w:rsidP="000C5962">
      <w:pPr>
        <w:pStyle w:val="AssentDt"/>
        <w:spacing w:before="240"/>
        <w:rPr>
          <w:sz w:val="24"/>
        </w:rPr>
      </w:pPr>
      <w:r>
        <w:rPr>
          <w:sz w:val="24"/>
        </w:rPr>
        <w:t>[</w:t>
      </w:r>
      <w:r>
        <w:rPr>
          <w:i/>
          <w:sz w:val="24"/>
        </w:rPr>
        <w:t>Assented to 13 December 2022</w:t>
      </w:r>
      <w:r>
        <w:rPr>
          <w:sz w:val="24"/>
        </w:rPr>
        <w:t>]</w:t>
      </w:r>
    </w:p>
    <w:p w14:paraId="0FFBF90D" w14:textId="1B5B50F0" w:rsidR="00345E7F" w:rsidRPr="0011418E" w:rsidRDefault="00345E7F" w:rsidP="0011418E">
      <w:pPr>
        <w:spacing w:before="240" w:line="240" w:lineRule="auto"/>
        <w:rPr>
          <w:sz w:val="32"/>
        </w:rPr>
      </w:pPr>
      <w:r w:rsidRPr="0011418E">
        <w:rPr>
          <w:sz w:val="32"/>
        </w:rPr>
        <w:t>The Parliament of Australia enacts:</w:t>
      </w:r>
    </w:p>
    <w:p w14:paraId="508E20BE" w14:textId="77777777" w:rsidR="00345E7F" w:rsidRPr="0011418E" w:rsidRDefault="00345E7F" w:rsidP="0011418E">
      <w:pPr>
        <w:pStyle w:val="ActHead5"/>
      </w:pPr>
      <w:bookmarkStart w:id="1" w:name="_Toc121910389"/>
      <w:r w:rsidRPr="00350C8C">
        <w:rPr>
          <w:rStyle w:val="CharSectno"/>
        </w:rPr>
        <w:lastRenderedPageBreak/>
        <w:t>1</w:t>
      </w:r>
      <w:r w:rsidRPr="0011418E">
        <w:t xml:space="preserve">  Short title</w:t>
      </w:r>
      <w:bookmarkEnd w:id="1"/>
    </w:p>
    <w:p w14:paraId="778AFBA0" w14:textId="77777777" w:rsidR="00345E7F" w:rsidRPr="0011418E" w:rsidRDefault="00345E7F" w:rsidP="0011418E">
      <w:pPr>
        <w:pStyle w:val="subsection"/>
      </w:pPr>
      <w:r w:rsidRPr="0011418E">
        <w:tab/>
      </w:r>
      <w:r w:rsidRPr="0011418E">
        <w:tab/>
        <w:t xml:space="preserve">This Act is the </w:t>
      </w:r>
      <w:r w:rsidRPr="0011418E">
        <w:rPr>
          <w:i/>
        </w:rPr>
        <w:t>Ozone Protection and Synthetic Greenhouse Gas (Import Levy) Amendment Act 2022</w:t>
      </w:r>
      <w:r w:rsidRPr="0011418E">
        <w:t>.</w:t>
      </w:r>
    </w:p>
    <w:p w14:paraId="29E42AD4" w14:textId="77777777" w:rsidR="00345E7F" w:rsidRPr="0011418E" w:rsidRDefault="00345E7F" w:rsidP="0011418E">
      <w:pPr>
        <w:pStyle w:val="ActHead5"/>
      </w:pPr>
      <w:bookmarkStart w:id="2" w:name="_Toc121910390"/>
      <w:r w:rsidRPr="00350C8C">
        <w:rPr>
          <w:rStyle w:val="CharSectno"/>
        </w:rPr>
        <w:t>2</w:t>
      </w:r>
      <w:r w:rsidRPr="0011418E">
        <w:t xml:space="preserve">  Commencement</w:t>
      </w:r>
      <w:bookmarkEnd w:id="2"/>
    </w:p>
    <w:p w14:paraId="314BCAAD" w14:textId="77777777" w:rsidR="00345E7F" w:rsidRPr="0011418E" w:rsidRDefault="00345E7F" w:rsidP="0011418E">
      <w:pPr>
        <w:pStyle w:val="subsection"/>
      </w:pPr>
      <w:r w:rsidRPr="0011418E">
        <w:tab/>
        <w:t>(1)</w:t>
      </w:r>
      <w:r w:rsidRPr="0011418E">
        <w:tab/>
        <w:t>Each provision of this Act specified in column 1 of the table commences, or is taken to have commenced, in accordance with column 2 of the table. Any other statement in column 2 has effect according to its terms.</w:t>
      </w:r>
    </w:p>
    <w:p w14:paraId="43AB2983" w14:textId="77777777" w:rsidR="00345E7F" w:rsidRPr="0011418E" w:rsidRDefault="00345E7F" w:rsidP="0011418E">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345E7F" w:rsidRPr="0011418E" w14:paraId="5C97FBDB" w14:textId="77777777" w:rsidTr="008629DB">
        <w:trPr>
          <w:tblHeader/>
        </w:trPr>
        <w:tc>
          <w:tcPr>
            <w:tcW w:w="7111" w:type="dxa"/>
            <w:gridSpan w:val="3"/>
            <w:tcBorders>
              <w:top w:val="single" w:sz="12" w:space="0" w:color="auto"/>
              <w:bottom w:val="single" w:sz="6" w:space="0" w:color="auto"/>
            </w:tcBorders>
            <w:shd w:val="clear" w:color="auto" w:fill="auto"/>
          </w:tcPr>
          <w:p w14:paraId="18645831" w14:textId="77777777" w:rsidR="00345E7F" w:rsidRPr="0011418E" w:rsidRDefault="00345E7F" w:rsidP="0011418E">
            <w:pPr>
              <w:pStyle w:val="TableHeading"/>
            </w:pPr>
            <w:r w:rsidRPr="0011418E">
              <w:t>Commencement information</w:t>
            </w:r>
          </w:p>
        </w:tc>
      </w:tr>
      <w:tr w:rsidR="00345E7F" w:rsidRPr="0011418E" w14:paraId="05ED4336" w14:textId="77777777" w:rsidTr="008629DB">
        <w:trPr>
          <w:tblHeader/>
        </w:trPr>
        <w:tc>
          <w:tcPr>
            <w:tcW w:w="1701" w:type="dxa"/>
            <w:tcBorders>
              <w:top w:val="single" w:sz="6" w:space="0" w:color="auto"/>
              <w:bottom w:val="single" w:sz="6" w:space="0" w:color="auto"/>
            </w:tcBorders>
            <w:shd w:val="clear" w:color="auto" w:fill="auto"/>
          </w:tcPr>
          <w:p w14:paraId="4DA5F944" w14:textId="77777777" w:rsidR="00345E7F" w:rsidRPr="0011418E" w:rsidRDefault="00345E7F" w:rsidP="0011418E">
            <w:pPr>
              <w:pStyle w:val="TableHeading"/>
            </w:pPr>
            <w:r w:rsidRPr="0011418E">
              <w:t>Column 1</w:t>
            </w:r>
          </w:p>
        </w:tc>
        <w:tc>
          <w:tcPr>
            <w:tcW w:w="3828" w:type="dxa"/>
            <w:tcBorders>
              <w:top w:val="single" w:sz="6" w:space="0" w:color="auto"/>
              <w:bottom w:val="single" w:sz="6" w:space="0" w:color="auto"/>
            </w:tcBorders>
            <w:shd w:val="clear" w:color="auto" w:fill="auto"/>
          </w:tcPr>
          <w:p w14:paraId="73589771" w14:textId="77777777" w:rsidR="00345E7F" w:rsidRPr="0011418E" w:rsidRDefault="00345E7F" w:rsidP="0011418E">
            <w:pPr>
              <w:pStyle w:val="TableHeading"/>
            </w:pPr>
            <w:r w:rsidRPr="0011418E">
              <w:t>Column 2</w:t>
            </w:r>
          </w:p>
        </w:tc>
        <w:tc>
          <w:tcPr>
            <w:tcW w:w="1582" w:type="dxa"/>
            <w:tcBorders>
              <w:top w:val="single" w:sz="6" w:space="0" w:color="auto"/>
              <w:bottom w:val="single" w:sz="6" w:space="0" w:color="auto"/>
            </w:tcBorders>
            <w:shd w:val="clear" w:color="auto" w:fill="auto"/>
          </w:tcPr>
          <w:p w14:paraId="28B6BFEA" w14:textId="77777777" w:rsidR="00345E7F" w:rsidRPr="0011418E" w:rsidRDefault="00345E7F" w:rsidP="0011418E">
            <w:pPr>
              <w:pStyle w:val="TableHeading"/>
            </w:pPr>
            <w:r w:rsidRPr="0011418E">
              <w:t>Column 3</w:t>
            </w:r>
          </w:p>
        </w:tc>
      </w:tr>
      <w:tr w:rsidR="00345E7F" w:rsidRPr="0011418E" w14:paraId="43CE9555" w14:textId="77777777" w:rsidTr="008629DB">
        <w:trPr>
          <w:tblHeader/>
        </w:trPr>
        <w:tc>
          <w:tcPr>
            <w:tcW w:w="1701" w:type="dxa"/>
            <w:tcBorders>
              <w:top w:val="single" w:sz="6" w:space="0" w:color="auto"/>
              <w:bottom w:val="single" w:sz="12" w:space="0" w:color="auto"/>
            </w:tcBorders>
            <w:shd w:val="clear" w:color="auto" w:fill="auto"/>
          </w:tcPr>
          <w:p w14:paraId="7A3821DD" w14:textId="77777777" w:rsidR="00345E7F" w:rsidRPr="0011418E" w:rsidRDefault="00345E7F" w:rsidP="0011418E">
            <w:pPr>
              <w:pStyle w:val="TableHeading"/>
            </w:pPr>
            <w:r w:rsidRPr="0011418E">
              <w:t>Provisions</w:t>
            </w:r>
          </w:p>
        </w:tc>
        <w:tc>
          <w:tcPr>
            <w:tcW w:w="3828" w:type="dxa"/>
            <w:tcBorders>
              <w:top w:val="single" w:sz="6" w:space="0" w:color="auto"/>
              <w:bottom w:val="single" w:sz="12" w:space="0" w:color="auto"/>
            </w:tcBorders>
            <w:shd w:val="clear" w:color="auto" w:fill="auto"/>
          </w:tcPr>
          <w:p w14:paraId="567824C7" w14:textId="77777777" w:rsidR="00345E7F" w:rsidRPr="0011418E" w:rsidRDefault="00345E7F" w:rsidP="0011418E">
            <w:pPr>
              <w:pStyle w:val="TableHeading"/>
            </w:pPr>
            <w:r w:rsidRPr="0011418E">
              <w:t>Commencement</w:t>
            </w:r>
          </w:p>
        </w:tc>
        <w:tc>
          <w:tcPr>
            <w:tcW w:w="1582" w:type="dxa"/>
            <w:tcBorders>
              <w:top w:val="single" w:sz="6" w:space="0" w:color="auto"/>
              <w:bottom w:val="single" w:sz="12" w:space="0" w:color="auto"/>
            </w:tcBorders>
            <w:shd w:val="clear" w:color="auto" w:fill="auto"/>
          </w:tcPr>
          <w:p w14:paraId="5A27CC1F" w14:textId="77777777" w:rsidR="00345E7F" w:rsidRPr="0011418E" w:rsidRDefault="00345E7F" w:rsidP="0011418E">
            <w:pPr>
              <w:pStyle w:val="TableHeading"/>
            </w:pPr>
            <w:r w:rsidRPr="0011418E">
              <w:t>Date/Details</w:t>
            </w:r>
          </w:p>
        </w:tc>
      </w:tr>
      <w:tr w:rsidR="00345E7F" w:rsidRPr="0011418E" w14:paraId="7E479D82" w14:textId="77777777" w:rsidTr="008629DB">
        <w:tc>
          <w:tcPr>
            <w:tcW w:w="1701" w:type="dxa"/>
            <w:tcBorders>
              <w:top w:val="single" w:sz="12" w:space="0" w:color="auto"/>
            </w:tcBorders>
            <w:shd w:val="clear" w:color="auto" w:fill="auto"/>
          </w:tcPr>
          <w:p w14:paraId="6743B013" w14:textId="77777777" w:rsidR="00345E7F" w:rsidRPr="0011418E" w:rsidRDefault="00345E7F" w:rsidP="0011418E">
            <w:pPr>
              <w:pStyle w:val="Tabletext"/>
            </w:pPr>
            <w:r w:rsidRPr="0011418E">
              <w:t>1.  Sections 1 to 3 and anything in this Act not elsewhere covered by this table</w:t>
            </w:r>
          </w:p>
        </w:tc>
        <w:tc>
          <w:tcPr>
            <w:tcW w:w="3828" w:type="dxa"/>
            <w:tcBorders>
              <w:top w:val="single" w:sz="12" w:space="0" w:color="auto"/>
            </w:tcBorders>
            <w:shd w:val="clear" w:color="auto" w:fill="auto"/>
          </w:tcPr>
          <w:p w14:paraId="2AC6ACB5" w14:textId="77777777" w:rsidR="00345E7F" w:rsidRPr="0011418E" w:rsidRDefault="00345E7F" w:rsidP="0011418E">
            <w:pPr>
              <w:pStyle w:val="Tabletext"/>
            </w:pPr>
            <w:r w:rsidRPr="0011418E">
              <w:t>The day thi</w:t>
            </w:r>
            <w:bookmarkStart w:id="3" w:name="_GoBack"/>
            <w:bookmarkEnd w:id="3"/>
            <w:r w:rsidRPr="0011418E">
              <w:t>s Act receives the Royal Assent.</w:t>
            </w:r>
          </w:p>
        </w:tc>
        <w:tc>
          <w:tcPr>
            <w:tcW w:w="1582" w:type="dxa"/>
            <w:tcBorders>
              <w:top w:val="single" w:sz="12" w:space="0" w:color="auto"/>
            </w:tcBorders>
            <w:shd w:val="clear" w:color="auto" w:fill="auto"/>
          </w:tcPr>
          <w:p w14:paraId="22DC737F" w14:textId="5632B48A" w:rsidR="00345E7F" w:rsidRPr="0011418E" w:rsidRDefault="00165378" w:rsidP="0011418E">
            <w:pPr>
              <w:pStyle w:val="Tabletext"/>
            </w:pPr>
            <w:r>
              <w:t>13 December 2022</w:t>
            </w:r>
          </w:p>
        </w:tc>
      </w:tr>
      <w:tr w:rsidR="00345E7F" w:rsidRPr="0011418E" w14:paraId="77E54FF7" w14:textId="77777777" w:rsidTr="008629DB">
        <w:tc>
          <w:tcPr>
            <w:tcW w:w="1701" w:type="dxa"/>
            <w:tcBorders>
              <w:bottom w:val="single" w:sz="12" w:space="0" w:color="auto"/>
            </w:tcBorders>
            <w:shd w:val="clear" w:color="auto" w:fill="auto"/>
          </w:tcPr>
          <w:p w14:paraId="1C728448" w14:textId="77777777" w:rsidR="00345E7F" w:rsidRPr="0011418E" w:rsidRDefault="00345E7F" w:rsidP="0011418E">
            <w:pPr>
              <w:pStyle w:val="Tabletext"/>
            </w:pPr>
            <w:r w:rsidRPr="0011418E">
              <w:t>2.  Schedule 1</w:t>
            </w:r>
          </w:p>
        </w:tc>
        <w:tc>
          <w:tcPr>
            <w:tcW w:w="3828" w:type="dxa"/>
            <w:tcBorders>
              <w:bottom w:val="single" w:sz="12" w:space="0" w:color="auto"/>
            </w:tcBorders>
            <w:shd w:val="clear" w:color="auto" w:fill="auto"/>
          </w:tcPr>
          <w:p w14:paraId="704981F7" w14:textId="77777777" w:rsidR="00345E7F" w:rsidRPr="0011418E" w:rsidRDefault="00345E7F" w:rsidP="0011418E">
            <w:pPr>
              <w:pStyle w:val="Tabletext"/>
            </w:pPr>
            <w:r w:rsidRPr="0011418E">
              <w:t xml:space="preserve">At the same time as Schedule 1 to the </w:t>
            </w:r>
            <w:r w:rsidR="00FD10E4" w:rsidRPr="0011418E">
              <w:rPr>
                <w:i/>
              </w:rPr>
              <w:t>Ozone Protection and Synthetic Greenhouse Gas Management Reform (Closing the Hole in the Ozone Layer)</w:t>
            </w:r>
            <w:r w:rsidRPr="0011418E">
              <w:rPr>
                <w:i/>
              </w:rPr>
              <w:t xml:space="preserve"> Act 202</w:t>
            </w:r>
            <w:r w:rsidR="0040273C" w:rsidRPr="0011418E">
              <w:rPr>
                <w:i/>
              </w:rPr>
              <w:t>2</w:t>
            </w:r>
            <w:r w:rsidRPr="0011418E">
              <w:t xml:space="preserve"> commences.</w:t>
            </w:r>
          </w:p>
          <w:p w14:paraId="4F0BC954" w14:textId="77777777" w:rsidR="00345E7F" w:rsidRPr="0011418E" w:rsidRDefault="00345E7F" w:rsidP="0011418E">
            <w:pPr>
              <w:pStyle w:val="Tabletext"/>
            </w:pPr>
            <w:r w:rsidRPr="0011418E">
              <w:t>However, the provisions do not commence at all if that Schedule does not commence.</w:t>
            </w:r>
          </w:p>
        </w:tc>
        <w:tc>
          <w:tcPr>
            <w:tcW w:w="1582" w:type="dxa"/>
            <w:tcBorders>
              <w:bottom w:val="single" w:sz="12" w:space="0" w:color="auto"/>
            </w:tcBorders>
            <w:shd w:val="clear" w:color="auto" w:fill="auto"/>
          </w:tcPr>
          <w:p w14:paraId="12378B3D" w14:textId="239688A2" w:rsidR="00345E7F" w:rsidRPr="0011418E" w:rsidRDefault="000215DC" w:rsidP="0011418E">
            <w:pPr>
              <w:pStyle w:val="Tabletext"/>
            </w:pPr>
            <w:r>
              <w:t>13 June 2023</w:t>
            </w:r>
          </w:p>
        </w:tc>
      </w:tr>
    </w:tbl>
    <w:p w14:paraId="3339A866" w14:textId="77777777" w:rsidR="00345E7F" w:rsidRPr="0011418E" w:rsidRDefault="00345E7F" w:rsidP="0011418E">
      <w:pPr>
        <w:pStyle w:val="notetext"/>
      </w:pPr>
      <w:r w:rsidRPr="0011418E">
        <w:t>Note:</w:t>
      </w:r>
      <w:r w:rsidRPr="0011418E">
        <w:tab/>
        <w:t>This table relates only to the provisions of this Act as originally enacted. It will not be amended to deal with any later amendments of this Act.</w:t>
      </w:r>
    </w:p>
    <w:p w14:paraId="45FE19A9" w14:textId="77777777" w:rsidR="00345E7F" w:rsidRPr="0011418E" w:rsidRDefault="00345E7F" w:rsidP="0011418E">
      <w:pPr>
        <w:pStyle w:val="subsection"/>
      </w:pPr>
      <w:r w:rsidRPr="0011418E">
        <w:tab/>
        <w:t>(2)</w:t>
      </w:r>
      <w:r w:rsidRPr="0011418E">
        <w:tab/>
        <w:t>Any information in column 3 of the table is not part of this Act. Information may be inserted in this column, or information in it may be edited, in any published version of this Act.</w:t>
      </w:r>
    </w:p>
    <w:p w14:paraId="402B429C" w14:textId="77777777" w:rsidR="00345E7F" w:rsidRPr="0011418E" w:rsidRDefault="00345E7F" w:rsidP="0011418E">
      <w:pPr>
        <w:pStyle w:val="ActHead5"/>
      </w:pPr>
      <w:bookmarkStart w:id="4" w:name="_Toc121910391"/>
      <w:r w:rsidRPr="00350C8C">
        <w:rPr>
          <w:rStyle w:val="CharSectno"/>
        </w:rPr>
        <w:t>3</w:t>
      </w:r>
      <w:r w:rsidRPr="0011418E">
        <w:t xml:space="preserve">  Schedules</w:t>
      </w:r>
      <w:bookmarkEnd w:id="4"/>
    </w:p>
    <w:p w14:paraId="56A728D2" w14:textId="77777777" w:rsidR="00345E7F" w:rsidRPr="0011418E" w:rsidRDefault="00345E7F" w:rsidP="0011418E">
      <w:pPr>
        <w:pStyle w:val="subsection"/>
      </w:pPr>
      <w:r w:rsidRPr="0011418E">
        <w:tab/>
      </w:r>
      <w:r w:rsidRPr="0011418E">
        <w:tab/>
        <w:t>Legislation that is specified in a Schedule to this Act is amended or repealed as set out in the applicable items in the Schedule concerned, and any other item in a Schedule to this Act has effect according to its terms.</w:t>
      </w:r>
    </w:p>
    <w:p w14:paraId="65D5EB6F" w14:textId="77777777" w:rsidR="00345E7F" w:rsidRPr="0011418E" w:rsidRDefault="00345E7F" w:rsidP="0011418E">
      <w:pPr>
        <w:pStyle w:val="ActHead6"/>
        <w:pageBreakBefore/>
      </w:pPr>
      <w:bookmarkStart w:id="5" w:name="_Toc121910392"/>
      <w:bookmarkStart w:id="6" w:name="opcAmSched"/>
      <w:bookmarkStart w:id="7" w:name="opcCurrentFind"/>
      <w:r w:rsidRPr="00350C8C">
        <w:rPr>
          <w:rStyle w:val="CharAmSchNo"/>
        </w:rPr>
        <w:lastRenderedPageBreak/>
        <w:t>Schedule 1</w:t>
      </w:r>
      <w:r w:rsidRPr="0011418E">
        <w:t>—</w:t>
      </w:r>
      <w:r w:rsidRPr="00350C8C">
        <w:rPr>
          <w:rStyle w:val="CharAmSchText"/>
        </w:rPr>
        <w:t>Amendments</w:t>
      </w:r>
      <w:bookmarkEnd w:id="5"/>
    </w:p>
    <w:bookmarkEnd w:id="6"/>
    <w:bookmarkEnd w:id="7"/>
    <w:p w14:paraId="5AB5F7C9" w14:textId="77777777" w:rsidR="00345E7F" w:rsidRPr="00350C8C" w:rsidRDefault="00345E7F" w:rsidP="0011418E">
      <w:pPr>
        <w:pStyle w:val="Header"/>
      </w:pPr>
      <w:r w:rsidRPr="00350C8C">
        <w:rPr>
          <w:rStyle w:val="CharAmPartNo"/>
        </w:rPr>
        <w:t xml:space="preserve"> </w:t>
      </w:r>
      <w:r w:rsidRPr="00350C8C">
        <w:rPr>
          <w:rStyle w:val="CharAmPartText"/>
        </w:rPr>
        <w:t xml:space="preserve"> </w:t>
      </w:r>
    </w:p>
    <w:p w14:paraId="11EFBA88" w14:textId="77777777" w:rsidR="00345E7F" w:rsidRPr="0011418E" w:rsidRDefault="00345E7F" w:rsidP="0011418E">
      <w:pPr>
        <w:pStyle w:val="ActHead9"/>
        <w:rPr>
          <w:i w:val="0"/>
        </w:rPr>
      </w:pPr>
      <w:bookmarkStart w:id="8" w:name="_Toc121910393"/>
      <w:r w:rsidRPr="0011418E">
        <w:t>Ozone Protection and Synthetic Greenhouse Gas (Import Levy) Act 1995</w:t>
      </w:r>
      <w:bookmarkEnd w:id="8"/>
    </w:p>
    <w:p w14:paraId="34D3A516" w14:textId="77777777" w:rsidR="00345E7F" w:rsidRPr="0011418E" w:rsidRDefault="00345E7F" w:rsidP="0011418E">
      <w:pPr>
        <w:pStyle w:val="ItemHead"/>
      </w:pPr>
      <w:bookmarkStart w:id="9" w:name="_Hlk86410597"/>
      <w:r w:rsidRPr="0011418E">
        <w:t>1  Title</w:t>
      </w:r>
    </w:p>
    <w:p w14:paraId="367100E1" w14:textId="77777777" w:rsidR="00345E7F" w:rsidRPr="0011418E" w:rsidRDefault="00345E7F" w:rsidP="0011418E">
      <w:pPr>
        <w:pStyle w:val="Item"/>
      </w:pPr>
      <w:r w:rsidRPr="0011418E">
        <w:t>Omit “</w:t>
      </w:r>
      <w:r w:rsidRPr="0011418E">
        <w:rPr>
          <w:b/>
        </w:rPr>
        <w:t>,</w:t>
      </w:r>
      <w:r w:rsidRPr="0011418E">
        <w:t xml:space="preserve"> </w:t>
      </w:r>
      <w:r w:rsidRPr="0011418E">
        <w:rPr>
          <w:b/>
        </w:rPr>
        <w:t>ODS equipment</w:t>
      </w:r>
      <w:r w:rsidRPr="0011418E">
        <w:t>”.</w:t>
      </w:r>
    </w:p>
    <w:p w14:paraId="283B80F2" w14:textId="77777777" w:rsidR="00345E7F" w:rsidRPr="0011418E" w:rsidRDefault="00345E7F" w:rsidP="0011418E">
      <w:pPr>
        <w:pStyle w:val="ItemHead"/>
      </w:pPr>
      <w:r w:rsidRPr="0011418E">
        <w:t>2  Section 2A (heading)</w:t>
      </w:r>
    </w:p>
    <w:p w14:paraId="0DCE8927" w14:textId="77777777" w:rsidR="00345E7F" w:rsidRPr="0011418E" w:rsidRDefault="00345E7F" w:rsidP="0011418E">
      <w:pPr>
        <w:pStyle w:val="Item"/>
      </w:pPr>
      <w:r w:rsidRPr="0011418E">
        <w:t>Omit “</w:t>
      </w:r>
      <w:r w:rsidRPr="0011418E">
        <w:rPr>
          <w:b/>
        </w:rPr>
        <w:t>Definition</w:t>
      </w:r>
      <w:r w:rsidRPr="0011418E">
        <w:t>”, substitute “</w:t>
      </w:r>
      <w:r w:rsidRPr="0011418E">
        <w:rPr>
          <w:b/>
        </w:rPr>
        <w:t>Definitions</w:t>
      </w:r>
      <w:r w:rsidRPr="0011418E">
        <w:t>”.</w:t>
      </w:r>
    </w:p>
    <w:bookmarkEnd w:id="9"/>
    <w:p w14:paraId="47704A59" w14:textId="77777777" w:rsidR="00345E7F" w:rsidRPr="0011418E" w:rsidRDefault="00345E7F" w:rsidP="0011418E">
      <w:pPr>
        <w:pStyle w:val="ItemHead"/>
      </w:pPr>
      <w:r w:rsidRPr="0011418E">
        <w:t>3  Section 2A</w:t>
      </w:r>
    </w:p>
    <w:p w14:paraId="39E1267A" w14:textId="77777777" w:rsidR="00345E7F" w:rsidRPr="0011418E" w:rsidRDefault="00345E7F" w:rsidP="0011418E">
      <w:pPr>
        <w:pStyle w:val="Item"/>
      </w:pPr>
      <w:r w:rsidRPr="0011418E">
        <w:t>Insert:</w:t>
      </w:r>
    </w:p>
    <w:p w14:paraId="0D8DF09D" w14:textId="77777777" w:rsidR="00345E7F" w:rsidRPr="0011418E" w:rsidRDefault="00345E7F" w:rsidP="0011418E">
      <w:pPr>
        <w:pStyle w:val="Definition"/>
      </w:pPr>
      <w:r w:rsidRPr="0011418E">
        <w:rPr>
          <w:b/>
          <w:i/>
        </w:rPr>
        <w:t>amount</w:t>
      </w:r>
      <w:r w:rsidRPr="0011418E">
        <w:t xml:space="preserve"> includes a nil amount.</w:t>
      </w:r>
    </w:p>
    <w:p w14:paraId="195465CB" w14:textId="77777777" w:rsidR="00345E7F" w:rsidRPr="0011418E" w:rsidRDefault="00345E7F" w:rsidP="0011418E">
      <w:pPr>
        <w:pStyle w:val="Definition"/>
      </w:pPr>
      <w:bookmarkStart w:id="10" w:name="_Hlk86410622"/>
      <w:r w:rsidRPr="0011418E">
        <w:rPr>
          <w:b/>
          <w:i/>
        </w:rPr>
        <w:t>Management Act</w:t>
      </w:r>
      <w:r w:rsidRPr="0011418E">
        <w:t xml:space="preserve"> means the </w:t>
      </w:r>
      <w:r w:rsidRPr="0011418E">
        <w:rPr>
          <w:i/>
        </w:rPr>
        <w:t>Ozone Protection and Synthetic Greenhouse Gas Management Act 1989</w:t>
      </w:r>
      <w:r w:rsidRPr="0011418E">
        <w:t>.</w:t>
      </w:r>
    </w:p>
    <w:p w14:paraId="55D1DD69" w14:textId="77777777" w:rsidR="00345E7F" w:rsidRPr="0011418E" w:rsidRDefault="00345E7F" w:rsidP="0011418E">
      <w:pPr>
        <w:pStyle w:val="Definition"/>
      </w:pPr>
      <w:r w:rsidRPr="0011418E">
        <w:rPr>
          <w:b/>
          <w:i/>
        </w:rPr>
        <w:t>Manufacture Levy Act</w:t>
      </w:r>
      <w:r w:rsidRPr="0011418E">
        <w:t xml:space="preserve"> means the </w:t>
      </w:r>
      <w:r w:rsidRPr="0011418E">
        <w:rPr>
          <w:i/>
        </w:rPr>
        <w:t>Ozone Protection and Synthetic Greenhouse Gas (Manufacture Levy) Act 1995</w:t>
      </w:r>
      <w:r w:rsidRPr="0011418E">
        <w:t>.</w:t>
      </w:r>
    </w:p>
    <w:p w14:paraId="6F27D59D" w14:textId="77777777" w:rsidR="00345E7F" w:rsidRPr="0011418E" w:rsidRDefault="00345E7F" w:rsidP="0011418E">
      <w:pPr>
        <w:pStyle w:val="ItemHead"/>
      </w:pPr>
      <w:bookmarkStart w:id="11" w:name="_Hlk86410848"/>
      <w:bookmarkEnd w:id="10"/>
      <w:r w:rsidRPr="0011418E">
        <w:t>4  Section 3</w:t>
      </w:r>
    </w:p>
    <w:p w14:paraId="663AEB62" w14:textId="77777777" w:rsidR="00345E7F" w:rsidRPr="0011418E" w:rsidRDefault="00345E7F" w:rsidP="0011418E">
      <w:pPr>
        <w:pStyle w:val="Item"/>
      </w:pPr>
      <w:r w:rsidRPr="0011418E">
        <w:t>Repeal the section, substitute:</w:t>
      </w:r>
    </w:p>
    <w:p w14:paraId="7D64F879" w14:textId="77777777" w:rsidR="00345E7F" w:rsidRPr="0011418E" w:rsidRDefault="00345E7F" w:rsidP="0011418E">
      <w:pPr>
        <w:pStyle w:val="ActHead5"/>
      </w:pPr>
      <w:bookmarkStart w:id="12" w:name="_Toc121910394"/>
      <w:r w:rsidRPr="00350C8C">
        <w:rPr>
          <w:rStyle w:val="CharSectno"/>
        </w:rPr>
        <w:t>3</w:t>
      </w:r>
      <w:r w:rsidRPr="0011418E">
        <w:t xml:space="preserve">  Interpretation</w:t>
      </w:r>
      <w:bookmarkEnd w:id="12"/>
    </w:p>
    <w:p w14:paraId="259D2D0C" w14:textId="77777777" w:rsidR="00345E7F" w:rsidRPr="0011418E" w:rsidRDefault="00345E7F" w:rsidP="0011418E">
      <w:pPr>
        <w:pStyle w:val="subsection"/>
      </w:pPr>
      <w:r w:rsidRPr="0011418E">
        <w:tab/>
        <w:t>(1)</w:t>
      </w:r>
      <w:r w:rsidRPr="0011418E">
        <w:tab/>
        <w:t>An expression used in this Act has the same meaning in this Act as it has in the Management Act.</w:t>
      </w:r>
    </w:p>
    <w:p w14:paraId="19D5FF33" w14:textId="77777777" w:rsidR="00345E7F" w:rsidRPr="0011418E" w:rsidRDefault="00345E7F" w:rsidP="0011418E">
      <w:pPr>
        <w:pStyle w:val="subsection"/>
      </w:pPr>
      <w:r w:rsidRPr="0011418E">
        <w:tab/>
        <w:t>(2)</w:t>
      </w:r>
      <w:r w:rsidRPr="0011418E">
        <w:tab/>
        <w:t xml:space="preserve">Without limiting </w:t>
      </w:r>
      <w:r w:rsidR="00B13340" w:rsidRPr="0011418E">
        <w:t>subsection (</w:t>
      </w:r>
      <w:r w:rsidRPr="0011418E">
        <w:t>1), section 9 (references to scheduled substances and equipment) of the Management Act applies in relation to this Act in the same way as that section applies in relation to the Management Act.</w:t>
      </w:r>
    </w:p>
    <w:p w14:paraId="41AC1933" w14:textId="77777777" w:rsidR="00345E7F" w:rsidRPr="0011418E" w:rsidRDefault="00345E7F" w:rsidP="0011418E">
      <w:pPr>
        <w:pStyle w:val="subsection"/>
      </w:pPr>
      <w:r w:rsidRPr="0011418E">
        <w:tab/>
        <w:t>(3)</w:t>
      </w:r>
      <w:r w:rsidRPr="0011418E">
        <w:tab/>
        <w:t>In determining for the purposes of this Act whether a licence allows the licensee to carry out an activity, disregard any suspension of the licence.</w:t>
      </w:r>
    </w:p>
    <w:p w14:paraId="024F92EC" w14:textId="77777777" w:rsidR="00345E7F" w:rsidRPr="0011418E" w:rsidRDefault="00345E7F" w:rsidP="0011418E">
      <w:pPr>
        <w:pStyle w:val="notetext"/>
      </w:pPr>
      <w:r w:rsidRPr="0011418E">
        <w:lastRenderedPageBreak/>
        <w:t>Note:</w:t>
      </w:r>
      <w:r w:rsidRPr="0011418E">
        <w:tab/>
        <w:t>For the effect of a licence suspension, see subsection 19D(4) of the Management Act.</w:t>
      </w:r>
    </w:p>
    <w:bookmarkEnd w:id="11"/>
    <w:p w14:paraId="41C40F99" w14:textId="77777777" w:rsidR="00345E7F" w:rsidRPr="0011418E" w:rsidRDefault="00345E7F" w:rsidP="0011418E">
      <w:pPr>
        <w:pStyle w:val="ItemHead"/>
      </w:pPr>
      <w:r w:rsidRPr="0011418E">
        <w:t>5  At the end of subsection 3A(1)</w:t>
      </w:r>
    </w:p>
    <w:p w14:paraId="19972C57" w14:textId="77777777" w:rsidR="00345E7F" w:rsidRPr="0011418E" w:rsidRDefault="00345E7F" w:rsidP="0011418E">
      <w:pPr>
        <w:pStyle w:val="Item"/>
      </w:pPr>
      <w:r w:rsidRPr="0011418E">
        <w:t>Add:</w:t>
      </w:r>
    </w:p>
    <w:p w14:paraId="578CC239" w14:textId="77777777" w:rsidR="00345E7F" w:rsidRPr="0011418E" w:rsidRDefault="00345E7F" w:rsidP="0011418E">
      <w:pPr>
        <w:pStyle w:val="notetext"/>
      </w:pPr>
      <w:r w:rsidRPr="0011418E">
        <w:t>Note:</w:t>
      </w:r>
      <w:r w:rsidRPr="0011418E">
        <w:tab/>
        <w:t xml:space="preserve">This subsection applies only in relation to the import of </w:t>
      </w:r>
      <w:proofErr w:type="spellStart"/>
      <w:r w:rsidRPr="0011418E">
        <w:t>SGGs</w:t>
      </w:r>
      <w:proofErr w:type="spellEnd"/>
      <w:r w:rsidRPr="0011418E">
        <w:t xml:space="preserve"> that are bulk scheduled substances (see subsection 3(2) of this Act and subsection 9(1) of the Management Act). For </w:t>
      </w:r>
      <w:proofErr w:type="spellStart"/>
      <w:r w:rsidRPr="0011418E">
        <w:t>SGG</w:t>
      </w:r>
      <w:proofErr w:type="spellEnd"/>
      <w:r w:rsidRPr="0011418E">
        <w:t xml:space="preserve"> equipment imported under an equipment licence, see section 4A of this Act.</w:t>
      </w:r>
    </w:p>
    <w:p w14:paraId="4E03DC86" w14:textId="77777777" w:rsidR="00345E7F" w:rsidRPr="0011418E" w:rsidRDefault="00345E7F" w:rsidP="0011418E">
      <w:pPr>
        <w:pStyle w:val="ItemHead"/>
      </w:pPr>
      <w:r w:rsidRPr="0011418E">
        <w:t>6  Subsection 3A(2)</w:t>
      </w:r>
    </w:p>
    <w:p w14:paraId="052FD607" w14:textId="77777777" w:rsidR="00345E7F" w:rsidRPr="0011418E" w:rsidRDefault="00345E7F" w:rsidP="0011418E">
      <w:pPr>
        <w:pStyle w:val="Item"/>
      </w:pPr>
      <w:r w:rsidRPr="0011418E">
        <w:t xml:space="preserve">Omit “circumstances that are prescribed for the purposes of subsection 13(3) of the </w:t>
      </w:r>
      <w:r w:rsidRPr="0011418E">
        <w:rPr>
          <w:i/>
        </w:rPr>
        <w:t>Ozone Protection and Synthetic Greenhouse Gas Management Act 1989</w:t>
      </w:r>
      <w:r w:rsidRPr="0011418E">
        <w:t>”, substitute “</w:t>
      </w:r>
      <w:bookmarkStart w:id="13" w:name="_Hlk86410963"/>
      <w:r w:rsidRPr="0011418E">
        <w:t>circumstances, or for a purpose, prescribed for the purposes of subsection 13AA(2) of the Management Act”.</w:t>
      </w:r>
    </w:p>
    <w:bookmarkEnd w:id="13"/>
    <w:p w14:paraId="173279C0" w14:textId="77777777" w:rsidR="00345E7F" w:rsidRPr="0011418E" w:rsidRDefault="00345E7F" w:rsidP="0011418E">
      <w:pPr>
        <w:pStyle w:val="ItemHead"/>
      </w:pPr>
      <w:r w:rsidRPr="0011418E">
        <w:t>7  Subsection 3A(5)</w:t>
      </w:r>
    </w:p>
    <w:p w14:paraId="06757EDD" w14:textId="77777777" w:rsidR="00345E7F" w:rsidRPr="0011418E" w:rsidRDefault="00345E7F" w:rsidP="0011418E">
      <w:pPr>
        <w:pStyle w:val="Item"/>
      </w:pPr>
      <w:r w:rsidRPr="0011418E">
        <w:t>Repeal the subsection.</w:t>
      </w:r>
    </w:p>
    <w:p w14:paraId="64909C08" w14:textId="77777777" w:rsidR="00345E7F" w:rsidRPr="0011418E" w:rsidRDefault="00345E7F" w:rsidP="0011418E">
      <w:pPr>
        <w:pStyle w:val="ItemHead"/>
      </w:pPr>
      <w:r w:rsidRPr="0011418E">
        <w:t xml:space="preserve">8  Subsection 3A(7) (definition of </w:t>
      </w:r>
      <w:r w:rsidRPr="0011418E">
        <w:rPr>
          <w:i/>
        </w:rPr>
        <w:t>prescribed rate</w:t>
      </w:r>
      <w:r w:rsidRPr="0011418E">
        <w:t>)</w:t>
      </w:r>
    </w:p>
    <w:p w14:paraId="1ABEBE25" w14:textId="77777777" w:rsidR="00345E7F" w:rsidRPr="0011418E" w:rsidRDefault="00345E7F" w:rsidP="0011418E">
      <w:pPr>
        <w:pStyle w:val="Item"/>
      </w:pPr>
      <w:r w:rsidRPr="0011418E">
        <w:t>Repeal the definition, substitute:</w:t>
      </w:r>
    </w:p>
    <w:p w14:paraId="22913FC0" w14:textId="77777777" w:rsidR="00345E7F" w:rsidRPr="0011418E" w:rsidRDefault="00345E7F" w:rsidP="0011418E">
      <w:pPr>
        <w:pStyle w:val="Definition"/>
      </w:pPr>
      <w:bookmarkStart w:id="14" w:name="_Hlk86411299"/>
      <w:r w:rsidRPr="0011418E">
        <w:rPr>
          <w:b/>
          <w:i/>
        </w:rPr>
        <w:t>prescribed rate</w:t>
      </w:r>
      <w:r w:rsidRPr="0011418E">
        <w:t xml:space="preserve"> means the amount prescribed by the regulations for the purposes of this definition.</w:t>
      </w:r>
    </w:p>
    <w:bookmarkEnd w:id="14"/>
    <w:p w14:paraId="394765F8" w14:textId="77777777" w:rsidR="00345E7F" w:rsidRPr="0011418E" w:rsidRDefault="00345E7F" w:rsidP="0011418E">
      <w:pPr>
        <w:pStyle w:val="ItemHead"/>
      </w:pPr>
      <w:r w:rsidRPr="0011418E">
        <w:t xml:space="preserve">9  </w:t>
      </w:r>
      <w:r w:rsidR="00D02E5C" w:rsidRPr="0011418E">
        <w:t>Subparagraph 3</w:t>
      </w:r>
      <w:r w:rsidRPr="0011418E">
        <w:t>A(9)(b)(iii)</w:t>
      </w:r>
    </w:p>
    <w:p w14:paraId="031F9DEF" w14:textId="77777777" w:rsidR="00345E7F" w:rsidRPr="0011418E" w:rsidRDefault="00345E7F" w:rsidP="0011418E">
      <w:pPr>
        <w:pStyle w:val="Item"/>
      </w:pPr>
      <w:r w:rsidRPr="0011418E">
        <w:t xml:space="preserve">Omit “equipment prescribed for the purposes of paragraph 8D(1)(c) of the </w:t>
      </w:r>
      <w:r w:rsidRPr="0011418E">
        <w:rPr>
          <w:i/>
        </w:rPr>
        <w:t>Ozone Protection and Synthetic Greenhouse Gas Management Act 1989</w:t>
      </w:r>
      <w:r w:rsidRPr="0011418E">
        <w:t>”, substitute “equipment of a kind prescribed for the purposes of paragraph 13(4)(a) or (6)(a) of the Management Act”.</w:t>
      </w:r>
    </w:p>
    <w:p w14:paraId="6EFA8E32" w14:textId="77777777" w:rsidR="00345E7F" w:rsidRPr="0011418E" w:rsidRDefault="00345E7F" w:rsidP="0011418E">
      <w:pPr>
        <w:pStyle w:val="ItemHead"/>
      </w:pPr>
      <w:r w:rsidRPr="0011418E">
        <w:t xml:space="preserve">10  </w:t>
      </w:r>
      <w:r w:rsidR="00D02E5C" w:rsidRPr="0011418E">
        <w:t>Subparagraph 3</w:t>
      </w:r>
      <w:r w:rsidRPr="0011418E">
        <w:t>A(9)(b)(iv)</w:t>
      </w:r>
    </w:p>
    <w:p w14:paraId="1D2E1319" w14:textId="77777777" w:rsidR="00345E7F" w:rsidRPr="0011418E" w:rsidRDefault="00345E7F" w:rsidP="0011418E">
      <w:pPr>
        <w:pStyle w:val="Item"/>
      </w:pPr>
      <w:r w:rsidRPr="0011418E">
        <w:t>Repeal the subparagraph.</w:t>
      </w:r>
    </w:p>
    <w:p w14:paraId="0B9F651A" w14:textId="77777777" w:rsidR="00345E7F" w:rsidRPr="0011418E" w:rsidRDefault="00345E7F" w:rsidP="0011418E">
      <w:pPr>
        <w:pStyle w:val="ItemHead"/>
      </w:pPr>
      <w:r w:rsidRPr="0011418E">
        <w:t>11  Subsections 3A(12) and (13)</w:t>
      </w:r>
    </w:p>
    <w:p w14:paraId="7CF640B4" w14:textId="77777777" w:rsidR="00345E7F" w:rsidRPr="0011418E" w:rsidRDefault="00345E7F" w:rsidP="0011418E">
      <w:pPr>
        <w:pStyle w:val="Item"/>
      </w:pPr>
      <w:r w:rsidRPr="0011418E">
        <w:t>Repeal the subsections, substitute:</w:t>
      </w:r>
    </w:p>
    <w:p w14:paraId="0E1D2451" w14:textId="77777777" w:rsidR="00ED7FCB" w:rsidRPr="0011418E" w:rsidRDefault="00ED7FCB" w:rsidP="0011418E">
      <w:pPr>
        <w:pStyle w:val="subsection"/>
      </w:pPr>
      <w:r w:rsidRPr="0011418E">
        <w:tab/>
        <w:t>(12)</w:t>
      </w:r>
      <w:r w:rsidRPr="0011418E">
        <w:tab/>
        <w:t xml:space="preserve">The Minister may, by writing, delegate the Minister’s power under </w:t>
      </w:r>
      <w:r w:rsidR="00B13340" w:rsidRPr="0011418E">
        <w:t>subsection (</w:t>
      </w:r>
      <w:r w:rsidRPr="0011418E">
        <w:t>9) to:</w:t>
      </w:r>
    </w:p>
    <w:p w14:paraId="0F06F2B3" w14:textId="77777777" w:rsidR="00ED7FCB" w:rsidRPr="0011418E" w:rsidRDefault="00ED7FCB" w:rsidP="0011418E">
      <w:pPr>
        <w:pStyle w:val="paragraph"/>
      </w:pPr>
      <w:r w:rsidRPr="0011418E">
        <w:lastRenderedPageBreak/>
        <w:tab/>
        <w:t>(a)</w:t>
      </w:r>
      <w:r w:rsidRPr="0011418E">
        <w:tab/>
        <w:t>the Secretary; or</w:t>
      </w:r>
    </w:p>
    <w:p w14:paraId="18996425" w14:textId="77777777" w:rsidR="00ED7FCB" w:rsidRPr="0011418E" w:rsidRDefault="00ED7FCB" w:rsidP="0011418E">
      <w:pPr>
        <w:pStyle w:val="paragraph"/>
      </w:pPr>
      <w:r w:rsidRPr="0011418E">
        <w:tab/>
        <w:t>(b)</w:t>
      </w:r>
      <w:r w:rsidRPr="0011418E">
        <w:tab/>
        <w:t>an SES employee or acting SES employee in the Department; or</w:t>
      </w:r>
    </w:p>
    <w:p w14:paraId="4FA38BE0" w14:textId="77777777" w:rsidR="00ED7FCB" w:rsidRPr="0011418E" w:rsidRDefault="00ED7FCB" w:rsidP="0011418E">
      <w:pPr>
        <w:pStyle w:val="paragraph"/>
      </w:pPr>
      <w:r w:rsidRPr="0011418E">
        <w:tab/>
        <w:t>(c)</w:t>
      </w:r>
      <w:r w:rsidRPr="0011418E">
        <w:tab/>
        <w:t>an APS employee who holds, or is acting in, an Executive Level 2, or equivalent, position in the Department.</w:t>
      </w:r>
    </w:p>
    <w:p w14:paraId="5039DF33" w14:textId="77777777" w:rsidR="00ED7FCB" w:rsidRPr="0011418E" w:rsidRDefault="00ED7FCB" w:rsidP="0011418E">
      <w:pPr>
        <w:pStyle w:val="notetext"/>
      </w:pPr>
      <w:r w:rsidRPr="0011418E">
        <w:t>Note:</w:t>
      </w:r>
      <w:r w:rsidRPr="0011418E">
        <w:tab/>
        <w:t xml:space="preserve">Sections 34AA to 34A of the </w:t>
      </w:r>
      <w:r w:rsidRPr="0011418E">
        <w:rPr>
          <w:i/>
        </w:rPr>
        <w:t>Acts Interpretation Act 1901</w:t>
      </w:r>
      <w:r w:rsidRPr="0011418E">
        <w:t xml:space="preserve"> contain provisions relating to delegations.</w:t>
      </w:r>
    </w:p>
    <w:p w14:paraId="573484AA" w14:textId="77777777" w:rsidR="00ED7FCB" w:rsidRPr="0011418E" w:rsidRDefault="00ED7FCB" w:rsidP="0011418E">
      <w:pPr>
        <w:pStyle w:val="subsection"/>
      </w:pPr>
      <w:r w:rsidRPr="0011418E">
        <w:tab/>
        <w:t>(13)</w:t>
      </w:r>
      <w:r w:rsidRPr="0011418E">
        <w:tab/>
        <w:t>In exercising a delegated power, the delegate must comply with any written directions of the Minister.</w:t>
      </w:r>
    </w:p>
    <w:p w14:paraId="14D23F22" w14:textId="77777777" w:rsidR="00345E7F" w:rsidRPr="0011418E" w:rsidRDefault="00345E7F" w:rsidP="0011418E">
      <w:pPr>
        <w:pStyle w:val="subsection"/>
      </w:pPr>
      <w:r w:rsidRPr="0011418E">
        <w:tab/>
        <w:t>(1</w:t>
      </w:r>
      <w:r w:rsidR="00ED7FCB" w:rsidRPr="0011418E">
        <w:t>4</w:t>
      </w:r>
      <w:r w:rsidRPr="0011418E">
        <w:t>)</w:t>
      </w:r>
      <w:r w:rsidRPr="0011418E">
        <w:tab/>
        <w:t>Before the Governor</w:t>
      </w:r>
      <w:r w:rsidR="0011418E">
        <w:noBreakHyphen/>
      </w:r>
      <w:r w:rsidRPr="0011418E">
        <w:t>General makes regulations for the purposes of a provision mentioned in column 1 of an item in the following table, the Minister must be satisfied of the matter, or one or more of the matters, mentioned in column 2 of that item.</w:t>
      </w:r>
    </w:p>
    <w:p w14:paraId="60CCB8DE" w14:textId="77777777" w:rsidR="00345E7F" w:rsidRPr="0011418E" w:rsidRDefault="00345E7F" w:rsidP="0011418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3974"/>
      </w:tblGrid>
      <w:tr w:rsidR="00345E7F" w:rsidRPr="0011418E" w14:paraId="40A3C2AD" w14:textId="77777777" w:rsidTr="008629DB">
        <w:trPr>
          <w:tblHeader/>
        </w:trPr>
        <w:tc>
          <w:tcPr>
            <w:tcW w:w="7088" w:type="dxa"/>
            <w:gridSpan w:val="3"/>
            <w:tcBorders>
              <w:top w:val="single" w:sz="12" w:space="0" w:color="auto"/>
              <w:bottom w:val="single" w:sz="6" w:space="0" w:color="auto"/>
            </w:tcBorders>
            <w:shd w:val="clear" w:color="auto" w:fill="auto"/>
          </w:tcPr>
          <w:p w14:paraId="28DCFB5C" w14:textId="77777777" w:rsidR="00345E7F" w:rsidRPr="0011418E" w:rsidRDefault="00345E7F" w:rsidP="0011418E">
            <w:pPr>
              <w:pStyle w:val="TableHeading"/>
            </w:pPr>
            <w:r w:rsidRPr="0011418E">
              <w:t>Matters the Minister must be satisfied of before regulations are made</w:t>
            </w:r>
          </w:p>
        </w:tc>
      </w:tr>
      <w:tr w:rsidR="00345E7F" w:rsidRPr="0011418E" w14:paraId="150699E6" w14:textId="77777777" w:rsidTr="008629DB">
        <w:trPr>
          <w:tblHeader/>
        </w:trPr>
        <w:tc>
          <w:tcPr>
            <w:tcW w:w="714" w:type="dxa"/>
            <w:tcBorders>
              <w:top w:val="single" w:sz="6" w:space="0" w:color="auto"/>
              <w:bottom w:val="single" w:sz="12" w:space="0" w:color="auto"/>
            </w:tcBorders>
            <w:shd w:val="clear" w:color="auto" w:fill="auto"/>
          </w:tcPr>
          <w:p w14:paraId="657040E9" w14:textId="77777777" w:rsidR="00345E7F" w:rsidRPr="0011418E" w:rsidRDefault="00345E7F" w:rsidP="0011418E">
            <w:pPr>
              <w:pStyle w:val="TableHeading"/>
            </w:pPr>
          </w:p>
          <w:p w14:paraId="1E771139" w14:textId="77777777" w:rsidR="00345E7F" w:rsidRPr="0011418E" w:rsidRDefault="00345E7F" w:rsidP="0011418E">
            <w:pPr>
              <w:pStyle w:val="TableHeading"/>
            </w:pPr>
            <w:r w:rsidRPr="0011418E">
              <w:t>Item</w:t>
            </w:r>
          </w:p>
        </w:tc>
        <w:tc>
          <w:tcPr>
            <w:tcW w:w="2400" w:type="dxa"/>
            <w:tcBorders>
              <w:top w:val="single" w:sz="6" w:space="0" w:color="auto"/>
              <w:bottom w:val="single" w:sz="12" w:space="0" w:color="auto"/>
            </w:tcBorders>
            <w:shd w:val="clear" w:color="auto" w:fill="auto"/>
          </w:tcPr>
          <w:p w14:paraId="58DC84BB" w14:textId="77777777" w:rsidR="00345E7F" w:rsidRPr="0011418E" w:rsidRDefault="00345E7F" w:rsidP="0011418E">
            <w:pPr>
              <w:pStyle w:val="TableHeading"/>
            </w:pPr>
            <w:r w:rsidRPr="0011418E">
              <w:t>Column 1</w:t>
            </w:r>
          </w:p>
          <w:p w14:paraId="1EDCEFA6" w14:textId="77777777" w:rsidR="00345E7F" w:rsidRPr="0011418E" w:rsidRDefault="00345E7F" w:rsidP="0011418E">
            <w:pPr>
              <w:pStyle w:val="TableHeading"/>
            </w:pPr>
            <w:r w:rsidRPr="0011418E">
              <w:t>Provision</w:t>
            </w:r>
          </w:p>
        </w:tc>
        <w:tc>
          <w:tcPr>
            <w:tcW w:w="3974" w:type="dxa"/>
            <w:tcBorders>
              <w:top w:val="single" w:sz="6" w:space="0" w:color="auto"/>
              <w:bottom w:val="single" w:sz="12" w:space="0" w:color="auto"/>
            </w:tcBorders>
            <w:shd w:val="clear" w:color="auto" w:fill="auto"/>
          </w:tcPr>
          <w:p w14:paraId="1CE2747F" w14:textId="77777777" w:rsidR="00345E7F" w:rsidRPr="0011418E" w:rsidRDefault="00345E7F" w:rsidP="0011418E">
            <w:pPr>
              <w:pStyle w:val="TableHeading"/>
            </w:pPr>
            <w:r w:rsidRPr="0011418E">
              <w:t>Column 2</w:t>
            </w:r>
          </w:p>
          <w:p w14:paraId="369BE0AA" w14:textId="77777777" w:rsidR="00345E7F" w:rsidRPr="0011418E" w:rsidRDefault="00345E7F" w:rsidP="0011418E">
            <w:pPr>
              <w:pStyle w:val="TableHeading"/>
            </w:pPr>
            <w:r w:rsidRPr="0011418E">
              <w:t>Matters</w:t>
            </w:r>
          </w:p>
        </w:tc>
      </w:tr>
      <w:tr w:rsidR="00345E7F" w:rsidRPr="0011418E" w14:paraId="2A6EF0BE" w14:textId="77777777" w:rsidTr="008629DB">
        <w:tc>
          <w:tcPr>
            <w:tcW w:w="714" w:type="dxa"/>
            <w:tcBorders>
              <w:top w:val="single" w:sz="12" w:space="0" w:color="auto"/>
            </w:tcBorders>
            <w:shd w:val="clear" w:color="auto" w:fill="auto"/>
          </w:tcPr>
          <w:p w14:paraId="394AD29D" w14:textId="77777777" w:rsidR="00345E7F" w:rsidRPr="0011418E" w:rsidRDefault="00345E7F" w:rsidP="0011418E">
            <w:pPr>
              <w:pStyle w:val="Tabletext"/>
            </w:pPr>
            <w:r w:rsidRPr="0011418E">
              <w:t>1</w:t>
            </w:r>
          </w:p>
        </w:tc>
        <w:tc>
          <w:tcPr>
            <w:tcW w:w="2400" w:type="dxa"/>
            <w:tcBorders>
              <w:top w:val="single" w:sz="12" w:space="0" w:color="auto"/>
            </w:tcBorders>
            <w:shd w:val="clear" w:color="auto" w:fill="auto"/>
          </w:tcPr>
          <w:p w14:paraId="067EA482" w14:textId="77777777" w:rsidR="00345E7F" w:rsidRPr="0011418E" w:rsidRDefault="00B13340" w:rsidP="0011418E">
            <w:pPr>
              <w:pStyle w:val="Tabletext"/>
            </w:pPr>
            <w:r w:rsidRPr="0011418E">
              <w:t>subsection (</w:t>
            </w:r>
            <w:r w:rsidR="00345E7F" w:rsidRPr="0011418E">
              <w:t>3)</w:t>
            </w:r>
          </w:p>
        </w:tc>
        <w:tc>
          <w:tcPr>
            <w:tcW w:w="3974" w:type="dxa"/>
            <w:tcBorders>
              <w:top w:val="single" w:sz="12" w:space="0" w:color="auto"/>
            </w:tcBorders>
            <w:shd w:val="clear" w:color="auto" w:fill="auto"/>
          </w:tcPr>
          <w:p w14:paraId="4379D00A" w14:textId="77777777" w:rsidR="00345E7F" w:rsidRPr="0011418E" w:rsidRDefault="00345E7F" w:rsidP="0011418E">
            <w:pPr>
              <w:pStyle w:val="Tablea"/>
            </w:pPr>
            <w:r w:rsidRPr="0011418E">
              <w:t xml:space="preserve">(a) that it would be impracticable to impose levy on the import of an </w:t>
            </w:r>
            <w:proofErr w:type="spellStart"/>
            <w:r w:rsidRPr="0011418E">
              <w:t>SGG</w:t>
            </w:r>
            <w:proofErr w:type="spellEnd"/>
            <w:r w:rsidRPr="0011418E">
              <w:t xml:space="preserve"> that is to be used for a purpose to be prescribed by those regulations; or</w:t>
            </w:r>
          </w:p>
          <w:p w14:paraId="332EEE0B" w14:textId="77777777" w:rsidR="00345E7F" w:rsidRPr="0011418E" w:rsidRDefault="00345E7F" w:rsidP="0011418E">
            <w:pPr>
              <w:pStyle w:val="Tablea"/>
            </w:pPr>
            <w:r w:rsidRPr="0011418E">
              <w:t>(b) that a purpose to be prescribed by those regulations is a medical, veterinary, health or safety purpose</w:t>
            </w:r>
          </w:p>
        </w:tc>
      </w:tr>
      <w:tr w:rsidR="00345E7F" w:rsidRPr="0011418E" w14:paraId="5CDDC730" w14:textId="77777777" w:rsidTr="008629DB">
        <w:tc>
          <w:tcPr>
            <w:tcW w:w="714" w:type="dxa"/>
            <w:tcBorders>
              <w:bottom w:val="single" w:sz="2" w:space="0" w:color="auto"/>
            </w:tcBorders>
            <w:shd w:val="clear" w:color="auto" w:fill="auto"/>
          </w:tcPr>
          <w:p w14:paraId="7D166D34" w14:textId="77777777" w:rsidR="00345E7F" w:rsidRPr="0011418E" w:rsidRDefault="00345E7F" w:rsidP="0011418E">
            <w:pPr>
              <w:pStyle w:val="Tabletext"/>
            </w:pPr>
            <w:r w:rsidRPr="0011418E">
              <w:t>2</w:t>
            </w:r>
          </w:p>
        </w:tc>
        <w:tc>
          <w:tcPr>
            <w:tcW w:w="2400" w:type="dxa"/>
            <w:tcBorders>
              <w:bottom w:val="single" w:sz="2" w:space="0" w:color="auto"/>
            </w:tcBorders>
            <w:shd w:val="clear" w:color="auto" w:fill="auto"/>
          </w:tcPr>
          <w:p w14:paraId="60686F55" w14:textId="77777777" w:rsidR="00345E7F" w:rsidRPr="0011418E" w:rsidRDefault="00345E7F" w:rsidP="0011418E">
            <w:pPr>
              <w:pStyle w:val="Tabletext"/>
            </w:pPr>
            <w:r w:rsidRPr="0011418E">
              <w:t xml:space="preserve">the definition of </w:t>
            </w:r>
            <w:r w:rsidRPr="0011418E">
              <w:rPr>
                <w:b/>
                <w:i/>
              </w:rPr>
              <w:t xml:space="preserve">prescribed rate </w:t>
            </w:r>
            <w:r w:rsidRPr="0011418E">
              <w:t xml:space="preserve">in </w:t>
            </w:r>
            <w:r w:rsidR="00B13340" w:rsidRPr="0011418E">
              <w:t>subsection (</w:t>
            </w:r>
            <w:r w:rsidRPr="0011418E">
              <w:t>7)</w:t>
            </w:r>
          </w:p>
        </w:tc>
        <w:tc>
          <w:tcPr>
            <w:tcW w:w="3974" w:type="dxa"/>
            <w:tcBorders>
              <w:bottom w:val="single" w:sz="2" w:space="0" w:color="auto"/>
            </w:tcBorders>
            <w:shd w:val="clear" w:color="auto" w:fill="auto"/>
          </w:tcPr>
          <w:p w14:paraId="2183EB12" w14:textId="77777777" w:rsidR="00345E7F" w:rsidRPr="0011418E" w:rsidRDefault="00345E7F" w:rsidP="0011418E">
            <w:pPr>
              <w:pStyle w:val="Tabletext"/>
            </w:pPr>
            <w:r w:rsidRPr="0011418E">
              <w:t>that the effect of this Act and the Manufacture Levy Act will be to recover no more than the Commonwealth’s likely costs of the kind mentioned in paragraph 65D(a), (b), (c) or (ca) of the Management Act, being costs that are unlikely to be offset by fees charged under the Management Act or regulations made under it</w:t>
            </w:r>
          </w:p>
        </w:tc>
      </w:tr>
      <w:tr w:rsidR="00345E7F" w:rsidRPr="0011418E" w14:paraId="53A7DDFE" w14:textId="77777777" w:rsidTr="008629DB">
        <w:tc>
          <w:tcPr>
            <w:tcW w:w="714" w:type="dxa"/>
            <w:tcBorders>
              <w:top w:val="single" w:sz="2" w:space="0" w:color="auto"/>
              <w:bottom w:val="single" w:sz="12" w:space="0" w:color="auto"/>
            </w:tcBorders>
            <w:shd w:val="clear" w:color="auto" w:fill="auto"/>
          </w:tcPr>
          <w:p w14:paraId="432F5860" w14:textId="77777777" w:rsidR="00345E7F" w:rsidRPr="0011418E" w:rsidRDefault="00345E7F" w:rsidP="0011418E">
            <w:pPr>
              <w:pStyle w:val="Tabletext"/>
            </w:pPr>
            <w:r w:rsidRPr="0011418E">
              <w:t>3</w:t>
            </w:r>
          </w:p>
        </w:tc>
        <w:tc>
          <w:tcPr>
            <w:tcW w:w="2400" w:type="dxa"/>
            <w:tcBorders>
              <w:top w:val="single" w:sz="2" w:space="0" w:color="auto"/>
              <w:bottom w:val="single" w:sz="12" w:space="0" w:color="auto"/>
            </w:tcBorders>
            <w:shd w:val="clear" w:color="auto" w:fill="auto"/>
          </w:tcPr>
          <w:p w14:paraId="0A5E2FD9" w14:textId="77777777" w:rsidR="00345E7F" w:rsidRPr="0011418E" w:rsidRDefault="00345E7F" w:rsidP="0011418E">
            <w:pPr>
              <w:pStyle w:val="Tabletext"/>
            </w:pPr>
            <w:r w:rsidRPr="0011418E">
              <w:t>subparagraph (9)(b)(v)</w:t>
            </w:r>
          </w:p>
        </w:tc>
        <w:tc>
          <w:tcPr>
            <w:tcW w:w="3974" w:type="dxa"/>
            <w:tcBorders>
              <w:top w:val="single" w:sz="2" w:space="0" w:color="auto"/>
              <w:bottom w:val="single" w:sz="12" w:space="0" w:color="auto"/>
            </w:tcBorders>
            <w:shd w:val="clear" w:color="auto" w:fill="auto"/>
          </w:tcPr>
          <w:p w14:paraId="5A5E4A8F" w14:textId="77777777" w:rsidR="00345E7F" w:rsidRPr="0011418E" w:rsidRDefault="00345E7F" w:rsidP="0011418E">
            <w:pPr>
              <w:pStyle w:val="Tablea"/>
            </w:pPr>
            <w:r w:rsidRPr="0011418E">
              <w:t xml:space="preserve">(a) that it would be impracticable to require payment of levy imposed on the import of an </w:t>
            </w:r>
            <w:proofErr w:type="spellStart"/>
            <w:r w:rsidRPr="0011418E">
              <w:t>SGG</w:t>
            </w:r>
            <w:proofErr w:type="spellEnd"/>
            <w:r w:rsidRPr="0011418E">
              <w:t xml:space="preserve"> that is to be used for a purpose to be prescribed by those regulations; or</w:t>
            </w:r>
          </w:p>
          <w:p w14:paraId="6E5F28A9" w14:textId="77777777" w:rsidR="00345E7F" w:rsidRPr="0011418E" w:rsidRDefault="00345E7F" w:rsidP="0011418E">
            <w:pPr>
              <w:pStyle w:val="Tablea"/>
            </w:pPr>
            <w:r w:rsidRPr="0011418E">
              <w:t>(b) that a purpose to be prescribed by those regulations is a medical, veterinary, health or safety purpose</w:t>
            </w:r>
          </w:p>
        </w:tc>
      </w:tr>
    </w:tbl>
    <w:p w14:paraId="69FC4A30" w14:textId="77777777" w:rsidR="00345E7F" w:rsidRPr="0011418E" w:rsidRDefault="00345E7F" w:rsidP="0011418E">
      <w:pPr>
        <w:pStyle w:val="ItemHead"/>
      </w:pPr>
      <w:r w:rsidRPr="0011418E">
        <w:lastRenderedPageBreak/>
        <w:t>12  Subsection 4(1)</w:t>
      </w:r>
    </w:p>
    <w:p w14:paraId="0EB70961" w14:textId="77777777" w:rsidR="00345E7F" w:rsidRPr="0011418E" w:rsidRDefault="00345E7F" w:rsidP="0011418E">
      <w:pPr>
        <w:pStyle w:val="Item"/>
      </w:pPr>
      <w:bookmarkStart w:id="15" w:name="_Hlk86411627"/>
      <w:r w:rsidRPr="0011418E">
        <w:t>Omit “at the rate prescribed by the regulations”.</w:t>
      </w:r>
    </w:p>
    <w:p w14:paraId="1EEF7DF8" w14:textId="77777777" w:rsidR="00345E7F" w:rsidRPr="0011418E" w:rsidRDefault="00345E7F" w:rsidP="0011418E">
      <w:pPr>
        <w:pStyle w:val="ItemHead"/>
      </w:pPr>
      <w:r w:rsidRPr="0011418E">
        <w:t>13  At the end of subsection 4(1)</w:t>
      </w:r>
    </w:p>
    <w:p w14:paraId="64C0619E" w14:textId="77777777" w:rsidR="00345E7F" w:rsidRPr="0011418E" w:rsidRDefault="00345E7F" w:rsidP="0011418E">
      <w:pPr>
        <w:pStyle w:val="Item"/>
      </w:pPr>
      <w:r w:rsidRPr="0011418E">
        <w:t>Add:</w:t>
      </w:r>
    </w:p>
    <w:p w14:paraId="436DD206" w14:textId="77777777" w:rsidR="00345E7F" w:rsidRPr="0011418E" w:rsidRDefault="00345E7F" w:rsidP="0011418E">
      <w:pPr>
        <w:pStyle w:val="notetext"/>
      </w:pPr>
      <w:bookmarkStart w:id="16" w:name="_Hlk86947984"/>
      <w:r w:rsidRPr="0011418E">
        <w:t>Note:</w:t>
      </w:r>
      <w:r w:rsidRPr="0011418E">
        <w:tab/>
        <w:t xml:space="preserve">This subsection applies only in relation to the import of scheduled substances (other than </w:t>
      </w:r>
      <w:proofErr w:type="spellStart"/>
      <w:r w:rsidRPr="0011418E">
        <w:t>SGGs</w:t>
      </w:r>
      <w:proofErr w:type="spellEnd"/>
      <w:r w:rsidRPr="0011418E">
        <w:t>) that are bulk scheduled substances (see subsection 3(2) of this Act and subsection 9(1) of the Management Act).</w:t>
      </w:r>
    </w:p>
    <w:bookmarkEnd w:id="15"/>
    <w:bookmarkEnd w:id="16"/>
    <w:p w14:paraId="671F1209" w14:textId="77777777" w:rsidR="00345E7F" w:rsidRPr="0011418E" w:rsidRDefault="00345E7F" w:rsidP="0011418E">
      <w:pPr>
        <w:pStyle w:val="ItemHead"/>
      </w:pPr>
      <w:r w:rsidRPr="0011418E">
        <w:t>14  Subsection 4(2)</w:t>
      </w:r>
    </w:p>
    <w:p w14:paraId="2E03C5A7" w14:textId="77777777" w:rsidR="00345E7F" w:rsidRPr="0011418E" w:rsidRDefault="00345E7F" w:rsidP="0011418E">
      <w:pPr>
        <w:pStyle w:val="Item"/>
      </w:pPr>
      <w:r w:rsidRPr="0011418E">
        <w:t>Repeal the subsection.</w:t>
      </w:r>
    </w:p>
    <w:p w14:paraId="61C25E19" w14:textId="77777777" w:rsidR="00345E7F" w:rsidRPr="0011418E" w:rsidRDefault="00345E7F" w:rsidP="0011418E">
      <w:pPr>
        <w:pStyle w:val="ItemHead"/>
      </w:pPr>
      <w:r w:rsidRPr="0011418E">
        <w:t>15  Subsection 4(5)</w:t>
      </w:r>
    </w:p>
    <w:p w14:paraId="78A0DB64" w14:textId="77777777" w:rsidR="00345E7F" w:rsidRPr="0011418E" w:rsidRDefault="00345E7F" w:rsidP="0011418E">
      <w:pPr>
        <w:pStyle w:val="Item"/>
      </w:pPr>
      <w:r w:rsidRPr="0011418E">
        <w:t xml:space="preserve">Repeal the </w:t>
      </w:r>
      <w:r w:rsidR="00B13340" w:rsidRPr="0011418E">
        <w:t>subsection (</w:t>
      </w:r>
      <w:r w:rsidRPr="0011418E">
        <w:t>including the note), substitute:</w:t>
      </w:r>
    </w:p>
    <w:p w14:paraId="4E0D8443" w14:textId="77777777" w:rsidR="00345E7F" w:rsidRPr="0011418E" w:rsidRDefault="00345E7F" w:rsidP="0011418E">
      <w:pPr>
        <w:pStyle w:val="subsection"/>
      </w:pPr>
      <w:bookmarkStart w:id="17" w:name="_Hlk86411696"/>
      <w:r w:rsidRPr="0011418E">
        <w:tab/>
        <w:t>(5)</w:t>
      </w:r>
      <w:r w:rsidRPr="0011418E">
        <w:tab/>
        <w:t xml:space="preserve">The amount of levy imposed by </w:t>
      </w:r>
      <w:r w:rsidR="00B13340" w:rsidRPr="0011418E">
        <w:t>subsection (</w:t>
      </w:r>
      <w:r w:rsidRPr="0011418E">
        <w:t xml:space="preserve">1) on a licensee in respect of the import of a substance other than an </w:t>
      </w:r>
      <w:proofErr w:type="spellStart"/>
      <w:r w:rsidRPr="0011418E">
        <w:t>SGG</w:t>
      </w:r>
      <w:proofErr w:type="spellEnd"/>
      <w:r w:rsidRPr="0011418E">
        <w:t xml:space="preserve"> in a reporting period is the amount prescribed, or worked out in accordance with a method prescribed, by the regulations for the purposes of this subsection.</w:t>
      </w:r>
    </w:p>
    <w:p w14:paraId="7797DEC5" w14:textId="77777777" w:rsidR="00345E7F" w:rsidRPr="0011418E" w:rsidRDefault="00345E7F" w:rsidP="0011418E">
      <w:pPr>
        <w:pStyle w:val="subsection"/>
      </w:pPr>
      <w:r w:rsidRPr="0011418E">
        <w:tab/>
        <w:t>(6)</w:t>
      </w:r>
      <w:r w:rsidRPr="0011418E">
        <w:tab/>
        <w:t>Before the Governor</w:t>
      </w:r>
      <w:r w:rsidR="0011418E">
        <w:noBreakHyphen/>
      </w:r>
      <w:r w:rsidRPr="0011418E">
        <w:t xml:space="preserve">General makes regulations for the purposes of </w:t>
      </w:r>
      <w:r w:rsidR="00B13340" w:rsidRPr="0011418E">
        <w:t>subsection (</w:t>
      </w:r>
      <w:r w:rsidRPr="0011418E">
        <w:t>5), the Minister must be satisfied that the effect of this Act and the Manufacture Levy Act will be to recover no more than the Commonwealth’s likely costs of the kind mentioned in paragraph 65D(a), (b), (c) or (ca) of the Management Act.</w:t>
      </w:r>
    </w:p>
    <w:p w14:paraId="184A2301" w14:textId="77777777" w:rsidR="00345E7F" w:rsidRPr="0011418E" w:rsidRDefault="00345E7F" w:rsidP="0011418E">
      <w:pPr>
        <w:pStyle w:val="subsection"/>
      </w:pPr>
      <w:r w:rsidRPr="0011418E">
        <w:tab/>
        <w:t>(7)</w:t>
      </w:r>
      <w:r w:rsidRPr="0011418E">
        <w:tab/>
        <w:t xml:space="preserve">For the purposes of </w:t>
      </w:r>
      <w:r w:rsidR="00B13340" w:rsidRPr="0011418E">
        <w:t>subsection (</w:t>
      </w:r>
      <w:r w:rsidRPr="0011418E">
        <w:t>6), disregard any costs that are likely to be offset by fees charged under the Management Act or regulations made under it.</w:t>
      </w:r>
    </w:p>
    <w:bookmarkEnd w:id="17"/>
    <w:p w14:paraId="6F2DA584" w14:textId="77777777" w:rsidR="00345E7F" w:rsidRPr="0011418E" w:rsidRDefault="00345E7F" w:rsidP="0011418E">
      <w:pPr>
        <w:pStyle w:val="ItemHead"/>
      </w:pPr>
      <w:r w:rsidRPr="0011418E">
        <w:t>16  Subsections 4A(2) and (3)</w:t>
      </w:r>
    </w:p>
    <w:p w14:paraId="4533B615" w14:textId="77777777" w:rsidR="00345E7F" w:rsidRPr="0011418E" w:rsidRDefault="00345E7F" w:rsidP="0011418E">
      <w:pPr>
        <w:pStyle w:val="Item"/>
      </w:pPr>
      <w:r w:rsidRPr="0011418E">
        <w:t>Repeal the subsections, substitute:</w:t>
      </w:r>
    </w:p>
    <w:p w14:paraId="6BDD2AA7" w14:textId="77777777" w:rsidR="00345E7F" w:rsidRPr="0011418E" w:rsidRDefault="00345E7F" w:rsidP="0011418E">
      <w:pPr>
        <w:pStyle w:val="subsection"/>
      </w:pPr>
      <w:r w:rsidRPr="0011418E">
        <w:tab/>
        <w:t>(2)</w:t>
      </w:r>
      <w:r w:rsidRPr="0011418E">
        <w:tab/>
        <w:t xml:space="preserve">Subsection (1) does not apply to the import of </w:t>
      </w:r>
      <w:proofErr w:type="spellStart"/>
      <w:r w:rsidRPr="0011418E">
        <w:t>SGG</w:t>
      </w:r>
      <w:proofErr w:type="spellEnd"/>
      <w:r w:rsidRPr="0011418E">
        <w:t xml:space="preserve"> equipment prescribed by the regulations.</w:t>
      </w:r>
    </w:p>
    <w:p w14:paraId="1EBA3F82" w14:textId="77777777" w:rsidR="00345E7F" w:rsidRPr="0011418E" w:rsidRDefault="00345E7F" w:rsidP="0011418E">
      <w:pPr>
        <w:pStyle w:val="subsection"/>
      </w:pPr>
      <w:r w:rsidRPr="0011418E">
        <w:tab/>
        <w:t>(3)</w:t>
      </w:r>
      <w:r w:rsidRPr="0011418E">
        <w:tab/>
        <w:t xml:space="preserve">Subsection (1) does not apply to the import of </w:t>
      </w:r>
      <w:proofErr w:type="spellStart"/>
      <w:r w:rsidRPr="0011418E">
        <w:t>SGG</w:t>
      </w:r>
      <w:proofErr w:type="spellEnd"/>
      <w:r w:rsidRPr="0011418E">
        <w:t xml:space="preserve"> equipment if:</w:t>
      </w:r>
    </w:p>
    <w:p w14:paraId="6A2314FF" w14:textId="77777777" w:rsidR="00345E7F" w:rsidRPr="0011418E" w:rsidRDefault="00345E7F" w:rsidP="0011418E">
      <w:pPr>
        <w:pStyle w:val="paragraph"/>
      </w:pPr>
      <w:r w:rsidRPr="0011418E">
        <w:lastRenderedPageBreak/>
        <w:tab/>
        <w:t>(a)</w:t>
      </w:r>
      <w:r w:rsidRPr="0011418E">
        <w:tab/>
        <w:t xml:space="preserve">the equipment contains an </w:t>
      </w:r>
      <w:proofErr w:type="spellStart"/>
      <w:r w:rsidRPr="0011418E">
        <w:t>SGG</w:t>
      </w:r>
      <w:proofErr w:type="spellEnd"/>
      <w:r w:rsidRPr="0011418E">
        <w:t xml:space="preserve"> and the import is covered by the low volume imports exemption under subsection 13AA(4) of the Management Act; or</w:t>
      </w:r>
    </w:p>
    <w:p w14:paraId="5EE9725F" w14:textId="77777777" w:rsidR="00345E7F" w:rsidRPr="0011418E" w:rsidRDefault="00345E7F" w:rsidP="0011418E">
      <w:pPr>
        <w:pStyle w:val="paragraph"/>
      </w:pPr>
      <w:r w:rsidRPr="0011418E">
        <w:tab/>
        <w:t>(b)</w:t>
      </w:r>
      <w:r w:rsidRPr="0011418E">
        <w:tab/>
        <w:t>the import is covered by any of subsections 13AA(6) to (9) of that Act (which provide exceptions in certain circumstances from the prohibitions in that Act that apply to importing equipment).</w:t>
      </w:r>
    </w:p>
    <w:p w14:paraId="3CD58A64" w14:textId="77777777" w:rsidR="00345E7F" w:rsidRPr="0011418E" w:rsidRDefault="00345E7F" w:rsidP="0011418E">
      <w:pPr>
        <w:pStyle w:val="ItemHead"/>
      </w:pPr>
      <w:r w:rsidRPr="0011418E">
        <w:t xml:space="preserve">17  Subsection 4A(5) (definition of </w:t>
      </w:r>
      <w:r w:rsidRPr="0011418E">
        <w:rPr>
          <w:i/>
        </w:rPr>
        <w:t>prescribed rate</w:t>
      </w:r>
      <w:r w:rsidRPr="0011418E">
        <w:t>)</w:t>
      </w:r>
    </w:p>
    <w:p w14:paraId="672AFD09" w14:textId="77777777" w:rsidR="00345E7F" w:rsidRPr="0011418E" w:rsidRDefault="00345E7F" w:rsidP="0011418E">
      <w:pPr>
        <w:pStyle w:val="Item"/>
      </w:pPr>
      <w:r w:rsidRPr="0011418E">
        <w:t>Repeal the definition, substitute:</w:t>
      </w:r>
    </w:p>
    <w:p w14:paraId="773A32E2" w14:textId="77777777" w:rsidR="00345E7F" w:rsidRPr="0011418E" w:rsidRDefault="00345E7F" w:rsidP="0011418E">
      <w:pPr>
        <w:pStyle w:val="Definition"/>
      </w:pPr>
      <w:r w:rsidRPr="0011418E">
        <w:rPr>
          <w:b/>
          <w:i/>
        </w:rPr>
        <w:t>prescribed rate</w:t>
      </w:r>
      <w:r w:rsidRPr="0011418E">
        <w:t xml:space="preserve"> means the amount prescribed by the regulations for the purposes of this definition.</w:t>
      </w:r>
    </w:p>
    <w:p w14:paraId="0EBF0888" w14:textId="77777777" w:rsidR="00345E7F" w:rsidRPr="0011418E" w:rsidRDefault="00345E7F" w:rsidP="0011418E">
      <w:pPr>
        <w:pStyle w:val="ItemHead"/>
      </w:pPr>
      <w:r w:rsidRPr="0011418E">
        <w:t>18  Subsections 4A(8) and (9)</w:t>
      </w:r>
    </w:p>
    <w:p w14:paraId="51B709C5" w14:textId="77777777" w:rsidR="00345E7F" w:rsidRPr="0011418E" w:rsidRDefault="00345E7F" w:rsidP="0011418E">
      <w:pPr>
        <w:pStyle w:val="Item"/>
      </w:pPr>
      <w:r w:rsidRPr="0011418E">
        <w:t>Repeal the subsection, substitute:</w:t>
      </w:r>
    </w:p>
    <w:p w14:paraId="75FEA587" w14:textId="77777777" w:rsidR="00345E7F" w:rsidRPr="0011418E" w:rsidRDefault="00345E7F" w:rsidP="0011418E">
      <w:pPr>
        <w:pStyle w:val="subsection"/>
      </w:pPr>
      <w:r w:rsidRPr="0011418E">
        <w:tab/>
        <w:t>(8)</w:t>
      </w:r>
      <w:r w:rsidRPr="0011418E">
        <w:tab/>
        <w:t>Before the Governor</w:t>
      </w:r>
      <w:r w:rsidR="0011418E">
        <w:noBreakHyphen/>
      </w:r>
      <w:r w:rsidRPr="0011418E">
        <w:t>General makes regulations for the purposes of a provision mentioned in column 1 of an item in the following table, the Minister must be satisfied of the matter, or one or more of the matters, mentioned in column 2 of that item:</w:t>
      </w:r>
    </w:p>
    <w:p w14:paraId="45211983" w14:textId="77777777" w:rsidR="00345E7F" w:rsidRPr="0011418E" w:rsidRDefault="00345E7F" w:rsidP="0011418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3974"/>
      </w:tblGrid>
      <w:tr w:rsidR="00345E7F" w:rsidRPr="0011418E" w14:paraId="27CB448C" w14:textId="77777777" w:rsidTr="008629DB">
        <w:trPr>
          <w:tblHeader/>
        </w:trPr>
        <w:tc>
          <w:tcPr>
            <w:tcW w:w="7088" w:type="dxa"/>
            <w:gridSpan w:val="3"/>
            <w:tcBorders>
              <w:top w:val="single" w:sz="12" w:space="0" w:color="auto"/>
              <w:bottom w:val="single" w:sz="6" w:space="0" w:color="auto"/>
            </w:tcBorders>
            <w:shd w:val="clear" w:color="auto" w:fill="auto"/>
          </w:tcPr>
          <w:p w14:paraId="21DC9EF8" w14:textId="77777777" w:rsidR="00345E7F" w:rsidRPr="0011418E" w:rsidRDefault="00345E7F" w:rsidP="0011418E">
            <w:pPr>
              <w:pStyle w:val="TableHeading"/>
            </w:pPr>
            <w:r w:rsidRPr="0011418E">
              <w:t>Matters the Minister must be satisfied of before regulations are made</w:t>
            </w:r>
          </w:p>
        </w:tc>
      </w:tr>
      <w:tr w:rsidR="00345E7F" w:rsidRPr="0011418E" w14:paraId="10B38AD2" w14:textId="77777777" w:rsidTr="008629DB">
        <w:trPr>
          <w:tblHeader/>
        </w:trPr>
        <w:tc>
          <w:tcPr>
            <w:tcW w:w="714" w:type="dxa"/>
            <w:tcBorders>
              <w:top w:val="single" w:sz="6" w:space="0" w:color="auto"/>
              <w:bottom w:val="single" w:sz="12" w:space="0" w:color="auto"/>
            </w:tcBorders>
            <w:shd w:val="clear" w:color="auto" w:fill="auto"/>
          </w:tcPr>
          <w:p w14:paraId="3C116808" w14:textId="77777777" w:rsidR="00345E7F" w:rsidRPr="0011418E" w:rsidRDefault="00345E7F" w:rsidP="0011418E">
            <w:pPr>
              <w:pStyle w:val="TableHeading"/>
            </w:pPr>
          </w:p>
          <w:p w14:paraId="02D0C517" w14:textId="77777777" w:rsidR="00345E7F" w:rsidRPr="0011418E" w:rsidRDefault="00345E7F" w:rsidP="0011418E">
            <w:pPr>
              <w:pStyle w:val="TableHeading"/>
            </w:pPr>
            <w:r w:rsidRPr="0011418E">
              <w:t>Item</w:t>
            </w:r>
          </w:p>
        </w:tc>
        <w:tc>
          <w:tcPr>
            <w:tcW w:w="2400" w:type="dxa"/>
            <w:tcBorders>
              <w:top w:val="single" w:sz="6" w:space="0" w:color="auto"/>
              <w:bottom w:val="single" w:sz="12" w:space="0" w:color="auto"/>
            </w:tcBorders>
            <w:shd w:val="clear" w:color="auto" w:fill="auto"/>
          </w:tcPr>
          <w:p w14:paraId="1E25B017" w14:textId="77777777" w:rsidR="00345E7F" w:rsidRPr="0011418E" w:rsidRDefault="00345E7F" w:rsidP="0011418E">
            <w:pPr>
              <w:pStyle w:val="TableHeading"/>
            </w:pPr>
            <w:r w:rsidRPr="0011418E">
              <w:t>Column 1</w:t>
            </w:r>
          </w:p>
          <w:p w14:paraId="26E126B2" w14:textId="77777777" w:rsidR="00345E7F" w:rsidRPr="0011418E" w:rsidRDefault="00345E7F" w:rsidP="0011418E">
            <w:pPr>
              <w:pStyle w:val="TableHeading"/>
            </w:pPr>
            <w:r w:rsidRPr="0011418E">
              <w:t>Provision</w:t>
            </w:r>
          </w:p>
        </w:tc>
        <w:tc>
          <w:tcPr>
            <w:tcW w:w="3974" w:type="dxa"/>
            <w:tcBorders>
              <w:top w:val="single" w:sz="6" w:space="0" w:color="auto"/>
              <w:bottom w:val="single" w:sz="12" w:space="0" w:color="auto"/>
            </w:tcBorders>
            <w:shd w:val="clear" w:color="auto" w:fill="auto"/>
          </w:tcPr>
          <w:p w14:paraId="269637F5" w14:textId="77777777" w:rsidR="00345E7F" w:rsidRPr="0011418E" w:rsidRDefault="00345E7F" w:rsidP="0011418E">
            <w:pPr>
              <w:pStyle w:val="TableHeading"/>
            </w:pPr>
            <w:r w:rsidRPr="0011418E">
              <w:t>Column 2</w:t>
            </w:r>
          </w:p>
          <w:p w14:paraId="6BED7BCE" w14:textId="77777777" w:rsidR="00345E7F" w:rsidRPr="0011418E" w:rsidRDefault="00345E7F" w:rsidP="0011418E">
            <w:pPr>
              <w:pStyle w:val="TableHeading"/>
            </w:pPr>
            <w:r w:rsidRPr="0011418E">
              <w:t>Matters</w:t>
            </w:r>
          </w:p>
        </w:tc>
      </w:tr>
      <w:tr w:rsidR="00345E7F" w:rsidRPr="0011418E" w14:paraId="1A4D1DFF" w14:textId="77777777" w:rsidTr="008629DB">
        <w:tc>
          <w:tcPr>
            <w:tcW w:w="714" w:type="dxa"/>
            <w:tcBorders>
              <w:top w:val="single" w:sz="12" w:space="0" w:color="auto"/>
            </w:tcBorders>
            <w:shd w:val="clear" w:color="auto" w:fill="auto"/>
          </w:tcPr>
          <w:p w14:paraId="52E14CDD" w14:textId="77777777" w:rsidR="00345E7F" w:rsidRPr="0011418E" w:rsidRDefault="00345E7F" w:rsidP="0011418E">
            <w:pPr>
              <w:pStyle w:val="Tabletext"/>
            </w:pPr>
            <w:r w:rsidRPr="0011418E">
              <w:t>1</w:t>
            </w:r>
          </w:p>
        </w:tc>
        <w:tc>
          <w:tcPr>
            <w:tcW w:w="2400" w:type="dxa"/>
            <w:tcBorders>
              <w:top w:val="single" w:sz="12" w:space="0" w:color="auto"/>
            </w:tcBorders>
            <w:shd w:val="clear" w:color="auto" w:fill="auto"/>
          </w:tcPr>
          <w:p w14:paraId="284EAB6E" w14:textId="77777777" w:rsidR="00345E7F" w:rsidRPr="0011418E" w:rsidRDefault="00345E7F" w:rsidP="0011418E">
            <w:pPr>
              <w:pStyle w:val="Tabletext"/>
            </w:pPr>
            <w:r w:rsidRPr="0011418E">
              <w:t xml:space="preserve">definition of </w:t>
            </w:r>
            <w:r w:rsidRPr="0011418E">
              <w:rPr>
                <w:b/>
                <w:i/>
              </w:rPr>
              <w:t>prescribed rate</w:t>
            </w:r>
            <w:r w:rsidRPr="0011418E">
              <w:t xml:space="preserve"> in</w:t>
            </w:r>
            <w:r w:rsidRPr="0011418E">
              <w:rPr>
                <w:i/>
              </w:rPr>
              <w:t xml:space="preserve"> </w:t>
            </w:r>
            <w:r w:rsidR="00B13340" w:rsidRPr="0011418E">
              <w:t>subsection (</w:t>
            </w:r>
            <w:r w:rsidRPr="0011418E">
              <w:t>5)</w:t>
            </w:r>
          </w:p>
        </w:tc>
        <w:tc>
          <w:tcPr>
            <w:tcW w:w="3974" w:type="dxa"/>
            <w:tcBorders>
              <w:top w:val="single" w:sz="12" w:space="0" w:color="auto"/>
            </w:tcBorders>
            <w:shd w:val="clear" w:color="auto" w:fill="auto"/>
          </w:tcPr>
          <w:p w14:paraId="6D135913" w14:textId="77777777" w:rsidR="00345E7F" w:rsidRPr="0011418E" w:rsidRDefault="00345E7F" w:rsidP="0011418E">
            <w:pPr>
              <w:pStyle w:val="Tabletext"/>
            </w:pPr>
            <w:r w:rsidRPr="0011418E">
              <w:t>that the effect of this Act and the Manufacture Levy Act will be to recover no more than the Commonwealth’s likely costs of the kind mentioned in paragraph 65D(a), (b), (c) or (ca) of the Management Act, being costs that are unlikely to be offset by fees charged under the Management Act or regulations made under it</w:t>
            </w:r>
          </w:p>
        </w:tc>
      </w:tr>
      <w:tr w:rsidR="00345E7F" w:rsidRPr="0011418E" w14:paraId="4823471E" w14:textId="77777777" w:rsidTr="008629DB">
        <w:tc>
          <w:tcPr>
            <w:tcW w:w="714" w:type="dxa"/>
            <w:tcBorders>
              <w:top w:val="single" w:sz="2" w:space="0" w:color="auto"/>
              <w:bottom w:val="single" w:sz="12" w:space="0" w:color="auto"/>
            </w:tcBorders>
            <w:shd w:val="clear" w:color="auto" w:fill="auto"/>
          </w:tcPr>
          <w:p w14:paraId="1B848F4A" w14:textId="77777777" w:rsidR="00345E7F" w:rsidRPr="0011418E" w:rsidRDefault="00345E7F" w:rsidP="0011418E">
            <w:pPr>
              <w:pStyle w:val="Tabletext"/>
            </w:pPr>
            <w:r w:rsidRPr="0011418E">
              <w:t>2</w:t>
            </w:r>
          </w:p>
        </w:tc>
        <w:tc>
          <w:tcPr>
            <w:tcW w:w="2400" w:type="dxa"/>
            <w:tcBorders>
              <w:top w:val="single" w:sz="2" w:space="0" w:color="auto"/>
              <w:bottom w:val="single" w:sz="12" w:space="0" w:color="auto"/>
            </w:tcBorders>
            <w:shd w:val="clear" w:color="auto" w:fill="auto"/>
          </w:tcPr>
          <w:p w14:paraId="4779C095" w14:textId="77777777" w:rsidR="00345E7F" w:rsidRPr="0011418E" w:rsidRDefault="00B13340" w:rsidP="0011418E">
            <w:pPr>
              <w:pStyle w:val="Tabletext"/>
            </w:pPr>
            <w:r w:rsidRPr="0011418E">
              <w:t>subsection (</w:t>
            </w:r>
            <w:r w:rsidR="00345E7F" w:rsidRPr="0011418E">
              <w:t>7)</w:t>
            </w:r>
          </w:p>
        </w:tc>
        <w:tc>
          <w:tcPr>
            <w:tcW w:w="3974" w:type="dxa"/>
            <w:tcBorders>
              <w:top w:val="single" w:sz="2" w:space="0" w:color="auto"/>
              <w:bottom w:val="single" w:sz="12" w:space="0" w:color="auto"/>
            </w:tcBorders>
            <w:shd w:val="clear" w:color="auto" w:fill="auto"/>
          </w:tcPr>
          <w:p w14:paraId="24DDDE89" w14:textId="77777777" w:rsidR="00345E7F" w:rsidRPr="0011418E" w:rsidRDefault="00345E7F" w:rsidP="0011418E">
            <w:pPr>
              <w:pStyle w:val="Tablea"/>
            </w:pPr>
            <w:r w:rsidRPr="0011418E">
              <w:t xml:space="preserve">(a) that it would be impracticable to work out an amount of levy by reference to an </w:t>
            </w:r>
            <w:proofErr w:type="spellStart"/>
            <w:r w:rsidRPr="0011418E">
              <w:t>SGG</w:t>
            </w:r>
            <w:proofErr w:type="spellEnd"/>
            <w:r w:rsidRPr="0011418E">
              <w:t xml:space="preserve"> that is used, or for use, for a purpose to be prescribed by those regulations; or</w:t>
            </w:r>
          </w:p>
          <w:p w14:paraId="6EAEEF67" w14:textId="77777777" w:rsidR="00345E7F" w:rsidRPr="0011418E" w:rsidRDefault="00345E7F" w:rsidP="0011418E">
            <w:pPr>
              <w:pStyle w:val="Tablea"/>
            </w:pPr>
            <w:r w:rsidRPr="0011418E">
              <w:t>(b) that a purpose to be prescribed by those regulations is a medical, veterinary, health or safety purpose</w:t>
            </w:r>
          </w:p>
        </w:tc>
      </w:tr>
    </w:tbl>
    <w:p w14:paraId="0C6C17C1" w14:textId="77777777" w:rsidR="00345E7F" w:rsidRPr="0011418E" w:rsidRDefault="00345E7F" w:rsidP="0011418E">
      <w:pPr>
        <w:pStyle w:val="ItemHead"/>
      </w:pPr>
      <w:r w:rsidRPr="0011418E">
        <w:lastRenderedPageBreak/>
        <w:t>19  Sections 4B and 5</w:t>
      </w:r>
    </w:p>
    <w:p w14:paraId="29D7F007" w14:textId="77777777" w:rsidR="00345E7F" w:rsidRPr="0011418E" w:rsidRDefault="00345E7F" w:rsidP="0011418E">
      <w:pPr>
        <w:pStyle w:val="Item"/>
      </w:pPr>
      <w:bookmarkStart w:id="18" w:name="_Hlk86411831"/>
      <w:r w:rsidRPr="0011418E">
        <w:t>Repeal the sections, substitute:</w:t>
      </w:r>
    </w:p>
    <w:p w14:paraId="5C1FF6C3" w14:textId="77777777" w:rsidR="00345E7F" w:rsidRPr="0011418E" w:rsidRDefault="00345E7F" w:rsidP="0011418E">
      <w:pPr>
        <w:pStyle w:val="ActHead5"/>
      </w:pPr>
      <w:bookmarkStart w:id="19" w:name="_Toc121910395"/>
      <w:r w:rsidRPr="00350C8C">
        <w:rPr>
          <w:rStyle w:val="CharSectno"/>
        </w:rPr>
        <w:t>5</w:t>
      </w:r>
      <w:r w:rsidRPr="0011418E">
        <w:t xml:space="preserve">  Regulations</w:t>
      </w:r>
      <w:bookmarkEnd w:id="19"/>
    </w:p>
    <w:p w14:paraId="514A75D9" w14:textId="77777777" w:rsidR="00345E7F" w:rsidRPr="0011418E" w:rsidRDefault="00345E7F" w:rsidP="0011418E">
      <w:pPr>
        <w:pStyle w:val="subsection"/>
      </w:pPr>
      <w:r w:rsidRPr="0011418E">
        <w:tab/>
      </w:r>
      <w:r w:rsidRPr="0011418E">
        <w:tab/>
        <w:t>The Governor</w:t>
      </w:r>
      <w:r w:rsidR="0011418E">
        <w:noBreakHyphen/>
      </w:r>
      <w:r w:rsidRPr="0011418E">
        <w:t>General may make regulations prescribing matters:</w:t>
      </w:r>
    </w:p>
    <w:p w14:paraId="3097EBF6" w14:textId="77777777" w:rsidR="00345E7F" w:rsidRPr="0011418E" w:rsidRDefault="00345E7F" w:rsidP="0011418E">
      <w:pPr>
        <w:pStyle w:val="paragraph"/>
      </w:pPr>
      <w:r w:rsidRPr="0011418E">
        <w:tab/>
        <w:t>(a)</w:t>
      </w:r>
      <w:r w:rsidRPr="0011418E">
        <w:tab/>
        <w:t>required or permitted by this Act to be prescribed by the regulations; or</w:t>
      </w:r>
    </w:p>
    <w:p w14:paraId="4F4405F2" w14:textId="77777777" w:rsidR="00345E7F" w:rsidRPr="0011418E" w:rsidRDefault="00345E7F" w:rsidP="0011418E">
      <w:pPr>
        <w:pStyle w:val="paragraph"/>
      </w:pPr>
      <w:r w:rsidRPr="0011418E">
        <w:tab/>
        <w:t>(b)</w:t>
      </w:r>
      <w:r w:rsidRPr="0011418E">
        <w:tab/>
        <w:t>necessary or convenient to be prescribed for carrying out or giving effect to this Act.</w:t>
      </w:r>
    </w:p>
    <w:p w14:paraId="7FA4FCFC" w14:textId="77777777" w:rsidR="00345E7F" w:rsidRPr="0011418E" w:rsidRDefault="00345E7F" w:rsidP="0011418E">
      <w:pPr>
        <w:pStyle w:val="Transitional"/>
      </w:pPr>
      <w:bookmarkStart w:id="20" w:name="_Hlk86948341"/>
      <w:r w:rsidRPr="0011418E">
        <w:t>20  Application and saving provisions</w:t>
      </w:r>
    </w:p>
    <w:p w14:paraId="778A5B36" w14:textId="77777777" w:rsidR="00345E7F" w:rsidRPr="0011418E" w:rsidRDefault="00345E7F" w:rsidP="0011418E">
      <w:pPr>
        <w:pStyle w:val="Subitem"/>
      </w:pPr>
      <w:r w:rsidRPr="0011418E">
        <w:t>(1)</w:t>
      </w:r>
      <w:r w:rsidRPr="0011418E">
        <w:tab/>
        <w:t>The amendments made by this Schedule apply in relation to reporting periods that start on or after the commencement of this item.</w:t>
      </w:r>
    </w:p>
    <w:p w14:paraId="11DA16A3" w14:textId="77777777" w:rsidR="00345E7F" w:rsidRPr="0011418E" w:rsidRDefault="00345E7F" w:rsidP="0011418E">
      <w:pPr>
        <w:pStyle w:val="Subitem"/>
      </w:pPr>
      <w:r w:rsidRPr="0011418E">
        <w:t>(2)</w:t>
      </w:r>
      <w:r w:rsidRPr="0011418E">
        <w:tab/>
        <w:t xml:space="preserve">The </w:t>
      </w:r>
      <w:r w:rsidRPr="0011418E">
        <w:rPr>
          <w:i/>
        </w:rPr>
        <w:t>Ozone Protection and Synthetic Greenhouse Gas (Import Levy) Act 1995</w:t>
      </w:r>
      <w:r w:rsidRPr="0011418E">
        <w:t>, as in force immediately before the commencement of this item, continues to apply in relation to reporting periods starting before that commencement.</w:t>
      </w:r>
    </w:p>
    <w:p w14:paraId="76A333F8" w14:textId="77777777" w:rsidR="00345E7F" w:rsidRPr="0011418E" w:rsidRDefault="00345E7F" w:rsidP="0011418E">
      <w:pPr>
        <w:pStyle w:val="Subitem"/>
      </w:pPr>
      <w:r w:rsidRPr="0011418E">
        <w:t>(3)</w:t>
      </w:r>
      <w:r w:rsidRPr="0011418E">
        <w:tab/>
        <w:t xml:space="preserve">Regulations made under section 5 of the </w:t>
      </w:r>
      <w:r w:rsidRPr="0011418E">
        <w:rPr>
          <w:i/>
        </w:rPr>
        <w:t>Ozone Protection and Synthetic Greenhouse Gas (Import Levy) Act 1995</w:t>
      </w:r>
      <w:r w:rsidRPr="0011418E">
        <w:t>, that were in force immediately before the commencement of this item, continue in force (subject to subitem (4)), and may be dealt with, as if they had been made under section 5 of that Act, as amended by this Schedule.</w:t>
      </w:r>
    </w:p>
    <w:p w14:paraId="6E0D993E" w14:textId="77777777" w:rsidR="00345E7F" w:rsidRPr="0011418E" w:rsidRDefault="00345E7F" w:rsidP="0011418E">
      <w:pPr>
        <w:pStyle w:val="Subitem"/>
      </w:pPr>
      <w:r w:rsidRPr="0011418E">
        <w:t>(4)</w:t>
      </w:r>
      <w:r w:rsidRPr="0011418E">
        <w:tab/>
        <w:t xml:space="preserve">Regulations made for the purposes of a provision of the </w:t>
      </w:r>
      <w:r w:rsidRPr="0011418E">
        <w:rPr>
          <w:i/>
        </w:rPr>
        <w:t>Ozone Protection and Synthetic Greenhouse Gas (Import Levy) Act 1995</w:t>
      </w:r>
      <w:r w:rsidRPr="0011418E">
        <w:t xml:space="preserve"> mentioned in column 1 of an item in the following table, that were in force immediately before the commencement of this item, continue in force (and may be dealt with) as if they had been made for the purposes of the provision of that Act mentioned in column 2 of that item, as amended by this Schedule.</w:t>
      </w:r>
    </w:p>
    <w:p w14:paraId="1ABCCBF3" w14:textId="77777777" w:rsidR="00345E7F" w:rsidRPr="0011418E" w:rsidRDefault="00345E7F" w:rsidP="0011418E">
      <w:pPr>
        <w:pStyle w:val="Tabletext"/>
      </w:pPr>
    </w:p>
    <w:tbl>
      <w:tblPr>
        <w:tblW w:w="7088"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250"/>
        <w:gridCol w:w="3124"/>
      </w:tblGrid>
      <w:tr w:rsidR="00345E7F" w:rsidRPr="0011418E" w14:paraId="1A7834A7" w14:textId="77777777" w:rsidTr="00165378">
        <w:trPr>
          <w:tblHeader/>
        </w:trPr>
        <w:tc>
          <w:tcPr>
            <w:tcW w:w="7088" w:type="dxa"/>
            <w:gridSpan w:val="3"/>
            <w:tcBorders>
              <w:top w:val="single" w:sz="12" w:space="0" w:color="auto"/>
              <w:bottom w:val="single" w:sz="6" w:space="0" w:color="auto"/>
            </w:tcBorders>
            <w:shd w:val="clear" w:color="auto" w:fill="auto"/>
          </w:tcPr>
          <w:p w14:paraId="57E8D675" w14:textId="77777777" w:rsidR="00345E7F" w:rsidRPr="0011418E" w:rsidRDefault="00345E7F" w:rsidP="0011418E">
            <w:pPr>
              <w:pStyle w:val="TableHeading"/>
            </w:pPr>
            <w:r w:rsidRPr="0011418E">
              <w:t>Saving of regulations</w:t>
            </w:r>
          </w:p>
        </w:tc>
      </w:tr>
      <w:tr w:rsidR="00345E7F" w:rsidRPr="0011418E" w14:paraId="2DEADE91" w14:textId="77777777" w:rsidTr="00165378">
        <w:trPr>
          <w:tblHeader/>
        </w:trPr>
        <w:tc>
          <w:tcPr>
            <w:tcW w:w="714" w:type="dxa"/>
            <w:tcBorders>
              <w:top w:val="single" w:sz="6" w:space="0" w:color="auto"/>
              <w:bottom w:val="single" w:sz="12" w:space="0" w:color="auto"/>
            </w:tcBorders>
            <w:shd w:val="clear" w:color="auto" w:fill="auto"/>
          </w:tcPr>
          <w:p w14:paraId="10889E99" w14:textId="77777777" w:rsidR="00345E7F" w:rsidRPr="0011418E" w:rsidRDefault="00345E7F" w:rsidP="0011418E">
            <w:pPr>
              <w:pStyle w:val="TableHeading"/>
            </w:pPr>
          </w:p>
          <w:p w14:paraId="64390256" w14:textId="77777777" w:rsidR="00345E7F" w:rsidRPr="0011418E" w:rsidRDefault="00345E7F" w:rsidP="0011418E">
            <w:pPr>
              <w:pStyle w:val="TableHeading"/>
            </w:pPr>
            <w:r w:rsidRPr="0011418E">
              <w:t>Item</w:t>
            </w:r>
          </w:p>
        </w:tc>
        <w:tc>
          <w:tcPr>
            <w:tcW w:w="3250" w:type="dxa"/>
            <w:tcBorders>
              <w:top w:val="single" w:sz="6" w:space="0" w:color="auto"/>
              <w:bottom w:val="single" w:sz="12" w:space="0" w:color="auto"/>
            </w:tcBorders>
            <w:shd w:val="clear" w:color="auto" w:fill="auto"/>
          </w:tcPr>
          <w:p w14:paraId="7A1B8444" w14:textId="77777777" w:rsidR="00345E7F" w:rsidRPr="0011418E" w:rsidRDefault="00345E7F" w:rsidP="0011418E">
            <w:pPr>
              <w:pStyle w:val="TableHeading"/>
            </w:pPr>
            <w:r w:rsidRPr="0011418E">
              <w:t>Column 1</w:t>
            </w:r>
          </w:p>
          <w:p w14:paraId="0CAE1B8B" w14:textId="77777777" w:rsidR="00345E7F" w:rsidRPr="0011418E" w:rsidRDefault="00345E7F" w:rsidP="0011418E">
            <w:pPr>
              <w:pStyle w:val="TableHeading"/>
            </w:pPr>
            <w:r w:rsidRPr="0011418E">
              <w:t>Old provision</w:t>
            </w:r>
          </w:p>
        </w:tc>
        <w:tc>
          <w:tcPr>
            <w:tcW w:w="3124" w:type="dxa"/>
            <w:tcBorders>
              <w:top w:val="single" w:sz="6" w:space="0" w:color="auto"/>
              <w:bottom w:val="single" w:sz="12" w:space="0" w:color="auto"/>
            </w:tcBorders>
            <w:shd w:val="clear" w:color="auto" w:fill="auto"/>
          </w:tcPr>
          <w:p w14:paraId="0E635A46" w14:textId="77777777" w:rsidR="00345E7F" w:rsidRPr="0011418E" w:rsidRDefault="00345E7F" w:rsidP="0011418E">
            <w:pPr>
              <w:pStyle w:val="TableHeading"/>
            </w:pPr>
            <w:r w:rsidRPr="0011418E">
              <w:t>Column 2</w:t>
            </w:r>
          </w:p>
          <w:p w14:paraId="148ADA71" w14:textId="77777777" w:rsidR="00345E7F" w:rsidRPr="0011418E" w:rsidRDefault="00345E7F" w:rsidP="0011418E">
            <w:pPr>
              <w:pStyle w:val="TableHeading"/>
            </w:pPr>
            <w:r w:rsidRPr="0011418E">
              <w:t>New provision</w:t>
            </w:r>
          </w:p>
        </w:tc>
      </w:tr>
      <w:tr w:rsidR="00345E7F" w:rsidRPr="0011418E" w14:paraId="0D1EDD5D" w14:textId="77777777" w:rsidTr="00165378">
        <w:tc>
          <w:tcPr>
            <w:tcW w:w="714" w:type="dxa"/>
            <w:tcBorders>
              <w:top w:val="single" w:sz="12" w:space="0" w:color="auto"/>
            </w:tcBorders>
            <w:shd w:val="clear" w:color="auto" w:fill="auto"/>
          </w:tcPr>
          <w:p w14:paraId="26693F63" w14:textId="77777777" w:rsidR="00345E7F" w:rsidRPr="0011418E" w:rsidRDefault="00345E7F" w:rsidP="0011418E">
            <w:pPr>
              <w:pStyle w:val="Tabletext"/>
            </w:pPr>
            <w:r w:rsidRPr="0011418E">
              <w:t>1</w:t>
            </w:r>
          </w:p>
        </w:tc>
        <w:tc>
          <w:tcPr>
            <w:tcW w:w="3250" w:type="dxa"/>
            <w:tcBorders>
              <w:top w:val="single" w:sz="12" w:space="0" w:color="auto"/>
            </w:tcBorders>
            <w:shd w:val="clear" w:color="auto" w:fill="auto"/>
          </w:tcPr>
          <w:p w14:paraId="2EB18338" w14:textId="77777777" w:rsidR="00345E7F" w:rsidRPr="0011418E" w:rsidRDefault="00345E7F" w:rsidP="0011418E">
            <w:pPr>
              <w:pStyle w:val="Tabletext"/>
            </w:pPr>
            <w:r w:rsidRPr="0011418E">
              <w:t xml:space="preserve">paragraph (b) of the definition of </w:t>
            </w:r>
            <w:r w:rsidRPr="0011418E">
              <w:rPr>
                <w:b/>
                <w:i/>
              </w:rPr>
              <w:t xml:space="preserve">prescribed rate </w:t>
            </w:r>
            <w:r w:rsidRPr="0011418E">
              <w:t>in subsection 3A(7)</w:t>
            </w:r>
          </w:p>
        </w:tc>
        <w:tc>
          <w:tcPr>
            <w:tcW w:w="3124" w:type="dxa"/>
            <w:tcBorders>
              <w:top w:val="single" w:sz="12" w:space="0" w:color="auto"/>
            </w:tcBorders>
            <w:shd w:val="clear" w:color="auto" w:fill="auto"/>
          </w:tcPr>
          <w:p w14:paraId="6B03D568" w14:textId="77777777" w:rsidR="00345E7F" w:rsidRPr="0011418E" w:rsidRDefault="00345E7F" w:rsidP="0011418E">
            <w:pPr>
              <w:pStyle w:val="Tabletext"/>
            </w:pPr>
            <w:r w:rsidRPr="0011418E">
              <w:t xml:space="preserve">the definition of </w:t>
            </w:r>
            <w:r w:rsidRPr="0011418E">
              <w:rPr>
                <w:b/>
                <w:i/>
              </w:rPr>
              <w:t xml:space="preserve">prescribed rate </w:t>
            </w:r>
            <w:r w:rsidRPr="0011418E">
              <w:t>in subsection 3A(7)</w:t>
            </w:r>
          </w:p>
        </w:tc>
      </w:tr>
      <w:tr w:rsidR="00345E7F" w:rsidRPr="0011418E" w14:paraId="71E7EE70" w14:textId="77777777" w:rsidTr="00165378">
        <w:tc>
          <w:tcPr>
            <w:tcW w:w="714" w:type="dxa"/>
            <w:shd w:val="clear" w:color="auto" w:fill="auto"/>
          </w:tcPr>
          <w:p w14:paraId="741EDF85" w14:textId="77777777" w:rsidR="00345E7F" w:rsidRPr="0011418E" w:rsidRDefault="00345E7F" w:rsidP="0011418E">
            <w:pPr>
              <w:pStyle w:val="Tabletext"/>
            </w:pPr>
            <w:r w:rsidRPr="0011418E">
              <w:lastRenderedPageBreak/>
              <w:t>2</w:t>
            </w:r>
          </w:p>
        </w:tc>
        <w:tc>
          <w:tcPr>
            <w:tcW w:w="3250" w:type="dxa"/>
            <w:shd w:val="clear" w:color="auto" w:fill="auto"/>
          </w:tcPr>
          <w:p w14:paraId="5F71EDFF" w14:textId="77777777" w:rsidR="00345E7F" w:rsidRPr="0011418E" w:rsidRDefault="00345E7F" w:rsidP="0011418E">
            <w:pPr>
              <w:pStyle w:val="Tabletext"/>
            </w:pPr>
            <w:r w:rsidRPr="0011418E">
              <w:t>subsection 4(1)</w:t>
            </w:r>
          </w:p>
        </w:tc>
        <w:tc>
          <w:tcPr>
            <w:tcW w:w="3124" w:type="dxa"/>
            <w:shd w:val="clear" w:color="auto" w:fill="auto"/>
          </w:tcPr>
          <w:p w14:paraId="30C43311" w14:textId="77777777" w:rsidR="00345E7F" w:rsidRPr="0011418E" w:rsidRDefault="00345E7F" w:rsidP="0011418E">
            <w:pPr>
              <w:pStyle w:val="Tabletext"/>
            </w:pPr>
            <w:r w:rsidRPr="0011418E">
              <w:t>subsection 4(5)</w:t>
            </w:r>
          </w:p>
        </w:tc>
      </w:tr>
      <w:tr w:rsidR="00345E7F" w:rsidRPr="0011418E" w14:paraId="5DBFD0DD" w14:textId="77777777" w:rsidTr="00165378">
        <w:tc>
          <w:tcPr>
            <w:tcW w:w="714" w:type="dxa"/>
            <w:tcBorders>
              <w:bottom w:val="single" w:sz="2" w:space="0" w:color="auto"/>
            </w:tcBorders>
            <w:shd w:val="clear" w:color="auto" w:fill="auto"/>
          </w:tcPr>
          <w:p w14:paraId="69B321AA" w14:textId="77777777" w:rsidR="00345E7F" w:rsidRPr="0011418E" w:rsidRDefault="00345E7F" w:rsidP="0011418E">
            <w:pPr>
              <w:pStyle w:val="Tabletext"/>
            </w:pPr>
            <w:r w:rsidRPr="0011418E">
              <w:t>3</w:t>
            </w:r>
          </w:p>
        </w:tc>
        <w:tc>
          <w:tcPr>
            <w:tcW w:w="3250" w:type="dxa"/>
            <w:tcBorders>
              <w:bottom w:val="single" w:sz="2" w:space="0" w:color="auto"/>
            </w:tcBorders>
            <w:shd w:val="clear" w:color="auto" w:fill="auto"/>
          </w:tcPr>
          <w:p w14:paraId="181F7504" w14:textId="77777777" w:rsidR="00345E7F" w:rsidRPr="0011418E" w:rsidRDefault="00345E7F" w:rsidP="0011418E">
            <w:pPr>
              <w:pStyle w:val="Tabletext"/>
            </w:pPr>
            <w:r w:rsidRPr="0011418E">
              <w:t>paragraph 4A(2)(b)</w:t>
            </w:r>
          </w:p>
        </w:tc>
        <w:tc>
          <w:tcPr>
            <w:tcW w:w="3124" w:type="dxa"/>
            <w:tcBorders>
              <w:bottom w:val="single" w:sz="2" w:space="0" w:color="auto"/>
            </w:tcBorders>
            <w:shd w:val="clear" w:color="auto" w:fill="auto"/>
          </w:tcPr>
          <w:p w14:paraId="09D8D068" w14:textId="77777777" w:rsidR="00345E7F" w:rsidRPr="0011418E" w:rsidRDefault="00345E7F" w:rsidP="0011418E">
            <w:pPr>
              <w:pStyle w:val="Tabletext"/>
            </w:pPr>
            <w:r w:rsidRPr="0011418E">
              <w:t>subsection 4A(2)</w:t>
            </w:r>
          </w:p>
        </w:tc>
      </w:tr>
      <w:tr w:rsidR="00345E7F" w:rsidRPr="0011418E" w14:paraId="6D400240" w14:textId="77777777" w:rsidTr="00165378">
        <w:tc>
          <w:tcPr>
            <w:tcW w:w="714" w:type="dxa"/>
            <w:tcBorders>
              <w:top w:val="single" w:sz="2" w:space="0" w:color="auto"/>
              <w:bottom w:val="single" w:sz="12" w:space="0" w:color="auto"/>
            </w:tcBorders>
            <w:shd w:val="clear" w:color="auto" w:fill="auto"/>
          </w:tcPr>
          <w:p w14:paraId="22BC9923" w14:textId="77777777" w:rsidR="00345E7F" w:rsidRPr="0011418E" w:rsidRDefault="00345E7F" w:rsidP="0011418E">
            <w:pPr>
              <w:pStyle w:val="Tabletext"/>
            </w:pPr>
            <w:r w:rsidRPr="0011418E">
              <w:t>4</w:t>
            </w:r>
          </w:p>
        </w:tc>
        <w:tc>
          <w:tcPr>
            <w:tcW w:w="3250" w:type="dxa"/>
            <w:tcBorders>
              <w:top w:val="single" w:sz="2" w:space="0" w:color="auto"/>
              <w:bottom w:val="single" w:sz="12" w:space="0" w:color="auto"/>
            </w:tcBorders>
            <w:shd w:val="clear" w:color="auto" w:fill="auto"/>
          </w:tcPr>
          <w:p w14:paraId="384B87F1" w14:textId="77777777" w:rsidR="00345E7F" w:rsidRPr="0011418E" w:rsidRDefault="00345E7F" w:rsidP="0011418E">
            <w:pPr>
              <w:pStyle w:val="Tabletext"/>
            </w:pPr>
            <w:r w:rsidRPr="0011418E">
              <w:t xml:space="preserve">paragraph (b) of the definition of </w:t>
            </w:r>
            <w:r w:rsidRPr="0011418E">
              <w:rPr>
                <w:b/>
                <w:i/>
              </w:rPr>
              <w:t xml:space="preserve">prescribed rate </w:t>
            </w:r>
            <w:r w:rsidRPr="0011418E">
              <w:t>in subsection 4A(5)</w:t>
            </w:r>
          </w:p>
        </w:tc>
        <w:tc>
          <w:tcPr>
            <w:tcW w:w="3124" w:type="dxa"/>
            <w:tcBorders>
              <w:top w:val="single" w:sz="2" w:space="0" w:color="auto"/>
              <w:bottom w:val="single" w:sz="12" w:space="0" w:color="auto"/>
            </w:tcBorders>
            <w:shd w:val="clear" w:color="auto" w:fill="auto"/>
          </w:tcPr>
          <w:p w14:paraId="44AAF32E" w14:textId="77777777" w:rsidR="00345E7F" w:rsidRPr="0011418E" w:rsidRDefault="00345E7F" w:rsidP="0011418E">
            <w:pPr>
              <w:pStyle w:val="Tabletext"/>
            </w:pPr>
            <w:r w:rsidRPr="0011418E">
              <w:t xml:space="preserve">the definition of </w:t>
            </w:r>
            <w:r w:rsidRPr="0011418E">
              <w:rPr>
                <w:b/>
                <w:i/>
              </w:rPr>
              <w:t xml:space="preserve">prescribed rate </w:t>
            </w:r>
            <w:r w:rsidRPr="0011418E">
              <w:t>in subsection 4A(5)</w:t>
            </w:r>
          </w:p>
        </w:tc>
      </w:tr>
      <w:bookmarkEnd w:id="18"/>
      <w:bookmarkEnd w:id="20"/>
    </w:tbl>
    <w:p w14:paraId="45451D9A" w14:textId="77777777" w:rsidR="00165378" w:rsidRPr="00F02B56" w:rsidRDefault="00165378" w:rsidP="00165378"/>
    <w:p w14:paraId="078D7D15" w14:textId="77777777" w:rsidR="00165378" w:rsidRDefault="00165378" w:rsidP="00165378">
      <w:pPr>
        <w:pStyle w:val="AssentBk"/>
        <w:keepNext/>
      </w:pPr>
    </w:p>
    <w:p w14:paraId="5A0443D4" w14:textId="77777777" w:rsidR="00165378" w:rsidRDefault="00165378" w:rsidP="00165378">
      <w:pPr>
        <w:pStyle w:val="AssentBk"/>
        <w:keepNext/>
      </w:pPr>
    </w:p>
    <w:p w14:paraId="70AAF481" w14:textId="77777777" w:rsidR="00165378" w:rsidRDefault="00165378" w:rsidP="00165378">
      <w:pPr>
        <w:pStyle w:val="2ndRd"/>
        <w:keepNext/>
        <w:pBdr>
          <w:top w:val="single" w:sz="2" w:space="1" w:color="auto"/>
        </w:pBdr>
      </w:pPr>
    </w:p>
    <w:p w14:paraId="586A3A4A" w14:textId="77777777" w:rsidR="00165378" w:rsidRDefault="00165378" w:rsidP="000C5962">
      <w:pPr>
        <w:pStyle w:val="2ndRd"/>
        <w:keepNext/>
        <w:spacing w:line="260" w:lineRule="atLeast"/>
        <w:rPr>
          <w:i/>
        </w:rPr>
      </w:pPr>
      <w:r>
        <w:t>[</w:t>
      </w:r>
      <w:r>
        <w:rPr>
          <w:i/>
        </w:rPr>
        <w:t>Minister’s second reading speech made in—</w:t>
      </w:r>
    </w:p>
    <w:p w14:paraId="7E4B2064" w14:textId="51B7A3C9" w:rsidR="00165378" w:rsidRDefault="00165378" w:rsidP="000C5962">
      <w:pPr>
        <w:pStyle w:val="2ndRd"/>
        <w:keepNext/>
        <w:spacing w:line="260" w:lineRule="atLeast"/>
        <w:rPr>
          <w:i/>
        </w:rPr>
      </w:pPr>
      <w:r>
        <w:rPr>
          <w:i/>
        </w:rPr>
        <w:t>House of Representatives on 28 September 2022</w:t>
      </w:r>
    </w:p>
    <w:p w14:paraId="232691AB" w14:textId="5876ABED" w:rsidR="00165378" w:rsidRDefault="00165378" w:rsidP="000C5962">
      <w:pPr>
        <w:pStyle w:val="2ndRd"/>
        <w:keepNext/>
        <w:spacing w:line="260" w:lineRule="atLeast"/>
        <w:rPr>
          <w:i/>
        </w:rPr>
      </w:pPr>
      <w:r>
        <w:rPr>
          <w:i/>
        </w:rPr>
        <w:t>Senate on 30 November 2022</w:t>
      </w:r>
      <w:r>
        <w:t>]</w:t>
      </w:r>
    </w:p>
    <w:p w14:paraId="19AF11FC" w14:textId="77777777" w:rsidR="00165378" w:rsidRDefault="00165378" w:rsidP="000C5962"/>
    <w:p w14:paraId="13A2C812" w14:textId="3C838BF0" w:rsidR="00942FBF" w:rsidRPr="00165378" w:rsidRDefault="00165378" w:rsidP="00165378">
      <w:pPr>
        <w:framePr w:hSpace="180" w:wrap="around" w:vAnchor="text" w:hAnchor="page" w:x="2431" w:y="6015"/>
      </w:pPr>
      <w:r>
        <w:t>(100/22)</w:t>
      </w:r>
    </w:p>
    <w:p w14:paraId="3A71D84B" w14:textId="77777777" w:rsidR="00165378" w:rsidRDefault="00165378"/>
    <w:sectPr w:rsidR="00165378" w:rsidSect="00942FBF">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1F22C" w14:textId="77777777" w:rsidR="0095338C" w:rsidRDefault="0095338C" w:rsidP="0048364F">
      <w:pPr>
        <w:spacing w:line="240" w:lineRule="auto"/>
      </w:pPr>
      <w:r>
        <w:separator/>
      </w:r>
    </w:p>
  </w:endnote>
  <w:endnote w:type="continuationSeparator" w:id="0">
    <w:p w14:paraId="41D9B731" w14:textId="77777777" w:rsidR="0095338C" w:rsidRDefault="0095338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0F3A4" w14:textId="77777777" w:rsidR="0095338C" w:rsidRPr="005F1388" w:rsidRDefault="0095338C" w:rsidP="0011418E">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1C6CF" w14:textId="700E5E5D" w:rsidR="00165378" w:rsidRDefault="00165378" w:rsidP="00CD12A5">
    <w:pPr>
      <w:pStyle w:val="ScalePlusRef"/>
    </w:pPr>
    <w:r>
      <w:t>Note: An electronic version of this Act is available on the Federal Register of Legislation (</w:t>
    </w:r>
    <w:hyperlink r:id="rId1" w:history="1">
      <w:r>
        <w:t>https://www.legislation.gov.au/</w:t>
      </w:r>
    </w:hyperlink>
    <w:r>
      <w:t>)</w:t>
    </w:r>
  </w:p>
  <w:p w14:paraId="32A49C56" w14:textId="77777777" w:rsidR="00165378" w:rsidRDefault="00165378" w:rsidP="00CD12A5"/>
  <w:p w14:paraId="765C968A" w14:textId="1D3EB851" w:rsidR="0095338C" w:rsidRDefault="0095338C" w:rsidP="0011418E">
    <w:pPr>
      <w:pStyle w:val="Footer"/>
      <w:spacing w:before="120"/>
    </w:pPr>
  </w:p>
  <w:p w14:paraId="5908193A" w14:textId="77777777" w:rsidR="0095338C" w:rsidRPr="005F1388" w:rsidRDefault="0095338C"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093D1" w14:textId="77777777" w:rsidR="0095338C" w:rsidRPr="00ED79B6" w:rsidRDefault="0095338C" w:rsidP="0011418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3DD6F" w14:textId="77777777" w:rsidR="0095338C" w:rsidRDefault="0095338C" w:rsidP="0011418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5338C" w14:paraId="552B2D8C" w14:textId="77777777" w:rsidTr="008629DB">
      <w:tc>
        <w:tcPr>
          <w:tcW w:w="646" w:type="dxa"/>
        </w:tcPr>
        <w:p w14:paraId="1092CE15" w14:textId="77777777" w:rsidR="0095338C" w:rsidRDefault="0095338C" w:rsidP="008629DB">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6AF8BE8A" w14:textId="58C475B1" w:rsidR="0095338C" w:rsidRDefault="0095338C" w:rsidP="008629DB">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65378">
            <w:rPr>
              <w:i/>
              <w:sz w:val="18"/>
            </w:rPr>
            <w:t>Ozone Protection and Synthetic Greenhouse Gas (Import Levy) Amendment Act 2022</w:t>
          </w:r>
          <w:r w:rsidRPr="00ED79B6">
            <w:rPr>
              <w:i/>
              <w:sz w:val="18"/>
            </w:rPr>
            <w:fldChar w:fldCharType="end"/>
          </w:r>
        </w:p>
      </w:tc>
      <w:tc>
        <w:tcPr>
          <w:tcW w:w="1270" w:type="dxa"/>
        </w:tcPr>
        <w:p w14:paraId="63B295D6" w14:textId="57919BA3" w:rsidR="0095338C" w:rsidRDefault="0095338C" w:rsidP="008629DB">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65378">
            <w:rPr>
              <w:i/>
              <w:sz w:val="18"/>
            </w:rPr>
            <w:t>No. 93, 2022</w:t>
          </w:r>
          <w:r w:rsidRPr="00ED79B6">
            <w:rPr>
              <w:i/>
              <w:sz w:val="18"/>
            </w:rPr>
            <w:fldChar w:fldCharType="end"/>
          </w:r>
        </w:p>
      </w:tc>
    </w:tr>
  </w:tbl>
  <w:p w14:paraId="747F48E5" w14:textId="77777777" w:rsidR="0095338C" w:rsidRDefault="0095338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1BBCE" w14:textId="77777777" w:rsidR="0095338C" w:rsidRDefault="0095338C" w:rsidP="0011418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5338C" w14:paraId="506C3E2A" w14:textId="77777777" w:rsidTr="008629DB">
      <w:tc>
        <w:tcPr>
          <w:tcW w:w="1247" w:type="dxa"/>
        </w:tcPr>
        <w:p w14:paraId="341E9192" w14:textId="1C516679" w:rsidR="0095338C" w:rsidRDefault="0095338C" w:rsidP="008629DB">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65378">
            <w:rPr>
              <w:i/>
              <w:sz w:val="18"/>
            </w:rPr>
            <w:t>No. 93, 2022</w:t>
          </w:r>
          <w:r w:rsidRPr="00ED79B6">
            <w:rPr>
              <w:i/>
              <w:sz w:val="18"/>
            </w:rPr>
            <w:fldChar w:fldCharType="end"/>
          </w:r>
        </w:p>
      </w:tc>
      <w:tc>
        <w:tcPr>
          <w:tcW w:w="5387" w:type="dxa"/>
        </w:tcPr>
        <w:p w14:paraId="13C36FAC" w14:textId="7BA3B743" w:rsidR="0095338C" w:rsidRDefault="0095338C" w:rsidP="008629DB">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65378">
            <w:rPr>
              <w:i/>
              <w:sz w:val="18"/>
            </w:rPr>
            <w:t>Ozone Protection and Synthetic Greenhouse Gas (Import Levy) Amendment Act 2022</w:t>
          </w:r>
          <w:r w:rsidRPr="00ED79B6">
            <w:rPr>
              <w:i/>
              <w:sz w:val="18"/>
            </w:rPr>
            <w:fldChar w:fldCharType="end"/>
          </w:r>
        </w:p>
      </w:tc>
      <w:tc>
        <w:tcPr>
          <w:tcW w:w="669" w:type="dxa"/>
        </w:tcPr>
        <w:p w14:paraId="4B9FE6F6" w14:textId="77777777" w:rsidR="0095338C" w:rsidRDefault="0095338C" w:rsidP="008629D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399A015" w14:textId="77777777" w:rsidR="0095338C" w:rsidRPr="00ED79B6" w:rsidRDefault="0095338C"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4777" w14:textId="77777777" w:rsidR="0095338C" w:rsidRPr="00A961C4" w:rsidRDefault="0095338C" w:rsidP="0011418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5338C" w14:paraId="73937444" w14:textId="77777777" w:rsidTr="00200F4C">
      <w:tc>
        <w:tcPr>
          <w:tcW w:w="646" w:type="dxa"/>
        </w:tcPr>
        <w:p w14:paraId="14049067" w14:textId="77777777" w:rsidR="0095338C" w:rsidRDefault="0095338C" w:rsidP="008629D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0E246FC0" w14:textId="0B10EBE3" w:rsidR="0095338C" w:rsidRDefault="0095338C" w:rsidP="008629D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65378">
            <w:rPr>
              <w:i/>
              <w:sz w:val="18"/>
            </w:rPr>
            <w:t>Ozone Protection and Synthetic Greenhouse Gas (Import Levy) Amendment Act 2022</w:t>
          </w:r>
          <w:r w:rsidRPr="007A1328">
            <w:rPr>
              <w:i/>
              <w:sz w:val="18"/>
            </w:rPr>
            <w:fldChar w:fldCharType="end"/>
          </w:r>
        </w:p>
      </w:tc>
      <w:tc>
        <w:tcPr>
          <w:tcW w:w="1270" w:type="dxa"/>
        </w:tcPr>
        <w:p w14:paraId="26DFD24C" w14:textId="1506B176" w:rsidR="0095338C" w:rsidRDefault="0095338C" w:rsidP="008629DB">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65378">
            <w:rPr>
              <w:i/>
              <w:sz w:val="18"/>
            </w:rPr>
            <w:t>No. 93, 2022</w:t>
          </w:r>
          <w:r w:rsidRPr="007A1328">
            <w:rPr>
              <w:i/>
              <w:sz w:val="18"/>
            </w:rPr>
            <w:fldChar w:fldCharType="end"/>
          </w:r>
        </w:p>
      </w:tc>
    </w:tr>
  </w:tbl>
  <w:p w14:paraId="7AE0398E" w14:textId="77777777" w:rsidR="0095338C" w:rsidRPr="00A961C4" w:rsidRDefault="0095338C"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F44C2" w14:textId="77777777" w:rsidR="0095338C" w:rsidRPr="00A961C4" w:rsidRDefault="0095338C" w:rsidP="0011418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5338C" w14:paraId="08174EB4" w14:textId="77777777" w:rsidTr="00200F4C">
      <w:tc>
        <w:tcPr>
          <w:tcW w:w="1247" w:type="dxa"/>
        </w:tcPr>
        <w:p w14:paraId="02DD7DC7" w14:textId="375E1055" w:rsidR="0095338C" w:rsidRDefault="0095338C" w:rsidP="008629D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65378">
            <w:rPr>
              <w:i/>
              <w:sz w:val="18"/>
            </w:rPr>
            <w:t>No. 93, 2022</w:t>
          </w:r>
          <w:r w:rsidRPr="007A1328">
            <w:rPr>
              <w:i/>
              <w:sz w:val="18"/>
            </w:rPr>
            <w:fldChar w:fldCharType="end"/>
          </w:r>
        </w:p>
      </w:tc>
      <w:tc>
        <w:tcPr>
          <w:tcW w:w="5387" w:type="dxa"/>
        </w:tcPr>
        <w:p w14:paraId="062EF0B8" w14:textId="24F2B49C" w:rsidR="0095338C" w:rsidRDefault="0095338C" w:rsidP="008629D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65378">
            <w:rPr>
              <w:i/>
              <w:sz w:val="18"/>
            </w:rPr>
            <w:t>Ozone Protection and Synthetic Greenhouse Gas (Import Levy) Amendment Act 2022</w:t>
          </w:r>
          <w:r w:rsidRPr="007A1328">
            <w:rPr>
              <w:i/>
              <w:sz w:val="18"/>
            </w:rPr>
            <w:fldChar w:fldCharType="end"/>
          </w:r>
        </w:p>
      </w:tc>
      <w:tc>
        <w:tcPr>
          <w:tcW w:w="669" w:type="dxa"/>
        </w:tcPr>
        <w:p w14:paraId="51D589E1" w14:textId="77777777" w:rsidR="0095338C" w:rsidRDefault="0095338C" w:rsidP="008629D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01330F02" w14:textId="77777777" w:rsidR="0095338C" w:rsidRPr="00055B5C" w:rsidRDefault="0095338C"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27DDD" w14:textId="77777777" w:rsidR="0095338C" w:rsidRPr="00A961C4" w:rsidRDefault="0095338C" w:rsidP="0011418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95338C" w14:paraId="25F6A060" w14:textId="77777777" w:rsidTr="00200F4C">
      <w:tc>
        <w:tcPr>
          <w:tcW w:w="1247" w:type="dxa"/>
        </w:tcPr>
        <w:p w14:paraId="30837997" w14:textId="32C01125" w:rsidR="0095338C" w:rsidRDefault="0095338C" w:rsidP="008629D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65378">
            <w:rPr>
              <w:i/>
              <w:sz w:val="18"/>
            </w:rPr>
            <w:t>No. 93, 2022</w:t>
          </w:r>
          <w:r w:rsidRPr="007A1328">
            <w:rPr>
              <w:i/>
              <w:sz w:val="18"/>
            </w:rPr>
            <w:fldChar w:fldCharType="end"/>
          </w:r>
        </w:p>
      </w:tc>
      <w:tc>
        <w:tcPr>
          <w:tcW w:w="5387" w:type="dxa"/>
        </w:tcPr>
        <w:p w14:paraId="3EDC601C" w14:textId="494396D4" w:rsidR="0095338C" w:rsidRDefault="0095338C" w:rsidP="008629D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65378">
            <w:rPr>
              <w:i/>
              <w:sz w:val="18"/>
            </w:rPr>
            <w:t>Ozone Protection and Synthetic Greenhouse Gas (Import Levy) Amendment Act 2022</w:t>
          </w:r>
          <w:r w:rsidRPr="007A1328">
            <w:rPr>
              <w:i/>
              <w:sz w:val="18"/>
            </w:rPr>
            <w:fldChar w:fldCharType="end"/>
          </w:r>
        </w:p>
      </w:tc>
      <w:tc>
        <w:tcPr>
          <w:tcW w:w="669" w:type="dxa"/>
        </w:tcPr>
        <w:p w14:paraId="275FEC3D" w14:textId="77777777" w:rsidR="0095338C" w:rsidRDefault="0095338C" w:rsidP="008629D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01734FE8" w14:textId="77777777" w:rsidR="0095338C" w:rsidRPr="00A961C4" w:rsidRDefault="0095338C"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2762D" w14:textId="77777777" w:rsidR="0095338C" w:rsidRDefault="0095338C" w:rsidP="0048364F">
      <w:pPr>
        <w:spacing w:line="240" w:lineRule="auto"/>
      </w:pPr>
      <w:r>
        <w:separator/>
      </w:r>
    </w:p>
  </w:footnote>
  <w:footnote w:type="continuationSeparator" w:id="0">
    <w:p w14:paraId="2D8FC510" w14:textId="77777777" w:rsidR="0095338C" w:rsidRDefault="0095338C"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746DD" w14:textId="77777777" w:rsidR="0095338C" w:rsidRPr="005F1388" w:rsidRDefault="0095338C"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5A43F" w14:textId="77777777" w:rsidR="0095338C" w:rsidRPr="005F1388" w:rsidRDefault="0095338C"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16048" w14:textId="77777777" w:rsidR="0095338C" w:rsidRPr="005F1388" w:rsidRDefault="0095338C"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7D541" w14:textId="77777777" w:rsidR="0095338C" w:rsidRPr="00ED79B6" w:rsidRDefault="0095338C"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45023" w14:textId="77777777" w:rsidR="0095338C" w:rsidRPr="00ED79B6" w:rsidRDefault="0095338C"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58A93" w14:textId="77777777" w:rsidR="0095338C" w:rsidRPr="00ED79B6" w:rsidRDefault="0095338C"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461DE" w14:textId="75A9A74E" w:rsidR="0095338C" w:rsidRPr="00A961C4" w:rsidRDefault="0095338C" w:rsidP="0048364F">
    <w:pPr>
      <w:rPr>
        <w:b/>
        <w:sz w:val="20"/>
      </w:rPr>
    </w:pPr>
    <w:r>
      <w:rPr>
        <w:b/>
        <w:sz w:val="20"/>
      </w:rPr>
      <w:fldChar w:fldCharType="begin"/>
    </w:r>
    <w:r>
      <w:rPr>
        <w:b/>
        <w:sz w:val="20"/>
      </w:rPr>
      <w:instrText xml:space="preserve"> STYLEREF CharAmSchNo </w:instrText>
    </w:r>
    <w:r w:rsidR="000215DC">
      <w:rPr>
        <w:b/>
        <w:sz w:val="20"/>
      </w:rPr>
      <w:fldChar w:fldCharType="separate"/>
    </w:r>
    <w:r w:rsidR="000215DC">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0215DC">
      <w:rPr>
        <w:sz w:val="20"/>
      </w:rPr>
      <w:fldChar w:fldCharType="separate"/>
    </w:r>
    <w:r w:rsidR="000215DC">
      <w:rPr>
        <w:noProof/>
        <w:sz w:val="20"/>
      </w:rPr>
      <w:t>Amendments</w:t>
    </w:r>
    <w:r>
      <w:rPr>
        <w:sz w:val="20"/>
      </w:rPr>
      <w:fldChar w:fldCharType="end"/>
    </w:r>
  </w:p>
  <w:p w14:paraId="7D8B4BE6" w14:textId="25D3866A" w:rsidR="0095338C" w:rsidRPr="00A961C4" w:rsidRDefault="0095338C"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63EBB6FB" w14:textId="77777777" w:rsidR="0095338C" w:rsidRPr="00A961C4" w:rsidRDefault="0095338C"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B429C" w14:textId="25FAE36A" w:rsidR="0095338C" w:rsidRPr="00A961C4" w:rsidRDefault="0095338C"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0215DC">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0215DC">
      <w:rPr>
        <w:b/>
        <w:noProof/>
        <w:sz w:val="20"/>
      </w:rPr>
      <w:t>Schedule 1</w:t>
    </w:r>
    <w:r>
      <w:rPr>
        <w:b/>
        <w:sz w:val="20"/>
      </w:rPr>
      <w:fldChar w:fldCharType="end"/>
    </w:r>
  </w:p>
  <w:p w14:paraId="10E721C8" w14:textId="7E7F1477" w:rsidR="0095338C" w:rsidRPr="00A961C4" w:rsidRDefault="0095338C"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0E07B799" w14:textId="77777777" w:rsidR="0095338C" w:rsidRPr="00A961C4" w:rsidRDefault="0095338C"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0B578" w14:textId="77777777" w:rsidR="0095338C" w:rsidRPr="00A961C4" w:rsidRDefault="0095338C"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7F"/>
    <w:rsid w:val="000113BC"/>
    <w:rsid w:val="000136AF"/>
    <w:rsid w:val="000215DC"/>
    <w:rsid w:val="00030DB6"/>
    <w:rsid w:val="000417C9"/>
    <w:rsid w:val="00046A64"/>
    <w:rsid w:val="00055B5C"/>
    <w:rsid w:val="00056391"/>
    <w:rsid w:val="00060FF9"/>
    <w:rsid w:val="000614BF"/>
    <w:rsid w:val="00080F4B"/>
    <w:rsid w:val="000B1E1E"/>
    <w:rsid w:val="000B1FD2"/>
    <w:rsid w:val="000D05EF"/>
    <w:rsid w:val="000E0B78"/>
    <w:rsid w:val="000F21C1"/>
    <w:rsid w:val="000F316E"/>
    <w:rsid w:val="00101D90"/>
    <w:rsid w:val="001070C2"/>
    <w:rsid w:val="0010745C"/>
    <w:rsid w:val="00113BD1"/>
    <w:rsid w:val="0011418E"/>
    <w:rsid w:val="00122206"/>
    <w:rsid w:val="001342E2"/>
    <w:rsid w:val="0015646E"/>
    <w:rsid w:val="001643C9"/>
    <w:rsid w:val="00165378"/>
    <w:rsid w:val="00165568"/>
    <w:rsid w:val="00166C2F"/>
    <w:rsid w:val="001716C9"/>
    <w:rsid w:val="00173363"/>
    <w:rsid w:val="00173B94"/>
    <w:rsid w:val="00174978"/>
    <w:rsid w:val="001854B4"/>
    <w:rsid w:val="001939E1"/>
    <w:rsid w:val="00195382"/>
    <w:rsid w:val="00196FF8"/>
    <w:rsid w:val="001A3658"/>
    <w:rsid w:val="001A759A"/>
    <w:rsid w:val="001B633C"/>
    <w:rsid w:val="001B7A5D"/>
    <w:rsid w:val="001C107C"/>
    <w:rsid w:val="001C2418"/>
    <w:rsid w:val="001C69C4"/>
    <w:rsid w:val="001E3590"/>
    <w:rsid w:val="001E7407"/>
    <w:rsid w:val="00200F4C"/>
    <w:rsid w:val="00201D27"/>
    <w:rsid w:val="00202618"/>
    <w:rsid w:val="002026B1"/>
    <w:rsid w:val="00240749"/>
    <w:rsid w:val="00263820"/>
    <w:rsid w:val="00275197"/>
    <w:rsid w:val="002801BF"/>
    <w:rsid w:val="00293B89"/>
    <w:rsid w:val="00297ECB"/>
    <w:rsid w:val="002B1184"/>
    <w:rsid w:val="002B5A30"/>
    <w:rsid w:val="002D043A"/>
    <w:rsid w:val="002D395A"/>
    <w:rsid w:val="0032081C"/>
    <w:rsid w:val="00330C7B"/>
    <w:rsid w:val="00340A78"/>
    <w:rsid w:val="003415D3"/>
    <w:rsid w:val="00345E7F"/>
    <w:rsid w:val="00350417"/>
    <w:rsid w:val="00350C8C"/>
    <w:rsid w:val="00352B0F"/>
    <w:rsid w:val="00373874"/>
    <w:rsid w:val="00375C6C"/>
    <w:rsid w:val="003A7B3C"/>
    <w:rsid w:val="003B4E3D"/>
    <w:rsid w:val="003C5F2B"/>
    <w:rsid w:val="003D0BFE"/>
    <w:rsid w:val="003D5700"/>
    <w:rsid w:val="003F2061"/>
    <w:rsid w:val="003F2754"/>
    <w:rsid w:val="0040273C"/>
    <w:rsid w:val="00405579"/>
    <w:rsid w:val="00410B8E"/>
    <w:rsid w:val="004116CD"/>
    <w:rsid w:val="00421FC1"/>
    <w:rsid w:val="004229C7"/>
    <w:rsid w:val="00424CA9"/>
    <w:rsid w:val="0042544B"/>
    <w:rsid w:val="00436785"/>
    <w:rsid w:val="00436BD5"/>
    <w:rsid w:val="00437E4B"/>
    <w:rsid w:val="0044291A"/>
    <w:rsid w:val="004562A2"/>
    <w:rsid w:val="0048196B"/>
    <w:rsid w:val="0048364F"/>
    <w:rsid w:val="00486D05"/>
    <w:rsid w:val="00496F97"/>
    <w:rsid w:val="004B3E63"/>
    <w:rsid w:val="004C7C8C"/>
    <w:rsid w:val="004E2A4A"/>
    <w:rsid w:val="004F0C92"/>
    <w:rsid w:val="004F0D23"/>
    <w:rsid w:val="004F1FAC"/>
    <w:rsid w:val="00516B8D"/>
    <w:rsid w:val="005340CB"/>
    <w:rsid w:val="00537FBC"/>
    <w:rsid w:val="00543469"/>
    <w:rsid w:val="00545D52"/>
    <w:rsid w:val="00551B54"/>
    <w:rsid w:val="00584811"/>
    <w:rsid w:val="00593AA6"/>
    <w:rsid w:val="00594161"/>
    <w:rsid w:val="00594749"/>
    <w:rsid w:val="00596704"/>
    <w:rsid w:val="005A0D92"/>
    <w:rsid w:val="005B4067"/>
    <w:rsid w:val="005C3F41"/>
    <w:rsid w:val="005E152A"/>
    <w:rsid w:val="005F11B1"/>
    <w:rsid w:val="00600219"/>
    <w:rsid w:val="006167FD"/>
    <w:rsid w:val="00641DE5"/>
    <w:rsid w:val="00656F0C"/>
    <w:rsid w:val="00677CC2"/>
    <w:rsid w:val="00681F92"/>
    <w:rsid w:val="006842C2"/>
    <w:rsid w:val="00685F42"/>
    <w:rsid w:val="0069207B"/>
    <w:rsid w:val="006A20C6"/>
    <w:rsid w:val="006A3867"/>
    <w:rsid w:val="006A4B23"/>
    <w:rsid w:val="006C2874"/>
    <w:rsid w:val="006C7F8C"/>
    <w:rsid w:val="006D380D"/>
    <w:rsid w:val="006E0135"/>
    <w:rsid w:val="006E303A"/>
    <w:rsid w:val="006F7E19"/>
    <w:rsid w:val="00700B2C"/>
    <w:rsid w:val="00712D8D"/>
    <w:rsid w:val="00713084"/>
    <w:rsid w:val="00714B26"/>
    <w:rsid w:val="00731E00"/>
    <w:rsid w:val="007440B7"/>
    <w:rsid w:val="0076053E"/>
    <w:rsid w:val="007634AD"/>
    <w:rsid w:val="007715C9"/>
    <w:rsid w:val="007726CE"/>
    <w:rsid w:val="00774EDD"/>
    <w:rsid w:val="007757EC"/>
    <w:rsid w:val="007B30AA"/>
    <w:rsid w:val="007D2ABF"/>
    <w:rsid w:val="007E7D4A"/>
    <w:rsid w:val="008006CC"/>
    <w:rsid w:val="00807F18"/>
    <w:rsid w:val="00831E8D"/>
    <w:rsid w:val="00856A31"/>
    <w:rsid w:val="00857D6B"/>
    <w:rsid w:val="008629DB"/>
    <w:rsid w:val="008754D0"/>
    <w:rsid w:val="00877D48"/>
    <w:rsid w:val="00883781"/>
    <w:rsid w:val="00885570"/>
    <w:rsid w:val="00893958"/>
    <w:rsid w:val="008A2E77"/>
    <w:rsid w:val="008C6F6F"/>
    <w:rsid w:val="008C7451"/>
    <w:rsid w:val="008C7732"/>
    <w:rsid w:val="008D0EE0"/>
    <w:rsid w:val="008D3E94"/>
    <w:rsid w:val="008E1F71"/>
    <w:rsid w:val="008F4F1C"/>
    <w:rsid w:val="008F77C4"/>
    <w:rsid w:val="009103F3"/>
    <w:rsid w:val="00932377"/>
    <w:rsid w:val="00942FBF"/>
    <w:rsid w:val="0095338C"/>
    <w:rsid w:val="00964F51"/>
    <w:rsid w:val="00967042"/>
    <w:rsid w:val="0098255A"/>
    <w:rsid w:val="009845BE"/>
    <w:rsid w:val="009969C9"/>
    <w:rsid w:val="0099796F"/>
    <w:rsid w:val="009E186E"/>
    <w:rsid w:val="009F7BD0"/>
    <w:rsid w:val="00A048FF"/>
    <w:rsid w:val="00A10775"/>
    <w:rsid w:val="00A231E2"/>
    <w:rsid w:val="00A26AA6"/>
    <w:rsid w:val="00A36C48"/>
    <w:rsid w:val="00A41E0B"/>
    <w:rsid w:val="00A55631"/>
    <w:rsid w:val="00A64912"/>
    <w:rsid w:val="00A70A74"/>
    <w:rsid w:val="00A82BC4"/>
    <w:rsid w:val="00AA2876"/>
    <w:rsid w:val="00AA3795"/>
    <w:rsid w:val="00AB47DD"/>
    <w:rsid w:val="00AC1E75"/>
    <w:rsid w:val="00AD5641"/>
    <w:rsid w:val="00AE1088"/>
    <w:rsid w:val="00AF1BA4"/>
    <w:rsid w:val="00B032D8"/>
    <w:rsid w:val="00B13340"/>
    <w:rsid w:val="00B14A25"/>
    <w:rsid w:val="00B17FA6"/>
    <w:rsid w:val="00B32BE2"/>
    <w:rsid w:val="00B33B3C"/>
    <w:rsid w:val="00B405AA"/>
    <w:rsid w:val="00B6382D"/>
    <w:rsid w:val="00BA5026"/>
    <w:rsid w:val="00BA7BB0"/>
    <w:rsid w:val="00BB40BF"/>
    <w:rsid w:val="00BB595F"/>
    <w:rsid w:val="00BB7FEB"/>
    <w:rsid w:val="00BC0CD1"/>
    <w:rsid w:val="00BD29CD"/>
    <w:rsid w:val="00BE6CFA"/>
    <w:rsid w:val="00BE719A"/>
    <w:rsid w:val="00BE720A"/>
    <w:rsid w:val="00BF0461"/>
    <w:rsid w:val="00BF4944"/>
    <w:rsid w:val="00BF56D4"/>
    <w:rsid w:val="00C04409"/>
    <w:rsid w:val="00C067E5"/>
    <w:rsid w:val="00C164CA"/>
    <w:rsid w:val="00C176CF"/>
    <w:rsid w:val="00C24EE9"/>
    <w:rsid w:val="00C267F5"/>
    <w:rsid w:val="00C42BF8"/>
    <w:rsid w:val="00C460AE"/>
    <w:rsid w:val="00C50043"/>
    <w:rsid w:val="00C54E84"/>
    <w:rsid w:val="00C6769D"/>
    <w:rsid w:val="00C7573B"/>
    <w:rsid w:val="00C76CF3"/>
    <w:rsid w:val="00C92245"/>
    <w:rsid w:val="00C92587"/>
    <w:rsid w:val="00CE1E31"/>
    <w:rsid w:val="00CF0443"/>
    <w:rsid w:val="00CF0BB2"/>
    <w:rsid w:val="00D00EAA"/>
    <w:rsid w:val="00D02E5C"/>
    <w:rsid w:val="00D13441"/>
    <w:rsid w:val="00D22A30"/>
    <w:rsid w:val="00D243A3"/>
    <w:rsid w:val="00D4045D"/>
    <w:rsid w:val="00D477C3"/>
    <w:rsid w:val="00D52EFE"/>
    <w:rsid w:val="00D63EF6"/>
    <w:rsid w:val="00D70DFB"/>
    <w:rsid w:val="00D73029"/>
    <w:rsid w:val="00D766DF"/>
    <w:rsid w:val="00DD45F1"/>
    <w:rsid w:val="00DE2002"/>
    <w:rsid w:val="00DF7AE9"/>
    <w:rsid w:val="00E05704"/>
    <w:rsid w:val="00E24D66"/>
    <w:rsid w:val="00E26790"/>
    <w:rsid w:val="00E30ECD"/>
    <w:rsid w:val="00E31CCC"/>
    <w:rsid w:val="00E37760"/>
    <w:rsid w:val="00E54292"/>
    <w:rsid w:val="00E74DC7"/>
    <w:rsid w:val="00E7646D"/>
    <w:rsid w:val="00E84ECA"/>
    <w:rsid w:val="00E85F81"/>
    <w:rsid w:val="00E87699"/>
    <w:rsid w:val="00E947C6"/>
    <w:rsid w:val="00EB510C"/>
    <w:rsid w:val="00ED492F"/>
    <w:rsid w:val="00ED7FCB"/>
    <w:rsid w:val="00EE3E36"/>
    <w:rsid w:val="00EF2E3A"/>
    <w:rsid w:val="00F047E2"/>
    <w:rsid w:val="00F078DC"/>
    <w:rsid w:val="00F11A3C"/>
    <w:rsid w:val="00F13E86"/>
    <w:rsid w:val="00F17B00"/>
    <w:rsid w:val="00F35B47"/>
    <w:rsid w:val="00F677A9"/>
    <w:rsid w:val="00F84CF5"/>
    <w:rsid w:val="00F92D35"/>
    <w:rsid w:val="00FA420B"/>
    <w:rsid w:val="00FD10E4"/>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68789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1418E"/>
    <w:pPr>
      <w:spacing w:line="260" w:lineRule="atLeast"/>
    </w:pPr>
    <w:rPr>
      <w:sz w:val="22"/>
    </w:rPr>
  </w:style>
  <w:style w:type="paragraph" w:styleId="Heading1">
    <w:name w:val="heading 1"/>
    <w:basedOn w:val="Normal"/>
    <w:next w:val="Normal"/>
    <w:link w:val="Heading1Char"/>
    <w:uiPriority w:val="9"/>
    <w:qFormat/>
    <w:rsid w:val="00942FB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42FB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42FB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42FB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42FB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42FB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42FB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42F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42F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1418E"/>
  </w:style>
  <w:style w:type="paragraph" w:customStyle="1" w:styleId="OPCParaBase">
    <w:name w:val="OPCParaBase"/>
    <w:qFormat/>
    <w:rsid w:val="0011418E"/>
    <w:pPr>
      <w:spacing w:line="260" w:lineRule="atLeast"/>
    </w:pPr>
    <w:rPr>
      <w:rFonts w:eastAsia="Times New Roman" w:cs="Times New Roman"/>
      <w:sz w:val="22"/>
      <w:lang w:eastAsia="en-AU"/>
    </w:rPr>
  </w:style>
  <w:style w:type="paragraph" w:customStyle="1" w:styleId="ShortT">
    <w:name w:val="ShortT"/>
    <w:basedOn w:val="OPCParaBase"/>
    <w:next w:val="Normal"/>
    <w:qFormat/>
    <w:rsid w:val="0011418E"/>
    <w:pPr>
      <w:spacing w:line="240" w:lineRule="auto"/>
    </w:pPr>
    <w:rPr>
      <w:b/>
      <w:sz w:val="40"/>
    </w:rPr>
  </w:style>
  <w:style w:type="paragraph" w:customStyle="1" w:styleId="ActHead1">
    <w:name w:val="ActHead 1"/>
    <w:aliases w:val="c"/>
    <w:basedOn w:val="OPCParaBase"/>
    <w:next w:val="Normal"/>
    <w:qFormat/>
    <w:rsid w:val="0011418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1418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1418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1418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1418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1418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1418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1418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1418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1418E"/>
  </w:style>
  <w:style w:type="paragraph" w:customStyle="1" w:styleId="Blocks">
    <w:name w:val="Blocks"/>
    <w:aliases w:val="bb"/>
    <w:basedOn w:val="OPCParaBase"/>
    <w:qFormat/>
    <w:rsid w:val="0011418E"/>
    <w:pPr>
      <w:spacing w:line="240" w:lineRule="auto"/>
    </w:pPr>
    <w:rPr>
      <w:sz w:val="24"/>
    </w:rPr>
  </w:style>
  <w:style w:type="paragraph" w:customStyle="1" w:styleId="BoxText">
    <w:name w:val="BoxText"/>
    <w:aliases w:val="bt"/>
    <w:basedOn w:val="OPCParaBase"/>
    <w:qFormat/>
    <w:rsid w:val="0011418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1418E"/>
    <w:rPr>
      <w:b/>
    </w:rPr>
  </w:style>
  <w:style w:type="paragraph" w:customStyle="1" w:styleId="BoxHeadItalic">
    <w:name w:val="BoxHeadItalic"/>
    <w:aliases w:val="bhi"/>
    <w:basedOn w:val="BoxText"/>
    <w:next w:val="BoxStep"/>
    <w:qFormat/>
    <w:rsid w:val="0011418E"/>
    <w:rPr>
      <w:i/>
    </w:rPr>
  </w:style>
  <w:style w:type="paragraph" w:customStyle="1" w:styleId="BoxList">
    <w:name w:val="BoxList"/>
    <w:aliases w:val="bl"/>
    <w:basedOn w:val="BoxText"/>
    <w:qFormat/>
    <w:rsid w:val="0011418E"/>
    <w:pPr>
      <w:ind w:left="1559" w:hanging="425"/>
    </w:pPr>
  </w:style>
  <w:style w:type="paragraph" w:customStyle="1" w:styleId="BoxNote">
    <w:name w:val="BoxNote"/>
    <w:aliases w:val="bn"/>
    <w:basedOn w:val="BoxText"/>
    <w:qFormat/>
    <w:rsid w:val="0011418E"/>
    <w:pPr>
      <w:tabs>
        <w:tab w:val="left" w:pos="1985"/>
      </w:tabs>
      <w:spacing w:before="122" w:line="198" w:lineRule="exact"/>
      <w:ind w:left="2948" w:hanging="1814"/>
    </w:pPr>
    <w:rPr>
      <w:sz w:val="18"/>
    </w:rPr>
  </w:style>
  <w:style w:type="paragraph" w:customStyle="1" w:styleId="BoxPara">
    <w:name w:val="BoxPara"/>
    <w:aliases w:val="bp"/>
    <w:basedOn w:val="BoxText"/>
    <w:qFormat/>
    <w:rsid w:val="0011418E"/>
    <w:pPr>
      <w:tabs>
        <w:tab w:val="right" w:pos="2268"/>
      </w:tabs>
      <w:ind w:left="2552" w:hanging="1418"/>
    </w:pPr>
  </w:style>
  <w:style w:type="paragraph" w:customStyle="1" w:styleId="BoxStep">
    <w:name w:val="BoxStep"/>
    <w:aliases w:val="bs"/>
    <w:basedOn w:val="BoxText"/>
    <w:qFormat/>
    <w:rsid w:val="0011418E"/>
    <w:pPr>
      <w:ind w:left="1985" w:hanging="851"/>
    </w:pPr>
  </w:style>
  <w:style w:type="character" w:customStyle="1" w:styleId="CharAmPartNo">
    <w:name w:val="CharAmPartNo"/>
    <w:basedOn w:val="OPCCharBase"/>
    <w:qFormat/>
    <w:rsid w:val="0011418E"/>
  </w:style>
  <w:style w:type="character" w:customStyle="1" w:styleId="CharAmPartText">
    <w:name w:val="CharAmPartText"/>
    <w:basedOn w:val="OPCCharBase"/>
    <w:qFormat/>
    <w:rsid w:val="0011418E"/>
  </w:style>
  <w:style w:type="character" w:customStyle="1" w:styleId="CharAmSchNo">
    <w:name w:val="CharAmSchNo"/>
    <w:basedOn w:val="OPCCharBase"/>
    <w:qFormat/>
    <w:rsid w:val="0011418E"/>
  </w:style>
  <w:style w:type="character" w:customStyle="1" w:styleId="CharAmSchText">
    <w:name w:val="CharAmSchText"/>
    <w:basedOn w:val="OPCCharBase"/>
    <w:qFormat/>
    <w:rsid w:val="0011418E"/>
  </w:style>
  <w:style w:type="character" w:customStyle="1" w:styleId="CharBoldItalic">
    <w:name w:val="CharBoldItalic"/>
    <w:basedOn w:val="OPCCharBase"/>
    <w:uiPriority w:val="1"/>
    <w:qFormat/>
    <w:rsid w:val="0011418E"/>
    <w:rPr>
      <w:b/>
      <w:i/>
    </w:rPr>
  </w:style>
  <w:style w:type="character" w:customStyle="1" w:styleId="CharChapNo">
    <w:name w:val="CharChapNo"/>
    <w:basedOn w:val="OPCCharBase"/>
    <w:uiPriority w:val="1"/>
    <w:qFormat/>
    <w:rsid w:val="0011418E"/>
  </w:style>
  <w:style w:type="character" w:customStyle="1" w:styleId="CharChapText">
    <w:name w:val="CharChapText"/>
    <w:basedOn w:val="OPCCharBase"/>
    <w:uiPriority w:val="1"/>
    <w:qFormat/>
    <w:rsid w:val="0011418E"/>
  </w:style>
  <w:style w:type="character" w:customStyle="1" w:styleId="CharDivNo">
    <w:name w:val="CharDivNo"/>
    <w:basedOn w:val="OPCCharBase"/>
    <w:uiPriority w:val="1"/>
    <w:qFormat/>
    <w:rsid w:val="0011418E"/>
  </w:style>
  <w:style w:type="character" w:customStyle="1" w:styleId="CharDivText">
    <w:name w:val="CharDivText"/>
    <w:basedOn w:val="OPCCharBase"/>
    <w:uiPriority w:val="1"/>
    <w:qFormat/>
    <w:rsid w:val="0011418E"/>
  </w:style>
  <w:style w:type="character" w:customStyle="1" w:styleId="CharItalic">
    <w:name w:val="CharItalic"/>
    <w:basedOn w:val="OPCCharBase"/>
    <w:uiPriority w:val="1"/>
    <w:qFormat/>
    <w:rsid w:val="0011418E"/>
    <w:rPr>
      <w:i/>
    </w:rPr>
  </w:style>
  <w:style w:type="character" w:customStyle="1" w:styleId="CharPartNo">
    <w:name w:val="CharPartNo"/>
    <w:basedOn w:val="OPCCharBase"/>
    <w:uiPriority w:val="1"/>
    <w:qFormat/>
    <w:rsid w:val="0011418E"/>
  </w:style>
  <w:style w:type="character" w:customStyle="1" w:styleId="CharPartText">
    <w:name w:val="CharPartText"/>
    <w:basedOn w:val="OPCCharBase"/>
    <w:uiPriority w:val="1"/>
    <w:qFormat/>
    <w:rsid w:val="0011418E"/>
  </w:style>
  <w:style w:type="character" w:customStyle="1" w:styleId="CharSectno">
    <w:name w:val="CharSectno"/>
    <w:basedOn w:val="OPCCharBase"/>
    <w:qFormat/>
    <w:rsid w:val="0011418E"/>
  </w:style>
  <w:style w:type="character" w:customStyle="1" w:styleId="CharSubdNo">
    <w:name w:val="CharSubdNo"/>
    <w:basedOn w:val="OPCCharBase"/>
    <w:uiPriority w:val="1"/>
    <w:qFormat/>
    <w:rsid w:val="0011418E"/>
  </w:style>
  <w:style w:type="character" w:customStyle="1" w:styleId="CharSubdText">
    <w:name w:val="CharSubdText"/>
    <w:basedOn w:val="OPCCharBase"/>
    <w:uiPriority w:val="1"/>
    <w:qFormat/>
    <w:rsid w:val="0011418E"/>
  </w:style>
  <w:style w:type="paragraph" w:customStyle="1" w:styleId="CTA--">
    <w:name w:val="CTA --"/>
    <w:basedOn w:val="OPCParaBase"/>
    <w:next w:val="Normal"/>
    <w:rsid w:val="0011418E"/>
    <w:pPr>
      <w:spacing w:before="60" w:line="240" w:lineRule="atLeast"/>
      <w:ind w:left="142" w:hanging="142"/>
    </w:pPr>
    <w:rPr>
      <w:sz w:val="20"/>
    </w:rPr>
  </w:style>
  <w:style w:type="paragraph" w:customStyle="1" w:styleId="CTA-">
    <w:name w:val="CTA -"/>
    <w:basedOn w:val="OPCParaBase"/>
    <w:rsid w:val="0011418E"/>
    <w:pPr>
      <w:spacing w:before="60" w:line="240" w:lineRule="atLeast"/>
      <w:ind w:left="85" w:hanging="85"/>
    </w:pPr>
    <w:rPr>
      <w:sz w:val="20"/>
    </w:rPr>
  </w:style>
  <w:style w:type="paragraph" w:customStyle="1" w:styleId="CTA---">
    <w:name w:val="CTA ---"/>
    <w:basedOn w:val="OPCParaBase"/>
    <w:next w:val="Normal"/>
    <w:rsid w:val="0011418E"/>
    <w:pPr>
      <w:spacing w:before="60" w:line="240" w:lineRule="atLeast"/>
      <w:ind w:left="198" w:hanging="198"/>
    </w:pPr>
    <w:rPr>
      <w:sz w:val="20"/>
    </w:rPr>
  </w:style>
  <w:style w:type="paragraph" w:customStyle="1" w:styleId="CTA----">
    <w:name w:val="CTA ----"/>
    <w:basedOn w:val="OPCParaBase"/>
    <w:next w:val="Normal"/>
    <w:rsid w:val="0011418E"/>
    <w:pPr>
      <w:spacing w:before="60" w:line="240" w:lineRule="atLeast"/>
      <w:ind w:left="255" w:hanging="255"/>
    </w:pPr>
    <w:rPr>
      <w:sz w:val="20"/>
    </w:rPr>
  </w:style>
  <w:style w:type="paragraph" w:customStyle="1" w:styleId="CTA1a">
    <w:name w:val="CTA 1(a)"/>
    <w:basedOn w:val="OPCParaBase"/>
    <w:rsid w:val="0011418E"/>
    <w:pPr>
      <w:tabs>
        <w:tab w:val="right" w:pos="414"/>
      </w:tabs>
      <w:spacing w:before="40" w:line="240" w:lineRule="atLeast"/>
      <w:ind w:left="675" w:hanging="675"/>
    </w:pPr>
    <w:rPr>
      <w:sz w:val="20"/>
    </w:rPr>
  </w:style>
  <w:style w:type="paragraph" w:customStyle="1" w:styleId="CTA1ai">
    <w:name w:val="CTA 1(a)(i)"/>
    <w:basedOn w:val="OPCParaBase"/>
    <w:rsid w:val="0011418E"/>
    <w:pPr>
      <w:tabs>
        <w:tab w:val="right" w:pos="1004"/>
      </w:tabs>
      <w:spacing w:before="40" w:line="240" w:lineRule="atLeast"/>
      <w:ind w:left="1253" w:hanging="1253"/>
    </w:pPr>
    <w:rPr>
      <w:sz w:val="20"/>
    </w:rPr>
  </w:style>
  <w:style w:type="paragraph" w:customStyle="1" w:styleId="CTA2a">
    <w:name w:val="CTA 2(a)"/>
    <w:basedOn w:val="OPCParaBase"/>
    <w:rsid w:val="0011418E"/>
    <w:pPr>
      <w:tabs>
        <w:tab w:val="right" w:pos="482"/>
      </w:tabs>
      <w:spacing w:before="40" w:line="240" w:lineRule="atLeast"/>
      <w:ind w:left="748" w:hanging="748"/>
    </w:pPr>
    <w:rPr>
      <w:sz w:val="20"/>
    </w:rPr>
  </w:style>
  <w:style w:type="paragraph" w:customStyle="1" w:styleId="CTA2ai">
    <w:name w:val="CTA 2(a)(i)"/>
    <w:basedOn w:val="OPCParaBase"/>
    <w:rsid w:val="0011418E"/>
    <w:pPr>
      <w:tabs>
        <w:tab w:val="right" w:pos="1089"/>
      </w:tabs>
      <w:spacing w:before="40" w:line="240" w:lineRule="atLeast"/>
      <w:ind w:left="1327" w:hanging="1327"/>
    </w:pPr>
    <w:rPr>
      <w:sz w:val="20"/>
    </w:rPr>
  </w:style>
  <w:style w:type="paragraph" w:customStyle="1" w:styleId="CTA3a">
    <w:name w:val="CTA 3(a)"/>
    <w:basedOn w:val="OPCParaBase"/>
    <w:rsid w:val="0011418E"/>
    <w:pPr>
      <w:tabs>
        <w:tab w:val="right" w:pos="556"/>
      </w:tabs>
      <w:spacing w:before="40" w:line="240" w:lineRule="atLeast"/>
      <w:ind w:left="805" w:hanging="805"/>
    </w:pPr>
    <w:rPr>
      <w:sz w:val="20"/>
    </w:rPr>
  </w:style>
  <w:style w:type="paragraph" w:customStyle="1" w:styleId="CTA3ai">
    <w:name w:val="CTA 3(a)(i)"/>
    <w:basedOn w:val="OPCParaBase"/>
    <w:rsid w:val="0011418E"/>
    <w:pPr>
      <w:tabs>
        <w:tab w:val="right" w:pos="1140"/>
      </w:tabs>
      <w:spacing w:before="40" w:line="240" w:lineRule="atLeast"/>
      <w:ind w:left="1361" w:hanging="1361"/>
    </w:pPr>
    <w:rPr>
      <w:sz w:val="20"/>
    </w:rPr>
  </w:style>
  <w:style w:type="paragraph" w:customStyle="1" w:styleId="CTA4a">
    <w:name w:val="CTA 4(a)"/>
    <w:basedOn w:val="OPCParaBase"/>
    <w:rsid w:val="0011418E"/>
    <w:pPr>
      <w:tabs>
        <w:tab w:val="right" w:pos="624"/>
      </w:tabs>
      <w:spacing w:before="40" w:line="240" w:lineRule="atLeast"/>
      <w:ind w:left="873" w:hanging="873"/>
    </w:pPr>
    <w:rPr>
      <w:sz w:val="20"/>
    </w:rPr>
  </w:style>
  <w:style w:type="paragraph" w:customStyle="1" w:styleId="CTA4ai">
    <w:name w:val="CTA 4(a)(i)"/>
    <w:basedOn w:val="OPCParaBase"/>
    <w:rsid w:val="0011418E"/>
    <w:pPr>
      <w:tabs>
        <w:tab w:val="right" w:pos="1213"/>
      </w:tabs>
      <w:spacing w:before="40" w:line="240" w:lineRule="atLeast"/>
      <w:ind w:left="1452" w:hanging="1452"/>
    </w:pPr>
    <w:rPr>
      <w:sz w:val="20"/>
    </w:rPr>
  </w:style>
  <w:style w:type="paragraph" w:customStyle="1" w:styleId="CTACAPS">
    <w:name w:val="CTA CAPS"/>
    <w:basedOn w:val="OPCParaBase"/>
    <w:rsid w:val="0011418E"/>
    <w:pPr>
      <w:spacing w:before="60" w:line="240" w:lineRule="atLeast"/>
    </w:pPr>
    <w:rPr>
      <w:sz w:val="20"/>
    </w:rPr>
  </w:style>
  <w:style w:type="paragraph" w:customStyle="1" w:styleId="CTAright">
    <w:name w:val="CTA right"/>
    <w:basedOn w:val="OPCParaBase"/>
    <w:rsid w:val="0011418E"/>
    <w:pPr>
      <w:spacing w:before="60" w:line="240" w:lineRule="auto"/>
      <w:jc w:val="right"/>
    </w:pPr>
    <w:rPr>
      <w:sz w:val="20"/>
    </w:rPr>
  </w:style>
  <w:style w:type="paragraph" w:customStyle="1" w:styleId="subsection">
    <w:name w:val="subsection"/>
    <w:aliases w:val="ss"/>
    <w:basedOn w:val="OPCParaBase"/>
    <w:link w:val="subsectionChar"/>
    <w:rsid w:val="0011418E"/>
    <w:pPr>
      <w:tabs>
        <w:tab w:val="right" w:pos="1021"/>
      </w:tabs>
      <w:spacing w:before="180" w:line="240" w:lineRule="auto"/>
      <w:ind w:left="1134" w:hanging="1134"/>
    </w:pPr>
  </w:style>
  <w:style w:type="paragraph" w:customStyle="1" w:styleId="Definition">
    <w:name w:val="Definition"/>
    <w:aliases w:val="dd"/>
    <w:basedOn w:val="OPCParaBase"/>
    <w:rsid w:val="0011418E"/>
    <w:pPr>
      <w:spacing w:before="180" w:line="240" w:lineRule="auto"/>
      <w:ind w:left="1134"/>
    </w:pPr>
  </w:style>
  <w:style w:type="paragraph" w:customStyle="1" w:styleId="ETAsubitem">
    <w:name w:val="ETA(subitem)"/>
    <w:basedOn w:val="OPCParaBase"/>
    <w:rsid w:val="0011418E"/>
    <w:pPr>
      <w:tabs>
        <w:tab w:val="right" w:pos="340"/>
      </w:tabs>
      <w:spacing w:before="60" w:line="240" w:lineRule="auto"/>
      <w:ind w:left="454" w:hanging="454"/>
    </w:pPr>
    <w:rPr>
      <w:sz w:val="20"/>
    </w:rPr>
  </w:style>
  <w:style w:type="paragraph" w:customStyle="1" w:styleId="ETApara">
    <w:name w:val="ETA(para)"/>
    <w:basedOn w:val="OPCParaBase"/>
    <w:rsid w:val="0011418E"/>
    <w:pPr>
      <w:tabs>
        <w:tab w:val="right" w:pos="754"/>
      </w:tabs>
      <w:spacing w:before="60" w:line="240" w:lineRule="auto"/>
      <w:ind w:left="828" w:hanging="828"/>
    </w:pPr>
    <w:rPr>
      <w:sz w:val="20"/>
    </w:rPr>
  </w:style>
  <w:style w:type="paragraph" w:customStyle="1" w:styleId="ETAsubpara">
    <w:name w:val="ETA(subpara)"/>
    <w:basedOn w:val="OPCParaBase"/>
    <w:rsid w:val="0011418E"/>
    <w:pPr>
      <w:tabs>
        <w:tab w:val="right" w:pos="1083"/>
      </w:tabs>
      <w:spacing w:before="60" w:line="240" w:lineRule="auto"/>
      <w:ind w:left="1191" w:hanging="1191"/>
    </w:pPr>
    <w:rPr>
      <w:sz w:val="20"/>
    </w:rPr>
  </w:style>
  <w:style w:type="paragraph" w:customStyle="1" w:styleId="ETAsub-subpara">
    <w:name w:val="ETA(sub-subpara)"/>
    <w:basedOn w:val="OPCParaBase"/>
    <w:rsid w:val="0011418E"/>
    <w:pPr>
      <w:tabs>
        <w:tab w:val="right" w:pos="1412"/>
      </w:tabs>
      <w:spacing w:before="60" w:line="240" w:lineRule="auto"/>
      <w:ind w:left="1525" w:hanging="1525"/>
    </w:pPr>
    <w:rPr>
      <w:sz w:val="20"/>
    </w:rPr>
  </w:style>
  <w:style w:type="paragraph" w:customStyle="1" w:styleId="Formula">
    <w:name w:val="Formula"/>
    <w:basedOn w:val="OPCParaBase"/>
    <w:rsid w:val="0011418E"/>
    <w:pPr>
      <w:spacing w:line="240" w:lineRule="auto"/>
      <w:ind w:left="1134"/>
    </w:pPr>
    <w:rPr>
      <w:sz w:val="20"/>
    </w:rPr>
  </w:style>
  <w:style w:type="paragraph" w:styleId="Header">
    <w:name w:val="header"/>
    <w:basedOn w:val="OPCParaBase"/>
    <w:link w:val="HeaderChar"/>
    <w:unhideWhenUsed/>
    <w:rsid w:val="0011418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1418E"/>
    <w:rPr>
      <w:rFonts w:eastAsia="Times New Roman" w:cs="Times New Roman"/>
      <w:sz w:val="16"/>
      <w:lang w:eastAsia="en-AU"/>
    </w:rPr>
  </w:style>
  <w:style w:type="paragraph" w:customStyle="1" w:styleId="House">
    <w:name w:val="House"/>
    <w:basedOn w:val="OPCParaBase"/>
    <w:rsid w:val="0011418E"/>
    <w:pPr>
      <w:spacing w:line="240" w:lineRule="auto"/>
    </w:pPr>
    <w:rPr>
      <w:sz w:val="28"/>
    </w:rPr>
  </w:style>
  <w:style w:type="paragraph" w:customStyle="1" w:styleId="Item">
    <w:name w:val="Item"/>
    <w:aliases w:val="i"/>
    <w:basedOn w:val="OPCParaBase"/>
    <w:next w:val="ItemHead"/>
    <w:rsid w:val="0011418E"/>
    <w:pPr>
      <w:keepLines/>
      <w:spacing w:before="80" w:line="240" w:lineRule="auto"/>
      <w:ind w:left="709"/>
    </w:pPr>
  </w:style>
  <w:style w:type="paragraph" w:customStyle="1" w:styleId="ItemHead">
    <w:name w:val="ItemHead"/>
    <w:aliases w:val="ih"/>
    <w:basedOn w:val="OPCParaBase"/>
    <w:next w:val="Item"/>
    <w:rsid w:val="0011418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1418E"/>
    <w:pPr>
      <w:spacing w:line="240" w:lineRule="auto"/>
    </w:pPr>
    <w:rPr>
      <w:b/>
      <w:sz w:val="32"/>
    </w:rPr>
  </w:style>
  <w:style w:type="paragraph" w:customStyle="1" w:styleId="notedraft">
    <w:name w:val="note(draft)"/>
    <w:aliases w:val="nd"/>
    <w:basedOn w:val="OPCParaBase"/>
    <w:rsid w:val="0011418E"/>
    <w:pPr>
      <w:spacing w:before="240" w:line="240" w:lineRule="auto"/>
      <w:ind w:left="284" w:hanging="284"/>
    </w:pPr>
    <w:rPr>
      <w:i/>
      <w:sz w:val="24"/>
    </w:rPr>
  </w:style>
  <w:style w:type="paragraph" w:customStyle="1" w:styleId="notemargin">
    <w:name w:val="note(margin)"/>
    <w:aliases w:val="nm"/>
    <w:basedOn w:val="OPCParaBase"/>
    <w:rsid w:val="0011418E"/>
    <w:pPr>
      <w:tabs>
        <w:tab w:val="left" w:pos="709"/>
      </w:tabs>
      <w:spacing w:before="122" w:line="198" w:lineRule="exact"/>
      <w:ind w:left="709" w:hanging="709"/>
    </w:pPr>
    <w:rPr>
      <w:sz w:val="18"/>
    </w:rPr>
  </w:style>
  <w:style w:type="paragraph" w:customStyle="1" w:styleId="noteToPara">
    <w:name w:val="noteToPara"/>
    <w:aliases w:val="ntp"/>
    <w:basedOn w:val="OPCParaBase"/>
    <w:rsid w:val="0011418E"/>
    <w:pPr>
      <w:spacing w:before="122" w:line="198" w:lineRule="exact"/>
      <w:ind w:left="2353" w:hanging="709"/>
    </w:pPr>
    <w:rPr>
      <w:sz w:val="18"/>
    </w:rPr>
  </w:style>
  <w:style w:type="paragraph" w:customStyle="1" w:styleId="noteParlAmend">
    <w:name w:val="note(ParlAmend)"/>
    <w:aliases w:val="npp"/>
    <w:basedOn w:val="OPCParaBase"/>
    <w:next w:val="ParlAmend"/>
    <w:rsid w:val="0011418E"/>
    <w:pPr>
      <w:spacing w:line="240" w:lineRule="auto"/>
      <w:jc w:val="right"/>
    </w:pPr>
    <w:rPr>
      <w:rFonts w:ascii="Arial" w:hAnsi="Arial"/>
      <w:b/>
      <w:i/>
    </w:rPr>
  </w:style>
  <w:style w:type="paragraph" w:customStyle="1" w:styleId="Page1">
    <w:name w:val="Page1"/>
    <w:basedOn w:val="OPCParaBase"/>
    <w:rsid w:val="0011418E"/>
    <w:pPr>
      <w:spacing w:before="5600" w:line="240" w:lineRule="auto"/>
    </w:pPr>
    <w:rPr>
      <w:b/>
      <w:sz w:val="32"/>
    </w:rPr>
  </w:style>
  <w:style w:type="paragraph" w:customStyle="1" w:styleId="PageBreak">
    <w:name w:val="PageBreak"/>
    <w:aliases w:val="pb"/>
    <w:basedOn w:val="OPCParaBase"/>
    <w:rsid w:val="0011418E"/>
    <w:pPr>
      <w:spacing w:line="240" w:lineRule="auto"/>
    </w:pPr>
    <w:rPr>
      <w:sz w:val="20"/>
    </w:rPr>
  </w:style>
  <w:style w:type="paragraph" w:customStyle="1" w:styleId="paragraphsub">
    <w:name w:val="paragraph(sub)"/>
    <w:aliases w:val="aa"/>
    <w:basedOn w:val="OPCParaBase"/>
    <w:rsid w:val="0011418E"/>
    <w:pPr>
      <w:tabs>
        <w:tab w:val="right" w:pos="1985"/>
      </w:tabs>
      <w:spacing w:before="40" w:line="240" w:lineRule="auto"/>
      <w:ind w:left="2098" w:hanging="2098"/>
    </w:pPr>
  </w:style>
  <w:style w:type="paragraph" w:customStyle="1" w:styleId="paragraphsub-sub">
    <w:name w:val="paragraph(sub-sub)"/>
    <w:aliases w:val="aaa"/>
    <w:basedOn w:val="OPCParaBase"/>
    <w:rsid w:val="0011418E"/>
    <w:pPr>
      <w:tabs>
        <w:tab w:val="right" w:pos="2722"/>
      </w:tabs>
      <w:spacing w:before="40" w:line="240" w:lineRule="auto"/>
      <w:ind w:left="2835" w:hanging="2835"/>
    </w:pPr>
  </w:style>
  <w:style w:type="paragraph" w:customStyle="1" w:styleId="paragraph">
    <w:name w:val="paragraph"/>
    <w:aliases w:val="a"/>
    <w:basedOn w:val="OPCParaBase"/>
    <w:link w:val="paragraphChar"/>
    <w:rsid w:val="0011418E"/>
    <w:pPr>
      <w:tabs>
        <w:tab w:val="right" w:pos="1531"/>
      </w:tabs>
      <w:spacing w:before="40" w:line="240" w:lineRule="auto"/>
      <w:ind w:left="1644" w:hanging="1644"/>
    </w:pPr>
  </w:style>
  <w:style w:type="paragraph" w:customStyle="1" w:styleId="ParlAmend">
    <w:name w:val="ParlAmend"/>
    <w:aliases w:val="pp"/>
    <w:basedOn w:val="OPCParaBase"/>
    <w:rsid w:val="0011418E"/>
    <w:pPr>
      <w:spacing w:before="240" w:line="240" w:lineRule="atLeast"/>
      <w:ind w:hanging="567"/>
    </w:pPr>
    <w:rPr>
      <w:sz w:val="24"/>
    </w:rPr>
  </w:style>
  <w:style w:type="paragraph" w:customStyle="1" w:styleId="Penalty">
    <w:name w:val="Penalty"/>
    <w:basedOn w:val="OPCParaBase"/>
    <w:rsid w:val="0011418E"/>
    <w:pPr>
      <w:tabs>
        <w:tab w:val="left" w:pos="2977"/>
      </w:tabs>
      <w:spacing w:before="180" w:line="240" w:lineRule="auto"/>
      <w:ind w:left="1985" w:hanging="851"/>
    </w:pPr>
  </w:style>
  <w:style w:type="paragraph" w:customStyle="1" w:styleId="Portfolio">
    <w:name w:val="Portfolio"/>
    <w:basedOn w:val="OPCParaBase"/>
    <w:rsid w:val="0011418E"/>
    <w:pPr>
      <w:spacing w:line="240" w:lineRule="auto"/>
    </w:pPr>
    <w:rPr>
      <w:i/>
      <w:sz w:val="20"/>
    </w:rPr>
  </w:style>
  <w:style w:type="paragraph" w:customStyle="1" w:styleId="Preamble">
    <w:name w:val="Preamble"/>
    <w:basedOn w:val="OPCParaBase"/>
    <w:next w:val="Normal"/>
    <w:rsid w:val="0011418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1418E"/>
    <w:pPr>
      <w:spacing w:line="240" w:lineRule="auto"/>
    </w:pPr>
    <w:rPr>
      <w:i/>
      <w:sz w:val="20"/>
    </w:rPr>
  </w:style>
  <w:style w:type="paragraph" w:customStyle="1" w:styleId="Session">
    <w:name w:val="Session"/>
    <w:basedOn w:val="OPCParaBase"/>
    <w:rsid w:val="0011418E"/>
    <w:pPr>
      <w:spacing w:line="240" w:lineRule="auto"/>
    </w:pPr>
    <w:rPr>
      <w:sz w:val="28"/>
    </w:rPr>
  </w:style>
  <w:style w:type="paragraph" w:customStyle="1" w:styleId="Sponsor">
    <w:name w:val="Sponsor"/>
    <w:basedOn w:val="OPCParaBase"/>
    <w:rsid w:val="0011418E"/>
    <w:pPr>
      <w:spacing w:line="240" w:lineRule="auto"/>
    </w:pPr>
    <w:rPr>
      <w:i/>
    </w:rPr>
  </w:style>
  <w:style w:type="paragraph" w:customStyle="1" w:styleId="Subitem">
    <w:name w:val="Subitem"/>
    <w:aliases w:val="iss"/>
    <w:basedOn w:val="OPCParaBase"/>
    <w:rsid w:val="0011418E"/>
    <w:pPr>
      <w:spacing w:before="180" w:line="240" w:lineRule="auto"/>
      <w:ind w:left="709" w:hanging="709"/>
    </w:pPr>
  </w:style>
  <w:style w:type="paragraph" w:customStyle="1" w:styleId="SubitemHead">
    <w:name w:val="SubitemHead"/>
    <w:aliases w:val="issh"/>
    <w:basedOn w:val="OPCParaBase"/>
    <w:rsid w:val="0011418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1418E"/>
    <w:pPr>
      <w:spacing w:before="40" w:line="240" w:lineRule="auto"/>
      <w:ind w:left="1134"/>
    </w:pPr>
  </w:style>
  <w:style w:type="paragraph" w:customStyle="1" w:styleId="SubsectionHead">
    <w:name w:val="SubsectionHead"/>
    <w:aliases w:val="ssh"/>
    <w:basedOn w:val="OPCParaBase"/>
    <w:next w:val="subsection"/>
    <w:rsid w:val="0011418E"/>
    <w:pPr>
      <w:keepNext/>
      <w:keepLines/>
      <w:spacing w:before="240" w:line="240" w:lineRule="auto"/>
      <w:ind w:left="1134"/>
    </w:pPr>
    <w:rPr>
      <w:i/>
    </w:rPr>
  </w:style>
  <w:style w:type="paragraph" w:customStyle="1" w:styleId="Tablea">
    <w:name w:val="Table(a)"/>
    <w:aliases w:val="ta"/>
    <w:basedOn w:val="OPCParaBase"/>
    <w:rsid w:val="0011418E"/>
    <w:pPr>
      <w:spacing w:before="60" w:line="240" w:lineRule="auto"/>
      <w:ind w:left="284" w:hanging="284"/>
    </w:pPr>
    <w:rPr>
      <w:sz w:val="20"/>
    </w:rPr>
  </w:style>
  <w:style w:type="paragraph" w:customStyle="1" w:styleId="TableAA">
    <w:name w:val="Table(AA)"/>
    <w:aliases w:val="taaa"/>
    <w:basedOn w:val="OPCParaBase"/>
    <w:rsid w:val="0011418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1418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1418E"/>
    <w:pPr>
      <w:spacing w:before="60" w:line="240" w:lineRule="atLeast"/>
    </w:pPr>
    <w:rPr>
      <w:sz w:val="20"/>
    </w:rPr>
  </w:style>
  <w:style w:type="paragraph" w:customStyle="1" w:styleId="TLPBoxTextnote">
    <w:name w:val="TLPBoxText(note"/>
    <w:aliases w:val="right)"/>
    <w:basedOn w:val="OPCParaBase"/>
    <w:rsid w:val="0011418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1418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1418E"/>
    <w:pPr>
      <w:spacing w:before="122" w:line="198" w:lineRule="exact"/>
      <w:ind w:left="1985" w:hanging="851"/>
      <w:jc w:val="right"/>
    </w:pPr>
    <w:rPr>
      <w:sz w:val="18"/>
    </w:rPr>
  </w:style>
  <w:style w:type="paragraph" w:customStyle="1" w:styleId="TLPTableBullet">
    <w:name w:val="TLPTableBullet"/>
    <w:aliases w:val="ttb"/>
    <w:basedOn w:val="OPCParaBase"/>
    <w:rsid w:val="0011418E"/>
    <w:pPr>
      <w:spacing w:line="240" w:lineRule="exact"/>
      <w:ind w:left="284" w:hanging="284"/>
    </w:pPr>
    <w:rPr>
      <w:sz w:val="20"/>
    </w:rPr>
  </w:style>
  <w:style w:type="paragraph" w:styleId="TOC1">
    <w:name w:val="toc 1"/>
    <w:basedOn w:val="OPCParaBase"/>
    <w:next w:val="Normal"/>
    <w:uiPriority w:val="39"/>
    <w:semiHidden/>
    <w:unhideWhenUsed/>
    <w:rsid w:val="0011418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11418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1418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1418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11418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1418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1418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1418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1418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1418E"/>
    <w:pPr>
      <w:keepLines/>
      <w:spacing w:before="240" w:after="120" w:line="240" w:lineRule="auto"/>
      <w:ind w:left="794"/>
    </w:pPr>
    <w:rPr>
      <w:b/>
      <w:kern w:val="28"/>
      <w:sz w:val="20"/>
    </w:rPr>
  </w:style>
  <w:style w:type="paragraph" w:customStyle="1" w:styleId="TofSectsHeading">
    <w:name w:val="TofSects(Heading)"/>
    <w:basedOn w:val="OPCParaBase"/>
    <w:rsid w:val="0011418E"/>
    <w:pPr>
      <w:spacing w:before="240" w:after="120" w:line="240" w:lineRule="auto"/>
    </w:pPr>
    <w:rPr>
      <w:b/>
      <w:sz w:val="24"/>
    </w:rPr>
  </w:style>
  <w:style w:type="paragraph" w:customStyle="1" w:styleId="TofSectsSection">
    <w:name w:val="TofSects(Section)"/>
    <w:basedOn w:val="OPCParaBase"/>
    <w:rsid w:val="0011418E"/>
    <w:pPr>
      <w:keepLines/>
      <w:spacing w:before="40" w:line="240" w:lineRule="auto"/>
      <w:ind w:left="1588" w:hanging="794"/>
    </w:pPr>
    <w:rPr>
      <w:kern w:val="28"/>
      <w:sz w:val="18"/>
    </w:rPr>
  </w:style>
  <w:style w:type="paragraph" w:customStyle="1" w:styleId="TofSectsSubdiv">
    <w:name w:val="TofSects(Subdiv)"/>
    <w:basedOn w:val="OPCParaBase"/>
    <w:rsid w:val="0011418E"/>
    <w:pPr>
      <w:keepLines/>
      <w:spacing w:before="80" w:line="240" w:lineRule="auto"/>
      <w:ind w:left="1588" w:hanging="794"/>
    </w:pPr>
    <w:rPr>
      <w:kern w:val="28"/>
    </w:rPr>
  </w:style>
  <w:style w:type="paragraph" w:customStyle="1" w:styleId="WRStyle">
    <w:name w:val="WR Style"/>
    <w:aliases w:val="WR"/>
    <w:basedOn w:val="OPCParaBase"/>
    <w:rsid w:val="0011418E"/>
    <w:pPr>
      <w:spacing w:before="240" w:line="240" w:lineRule="auto"/>
      <w:ind w:left="284" w:hanging="284"/>
    </w:pPr>
    <w:rPr>
      <w:b/>
      <w:i/>
      <w:kern w:val="28"/>
      <w:sz w:val="24"/>
    </w:rPr>
  </w:style>
  <w:style w:type="paragraph" w:customStyle="1" w:styleId="notepara">
    <w:name w:val="note(para)"/>
    <w:aliases w:val="na"/>
    <w:basedOn w:val="OPCParaBase"/>
    <w:rsid w:val="0011418E"/>
    <w:pPr>
      <w:spacing w:before="40" w:line="198" w:lineRule="exact"/>
      <w:ind w:left="2354" w:hanging="369"/>
    </w:pPr>
    <w:rPr>
      <w:sz w:val="18"/>
    </w:rPr>
  </w:style>
  <w:style w:type="paragraph" w:styleId="Footer">
    <w:name w:val="footer"/>
    <w:link w:val="FooterChar"/>
    <w:rsid w:val="0011418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1418E"/>
    <w:rPr>
      <w:rFonts w:eastAsia="Times New Roman" w:cs="Times New Roman"/>
      <w:sz w:val="22"/>
      <w:szCs w:val="24"/>
      <w:lang w:eastAsia="en-AU"/>
    </w:rPr>
  </w:style>
  <w:style w:type="character" w:styleId="LineNumber">
    <w:name w:val="line number"/>
    <w:basedOn w:val="OPCCharBase"/>
    <w:uiPriority w:val="99"/>
    <w:semiHidden/>
    <w:unhideWhenUsed/>
    <w:rsid w:val="0011418E"/>
    <w:rPr>
      <w:sz w:val="16"/>
    </w:rPr>
  </w:style>
  <w:style w:type="table" w:customStyle="1" w:styleId="CFlag">
    <w:name w:val="CFlag"/>
    <w:basedOn w:val="TableNormal"/>
    <w:uiPriority w:val="99"/>
    <w:rsid w:val="0011418E"/>
    <w:rPr>
      <w:rFonts w:eastAsia="Times New Roman" w:cs="Times New Roman"/>
      <w:lang w:eastAsia="en-AU"/>
    </w:rPr>
    <w:tblPr/>
  </w:style>
  <w:style w:type="paragraph" w:customStyle="1" w:styleId="NotesHeading1">
    <w:name w:val="NotesHeading 1"/>
    <w:basedOn w:val="OPCParaBase"/>
    <w:next w:val="Normal"/>
    <w:rsid w:val="0011418E"/>
    <w:rPr>
      <w:b/>
      <w:sz w:val="28"/>
      <w:szCs w:val="28"/>
    </w:rPr>
  </w:style>
  <w:style w:type="paragraph" w:customStyle="1" w:styleId="NotesHeading2">
    <w:name w:val="NotesHeading 2"/>
    <w:basedOn w:val="OPCParaBase"/>
    <w:next w:val="Normal"/>
    <w:rsid w:val="0011418E"/>
    <w:rPr>
      <w:b/>
      <w:sz w:val="28"/>
      <w:szCs w:val="28"/>
    </w:rPr>
  </w:style>
  <w:style w:type="paragraph" w:customStyle="1" w:styleId="SignCoverPageEnd">
    <w:name w:val="SignCoverPageEnd"/>
    <w:basedOn w:val="OPCParaBase"/>
    <w:next w:val="Normal"/>
    <w:rsid w:val="0011418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1418E"/>
    <w:pPr>
      <w:pBdr>
        <w:top w:val="single" w:sz="4" w:space="1" w:color="auto"/>
      </w:pBdr>
      <w:spacing w:before="360"/>
      <w:ind w:right="397"/>
      <w:jc w:val="both"/>
    </w:pPr>
  </w:style>
  <w:style w:type="paragraph" w:customStyle="1" w:styleId="Paragraphsub-sub-sub">
    <w:name w:val="Paragraph(sub-sub-sub)"/>
    <w:aliases w:val="aaaa"/>
    <w:basedOn w:val="OPCParaBase"/>
    <w:rsid w:val="0011418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1418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1418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1418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1418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1418E"/>
    <w:pPr>
      <w:spacing w:before="120"/>
    </w:pPr>
  </w:style>
  <w:style w:type="paragraph" w:customStyle="1" w:styleId="TableTextEndNotes">
    <w:name w:val="TableTextEndNotes"/>
    <w:aliases w:val="Tten"/>
    <w:basedOn w:val="Normal"/>
    <w:rsid w:val="0011418E"/>
    <w:pPr>
      <w:spacing w:before="60" w:line="240" w:lineRule="auto"/>
    </w:pPr>
    <w:rPr>
      <w:rFonts w:cs="Arial"/>
      <w:sz w:val="20"/>
      <w:szCs w:val="22"/>
    </w:rPr>
  </w:style>
  <w:style w:type="paragraph" w:customStyle="1" w:styleId="TableHeading">
    <w:name w:val="TableHeading"/>
    <w:aliases w:val="th"/>
    <w:basedOn w:val="OPCParaBase"/>
    <w:next w:val="Tabletext"/>
    <w:rsid w:val="0011418E"/>
    <w:pPr>
      <w:keepNext/>
      <w:spacing w:before="60" w:line="240" w:lineRule="atLeast"/>
    </w:pPr>
    <w:rPr>
      <w:b/>
      <w:sz w:val="20"/>
    </w:rPr>
  </w:style>
  <w:style w:type="paragraph" w:customStyle="1" w:styleId="NoteToSubpara">
    <w:name w:val="NoteToSubpara"/>
    <w:aliases w:val="nts"/>
    <w:basedOn w:val="OPCParaBase"/>
    <w:rsid w:val="0011418E"/>
    <w:pPr>
      <w:spacing w:before="40" w:line="198" w:lineRule="exact"/>
      <w:ind w:left="2835" w:hanging="709"/>
    </w:pPr>
    <w:rPr>
      <w:sz w:val="18"/>
    </w:rPr>
  </w:style>
  <w:style w:type="paragraph" w:customStyle="1" w:styleId="ENoteTableHeading">
    <w:name w:val="ENoteTableHeading"/>
    <w:aliases w:val="enth"/>
    <w:basedOn w:val="OPCParaBase"/>
    <w:rsid w:val="0011418E"/>
    <w:pPr>
      <w:keepNext/>
      <w:spacing w:before="60" w:line="240" w:lineRule="atLeast"/>
    </w:pPr>
    <w:rPr>
      <w:rFonts w:ascii="Arial" w:hAnsi="Arial"/>
      <w:b/>
      <w:sz w:val="16"/>
    </w:rPr>
  </w:style>
  <w:style w:type="paragraph" w:customStyle="1" w:styleId="ENoteTTi">
    <w:name w:val="ENoteTTi"/>
    <w:aliases w:val="entti"/>
    <w:basedOn w:val="OPCParaBase"/>
    <w:rsid w:val="0011418E"/>
    <w:pPr>
      <w:keepNext/>
      <w:spacing w:before="60" w:line="240" w:lineRule="atLeast"/>
      <w:ind w:left="170"/>
    </w:pPr>
    <w:rPr>
      <w:sz w:val="16"/>
    </w:rPr>
  </w:style>
  <w:style w:type="paragraph" w:customStyle="1" w:styleId="ENotesHeading1">
    <w:name w:val="ENotesHeading 1"/>
    <w:aliases w:val="Enh1"/>
    <w:basedOn w:val="OPCParaBase"/>
    <w:next w:val="Normal"/>
    <w:rsid w:val="0011418E"/>
    <w:pPr>
      <w:spacing w:before="120"/>
      <w:outlineLvl w:val="1"/>
    </w:pPr>
    <w:rPr>
      <w:b/>
      <w:sz w:val="28"/>
      <w:szCs w:val="28"/>
    </w:rPr>
  </w:style>
  <w:style w:type="paragraph" w:customStyle="1" w:styleId="ENotesHeading2">
    <w:name w:val="ENotesHeading 2"/>
    <w:aliases w:val="Enh2"/>
    <w:basedOn w:val="OPCParaBase"/>
    <w:next w:val="Normal"/>
    <w:rsid w:val="0011418E"/>
    <w:pPr>
      <w:spacing w:before="120" w:after="120"/>
      <w:outlineLvl w:val="2"/>
    </w:pPr>
    <w:rPr>
      <w:b/>
      <w:sz w:val="24"/>
      <w:szCs w:val="28"/>
    </w:rPr>
  </w:style>
  <w:style w:type="paragraph" w:customStyle="1" w:styleId="ENoteTTIndentHeading">
    <w:name w:val="ENoteTTIndentHeading"/>
    <w:aliases w:val="enTTHi"/>
    <w:basedOn w:val="OPCParaBase"/>
    <w:rsid w:val="0011418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1418E"/>
    <w:pPr>
      <w:spacing w:before="60" w:line="240" w:lineRule="atLeast"/>
    </w:pPr>
    <w:rPr>
      <w:sz w:val="16"/>
    </w:rPr>
  </w:style>
  <w:style w:type="paragraph" w:customStyle="1" w:styleId="MadeunderText">
    <w:name w:val="MadeunderText"/>
    <w:basedOn w:val="OPCParaBase"/>
    <w:next w:val="Normal"/>
    <w:rsid w:val="0011418E"/>
    <w:pPr>
      <w:spacing w:before="240"/>
    </w:pPr>
    <w:rPr>
      <w:sz w:val="24"/>
      <w:szCs w:val="24"/>
    </w:rPr>
  </w:style>
  <w:style w:type="paragraph" w:customStyle="1" w:styleId="ENotesHeading3">
    <w:name w:val="ENotesHeading 3"/>
    <w:aliases w:val="Enh3"/>
    <w:basedOn w:val="OPCParaBase"/>
    <w:next w:val="Normal"/>
    <w:rsid w:val="0011418E"/>
    <w:pPr>
      <w:keepNext/>
      <w:spacing w:before="120" w:line="240" w:lineRule="auto"/>
      <w:outlineLvl w:val="4"/>
    </w:pPr>
    <w:rPr>
      <w:b/>
      <w:szCs w:val="24"/>
    </w:rPr>
  </w:style>
  <w:style w:type="paragraph" w:customStyle="1" w:styleId="SubPartCASA">
    <w:name w:val="SubPart(CASA)"/>
    <w:aliases w:val="csp"/>
    <w:basedOn w:val="OPCParaBase"/>
    <w:next w:val="ActHead3"/>
    <w:rsid w:val="0011418E"/>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1418E"/>
  </w:style>
  <w:style w:type="character" w:customStyle="1" w:styleId="CharSubPartNoCASA">
    <w:name w:val="CharSubPartNo(CASA)"/>
    <w:basedOn w:val="OPCCharBase"/>
    <w:uiPriority w:val="1"/>
    <w:rsid w:val="0011418E"/>
  </w:style>
  <w:style w:type="paragraph" w:customStyle="1" w:styleId="ENoteTTIndentHeadingSub">
    <w:name w:val="ENoteTTIndentHeadingSub"/>
    <w:aliases w:val="enTTHis"/>
    <w:basedOn w:val="OPCParaBase"/>
    <w:rsid w:val="0011418E"/>
    <w:pPr>
      <w:keepNext/>
      <w:spacing w:before="60" w:line="240" w:lineRule="atLeast"/>
      <w:ind w:left="340"/>
    </w:pPr>
    <w:rPr>
      <w:b/>
      <w:sz w:val="16"/>
    </w:rPr>
  </w:style>
  <w:style w:type="paragraph" w:customStyle="1" w:styleId="ENoteTTiSub">
    <w:name w:val="ENoteTTiSub"/>
    <w:aliases w:val="enttis"/>
    <w:basedOn w:val="OPCParaBase"/>
    <w:rsid w:val="0011418E"/>
    <w:pPr>
      <w:keepNext/>
      <w:spacing w:before="60" w:line="240" w:lineRule="atLeast"/>
      <w:ind w:left="340"/>
    </w:pPr>
    <w:rPr>
      <w:sz w:val="16"/>
    </w:rPr>
  </w:style>
  <w:style w:type="paragraph" w:customStyle="1" w:styleId="SubDivisionMigration">
    <w:name w:val="SubDivisionMigration"/>
    <w:aliases w:val="sdm"/>
    <w:basedOn w:val="OPCParaBase"/>
    <w:rsid w:val="0011418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1418E"/>
    <w:pPr>
      <w:keepNext/>
      <w:keepLines/>
      <w:spacing w:before="240" w:line="240" w:lineRule="auto"/>
      <w:ind w:left="1134" w:hanging="1134"/>
    </w:pPr>
    <w:rPr>
      <w:b/>
      <w:sz w:val="28"/>
    </w:rPr>
  </w:style>
  <w:style w:type="table" w:styleId="TableGrid">
    <w:name w:val="Table Grid"/>
    <w:basedOn w:val="TableNormal"/>
    <w:uiPriority w:val="59"/>
    <w:rsid w:val="00114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1418E"/>
    <w:pPr>
      <w:spacing w:before="122" w:line="240" w:lineRule="auto"/>
      <w:ind w:left="1985" w:hanging="851"/>
    </w:pPr>
    <w:rPr>
      <w:sz w:val="18"/>
    </w:rPr>
  </w:style>
  <w:style w:type="paragraph" w:customStyle="1" w:styleId="FreeForm">
    <w:name w:val="FreeForm"/>
    <w:rsid w:val="0011418E"/>
    <w:rPr>
      <w:rFonts w:ascii="Arial" w:hAnsi="Arial"/>
      <w:sz w:val="22"/>
    </w:rPr>
  </w:style>
  <w:style w:type="paragraph" w:customStyle="1" w:styleId="SOText">
    <w:name w:val="SO Text"/>
    <w:aliases w:val="sot"/>
    <w:link w:val="SOTextChar"/>
    <w:rsid w:val="0011418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1418E"/>
    <w:rPr>
      <w:sz w:val="22"/>
    </w:rPr>
  </w:style>
  <w:style w:type="paragraph" w:customStyle="1" w:styleId="SOTextNote">
    <w:name w:val="SO TextNote"/>
    <w:aliases w:val="sont"/>
    <w:basedOn w:val="SOText"/>
    <w:qFormat/>
    <w:rsid w:val="0011418E"/>
    <w:pPr>
      <w:spacing w:before="122" w:line="198" w:lineRule="exact"/>
      <w:ind w:left="1843" w:hanging="709"/>
    </w:pPr>
    <w:rPr>
      <w:sz w:val="18"/>
    </w:rPr>
  </w:style>
  <w:style w:type="paragraph" w:customStyle="1" w:styleId="SOPara">
    <w:name w:val="SO Para"/>
    <w:aliases w:val="soa"/>
    <w:basedOn w:val="SOText"/>
    <w:link w:val="SOParaChar"/>
    <w:qFormat/>
    <w:rsid w:val="0011418E"/>
    <w:pPr>
      <w:tabs>
        <w:tab w:val="right" w:pos="1786"/>
      </w:tabs>
      <w:spacing w:before="40"/>
      <w:ind w:left="2070" w:hanging="936"/>
    </w:pPr>
  </w:style>
  <w:style w:type="character" w:customStyle="1" w:styleId="SOParaChar">
    <w:name w:val="SO Para Char"/>
    <w:aliases w:val="soa Char"/>
    <w:basedOn w:val="DefaultParagraphFont"/>
    <w:link w:val="SOPara"/>
    <w:rsid w:val="0011418E"/>
    <w:rPr>
      <w:sz w:val="22"/>
    </w:rPr>
  </w:style>
  <w:style w:type="paragraph" w:customStyle="1" w:styleId="FileName">
    <w:name w:val="FileName"/>
    <w:basedOn w:val="Normal"/>
    <w:rsid w:val="0011418E"/>
  </w:style>
  <w:style w:type="paragraph" w:customStyle="1" w:styleId="SOHeadBold">
    <w:name w:val="SO HeadBold"/>
    <w:aliases w:val="sohb"/>
    <w:basedOn w:val="SOText"/>
    <w:next w:val="SOText"/>
    <w:link w:val="SOHeadBoldChar"/>
    <w:qFormat/>
    <w:rsid w:val="0011418E"/>
    <w:rPr>
      <w:b/>
    </w:rPr>
  </w:style>
  <w:style w:type="character" w:customStyle="1" w:styleId="SOHeadBoldChar">
    <w:name w:val="SO HeadBold Char"/>
    <w:aliases w:val="sohb Char"/>
    <w:basedOn w:val="DefaultParagraphFont"/>
    <w:link w:val="SOHeadBold"/>
    <w:rsid w:val="0011418E"/>
    <w:rPr>
      <w:b/>
      <w:sz w:val="22"/>
    </w:rPr>
  </w:style>
  <w:style w:type="paragraph" w:customStyle="1" w:styleId="SOHeadItalic">
    <w:name w:val="SO HeadItalic"/>
    <w:aliases w:val="sohi"/>
    <w:basedOn w:val="SOText"/>
    <w:next w:val="SOText"/>
    <w:link w:val="SOHeadItalicChar"/>
    <w:qFormat/>
    <w:rsid w:val="0011418E"/>
    <w:rPr>
      <w:i/>
    </w:rPr>
  </w:style>
  <w:style w:type="character" w:customStyle="1" w:styleId="SOHeadItalicChar">
    <w:name w:val="SO HeadItalic Char"/>
    <w:aliases w:val="sohi Char"/>
    <w:basedOn w:val="DefaultParagraphFont"/>
    <w:link w:val="SOHeadItalic"/>
    <w:rsid w:val="0011418E"/>
    <w:rPr>
      <w:i/>
      <w:sz w:val="22"/>
    </w:rPr>
  </w:style>
  <w:style w:type="paragraph" w:customStyle="1" w:styleId="SOBullet">
    <w:name w:val="SO Bullet"/>
    <w:aliases w:val="sotb"/>
    <w:basedOn w:val="SOText"/>
    <w:link w:val="SOBulletChar"/>
    <w:qFormat/>
    <w:rsid w:val="0011418E"/>
    <w:pPr>
      <w:ind w:left="1559" w:hanging="425"/>
    </w:pPr>
  </w:style>
  <w:style w:type="character" w:customStyle="1" w:styleId="SOBulletChar">
    <w:name w:val="SO Bullet Char"/>
    <w:aliases w:val="sotb Char"/>
    <w:basedOn w:val="DefaultParagraphFont"/>
    <w:link w:val="SOBullet"/>
    <w:rsid w:val="0011418E"/>
    <w:rPr>
      <w:sz w:val="22"/>
    </w:rPr>
  </w:style>
  <w:style w:type="paragraph" w:customStyle="1" w:styleId="SOBulletNote">
    <w:name w:val="SO BulletNote"/>
    <w:aliases w:val="sonb"/>
    <w:basedOn w:val="SOTextNote"/>
    <w:link w:val="SOBulletNoteChar"/>
    <w:qFormat/>
    <w:rsid w:val="0011418E"/>
    <w:pPr>
      <w:tabs>
        <w:tab w:val="left" w:pos="1560"/>
      </w:tabs>
      <w:ind w:left="2268" w:hanging="1134"/>
    </w:pPr>
  </w:style>
  <w:style w:type="character" w:customStyle="1" w:styleId="SOBulletNoteChar">
    <w:name w:val="SO BulletNote Char"/>
    <w:aliases w:val="sonb Char"/>
    <w:basedOn w:val="DefaultParagraphFont"/>
    <w:link w:val="SOBulletNote"/>
    <w:rsid w:val="0011418E"/>
    <w:rPr>
      <w:sz w:val="18"/>
    </w:rPr>
  </w:style>
  <w:style w:type="paragraph" w:customStyle="1" w:styleId="SOText2">
    <w:name w:val="SO Text2"/>
    <w:aliases w:val="sot2"/>
    <w:basedOn w:val="Normal"/>
    <w:next w:val="SOText"/>
    <w:link w:val="SOText2Char"/>
    <w:rsid w:val="0011418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1418E"/>
    <w:rPr>
      <w:sz w:val="22"/>
    </w:rPr>
  </w:style>
  <w:style w:type="paragraph" w:customStyle="1" w:styleId="Transitional">
    <w:name w:val="Transitional"/>
    <w:aliases w:val="tr"/>
    <w:basedOn w:val="ItemHead"/>
    <w:next w:val="Item"/>
    <w:rsid w:val="0011418E"/>
  </w:style>
  <w:style w:type="character" w:customStyle="1" w:styleId="notetextChar">
    <w:name w:val="note(text) Char"/>
    <w:aliases w:val="n Char"/>
    <w:link w:val="notetext"/>
    <w:rsid w:val="00345E7F"/>
    <w:rPr>
      <w:rFonts w:eastAsia="Times New Roman" w:cs="Times New Roman"/>
      <w:sz w:val="18"/>
      <w:lang w:eastAsia="en-AU"/>
    </w:rPr>
  </w:style>
  <w:style w:type="character" w:customStyle="1" w:styleId="subsectionChar">
    <w:name w:val="subsection Char"/>
    <w:aliases w:val="ss Char"/>
    <w:basedOn w:val="DefaultParagraphFont"/>
    <w:link w:val="subsection"/>
    <w:locked/>
    <w:rsid w:val="00345E7F"/>
    <w:rPr>
      <w:rFonts w:eastAsia="Times New Roman" w:cs="Times New Roman"/>
      <w:sz w:val="22"/>
      <w:lang w:eastAsia="en-AU"/>
    </w:rPr>
  </w:style>
  <w:style w:type="character" w:customStyle="1" w:styleId="paragraphChar">
    <w:name w:val="paragraph Char"/>
    <w:aliases w:val="a Char"/>
    <w:basedOn w:val="DefaultParagraphFont"/>
    <w:link w:val="paragraph"/>
    <w:locked/>
    <w:rsid w:val="00345E7F"/>
    <w:rPr>
      <w:rFonts w:eastAsia="Times New Roman" w:cs="Times New Roman"/>
      <w:sz w:val="22"/>
      <w:lang w:eastAsia="en-AU"/>
    </w:rPr>
  </w:style>
  <w:style w:type="character" w:styleId="Hyperlink">
    <w:name w:val="Hyperlink"/>
    <w:basedOn w:val="DefaultParagraphFont"/>
    <w:uiPriority w:val="99"/>
    <w:semiHidden/>
    <w:unhideWhenUsed/>
    <w:rsid w:val="00942FBF"/>
    <w:rPr>
      <w:color w:val="0000FF" w:themeColor="hyperlink"/>
      <w:u w:val="single"/>
    </w:rPr>
  </w:style>
  <w:style w:type="character" w:styleId="FollowedHyperlink">
    <w:name w:val="FollowedHyperlink"/>
    <w:basedOn w:val="DefaultParagraphFont"/>
    <w:uiPriority w:val="99"/>
    <w:semiHidden/>
    <w:unhideWhenUsed/>
    <w:rsid w:val="00942FBF"/>
    <w:rPr>
      <w:color w:val="0000FF" w:themeColor="hyperlink"/>
      <w:u w:val="single"/>
    </w:rPr>
  </w:style>
  <w:style w:type="character" w:customStyle="1" w:styleId="Heading1Char">
    <w:name w:val="Heading 1 Char"/>
    <w:basedOn w:val="DefaultParagraphFont"/>
    <w:link w:val="Heading1"/>
    <w:uiPriority w:val="9"/>
    <w:rsid w:val="00942FB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42FB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42FB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42FBF"/>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942FBF"/>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942FBF"/>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942FBF"/>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942F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42FBF"/>
    <w:rPr>
      <w:rFonts w:asciiTheme="majorHAnsi" w:eastAsiaTheme="majorEastAsia" w:hAnsiTheme="majorHAnsi" w:cstheme="majorBidi"/>
      <w:i/>
      <w:iCs/>
      <w:color w:val="272727" w:themeColor="text1" w:themeTint="D8"/>
      <w:sz w:val="21"/>
      <w:szCs w:val="21"/>
    </w:rPr>
  </w:style>
  <w:style w:type="paragraph" w:customStyle="1" w:styleId="ShortTP1">
    <w:name w:val="ShortTP1"/>
    <w:basedOn w:val="ShortT"/>
    <w:link w:val="ShortTP1Char"/>
    <w:rsid w:val="00942FBF"/>
    <w:pPr>
      <w:spacing w:before="800"/>
    </w:pPr>
  </w:style>
  <w:style w:type="character" w:customStyle="1" w:styleId="ShortTP1Char">
    <w:name w:val="ShortTP1 Char"/>
    <w:basedOn w:val="DefaultParagraphFont"/>
    <w:link w:val="ShortTP1"/>
    <w:rsid w:val="00942FBF"/>
    <w:rPr>
      <w:rFonts w:eastAsia="Times New Roman" w:cs="Times New Roman"/>
      <w:b/>
      <w:sz w:val="40"/>
      <w:lang w:eastAsia="en-AU"/>
    </w:rPr>
  </w:style>
  <w:style w:type="paragraph" w:customStyle="1" w:styleId="ActNoP1">
    <w:name w:val="ActNoP1"/>
    <w:basedOn w:val="Actno"/>
    <w:link w:val="ActNoP1Char"/>
    <w:rsid w:val="00942FBF"/>
    <w:pPr>
      <w:spacing w:before="800"/>
    </w:pPr>
    <w:rPr>
      <w:sz w:val="28"/>
    </w:rPr>
  </w:style>
  <w:style w:type="character" w:customStyle="1" w:styleId="ActNoP1Char">
    <w:name w:val="ActNoP1 Char"/>
    <w:basedOn w:val="DefaultParagraphFont"/>
    <w:link w:val="ActNoP1"/>
    <w:rsid w:val="00942FBF"/>
    <w:rPr>
      <w:rFonts w:eastAsia="Times New Roman" w:cs="Times New Roman"/>
      <w:b/>
      <w:sz w:val="28"/>
      <w:lang w:eastAsia="en-AU"/>
    </w:rPr>
  </w:style>
  <w:style w:type="paragraph" w:customStyle="1" w:styleId="AssentBk">
    <w:name w:val="AssentBk"/>
    <w:basedOn w:val="Normal"/>
    <w:rsid w:val="00942FBF"/>
    <w:pPr>
      <w:spacing w:line="240" w:lineRule="auto"/>
    </w:pPr>
    <w:rPr>
      <w:rFonts w:eastAsia="Times New Roman" w:cs="Times New Roman"/>
      <w:sz w:val="20"/>
      <w:lang w:eastAsia="en-AU"/>
    </w:rPr>
  </w:style>
  <w:style w:type="paragraph" w:customStyle="1" w:styleId="AssentDt">
    <w:name w:val="AssentDt"/>
    <w:basedOn w:val="Normal"/>
    <w:rsid w:val="00165378"/>
    <w:pPr>
      <w:spacing w:line="240" w:lineRule="auto"/>
    </w:pPr>
    <w:rPr>
      <w:rFonts w:eastAsia="Times New Roman" w:cs="Times New Roman"/>
      <w:sz w:val="20"/>
      <w:lang w:eastAsia="en-AU"/>
    </w:rPr>
  </w:style>
  <w:style w:type="paragraph" w:customStyle="1" w:styleId="2ndRd">
    <w:name w:val="2ndRd"/>
    <w:basedOn w:val="Normal"/>
    <w:rsid w:val="00165378"/>
    <w:pPr>
      <w:spacing w:line="240" w:lineRule="auto"/>
    </w:pPr>
    <w:rPr>
      <w:rFonts w:eastAsia="Times New Roman" w:cs="Times New Roman"/>
      <w:sz w:val="20"/>
      <w:lang w:eastAsia="en-AU"/>
    </w:rPr>
  </w:style>
  <w:style w:type="paragraph" w:customStyle="1" w:styleId="ScalePlusRef">
    <w:name w:val="ScalePlusRef"/>
    <w:basedOn w:val="Normal"/>
    <w:rsid w:val="0016537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13</Pages>
  <Words>1866</Words>
  <Characters>9712</Characters>
  <Application>Microsoft Office Word</Application>
  <DocSecurity>0</DocSecurity>
  <PresentationFormat/>
  <Lines>80</Lines>
  <Paragraphs>23</Paragraphs>
  <ScaleCrop>false</ScaleCrop>
  <HeadingPairs>
    <vt:vector size="2" baseType="variant">
      <vt:variant>
        <vt:lpstr>Title</vt:lpstr>
      </vt:variant>
      <vt:variant>
        <vt:i4>1</vt:i4>
      </vt:variant>
    </vt:vector>
  </HeadingPairs>
  <TitlesOfParts>
    <vt:vector size="1" baseType="lpstr">
      <vt:lpstr>Ozone Protection and Synthetic Greenhouse Gas (Import Levy) Amendment Bill 2022</vt:lpstr>
    </vt:vector>
  </TitlesOfParts>
  <Manager/>
  <Company/>
  <LinksUpToDate>false</LinksUpToDate>
  <CharactersWithSpaces>11555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2022-12-14T00:02:00Z</dcterms:created>
  <dcterms:modified xsi:type="dcterms:W3CDTF">2023-06-16T00:45:00Z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Ozone Protection and Synthetic Greenhouse Gas (Import Levy) Amendment Act 2022</vt:lpwstr>
  </property>
  <property fmtid="{D5CDD505-2E9C-101B-9397-08002B2CF9AE}" pid="3" name="ActNo">
    <vt:lpwstr>No. 93, 2022</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OPC8012</vt:lpwstr>
  </property>
  <property fmtid="{D5CDD505-2E9C-101B-9397-08002B2CF9AE}" pid="10" name="MSIP_Label_234ea0fa-41da-4eb0-b95e-07c328641c0b_Enabled">
    <vt:lpwstr>true</vt:lpwstr>
  </property>
  <property fmtid="{D5CDD505-2E9C-101B-9397-08002B2CF9AE}" pid="11" name="MSIP_Label_234ea0fa-41da-4eb0-b95e-07c328641c0b_SetDate">
    <vt:lpwstr>2022-12-05T22:50:58Z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e5eee140-f1e3-48f6-9613-85f86755ebd1</vt:lpwstr>
  </property>
  <property fmtid="{D5CDD505-2E9C-101B-9397-08002B2CF9AE}" pid="16" name="MSIP_Label_234ea0fa-41da-4eb0-b95e-07c328641c0b_ContentBits">
    <vt:lpwstr>0</vt:lpwstr>
  </property>
</Properties>
</file>