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08245" w14:textId="0A561911" w:rsidR="007F424B" w:rsidRDefault="007F424B">
      <w:pPr>
        <w:pStyle w:val="BodyText"/>
        <w:ind w:left="481"/>
        <w:rPr>
          <w:sz w:val="20"/>
        </w:rPr>
      </w:pPr>
    </w:p>
    <w:p w14:paraId="62408246" w14:textId="77777777" w:rsidR="007F424B" w:rsidRDefault="007F424B">
      <w:pPr>
        <w:pStyle w:val="BodyText"/>
        <w:spacing w:before="9"/>
        <w:rPr>
          <w:sz w:val="14"/>
        </w:rPr>
      </w:pPr>
    </w:p>
    <w:p w14:paraId="62408247" w14:textId="77777777" w:rsidR="007F424B" w:rsidRDefault="00AB0ACA">
      <w:pPr>
        <w:spacing w:before="90"/>
        <w:ind w:left="460"/>
        <w:rPr>
          <w:rFonts w:ascii="Arial"/>
          <w:b/>
          <w:sz w:val="32"/>
        </w:rPr>
      </w:pPr>
      <w:r>
        <w:rPr>
          <w:rFonts w:ascii="Arial"/>
          <w:b/>
          <w:sz w:val="32"/>
        </w:rPr>
        <w:t>Notice varying the conditions on NOHC authority</w:t>
      </w:r>
    </w:p>
    <w:p w14:paraId="62408248" w14:textId="77777777" w:rsidR="007F424B" w:rsidRDefault="007F424B">
      <w:pPr>
        <w:pStyle w:val="BodyText"/>
        <w:spacing w:before="2"/>
        <w:rPr>
          <w:rFonts w:ascii="Arial"/>
          <w:b/>
          <w:sz w:val="31"/>
        </w:rPr>
      </w:pPr>
    </w:p>
    <w:p w14:paraId="62408249" w14:textId="4590C488" w:rsidR="007F424B" w:rsidRDefault="00AB0ACA">
      <w:pPr>
        <w:pBdr>
          <w:bottom w:val="single" w:sz="6" w:space="1" w:color="auto"/>
        </w:pBdr>
        <w:spacing w:before="1"/>
        <w:ind w:left="460"/>
        <w:rPr>
          <w:rFonts w:ascii="Arial"/>
          <w:b/>
          <w:i/>
          <w:sz w:val="28"/>
        </w:rPr>
      </w:pPr>
      <w:r>
        <w:rPr>
          <w:rFonts w:ascii="Arial"/>
          <w:b/>
          <w:i/>
          <w:sz w:val="28"/>
        </w:rPr>
        <w:t>Banking Act 1959</w:t>
      </w:r>
    </w:p>
    <w:p w14:paraId="5DD0814D" w14:textId="77777777" w:rsidR="00AB0ACA" w:rsidRDefault="00AB0ACA">
      <w:pPr>
        <w:pBdr>
          <w:bottom w:val="single" w:sz="6" w:space="1" w:color="auto"/>
        </w:pBdr>
        <w:spacing w:before="1"/>
        <w:ind w:left="460"/>
        <w:rPr>
          <w:rFonts w:ascii="Arial"/>
          <w:b/>
          <w:i/>
          <w:sz w:val="28"/>
        </w:rPr>
      </w:pPr>
      <w:bookmarkStart w:id="0" w:name="_GoBack"/>
      <w:bookmarkEnd w:id="0"/>
    </w:p>
    <w:p w14:paraId="4DC2CF1F" w14:textId="77777777" w:rsidR="00AB0ACA" w:rsidRDefault="00AB0ACA">
      <w:pPr>
        <w:pStyle w:val="BodyText"/>
        <w:spacing w:before="1"/>
        <w:rPr>
          <w:rFonts w:ascii="Arial"/>
          <w:b/>
          <w:i/>
          <w:sz w:val="22"/>
        </w:rPr>
      </w:pPr>
    </w:p>
    <w:p w14:paraId="6240824B" w14:textId="77777777" w:rsidR="007F424B" w:rsidRDefault="007F424B">
      <w:pPr>
        <w:pStyle w:val="BodyText"/>
        <w:spacing w:before="4"/>
        <w:rPr>
          <w:rFonts w:ascii="Arial"/>
          <w:b/>
          <w:i/>
          <w:sz w:val="39"/>
        </w:rPr>
      </w:pPr>
    </w:p>
    <w:p w14:paraId="6240824C" w14:textId="77777777" w:rsidR="007F424B" w:rsidRDefault="00AB0ACA">
      <w:pPr>
        <w:tabs>
          <w:tab w:val="left" w:pos="1027"/>
        </w:tabs>
        <w:ind w:left="460"/>
        <w:rPr>
          <w:rFonts w:ascii="Arial"/>
        </w:rPr>
      </w:pPr>
      <w:r>
        <w:rPr>
          <w:rFonts w:ascii="Arial"/>
        </w:rPr>
        <w:t>To:</w:t>
      </w:r>
      <w:r>
        <w:rPr>
          <w:rFonts w:ascii="Arial"/>
        </w:rPr>
        <w:tab/>
        <w:t>Macquarie Group Limited ABN 94 122 169 279 (the body</w:t>
      </w:r>
      <w:r>
        <w:rPr>
          <w:rFonts w:ascii="Arial"/>
          <w:spacing w:val="-9"/>
        </w:rPr>
        <w:t xml:space="preserve"> </w:t>
      </w:r>
      <w:r>
        <w:rPr>
          <w:rFonts w:ascii="Arial"/>
        </w:rPr>
        <w:t>corporate)</w:t>
      </w:r>
    </w:p>
    <w:p w14:paraId="6240824D" w14:textId="77777777" w:rsidR="007F424B" w:rsidRDefault="007F424B">
      <w:pPr>
        <w:pStyle w:val="BodyText"/>
        <w:spacing w:before="10"/>
        <w:rPr>
          <w:rFonts w:ascii="Arial"/>
          <w:sz w:val="21"/>
        </w:rPr>
      </w:pPr>
    </w:p>
    <w:p w14:paraId="6240824E" w14:textId="77777777" w:rsidR="007F424B" w:rsidRDefault="00AB0ACA">
      <w:pPr>
        <w:spacing w:before="1"/>
        <w:ind w:left="460" w:right="775"/>
        <w:rPr>
          <w:rFonts w:ascii="Arial"/>
        </w:rPr>
      </w:pPr>
      <w:r>
        <w:rPr>
          <w:rFonts w:ascii="Arial"/>
        </w:rPr>
        <w:t>Since the body corporate holds an authority to be a NOHC under subsection 11</w:t>
      </w:r>
      <w:proofErr w:type="gramStart"/>
      <w:r>
        <w:rPr>
          <w:rFonts w:ascii="Arial"/>
        </w:rPr>
        <w:t>AA(</w:t>
      </w:r>
      <w:proofErr w:type="gramEnd"/>
      <w:r>
        <w:rPr>
          <w:rFonts w:ascii="Arial"/>
        </w:rPr>
        <w:t xml:space="preserve">2) of the </w:t>
      </w:r>
      <w:r>
        <w:rPr>
          <w:rFonts w:ascii="Arial"/>
          <w:i/>
        </w:rPr>
        <w:t xml:space="preserve">Banking Act 1959 </w:t>
      </w:r>
      <w:r>
        <w:rPr>
          <w:rFonts w:ascii="Arial"/>
        </w:rPr>
        <w:t>(the Act) and the authority is subject to conditions,</w:t>
      </w:r>
    </w:p>
    <w:p w14:paraId="6240824F" w14:textId="77777777" w:rsidR="007F424B" w:rsidRDefault="007F424B">
      <w:pPr>
        <w:pStyle w:val="BodyText"/>
        <w:rPr>
          <w:rFonts w:ascii="Arial"/>
          <w:sz w:val="22"/>
        </w:rPr>
      </w:pPr>
    </w:p>
    <w:p w14:paraId="62408250" w14:textId="77777777" w:rsidR="007F424B" w:rsidRDefault="00AB0ACA">
      <w:pPr>
        <w:spacing w:before="1"/>
        <w:ind w:left="460" w:right="775"/>
        <w:rPr>
          <w:rFonts w:ascii="Arial"/>
        </w:rPr>
      </w:pPr>
      <w:r>
        <w:rPr>
          <w:rFonts w:ascii="Arial"/>
        </w:rPr>
        <w:t>I, Clare Gibney, General Manager, under paragraph 11AAA(1)(b) of the Act, vary the conditions imposed on the NOHC authority in the manner specified in the Schedule.</w:t>
      </w:r>
    </w:p>
    <w:p w14:paraId="62408251" w14:textId="77777777" w:rsidR="007F424B" w:rsidRDefault="007F424B">
      <w:pPr>
        <w:pStyle w:val="BodyText"/>
        <w:spacing w:before="9"/>
        <w:rPr>
          <w:rFonts w:ascii="Arial"/>
          <w:sz w:val="23"/>
        </w:rPr>
      </w:pPr>
    </w:p>
    <w:p w14:paraId="62408252" w14:textId="77777777" w:rsidR="007F424B" w:rsidRDefault="00AB0ACA">
      <w:pPr>
        <w:spacing w:line="482" w:lineRule="auto"/>
        <w:ind w:left="460" w:right="4954"/>
        <w:rPr>
          <w:rFonts w:ascii="Arial"/>
        </w:rPr>
      </w:pPr>
      <w:r>
        <w:rPr>
          <w:rFonts w:ascii="Arial"/>
        </w:rPr>
        <w:t xml:space="preserve">This notice commences on 1 January </w:t>
      </w:r>
      <w:r>
        <w:rPr>
          <w:rFonts w:ascii="Arial"/>
        </w:rPr>
        <w:t>2022. Dated: 16 December 2021</w:t>
      </w:r>
    </w:p>
    <w:p w14:paraId="62408253" w14:textId="77777777" w:rsidR="007F424B" w:rsidRDefault="007F424B">
      <w:pPr>
        <w:pStyle w:val="BodyText"/>
        <w:spacing w:before="10"/>
        <w:rPr>
          <w:rFonts w:ascii="Arial"/>
          <w:sz w:val="19"/>
        </w:rPr>
      </w:pPr>
    </w:p>
    <w:p w14:paraId="62408254" w14:textId="77777777" w:rsidR="007F424B" w:rsidRDefault="00AB0ACA">
      <w:pPr>
        <w:ind w:left="460" w:right="7497"/>
        <w:rPr>
          <w:rFonts w:ascii="Arial"/>
        </w:rPr>
      </w:pPr>
      <w:r>
        <w:rPr>
          <w:rFonts w:ascii="Arial"/>
        </w:rPr>
        <w:t>Clare Gibney</w:t>
      </w:r>
      <w:r>
        <w:rPr>
          <w:rFonts w:ascii="Arial"/>
          <w:color w:val="585858"/>
          <w:position w:val="8"/>
          <w:sz w:val="14"/>
        </w:rPr>
        <w:t xml:space="preserve">1 </w:t>
      </w:r>
      <w:r>
        <w:rPr>
          <w:rFonts w:ascii="Arial"/>
        </w:rPr>
        <w:t>General Manager Banking Division</w:t>
      </w:r>
    </w:p>
    <w:p w14:paraId="62408255" w14:textId="77777777" w:rsidR="007F424B" w:rsidRDefault="007F424B">
      <w:pPr>
        <w:pStyle w:val="BodyText"/>
        <w:rPr>
          <w:rFonts w:ascii="Arial"/>
        </w:rPr>
      </w:pPr>
    </w:p>
    <w:p w14:paraId="62408256" w14:textId="77777777" w:rsidR="007F424B" w:rsidRDefault="007F424B">
      <w:pPr>
        <w:pStyle w:val="BodyText"/>
        <w:rPr>
          <w:rFonts w:ascii="Arial"/>
          <w:sz w:val="20"/>
        </w:rPr>
      </w:pPr>
    </w:p>
    <w:p w14:paraId="62408257" w14:textId="77777777" w:rsidR="007F424B" w:rsidRDefault="00AB0ACA">
      <w:pPr>
        <w:ind w:left="460"/>
        <w:rPr>
          <w:rFonts w:ascii="Arial"/>
          <w:i/>
        </w:rPr>
      </w:pPr>
      <w:r>
        <w:rPr>
          <w:rFonts w:ascii="Arial"/>
          <w:i/>
        </w:rPr>
        <w:t>Interpretation</w:t>
      </w:r>
    </w:p>
    <w:p w14:paraId="62408258" w14:textId="77777777" w:rsidR="007F424B" w:rsidRDefault="007F424B">
      <w:pPr>
        <w:pStyle w:val="BodyText"/>
        <w:spacing w:before="2"/>
        <w:rPr>
          <w:rFonts w:ascii="Arial"/>
          <w:i/>
          <w:sz w:val="22"/>
        </w:rPr>
      </w:pPr>
    </w:p>
    <w:p w14:paraId="62408259" w14:textId="77777777" w:rsidR="007F424B" w:rsidRDefault="00AB0ACA">
      <w:pPr>
        <w:spacing w:line="253" w:lineRule="exact"/>
        <w:ind w:left="460"/>
        <w:rPr>
          <w:rFonts w:ascii="Arial"/>
        </w:rPr>
      </w:pPr>
      <w:r>
        <w:rPr>
          <w:rFonts w:ascii="Arial"/>
          <w:b/>
          <w:i/>
        </w:rPr>
        <w:t xml:space="preserve">APRA </w:t>
      </w:r>
      <w:r>
        <w:rPr>
          <w:rFonts w:ascii="Arial"/>
        </w:rPr>
        <w:t>means the Australian Prudential Regulation Authority.</w:t>
      </w:r>
    </w:p>
    <w:p w14:paraId="6240825A" w14:textId="77777777" w:rsidR="007F424B" w:rsidRDefault="00AB0ACA">
      <w:pPr>
        <w:ind w:left="460" w:right="775"/>
        <w:rPr>
          <w:rFonts w:ascii="Arial"/>
        </w:rPr>
      </w:pPr>
      <w:r>
        <w:rPr>
          <w:rFonts w:ascii="Arial"/>
          <w:b/>
          <w:i/>
        </w:rPr>
        <w:t xml:space="preserve">NOHC </w:t>
      </w:r>
      <w:r>
        <w:rPr>
          <w:rFonts w:ascii="Arial"/>
        </w:rPr>
        <w:t>is short for non-operating holding company and has the meaning given in subsection 5(1) of the Act.</w:t>
      </w:r>
    </w:p>
    <w:p w14:paraId="6240825B" w14:textId="77777777" w:rsidR="007F424B" w:rsidRDefault="00AB0ACA">
      <w:pPr>
        <w:spacing w:line="252" w:lineRule="exact"/>
        <w:ind w:left="460"/>
        <w:rPr>
          <w:rFonts w:ascii="Arial"/>
        </w:rPr>
      </w:pPr>
      <w:r>
        <w:rPr>
          <w:rFonts w:ascii="Arial"/>
          <w:b/>
          <w:i/>
        </w:rPr>
        <w:t xml:space="preserve">NOHC authority </w:t>
      </w:r>
      <w:r>
        <w:rPr>
          <w:rFonts w:ascii="Arial"/>
        </w:rPr>
        <w:t>has the meaning given in subsection 5(1) of the Act.</w:t>
      </w:r>
    </w:p>
    <w:p w14:paraId="6240825C" w14:textId="77777777" w:rsidR="007F424B" w:rsidRDefault="007F424B">
      <w:pPr>
        <w:pStyle w:val="BodyText"/>
        <w:rPr>
          <w:rFonts w:ascii="Arial"/>
          <w:sz w:val="20"/>
        </w:rPr>
      </w:pPr>
    </w:p>
    <w:p w14:paraId="6240825D" w14:textId="77777777" w:rsidR="007F424B" w:rsidRDefault="007F424B">
      <w:pPr>
        <w:pStyle w:val="BodyText"/>
        <w:rPr>
          <w:rFonts w:ascii="Arial"/>
          <w:sz w:val="20"/>
        </w:rPr>
      </w:pPr>
    </w:p>
    <w:p w14:paraId="6240825E" w14:textId="77777777" w:rsidR="007F424B" w:rsidRDefault="007F424B">
      <w:pPr>
        <w:pStyle w:val="BodyText"/>
        <w:rPr>
          <w:rFonts w:ascii="Arial"/>
          <w:sz w:val="20"/>
        </w:rPr>
      </w:pPr>
    </w:p>
    <w:p w14:paraId="6240825F" w14:textId="77777777" w:rsidR="007F424B" w:rsidRDefault="007F424B">
      <w:pPr>
        <w:pStyle w:val="BodyText"/>
        <w:rPr>
          <w:rFonts w:ascii="Arial"/>
          <w:sz w:val="20"/>
        </w:rPr>
      </w:pPr>
    </w:p>
    <w:p w14:paraId="62408260" w14:textId="77777777" w:rsidR="007F424B" w:rsidRDefault="007F424B">
      <w:pPr>
        <w:pStyle w:val="BodyText"/>
        <w:rPr>
          <w:rFonts w:ascii="Arial"/>
          <w:sz w:val="20"/>
        </w:rPr>
      </w:pPr>
    </w:p>
    <w:p w14:paraId="62408261" w14:textId="77777777" w:rsidR="007F424B" w:rsidRDefault="007F424B">
      <w:pPr>
        <w:pStyle w:val="BodyText"/>
        <w:rPr>
          <w:rFonts w:ascii="Arial"/>
          <w:sz w:val="20"/>
        </w:rPr>
      </w:pPr>
    </w:p>
    <w:p w14:paraId="62408262" w14:textId="77777777" w:rsidR="007F424B" w:rsidRDefault="007F424B">
      <w:pPr>
        <w:pStyle w:val="BodyText"/>
        <w:rPr>
          <w:rFonts w:ascii="Arial"/>
          <w:sz w:val="20"/>
        </w:rPr>
      </w:pPr>
    </w:p>
    <w:p w14:paraId="62408263" w14:textId="77777777" w:rsidR="007F424B" w:rsidRDefault="007F424B">
      <w:pPr>
        <w:pStyle w:val="BodyText"/>
        <w:rPr>
          <w:rFonts w:ascii="Arial"/>
          <w:sz w:val="20"/>
        </w:rPr>
      </w:pPr>
    </w:p>
    <w:p w14:paraId="62408264" w14:textId="77777777" w:rsidR="007F424B" w:rsidRDefault="007F424B">
      <w:pPr>
        <w:pStyle w:val="BodyText"/>
        <w:rPr>
          <w:rFonts w:ascii="Arial"/>
          <w:sz w:val="20"/>
        </w:rPr>
      </w:pPr>
    </w:p>
    <w:p w14:paraId="62408265" w14:textId="77777777" w:rsidR="007F424B" w:rsidRDefault="007F424B">
      <w:pPr>
        <w:pStyle w:val="BodyText"/>
        <w:rPr>
          <w:rFonts w:ascii="Arial"/>
          <w:sz w:val="20"/>
        </w:rPr>
      </w:pPr>
    </w:p>
    <w:p w14:paraId="62408266" w14:textId="77777777" w:rsidR="007F424B" w:rsidRDefault="007F424B">
      <w:pPr>
        <w:pStyle w:val="BodyText"/>
        <w:rPr>
          <w:rFonts w:ascii="Arial"/>
          <w:sz w:val="20"/>
        </w:rPr>
      </w:pPr>
    </w:p>
    <w:p w14:paraId="62408267" w14:textId="77777777" w:rsidR="007F424B" w:rsidRDefault="007F424B">
      <w:pPr>
        <w:pStyle w:val="BodyText"/>
        <w:rPr>
          <w:rFonts w:ascii="Arial"/>
          <w:sz w:val="20"/>
        </w:rPr>
      </w:pPr>
    </w:p>
    <w:p w14:paraId="62408268" w14:textId="77777777" w:rsidR="007F424B" w:rsidRDefault="007F424B">
      <w:pPr>
        <w:pStyle w:val="BodyText"/>
        <w:rPr>
          <w:rFonts w:ascii="Arial"/>
          <w:sz w:val="20"/>
        </w:rPr>
      </w:pPr>
    </w:p>
    <w:p w14:paraId="62408269" w14:textId="77777777" w:rsidR="007F424B" w:rsidRDefault="007F424B">
      <w:pPr>
        <w:pStyle w:val="BodyText"/>
        <w:rPr>
          <w:rFonts w:ascii="Arial"/>
          <w:sz w:val="20"/>
        </w:rPr>
      </w:pPr>
    </w:p>
    <w:p w14:paraId="6240826A" w14:textId="77777777" w:rsidR="007F424B" w:rsidRDefault="00AB0ACA">
      <w:pPr>
        <w:pStyle w:val="BodyText"/>
        <w:spacing w:before="7"/>
        <w:rPr>
          <w:rFonts w:ascii="Arial"/>
          <w:sz w:val="22"/>
        </w:rPr>
      </w:pPr>
      <w:r>
        <w:pict w14:anchorId="6240839C">
          <v:shape id="_x0000_s1026" style="position:absolute;margin-left:90.05pt;margin-top:15.2pt;width:144.05pt;height:.1pt;z-index:-251657216;mso-wrap-distance-left:0;mso-wrap-distance-right:0;mso-position-horizontal-relative:page" coordorigin="1801,304" coordsize="2881,0" path="m1801,304r2880,e" filled="f" strokeweight=".5pt">
            <v:path arrowok="t"/>
            <w10:wrap type="topAndBottom" anchorx="page"/>
          </v:shape>
        </w:pict>
      </w:r>
    </w:p>
    <w:p w14:paraId="6240826B" w14:textId="77777777" w:rsidR="007F424B" w:rsidRDefault="00AB0ACA">
      <w:pPr>
        <w:spacing w:before="64"/>
        <w:ind w:left="460"/>
        <w:rPr>
          <w:rFonts w:ascii="Arial"/>
          <w:sz w:val="16"/>
        </w:rPr>
      </w:pPr>
      <w:r>
        <w:rPr>
          <w:rFonts w:ascii="Arial"/>
          <w:color w:val="585858"/>
          <w:position w:val="6"/>
          <w:sz w:val="10"/>
        </w:rPr>
        <w:t xml:space="preserve">1 </w:t>
      </w:r>
      <w:r>
        <w:rPr>
          <w:rFonts w:ascii="Arial"/>
          <w:sz w:val="16"/>
        </w:rPr>
        <w:t>A delegate of APRA.</w:t>
      </w:r>
    </w:p>
    <w:p w14:paraId="6240826C" w14:textId="77777777" w:rsidR="007F424B" w:rsidRDefault="007F424B">
      <w:pPr>
        <w:rPr>
          <w:rFonts w:ascii="Arial"/>
          <w:sz w:val="16"/>
        </w:rPr>
        <w:sectPr w:rsidR="007F424B" w:rsidSect="00AB0ACA">
          <w:headerReference w:type="default" r:id="rId12"/>
          <w:footerReference w:type="default" r:id="rId13"/>
          <w:headerReference w:type="first" r:id="rId14"/>
          <w:type w:val="continuous"/>
          <w:pgSz w:w="11910" w:h="16840"/>
          <w:pgMar w:top="1460" w:right="880" w:bottom="1120" w:left="1340" w:header="720" w:footer="928" w:gutter="0"/>
          <w:pgNumType w:start="1"/>
          <w:cols w:space="720"/>
          <w:titlePg/>
          <w:docGrid w:linePitch="299"/>
        </w:sectPr>
      </w:pPr>
    </w:p>
    <w:p w14:paraId="6240826D" w14:textId="77777777" w:rsidR="007F424B" w:rsidRDefault="00AB0ACA">
      <w:pPr>
        <w:pStyle w:val="Heading2"/>
        <w:spacing w:before="77"/>
        <w:rPr>
          <w:rFonts w:ascii="Arial"/>
        </w:rPr>
      </w:pPr>
      <w:r>
        <w:rPr>
          <w:rFonts w:ascii="Arial"/>
        </w:rPr>
        <w:lastRenderedPageBreak/>
        <w:t>Schedule</w:t>
      </w:r>
    </w:p>
    <w:p w14:paraId="6240826E" w14:textId="77777777" w:rsidR="007F424B" w:rsidRDefault="00AB0ACA">
      <w:pPr>
        <w:spacing w:before="176"/>
        <w:ind w:left="460"/>
        <w:rPr>
          <w:rFonts w:ascii="Arial"/>
          <w:b/>
        </w:rPr>
      </w:pPr>
      <w:r>
        <w:rPr>
          <w:rFonts w:ascii="Arial"/>
          <w:b/>
        </w:rPr>
        <w:t>The existing condition(s) which are to be varied:</w:t>
      </w:r>
    </w:p>
    <w:p w14:paraId="6240826F" w14:textId="77777777" w:rsidR="007F424B" w:rsidRDefault="007F424B">
      <w:pPr>
        <w:pStyle w:val="BodyText"/>
        <w:spacing w:before="10"/>
        <w:rPr>
          <w:rFonts w:ascii="Arial"/>
          <w:b/>
          <w:sz w:val="21"/>
        </w:rPr>
      </w:pPr>
    </w:p>
    <w:p w14:paraId="62408270" w14:textId="77777777" w:rsidR="007F424B" w:rsidRDefault="00AB0ACA">
      <w:pPr>
        <w:pStyle w:val="BodyText"/>
        <w:ind w:left="460" w:right="922"/>
        <w:jc w:val="both"/>
      </w:pPr>
      <w:r>
        <w:t xml:space="preserve">12. The </w:t>
      </w:r>
      <w:proofErr w:type="spellStart"/>
      <w:r>
        <w:t>Authorised</w:t>
      </w:r>
      <w:proofErr w:type="spellEnd"/>
      <w:r>
        <w:t xml:space="preserve"> NOHC may undertake a “corporate </w:t>
      </w:r>
      <w:proofErr w:type="spellStart"/>
      <w:r>
        <w:t>centre</w:t>
      </w:r>
      <w:proofErr w:type="spellEnd"/>
      <w:r>
        <w:t>” role, including group treasury activities, risk management, settlements, information technology, human resources, financial reporting and other group services such as company secretarial. These rol</w:t>
      </w:r>
      <w:r>
        <w:t xml:space="preserve">es may also be performed by service subsidiaries of the NOHC formed for that purpose. Where </w:t>
      </w:r>
      <w:proofErr w:type="spellStart"/>
      <w:r>
        <w:t>centralised</w:t>
      </w:r>
      <w:proofErr w:type="spellEnd"/>
      <w:r>
        <w:t xml:space="preserve"> treasury functions are undertaken by the </w:t>
      </w:r>
      <w:proofErr w:type="spellStart"/>
      <w:r>
        <w:t>Authorised</w:t>
      </w:r>
      <w:proofErr w:type="spellEnd"/>
      <w:r>
        <w:t xml:space="preserve"> NOHC:</w:t>
      </w:r>
    </w:p>
    <w:p w14:paraId="62408271" w14:textId="77777777" w:rsidR="007F424B" w:rsidRDefault="007F424B">
      <w:pPr>
        <w:pStyle w:val="BodyText"/>
        <w:spacing w:before="1"/>
      </w:pPr>
    </w:p>
    <w:p w14:paraId="62408272" w14:textId="77777777" w:rsidR="007F424B" w:rsidRDefault="00AB0ACA">
      <w:pPr>
        <w:pStyle w:val="BodyText"/>
        <w:ind w:left="1180" w:right="922" w:hanging="360"/>
        <w:jc w:val="both"/>
      </w:pPr>
      <w:r>
        <w:t xml:space="preserve">(f) the ADI Group’s funding from the </w:t>
      </w:r>
      <w:proofErr w:type="spellStart"/>
      <w:r>
        <w:t>Authorised</w:t>
      </w:r>
      <w:proofErr w:type="spellEnd"/>
      <w:r>
        <w:t xml:space="preserve"> NOHC must not exceed 20% of the ADI Group’s t</w:t>
      </w:r>
      <w:r>
        <w:t>otal funding.</w:t>
      </w:r>
    </w:p>
    <w:p w14:paraId="62408273" w14:textId="77777777" w:rsidR="007F424B" w:rsidRDefault="007F424B">
      <w:pPr>
        <w:pStyle w:val="BodyText"/>
        <w:spacing w:before="3"/>
        <w:rPr>
          <w:sz w:val="22"/>
        </w:rPr>
      </w:pPr>
    </w:p>
    <w:p w14:paraId="62408274" w14:textId="77777777" w:rsidR="007F424B" w:rsidRDefault="00AB0ACA">
      <w:pPr>
        <w:ind w:left="460"/>
        <w:rPr>
          <w:rFonts w:ascii="Arial"/>
          <w:b/>
        </w:rPr>
      </w:pPr>
      <w:r>
        <w:rPr>
          <w:rFonts w:ascii="Arial"/>
          <w:b/>
        </w:rPr>
        <w:t>The condition(s) as varied are:</w:t>
      </w:r>
    </w:p>
    <w:p w14:paraId="62408275" w14:textId="77777777" w:rsidR="007F424B" w:rsidRDefault="007F424B">
      <w:pPr>
        <w:pStyle w:val="BodyText"/>
        <w:spacing w:before="8"/>
        <w:rPr>
          <w:rFonts w:ascii="Arial"/>
          <w:b/>
          <w:sz w:val="21"/>
        </w:rPr>
      </w:pPr>
    </w:p>
    <w:p w14:paraId="62408276" w14:textId="77777777" w:rsidR="007F424B" w:rsidRDefault="00AB0ACA">
      <w:pPr>
        <w:pStyle w:val="BodyText"/>
        <w:ind w:left="460" w:right="915"/>
        <w:jc w:val="both"/>
      </w:pPr>
      <w:r>
        <w:t xml:space="preserve">12. The </w:t>
      </w:r>
      <w:proofErr w:type="spellStart"/>
      <w:r>
        <w:t>Authorised</w:t>
      </w:r>
      <w:proofErr w:type="spellEnd"/>
      <w:r>
        <w:t xml:space="preserve"> NOHC may undertake a “corporate </w:t>
      </w:r>
      <w:proofErr w:type="spellStart"/>
      <w:r>
        <w:t>centre</w:t>
      </w:r>
      <w:proofErr w:type="spellEnd"/>
      <w:r>
        <w:t>” role, including group treasury activities, risk management, settlements, information technology, human resources, financial reporting and other group services such as company secretarial. These rol</w:t>
      </w:r>
      <w:r>
        <w:t xml:space="preserve">es may also be performed by service subsidiaries of the NOHC formed for that purpose. Where </w:t>
      </w:r>
      <w:proofErr w:type="spellStart"/>
      <w:r>
        <w:t>centralised</w:t>
      </w:r>
      <w:proofErr w:type="spellEnd"/>
      <w:r>
        <w:t xml:space="preserve"> treasury functions are undertaken by the </w:t>
      </w:r>
      <w:proofErr w:type="spellStart"/>
      <w:r>
        <w:t>Authorised</w:t>
      </w:r>
      <w:proofErr w:type="spellEnd"/>
      <w:r>
        <w:t xml:space="preserve"> NOHC:</w:t>
      </w:r>
    </w:p>
    <w:p w14:paraId="62408277" w14:textId="77777777" w:rsidR="007F424B" w:rsidRDefault="007F424B">
      <w:pPr>
        <w:pStyle w:val="BodyText"/>
      </w:pPr>
    </w:p>
    <w:p w14:paraId="62408278" w14:textId="77777777" w:rsidR="007F424B" w:rsidRDefault="00AB0ACA">
      <w:pPr>
        <w:pStyle w:val="BodyText"/>
        <w:spacing w:before="1"/>
        <w:ind w:left="1180" w:right="917" w:hanging="360"/>
        <w:jc w:val="both"/>
      </w:pPr>
      <w:r>
        <w:t xml:space="preserve">(f) the ADI Group’s funding, measured at level 1 and 2, from the </w:t>
      </w:r>
      <w:proofErr w:type="spellStart"/>
      <w:r>
        <w:t>Authorised</w:t>
      </w:r>
      <w:proofErr w:type="spellEnd"/>
      <w:r>
        <w:t xml:space="preserve"> NOHC must not exc</w:t>
      </w:r>
      <w:r>
        <w:t>eed 8.0% of total ADI Group funding subject to APRA approved adjustments. For the avoidance of doubt, netting is not permitted within the calculation.</w:t>
      </w:r>
    </w:p>
    <w:p w14:paraId="62408279" w14:textId="77777777" w:rsidR="007F424B" w:rsidRDefault="007F424B">
      <w:pPr>
        <w:pStyle w:val="BodyText"/>
        <w:rPr>
          <w:sz w:val="26"/>
        </w:rPr>
      </w:pPr>
    </w:p>
    <w:p w14:paraId="6240827A" w14:textId="77777777" w:rsidR="007F424B" w:rsidRDefault="007F424B">
      <w:pPr>
        <w:pStyle w:val="BodyText"/>
        <w:rPr>
          <w:sz w:val="26"/>
        </w:rPr>
      </w:pPr>
    </w:p>
    <w:p w14:paraId="6240827B" w14:textId="77777777" w:rsidR="007F424B" w:rsidRDefault="007F424B">
      <w:pPr>
        <w:pStyle w:val="BodyText"/>
        <w:rPr>
          <w:sz w:val="26"/>
        </w:rPr>
      </w:pPr>
    </w:p>
    <w:p w14:paraId="6240827C" w14:textId="77777777" w:rsidR="007F424B" w:rsidRDefault="007F424B">
      <w:pPr>
        <w:pStyle w:val="BodyText"/>
        <w:rPr>
          <w:sz w:val="26"/>
        </w:rPr>
      </w:pPr>
    </w:p>
    <w:p w14:paraId="6240827D" w14:textId="77777777" w:rsidR="007F424B" w:rsidRDefault="007F424B">
      <w:pPr>
        <w:pStyle w:val="BodyText"/>
        <w:rPr>
          <w:sz w:val="26"/>
        </w:rPr>
      </w:pPr>
    </w:p>
    <w:p w14:paraId="6240827E" w14:textId="77777777" w:rsidR="007F424B" w:rsidRDefault="007F424B">
      <w:pPr>
        <w:pStyle w:val="BodyText"/>
        <w:rPr>
          <w:sz w:val="26"/>
        </w:rPr>
      </w:pPr>
    </w:p>
    <w:p w14:paraId="6240827F" w14:textId="77777777" w:rsidR="007F424B" w:rsidRDefault="007F424B">
      <w:pPr>
        <w:pStyle w:val="BodyText"/>
        <w:rPr>
          <w:sz w:val="26"/>
        </w:rPr>
      </w:pPr>
    </w:p>
    <w:p w14:paraId="62408280" w14:textId="77777777" w:rsidR="007F424B" w:rsidRDefault="007F424B">
      <w:pPr>
        <w:pStyle w:val="BodyText"/>
        <w:rPr>
          <w:sz w:val="26"/>
        </w:rPr>
      </w:pPr>
    </w:p>
    <w:p w14:paraId="62408281" w14:textId="77777777" w:rsidR="007F424B" w:rsidRDefault="007F424B">
      <w:pPr>
        <w:pStyle w:val="BodyText"/>
        <w:rPr>
          <w:sz w:val="26"/>
        </w:rPr>
      </w:pPr>
    </w:p>
    <w:p w14:paraId="62408282" w14:textId="77777777" w:rsidR="007F424B" w:rsidRDefault="007F424B">
      <w:pPr>
        <w:pStyle w:val="BodyText"/>
        <w:rPr>
          <w:sz w:val="26"/>
        </w:rPr>
      </w:pPr>
    </w:p>
    <w:p w14:paraId="62408283" w14:textId="77777777" w:rsidR="007F424B" w:rsidRDefault="007F424B">
      <w:pPr>
        <w:pStyle w:val="BodyText"/>
        <w:rPr>
          <w:sz w:val="26"/>
        </w:rPr>
      </w:pPr>
    </w:p>
    <w:p w14:paraId="62408284" w14:textId="77777777" w:rsidR="007F424B" w:rsidRDefault="007F424B">
      <w:pPr>
        <w:pStyle w:val="BodyText"/>
        <w:rPr>
          <w:sz w:val="26"/>
        </w:rPr>
      </w:pPr>
    </w:p>
    <w:p w14:paraId="62408285" w14:textId="77777777" w:rsidR="007F424B" w:rsidRDefault="007F424B">
      <w:pPr>
        <w:pStyle w:val="BodyText"/>
        <w:rPr>
          <w:sz w:val="26"/>
        </w:rPr>
      </w:pPr>
    </w:p>
    <w:p w14:paraId="62408286" w14:textId="77777777" w:rsidR="007F424B" w:rsidRDefault="007F424B">
      <w:pPr>
        <w:pStyle w:val="BodyText"/>
        <w:rPr>
          <w:sz w:val="26"/>
        </w:rPr>
      </w:pPr>
    </w:p>
    <w:p w14:paraId="62408287" w14:textId="77777777" w:rsidR="007F424B" w:rsidRDefault="007F424B">
      <w:pPr>
        <w:pStyle w:val="BodyText"/>
        <w:spacing w:before="3"/>
        <w:rPr>
          <w:sz w:val="28"/>
        </w:rPr>
      </w:pPr>
    </w:p>
    <w:p w14:paraId="62408288" w14:textId="77777777" w:rsidR="007F424B" w:rsidRDefault="00AB0ACA">
      <w:pPr>
        <w:ind w:left="460" w:right="987"/>
        <w:rPr>
          <w:rFonts w:ascii="Arial" w:hAnsi="Arial"/>
          <w:sz w:val="16"/>
        </w:rPr>
      </w:pPr>
      <w:r>
        <w:rPr>
          <w:rFonts w:ascii="Arial" w:hAnsi="Arial"/>
          <w:sz w:val="16"/>
        </w:rPr>
        <w:t>A decision to impose conditions or additional conditions, or vary conditions, on an author</w:t>
      </w:r>
      <w:r>
        <w:rPr>
          <w:rFonts w:ascii="Arial" w:hAnsi="Arial"/>
          <w:sz w:val="16"/>
        </w:rPr>
        <w:t>ity is a decision to which Part VI of the Act applies. You may request APRA reconsider the decision in accordance with subsection 51</w:t>
      </w:r>
      <w:proofErr w:type="gramStart"/>
      <w:r>
        <w:rPr>
          <w:rFonts w:ascii="Arial" w:hAnsi="Arial"/>
          <w:sz w:val="16"/>
        </w:rPr>
        <w:t>B(</w:t>
      </w:r>
      <w:proofErr w:type="gramEnd"/>
      <w:r>
        <w:rPr>
          <w:rFonts w:ascii="Arial" w:hAnsi="Arial"/>
          <w:sz w:val="16"/>
        </w:rPr>
        <w:t>1) of the Act. The request for reconsideration must be made in writing, must set out the reasons for making the request, a</w:t>
      </w:r>
      <w:r>
        <w:rPr>
          <w:rFonts w:ascii="Arial" w:hAnsi="Arial"/>
          <w:sz w:val="16"/>
        </w:rPr>
        <w:t>nd must be given to APRA within 21 days after the day on which you first received notice of this decision, or within such further period as APRA allows. If you are dissatisfied with the outcome of APRA’s reconsideration of the decision, you may, subject to</w:t>
      </w:r>
      <w:r>
        <w:rPr>
          <w:rFonts w:ascii="Arial" w:hAnsi="Arial"/>
          <w:sz w:val="16"/>
        </w:rPr>
        <w:t xml:space="preserve"> the </w:t>
      </w:r>
      <w:r>
        <w:rPr>
          <w:rFonts w:ascii="Arial" w:hAnsi="Arial"/>
          <w:i/>
          <w:sz w:val="16"/>
        </w:rPr>
        <w:t>Administrative Appeals Tribunal Act 1975</w:t>
      </w:r>
      <w:r>
        <w:rPr>
          <w:rFonts w:ascii="Arial" w:hAnsi="Arial"/>
          <w:sz w:val="16"/>
        </w:rPr>
        <w:t>, apply to the Administrative Appeals Tribunal for review of the reconsidered decision</w:t>
      </w:r>
    </w:p>
    <w:p w14:paraId="62408289" w14:textId="77777777" w:rsidR="007F424B" w:rsidRDefault="007F424B">
      <w:pPr>
        <w:pStyle w:val="BodyText"/>
        <w:spacing w:before="10"/>
        <w:rPr>
          <w:rFonts w:ascii="Arial"/>
          <w:sz w:val="23"/>
        </w:rPr>
      </w:pPr>
    </w:p>
    <w:p w14:paraId="6240828A" w14:textId="77777777" w:rsidR="007F424B" w:rsidRDefault="00AB0ACA">
      <w:pPr>
        <w:ind w:left="460"/>
        <w:rPr>
          <w:rFonts w:ascii="Arial"/>
          <w:sz w:val="16"/>
        </w:rPr>
      </w:pPr>
      <w:r>
        <w:rPr>
          <w:rFonts w:ascii="Arial"/>
          <w:sz w:val="16"/>
        </w:rPr>
        <w:t xml:space="preserve">APRA is required to publish this notice in the </w:t>
      </w:r>
      <w:r>
        <w:rPr>
          <w:rFonts w:ascii="Arial"/>
          <w:i/>
          <w:sz w:val="16"/>
        </w:rPr>
        <w:t>Gazette</w:t>
      </w:r>
      <w:r>
        <w:rPr>
          <w:rFonts w:ascii="Arial"/>
          <w:sz w:val="16"/>
        </w:rPr>
        <w:t>.</w:t>
      </w:r>
    </w:p>
    <w:p w14:paraId="6240828B" w14:textId="77777777" w:rsidR="007F424B" w:rsidRDefault="007F424B">
      <w:pPr>
        <w:rPr>
          <w:rFonts w:ascii="Arial"/>
          <w:sz w:val="16"/>
        </w:rPr>
        <w:sectPr w:rsidR="007F424B">
          <w:pgSz w:w="11910" w:h="16840"/>
          <w:pgMar w:top="1340" w:right="880" w:bottom="1120" w:left="1340" w:header="0" w:footer="928" w:gutter="0"/>
          <w:cols w:space="720"/>
        </w:sectPr>
      </w:pPr>
    </w:p>
    <w:p w14:paraId="6240828C" w14:textId="77777777" w:rsidR="007F424B" w:rsidRDefault="00AB0ACA">
      <w:pPr>
        <w:pStyle w:val="Heading2"/>
        <w:spacing w:before="77"/>
        <w:rPr>
          <w:rFonts w:ascii="Arial"/>
        </w:rPr>
      </w:pPr>
      <w:r>
        <w:rPr>
          <w:rFonts w:ascii="Arial"/>
        </w:rPr>
        <w:lastRenderedPageBreak/>
        <w:t>Schedule of consolidated conditions</w:t>
      </w:r>
    </w:p>
    <w:p w14:paraId="6240828D" w14:textId="77777777" w:rsidR="007F424B" w:rsidRDefault="007F424B">
      <w:pPr>
        <w:pStyle w:val="BodyText"/>
        <w:spacing w:before="8"/>
        <w:rPr>
          <w:rFonts w:ascii="Arial"/>
          <w:b/>
          <w:i/>
          <w:sz w:val="25"/>
        </w:rPr>
      </w:pPr>
    </w:p>
    <w:p w14:paraId="6240828E" w14:textId="77777777" w:rsidR="007F424B" w:rsidRDefault="00AB0ACA">
      <w:pPr>
        <w:ind w:left="460"/>
        <w:rPr>
          <w:rFonts w:ascii="Arial" w:hAnsi="Arial"/>
          <w:b/>
        </w:rPr>
      </w:pPr>
      <w:r>
        <w:rPr>
          <w:rFonts w:ascii="Arial" w:hAnsi="Arial"/>
          <w:b/>
        </w:rPr>
        <w:t>Schedule – conditions imposed on the authority:</w:t>
      </w:r>
    </w:p>
    <w:p w14:paraId="6240828F" w14:textId="77777777" w:rsidR="007F424B" w:rsidRDefault="007F424B">
      <w:pPr>
        <w:pStyle w:val="BodyText"/>
        <w:rPr>
          <w:rFonts w:ascii="Arial"/>
          <w:b/>
        </w:rPr>
      </w:pPr>
    </w:p>
    <w:p w14:paraId="62408290" w14:textId="77777777" w:rsidR="007F424B" w:rsidRDefault="00AB0ACA">
      <w:pPr>
        <w:pStyle w:val="Heading1"/>
        <w:spacing w:before="0"/>
        <w:ind w:left="460"/>
      </w:pPr>
      <w:r>
        <w:t>Interpretation</w:t>
      </w:r>
    </w:p>
    <w:p w14:paraId="62408291" w14:textId="77777777" w:rsidR="007F424B" w:rsidRDefault="007F424B">
      <w:pPr>
        <w:pStyle w:val="BodyText"/>
        <w:spacing w:before="11"/>
        <w:rPr>
          <w:rFonts w:ascii="Arial"/>
          <w:b/>
          <w:sz w:val="23"/>
        </w:rPr>
      </w:pPr>
    </w:p>
    <w:p w14:paraId="62408292" w14:textId="77777777" w:rsidR="007F424B" w:rsidRDefault="00AB0ACA">
      <w:pPr>
        <w:pStyle w:val="ListParagraph"/>
        <w:numPr>
          <w:ilvl w:val="0"/>
          <w:numId w:val="7"/>
        </w:numPr>
        <w:tabs>
          <w:tab w:val="left" w:pos="1000"/>
          <w:tab w:val="left" w:pos="1001"/>
        </w:tabs>
        <w:ind w:hanging="541"/>
        <w:jc w:val="left"/>
        <w:rPr>
          <w:sz w:val="24"/>
        </w:rPr>
      </w:pPr>
      <w:r>
        <w:rPr>
          <w:sz w:val="24"/>
        </w:rPr>
        <w:t>In these conditions, including the</w:t>
      </w:r>
      <w:r>
        <w:rPr>
          <w:spacing w:val="-4"/>
          <w:sz w:val="24"/>
        </w:rPr>
        <w:t xml:space="preserve"> </w:t>
      </w:r>
      <w:r>
        <w:rPr>
          <w:sz w:val="24"/>
        </w:rPr>
        <w:t>annexures:</w:t>
      </w:r>
    </w:p>
    <w:p w14:paraId="62408293" w14:textId="77777777" w:rsidR="007F424B" w:rsidRDefault="007F424B">
      <w:pPr>
        <w:pStyle w:val="BodyText"/>
      </w:pPr>
    </w:p>
    <w:p w14:paraId="62408294" w14:textId="77777777" w:rsidR="007F424B" w:rsidRDefault="00AB0ACA">
      <w:pPr>
        <w:ind w:left="460"/>
        <w:rPr>
          <w:i/>
          <w:sz w:val="24"/>
        </w:rPr>
      </w:pPr>
      <w:r>
        <w:rPr>
          <w:b/>
          <w:i/>
          <w:sz w:val="24"/>
        </w:rPr>
        <w:t xml:space="preserve">Act </w:t>
      </w:r>
      <w:r>
        <w:rPr>
          <w:sz w:val="24"/>
        </w:rPr>
        <w:t xml:space="preserve">means the </w:t>
      </w:r>
      <w:r>
        <w:rPr>
          <w:i/>
          <w:sz w:val="24"/>
        </w:rPr>
        <w:t>Banking Act 1959;</w:t>
      </w:r>
    </w:p>
    <w:p w14:paraId="62408295" w14:textId="77777777" w:rsidR="007F424B" w:rsidRDefault="007F424B">
      <w:pPr>
        <w:pStyle w:val="BodyText"/>
        <w:spacing w:before="10"/>
        <w:rPr>
          <w:i/>
          <w:sz w:val="23"/>
        </w:rPr>
      </w:pPr>
    </w:p>
    <w:p w14:paraId="62408296" w14:textId="77777777" w:rsidR="007F424B" w:rsidRDefault="00AB0ACA">
      <w:pPr>
        <w:pStyle w:val="BodyText"/>
        <w:ind w:left="460"/>
      </w:pPr>
      <w:r>
        <w:rPr>
          <w:b/>
          <w:i/>
        </w:rPr>
        <w:t xml:space="preserve">ADI </w:t>
      </w:r>
      <w:r>
        <w:t>means Macquarie Bank Limited ABN 46 008 583 542;</w:t>
      </w:r>
    </w:p>
    <w:p w14:paraId="62408297" w14:textId="77777777" w:rsidR="007F424B" w:rsidRDefault="007F424B">
      <w:pPr>
        <w:pStyle w:val="BodyText"/>
      </w:pPr>
    </w:p>
    <w:p w14:paraId="62408298" w14:textId="77777777" w:rsidR="007F424B" w:rsidRDefault="00AB0ACA">
      <w:pPr>
        <w:pStyle w:val="BodyText"/>
        <w:spacing w:line="242" w:lineRule="auto"/>
        <w:ind w:left="460" w:right="775"/>
      </w:pPr>
      <w:r>
        <w:rPr>
          <w:b/>
          <w:i/>
        </w:rPr>
        <w:t>ADI</w:t>
      </w:r>
      <w:r>
        <w:rPr>
          <w:b/>
          <w:i/>
          <w:spacing w:val="-11"/>
        </w:rPr>
        <w:t xml:space="preserve"> </w:t>
      </w:r>
      <w:r>
        <w:rPr>
          <w:b/>
          <w:i/>
        </w:rPr>
        <w:t>Group</w:t>
      </w:r>
      <w:r>
        <w:rPr>
          <w:b/>
          <w:i/>
          <w:spacing w:val="-6"/>
        </w:rPr>
        <w:t xml:space="preserve"> </w:t>
      </w:r>
      <w:r>
        <w:t>means</w:t>
      </w:r>
      <w:r>
        <w:rPr>
          <w:spacing w:val="-10"/>
        </w:rPr>
        <w:t xml:space="preserve"> </w:t>
      </w:r>
      <w:r>
        <w:t>the</w:t>
      </w:r>
      <w:r>
        <w:rPr>
          <w:spacing w:val="-8"/>
        </w:rPr>
        <w:t xml:space="preserve"> </w:t>
      </w:r>
      <w:r>
        <w:t>group</w:t>
      </w:r>
      <w:r>
        <w:rPr>
          <w:spacing w:val="-9"/>
        </w:rPr>
        <w:t xml:space="preserve"> </w:t>
      </w:r>
      <w:r>
        <w:t>of</w:t>
      </w:r>
      <w:r>
        <w:rPr>
          <w:spacing w:val="-9"/>
        </w:rPr>
        <w:t xml:space="preserve"> </w:t>
      </w:r>
      <w:r>
        <w:t>companies</w:t>
      </w:r>
      <w:r>
        <w:rPr>
          <w:spacing w:val="-10"/>
        </w:rPr>
        <w:t xml:space="preserve"> </w:t>
      </w:r>
      <w:r>
        <w:t>in</w:t>
      </w:r>
      <w:r>
        <w:rPr>
          <w:spacing w:val="-9"/>
        </w:rPr>
        <w:t xml:space="preserve"> </w:t>
      </w:r>
      <w:r>
        <w:t>the</w:t>
      </w:r>
      <w:r>
        <w:rPr>
          <w:spacing w:val="-8"/>
        </w:rPr>
        <w:t xml:space="preserve"> </w:t>
      </w:r>
      <w:r>
        <w:t>Macquarie</w:t>
      </w:r>
      <w:r>
        <w:rPr>
          <w:spacing w:val="-8"/>
        </w:rPr>
        <w:t xml:space="preserve"> </w:t>
      </w:r>
      <w:r>
        <w:t>Group</w:t>
      </w:r>
      <w:r>
        <w:rPr>
          <w:spacing w:val="-9"/>
        </w:rPr>
        <w:t xml:space="preserve"> </w:t>
      </w:r>
      <w:r>
        <w:t>at</w:t>
      </w:r>
      <w:r>
        <w:rPr>
          <w:spacing w:val="-6"/>
        </w:rPr>
        <w:t xml:space="preserve"> </w:t>
      </w:r>
      <w:r>
        <w:t>Level</w:t>
      </w:r>
      <w:r>
        <w:rPr>
          <w:spacing w:val="-8"/>
        </w:rPr>
        <w:t xml:space="preserve"> </w:t>
      </w:r>
      <w:r>
        <w:t>2</w:t>
      </w:r>
      <w:r>
        <w:rPr>
          <w:spacing w:val="-9"/>
        </w:rPr>
        <w:t xml:space="preserve"> </w:t>
      </w:r>
      <w:r>
        <w:t>of</w:t>
      </w:r>
      <w:r>
        <w:rPr>
          <w:spacing w:val="-9"/>
        </w:rPr>
        <w:t xml:space="preserve"> </w:t>
      </w:r>
      <w:r>
        <w:t>which the ADI NOHC is the parent</w:t>
      </w:r>
      <w:r>
        <w:rPr>
          <w:spacing w:val="-3"/>
        </w:rPr>
        <w:t xml:space="preserve"> </w:t>
      </w:r>
      <w:r>
        <w:t>company;</w:t>
      </w:r>
    </w:p>
    <w:p w14:paraId="62408299" w14:textId="77777777" w:rsidR="007F424B" w:rsidRDefault="007F424B">
      <w:pPr>
        <w:pStyle w:val="BodyText"/>
        <w:spacing w:before="6"/>
        <w:rPr>
          <w:sz w:val="23"/>
        </w:rPr>
      </w:pPr>
    </w:p>
    <w:p w14:paraId="6240829A" w14:textId="77777777" w:rsidR="007F424B" w:rsidRDefault="00AB0ACA">
      <w:pPr>
        <w:pStyle w:val="BodyText"/>
        <w:ind w:left="460" w:right="911"/>
        <w:jc w:val="both"/>
      </w:pPr>
      <w:r>
        <w:rPr>
          <w:b/>
          <w:i/>
        </w:rPr>
        <w:t xml:space="preserve">ADI Group capital requirement </w:t>
      </w:r>
      <w:r>
        <w:t>means capital requirement calculated by applying the ADI’s Board-approved internal minimum Tier 1 capital ratio to total risk-weighted exposures (or, from the Base</w:t>
      </w:r>
      <w:r>
        <w:t>l II commencement date, total risk-weighted assets) at Level 2, as determined by applying all applicable prudential standards to the ADI, which must be met by Tier 1 capital, in which regard the respective proportions of Fundamental Tier 1 capital, Residua</w:t>
      </w:r>
      <w:r>
        <w:t>l Tier 1 capital and Innovative Tier 1 capital must comply with APS 111;</w:t>
      </w:r>
    </w:p>
    <w:p w14:paraId="6240829B" w14:textId="77777777" w:rsidR="007F424B" w:rsidRDefault="007F424B">
      <w:pPr>
        <w:pStyle w:val="BodyText"/>
      </w:pPr>
    </w:p>
    <w:p w14:paraId="6240829C" w14:textId="77777777" w:rsidR="007F424B" w:rsidRDefault="00AB0ACA">
      <w:pPr>
        <w:pStyle w:val="BodyText"/>
        <w:ind w:left="460" w:right="921"/>
        <w:jc w:val="both"/>
      </w:pPr>
      <w:r>
        <w:rPr>
          <w:b/>
          <w:i/>
        </w:rPr>
        <w:t>ADI</w:t>
      </w:r>
      <w:r>
        <w:rPr>
          <w:b/>
          <w:i/>
          <w:spacing w:val="-15"/>
        </w:rPr>
        <w:t xml:space="preserve"> </w:t>
      </w:r>
      <w:r>
        <w:rPr>
          <w:b/>
          <w:i/>
        </w:rPr>
        <w:t>NOHC</w:t>
      </w:r>
      <w:r>
        <w:rPr>
          <w:b/>
          <w:i/>
          <w:spacing w:val="-12"/>
        </w:rPr>
        <w:t xml:space="preserve"> </w:t>
      </w:r>
      <w:r>
        <w:t>means</w:t>
      </w:r>
      <w:r>
        <w:rPr>
          <w:spacing w:val="-14"/>
        </w:rPr>
        <w:t xml:space="preserve"> </w:t>
      </w:r>
      <w:r>
        <w:t>the</w:t>
      </w:r>
      <w:r>
        <w:rPr>
          <w:spacing w:val="-12"/>
        </w:rPr>
        <w:t xml:space="preserve"> </w:t>
      </w:r>
      <w:r>
        <w:t>non-operating</w:t>
      </w:r>
      <w:r>
        <w:rPr>
          <w:spacing w:val="-15"/>
        </w:rPr>
        <w:t xml:space="preserve"> </w:t>
      </w:r>
      <w:r>
        <w:t>holding</w:t>
      </w:r>
      <w:r>
        <w:rPr>
          <w:spacing w:val="-16"/>
        </w:rPr>
        <w:t xml:space="preserve"> </w:t>
      </w:r>
      <w:r>
        <w:t>company</w:t>
      </w:r>
      <w:r>
        <w:rPr>
          <w:spacing w:val="-18"/>
        </w:rPr>
        <w:t xml:space="preserve"> </w:t>
      </w:r>
      <w:r>
        <w:t>which</w:t>
      </w:r>
      <w:r>
        <w:rPr>
          <w:spacing w:val="-13"/>
        </w:rPr>
        <w:t xml:space="preserve"> </w:t>
      </w:r>
      <w:r>
        <w:t>is</w:t>
      </w:r>
      <w:r>
        <w:rPr>
          <w:spacing w:val="-12"/>
        </w:rPr>
        <w:t xml:space="preserve"> </w:t>
      </w:r>
      <w:r>
        <w:t>the</w:t>
      </w:r>
      <w:r>
        <w:rPr>
          <w:spacing w:val="-12"/>
        </w:rPr>
        <w:t xml:space="preserve"> </w:t>
      </w:r>
      <w:r>
        <w:t>immediate</w:t>
      </w:r>
      <w:r>
        <w:rPr>
          <w:spacing w:val="-13"/>
        </w:rPr>
        <w:t xml:space="preserve"> </w:t>
      </w:r>
      <w:r>
        <w:t>holding company of the</w:t>
      </w:r>
      <w:r>
        <w:rPr>
          <w:spacing w:val="-10"/>
        </w:rPr>
        <w:t xml:space="preserve"> </w:t>
      </w:r>
      <w:r>
        <w:t>ADI;</w:t>
      </w:r>
    </w:p>
    <w:p w14:paraId="6240829D" w14:textId="77777777" w:rsidR="007F424B" w:rsidRDefault="007F424B">
      <w:pPr>
        <w:pStyle w:val="BodyText"/>
        <w:spacing w:before="3"/>
      </w:pPr>
    </w:p>
    <w:p w14:paraId="6240829E" w14:textId="77777777" w:rsidR="007F424B" w:rsidRDefault="00AB0ACA">
      <w:pPr>
        <w:pStyle w:val="BodyText"/>
        <w:ind w:left="460" w:right="920"/>
        <w:jc w:val="both"/>
      </w:pPr>
      <w:r>
        <w:rPr>
          <w:b/>
          <w:i/>
        </w:rPr>
        <w:t xml:space="preserve">AIFRS </w:t>
      </w:r>
      <w:r>
        <w:t>means the accounting standards made by the Australian Accounting Standards Board on 15 July 2004 (and subsequent revisions) and known as the Australian equivalents to International Financial Reporting Standards;</w:t>
      </w:r>
    </w:p>
    <w:p w14:paraId="6240829F" w14:textId="77777777" w:rsidR="007F424B" w:rsidRDefault="007F424B">
      <w:pPr>
        <w:pStyle w:val="BodyText"/>
        <w:spacing w:before="10"/>
        <w:rPr>
          <w:sz w:val="23"/>
        </w:rPr>
      </w:pPr>
    </w:p>
    <w:p w14:paraId="624082A0" w14:textId="77777777" w:rsidR="007F424B" w:rsidRDefault="00AB0ACA">
      <w:pPr>
        <w:pStyle w:val="BodyText"/>
        <w:ind w:left="460" w:right="916"/>
        <w:jc w:val="both"/>
      </w:pPr>
      <w:r>
        <w:rPr>
          <w:b/>
          <w:i/>
        </w:rPr>
        <w:t xml:space="preserve">APS </w:t>
      </w:r>
      <w:r>
        <w:t>(followed by a number) identifies a spe</w:t>
      </w:r>
      <w:r>
        <w:t>cific prudential standard, and a reference to a particular prudential standard includes a reference to a prudential standard that replaces it;</w:t>
      </w:r>
    </w:p>
    <w:p w14:paraId="624082A1" w14:textId="77777777" w:rsidR="007F424B" w:rsidRDefault="007F424B">
      <w:pPr>
        <w:pStyle w:val="BodyText"/>
        <w:spacing w:before="1"/>
      </w:pPr>
    </w:p>
    <w:p w14:paraId="624082A2" w14:textId="77777777" w:rsidR="007F424B" w:rsidRDefault="00AB0ACA">
      <w:pPr>
        <w:ind w:left="460"/>
        <w:jc w:val="both"/>
        <w:rPr>
          <w:sz w:val="24"/>
        </w:rPr>
      </w:pPr>
      <w:proofErr w:type="spellStart"/>
      <w:r>
        <w:rPr>
          <w:b/>
          <w:i/>
          <w:sz w:val="24"/>
        </w:rPr>
        <w:t>Authorised</w:t>
      </w:r>
      <w:proofErr w:type="spellEnd"/>
      <w:r>
        <w:rPr>
          <w:b/>
          <w:i/>
          <w:sz w:val="24"/>
        </w:rPr>
        <w:t xml:space="preserve"> NOHC </w:t>
      </w:r>
      <w:r>
        <w:rPr>
          <w:sz w:val="24"/>
        </w:rPr>
        <w:t>means Macquarie Group Limited ABN 94 122 169 279;</w:t>
      </w:r>
    </w:p>
    <w:p w14:paraId="624082A3" w14:textId="77777777" w:rsidR="007F424B" w:rsidRDefault="007F424B">
      <w:pPr>
        <w:pStyle w:val="BodyText"/>
      </w:pPr>
    </w:p>
    <w:p w14:paraId="624082A4" w14:textId="77777777" w:rsidR="007F424B" w:rsidRDefault="00AB0ACA">
      <w:pPr>
        <w:pStyle w:val="BodyText"/>
        <w:ind w:left="460" w:right="919"/>
        <w:jc w:val="both"/>
      </w:pPr>
      <w:r>
        <w:rPr>
          <w:b/>
          <w:i/>
        </w:rPr>
        <w:t>Basel</w:t>
      </w:r>
      <w:r>
        <w:rPr>
          <w:b/>
          <w:i/>
          <w:spacing w:val="-14"/>
        </w:rPr>
        <w:t xml:space="preserve"> </w:t>
      </w:r>
      <w:r>
        <w:rPr>
          <w:b/>
          <w:i/>
        </w:rPr>
        <w:t>II</w:t>
      </w:r>
      <w:r>
        <w:rPr>
          <w:b/>
          <w:i/>
          <w:spacing w:val="-16"/>
        </w:rPr>
        <w:t xml:space="preserve"> </w:t>
      </w:r>
      <w:r>
        <w:rPr>
          <w:b/>
          <w:i/>
        </w:rPr>
        <w:t>commencement</w:t>
      </w:r>
      <w:r>
        <w:rPr>
          <w:b/>
          <w:i/>
          <w:spacing w:val="-13"/>
        </w:rPr>
        <w:t xml:space="preserve"> </w:t>
      </w:r>
      <w:r>
        <w:rPr>
          <w:b/>
          <w:i/>
        </w:rPr>
        <w:t>date</w:t>
      </w:r>
      <w:r>
        <w:rPr>
          <w:b/>
          <w:i/>
          <w:spacing w:val="-10"/>
        </w:rPr>
        <w:t xml:space="preserve"> </w:t>
      </w:r>
      <w:r>
        <w:t>means</w:t>
      </w:r>
      <w:r>
        <w:rPr>
          <w:spacing w:val="-16"/>
        </w:rPr>
        <w:t xml:space="preserve"> </w:t>
      </w:r>
      <w:r>
        <w:t>1</w:t>
      </w:r>
      <w:r>
        <w:rPr>
          <w:spacing w:val="-14"/>
        </w:rPr>
        <w:t xml:space="preserve"> </w:t>
      </w:r>
      <w:r>
        <w:t>January</w:t>
      </w:r>
      <w:r>
        <w:rPr>
          <w:spacing w:val="-20"/>
        </w:rPr>
        <w:t xml:space="preserve"> </w:t>
      </w:r>
      <w:r>
        <w:t>20</w:t>
      </w:r>
      <w:r>
        <w:t>08</w:t>
      </w:r>
      <w:r>
        <w:rPr>
          <w:spacing w:val="-9"/>
        </w:rPr>
        <w:t xml:space="preserve"> </w:t>
      </w:r>
      <w:r>
        <w:t>or</w:t>
      </w:r>
      <w:r>
        <w:rPr>
          <w:spacing w:val="-15"/>
        </w:rPr>
        <w:t xml:space="preserve"> </w:t>
      </w:r>
      <w:r>
        <w:t>the</w:t>
      </w:r>
      <w:r>
        <w:rPr>
          <w:spacing w:val="-13"/>
        </w:rPr>
        <w:t xml:space="preserve"> </w:t>
      </w:r>
      <w:r>
        <w:t>date</w:t>
      </w:r>
      <w:r>
        <w:rPr>
          <w:spacing w:val="-14"/>
        </w:rPr>
        <w:t xml:space="preserve"> </w:t>
      </w:r>
      <w:r>
        <w:t>on</w:t>
      </w:r>
      <w:r>
        <w:rPr>
          <w:spacing w:val="-15"/>
        </w:rPr>
        <w:t xml:space="preserve"> </w:t>
      </w:r>
      <w:r>
        <w:t>which</w:t>
      </w:r>
      <w:r>
        <w:rPr>
          <w:spacing w:val="-14"/>
        </w:rPr>
        <w:t xml:space="preserve"> </w:t>
      </w:r>
      <w:r>
        <w:t>the</w:t>
      </w:r>
      <w:r>
        <w:rPr>
          <w:spacing w:val="-14"/>
        </w:rPr>
        <w:t xml:space="preserve"> </w:t>
      </w:r>
      <w:r>
        <w:t>prudential standards implementing the revised international capital framework for banks, known as “Basel II”, begin to</w:t>
      </w:r>
      <w:r>
        <w:rPr>
          <w:spacing w:val="-2"/>
        </w:rPr>
        <w:t xml:space="preserve"> </w:t>
      </w:r>
      <w:r>
        <w:t>apply;</w:t>
      </w:r>
    </w:p>
    <w:p w14:paraId="624082A5" w14:textId="77777777" w:rsidR="007F424B" w:rsidRDefault="007F424B">
      <w:pPr>
        <w:pStyle w:val="BodyText"/>
        <w:spacing w:before="11"/>
        <w:rPr>
          <w:sz w:val="23"/>
        </w:rPr>
      </w:pPr>
    </w:p>
    <w:p w14:paraId="624082A6" w14:textId="77777777" w:rsidR="007F424B" w:rsidRDefault="00AB0ACA">
      <w:pPr>
        <w:pStyle w:val="BodyText"/>
        <w:ind w:left="460"/>
        <w:jc w:val="both"/>
      </w:pPr>
      <w:r>
        <w:rPr>
          <w:b/>
          <w:i/>
        </w:rPr>
        <w:t xml:space="preserve">Board </w:t>
      </w:r>
      <w:r>
        <w:t>means board of directors;</w:t>
      </w:r>
    </w:p>
    <w:p w14:paraId="624082A7" w14:textId="77777777" w:rsidR="007F424B" w:rsidRDefault="007F424B">
      <w:pPr>
        <w:pStyle w:val="BodyText"/>
      </w:pPr>
    </w:p>
    <w:p w14:paraId="624082A8" w14:textId="77777777" w:rsidR="007F424B" w:rsidRDefault="00AB0ACA">
      <w:pPr>
        <w:pStyle w:val="BodyText"/>
        <w:ind w:left="460" w:right="916"/>
        <w:jc w:val="both"/>
      </w:pPr>
      <w:r>
        <w:rPr>
          <w:b/>
          <w:i/>
        </w:rPr>
        <w:t xml:space="preserve">ECM </w:t>
      </w:r>
      <w:r>
        <w:t>means Economic Capital Model determined in accordance with the E</w:t>
      </w:r>
      <w:r>
        <w:t>CM Agreement;</w:t>
      </w:r>
    </w:p>
    <w:p w14:paraId="624082A9" w14:textId="77777777" w:rsidR="007F424B" w:rsidRDefault="007F424B">
      <w:pPr>
        <w:pStyle w:val="BodyText"/>
      </w:pPr>
    </w:p>
    <w:p w14:paraId="624082AA" w14:textId="77777777" w:rsidR="007F424B" w:rsidRDefault="00AB0ACA">
      <w:pPr>
        <w:pStyle w:val="BodyText"/>
        <w:ind w:left="460" w:right="925"/>
        <w:jc w:val="both"/>
      </w:pPr>
      <w:r>
        <w:rPr>
          <w:b/>
          <w:i/>
        </w:rPr>
        <w:t>ECM</w:t>
      </w:r>
      <w:r>
        <w:rPr>
          <w:b/>
          <w:i/>
          <w:spacing w:val="-15"/>
        </w:rPr>
        <w:t xml:space="preserve"> </w:t>
      </w:r>
      <w:r>
        <w:rPr>
          <w:b/>
          <w:i/>
        </w:rPr>
        <w:t>Agreement</w:t>
      </w:r>
      <w:r>
        <w:rPr>
          <w:b/>
          <w:i/>
          <w:spacing w:val="-12"/>
        </w:rPr>
        <w:t xml:space="preserve"> </w:t>
      </w:r>
      <w:r>
        <w:t>means</w:t>
      </w:r>
      <w:r>
        <w:rPr>
          <w:spacing w:val="-14"/>
        </w:rPr>
        <w:t xml:space="preserve"> </w:t>
      </w:r>
      <w:r>
        <w:t>the</w:t>
      </w:r>
      <w:r>
        <w:rPr>
          <w:spacing w:val="-13"/>
        </w:rPr>
        <w:t xml:space="preserve"> </w:t>
      </w:r>
      <w:r>
        <w:t>agreement</w:t>
      </w:r>
      <w:r>
        <w:rPr>
          <w:spacing w:val="-12"/>
        </w:rPr>
        <w:t xml:space="preserve"> </w:t>
      </w:r>
      <w:r>
        <w:t>made</w:t>
      </w:r>
      <w:r>
        <w:rPr>
          <w:spacing w:val="-13"/>
        </w:rPr>
        <w:t xml:space="preserve"> </w:t>
      </w:r>
      <w:r>
        <w:t>between</w:t>
      </w:r>
      <w:r>
        <w:rPr>
          <w:spacing w:val="-14"/>
        </w:rPr>
        <w:t xml:space="preserve"> </w:t>
      </w:r>
      <w:r>
        <w:t>the</w:t>
      </w:r>
      <w:r>
        <w:rPr>
          <w:spacing w:val="-12"/>
        </w:rPr>
        <w:t xml:space="preserve"> </w:t>
      </w:r>
      <w:r>
        <w:t>Macquarie</w:t>
      </w:r>
      <w:r>
        <w:rPr>
          <w:spacing w:val="-13"/>
        </w:rPr>
        <w:t xml:space="preserve"> </w:t>
      </w:r>
      <w:r>
        <w:t>Group</w:t>
      </w:r>
      <w:r>
        <w:rPr>
          <w:spacing w:val="-13"/>
        </w:rPr>
        <w:t xml:space="preserve"> </w:t>
      </w:r>
      <w:r>
        <w:t>and</w:t>
      </w:r>
      <w:r>
        <w:rPr>
          <w:spacing w:val="-13"/>
        </w:rPr>
        <w:t xml:space="preserve"> </w:t>
      </w:r>
      <w:r>
        <w:t>APRA in Annexure 1 to these</w:t>
      </w:r>
      <w:r>
        <w:rPr>
          <w:spacing w:val="-1"/>
        </w:rPr>
        <w:t xml:space="preserve"> </w:t>
      </w:r>
      <w:r>
        <w:t>conditions;</w:t>
      </w:r>
    </w:p>
    <w:p w14:paraId="624082AB" w14:textId="77777777" w:rsidR="007F424B" w:rsidRDefault="007F424B">
      <w:pPr>
        <w:pStyle w:val="BodyText"/>
      </w:pPr>
    </w:p>
    <w:p w14:paraId="624082AC" w14:textId="77777777" w:rsidR="007F424B" w:rsidRDefault="00AB0ACA">
      <w:pPr>
        <w:ind w:left="460"/>
        <w:jc w:val="both"/>
        <w:rPr>
          <w:sz w:val="24"/>
        </w:rPr>
      </w:pPr>
      <w:r>
        <w:rPr>
          <w:b/>
          <w:i/>
          <w:sz w:val="24"/>
        </w:rPr>
        <w:t xml:space="preserve">eligible capital </w:t>
      </w:r>
      <w:r>
        <w:rPr>
          <w:sz w:val="24"/>
        </w:rPr>
        <w:t>means the sum of:</w:t>
      </w:r>
    </w:p>
    <w:p w14:paraId="624082AD" w14:textId="77777777" w:rsidR="007F424B" w:rsidRDefault="007F424B">
      <w:pPr>
        <w:jc w:val="both"/>
        <w:rPr>
          <w:sz w:val="24"/>
        </w:rPr>
        <w:sectPr w:rsidR="007F424B">
          <w:pgSz w:w="11910" w:h="16840"/>
          <w:pgMar w:top="1340" w:right="880" w:bottom="1120" w:left="1340" w:header="0" w:footer="928" w:gutter="0"/>
          <w:cols w:space="720"/>
        </w:sectPr>
      </w:pPr>
    </w:p>
    <w:p w14:paraId="624082AE" w14:textId="77777777" w:rsidR="007F424B" w:rsidRDefault="00AB0ACA">
      <w:pPr>
        <w:pStyle w:val="ListParagraph"/>
        <w:numPr>
          <w:ilvl w:val="1"/>
          <w:numId w:val="7"/>
        </w:numPr>
        <w:tabs>
          <w:tab w:val="left" w:pos="1540"/>
          <w:tab w:val="left" w:pos="1541"/>
        </w:tabs>
        <w:spacing w:before="76" w:line="276" w:lineRule="exact"/>
        <w:ind w:hanging="721"/>
        <w:rPr>
          <w:sz w:val="24"/>
        </w:rPr>
      </w:pPr>
      <w:r>
        <w:rPr>
          <w:sz w:val="24"/>
        </w:rPr>
        <w:lastRenderedPageBreak/>
        <w:t>eligible share</w:t>
      </w:r>
      <w:r>
        <w:rPr>
          <w:spacing w:val="-1"/>
          <w:sz w:val="24"/>
        </w:rPr>
        <w:t xml:space="preserve"> </w:t>
      </w:r>
      <w:r>
        <w:rPr>
          <w:sz w:val="24"/>
        </w:rPr>
        <w:t>capital;</w:t>
      </w:r>
    </w:p>
    <w:p w14:paraId="624082AF" w14:textId="77777777" w:rsidR="007F424B" w:rsidRDefault="00AB0ACA">
      <w:pPr>
        <w:pStyle w:val="ListParagraph"/>
        <w:numPr>
          <w:ilvl w:val="1"/>
          <w:numId w:val="7"/>
        </w:numPr>
        <w:tabs>
          <w:tab w:val="left" w:pos="1540"/>
          <w:tab w:val="left" w:pos="1541"/>
        </w:tabs>
        <w:ind w:hanging="721"/>
        <w:rPr>
          <w:sz w:val="24"/>
        </w:rPr>
      </w:pPr>
      <w:r>
        <w:rPr>
          <w:sz w:val="24"/>
        </w:rPr>
        <w:t>reserves;</w:t>
      </w:r>
    </w:p>
    <w:p w14:paraId="624082B0" w14:textId="77777777" w:rsidR="007F424B" w:rsidRDefault="00AB0ACA">
      <w:pPr>
        <w:pStyle w:val="ListParagraph"/>
        <w:numPr>
          <w:ilvl w:val="1"/>
          <w:numId w:val="7"/>
        </w:numPr>
        <w:tabs>
          <w:tab w:val="left" w:pos="1540"/>
          <w:tab w:val="left" w:pos="1541"/>
        </w:tabs>
        <w:spacing w:before="1" w:line="275" w:lineRule="exact"/>
        <w:ind w:hanging="721"/>
        <w:rPr>
          <w:sz w:val="24"/>
        </w:rPr>
      </w:pPr>
      <w:r>
        <w:rPr>
          <w:sz w:val="24"/>
        </w:rPr>
        <w:t>retained</w:t>
      </w:r>
      <w:r>
        <w:rPr>
          <w:spacing w:val="-1"/>
          <w:sz w:val="24"/>
        </w:rPr>
        <w:t xml:space="preserve"> </w:t>
      </w:r>
      <w:r>
        <w:rPr>
          <w:sz w:val="24"/>
        </w:rPr>
        <w:t>earnings;</w:t>
      </w:r>
    </w:p>
    <w:p w14:paraId="624082B1" w14:textId="77777777" w:rsidR="007F424B" w:rsidRDefault="00AB0ACA">
      <w:pPr>
        <w:pStyle w:val="ListParagraph"/>
        <w:numPr>
          <w:ilvl w:val="1"/>
          <w:numId w:val="7"/>
        </w:numPr>
        <w:tabs>
          <w:tab w:val="left" w:pos="1540"/>
          <w:tab w:val="left" w:pos="1541"/>
        </w:tabs>
        <w:spacing w:line="275" w:lineRule="exact"/>
        <w:ind w:hanging="721"/>
        <w:rPr>
          <w:sz w:val="24"/>
        </w:rPr>
      </w:pPr>
      <w:r>
        <w:rPr>
          <w:sz w:val="24"/>
        </w:rPr>
        <w:t>eligible non-innovative Residual Tier 1 capital;</w:t>
      </w:r>
      <w:r>
        <w:rPr>
          <w:spacing w:val="-2"/>
          <w:sz w:val="24"/>
        </w:rPr>
        <w:t xml:space="preserve"> </w:t>
      </w:r>
      <w:r>
        <w:rPr>
          <w:sz w:val="24"/>
        </w:rPr>
        <w:t>and</w:t>
      </w:r>
    </w:p>
    <w:p w14:paraId="624082B2" w14:textId="77777777" w:rsidR="007F424B" w:rsidRDefault="00AB0ACA">
      <w:pPr>
        <w:pStyle w:val="ListParagraph"/>
        <w:numPr>
          <w:ilvl w:val="1"/>
          <w:numId w:val="7"/>
        </w:numPr>
        <w:tabs>
          <w:tab w:val="left" w:pos="1540"/>
          <w:tab w:val="left" w:pos="1541"/>
        </w:tabs>
        <w:spacing w:before="1"/>
        <w:ind w:hanging="721"/>
        <w:rPr>
          <w:sz w:val="24"/>
        </w:rPr>
      </w:pPr>
      <w:r>
        <w:rPr>
          <w:sz w:val="24"/>
        </w:rPr>
        <w:t>eligible hybrid</w:t>
      </w:r>
      <w:r>
        <w:rPr>
          <w:spacing w:val="-1"/>
          <w:sz w:val="24"/>
        </w:rPr>
        <w:t xml:space="preserve"> </w:t>
      </w:r>
      <w:r>
        <w:rPr>
          <w:sz w:val="24"/>
        </w:rPr>
        <w:t>capital;</w:t>
      </w:r>
    </w:p>
    <w:p w14:paraId="624082B3" w14:textId="77777777" w:rsidR="007F424B" w:rsidRDefault="007F424B">
      <w:pPr>
        <w:pStyle w:val="BodyText"/>
        <w:spacing w:before="10"/>
        <w:rPr>
          <w:sz w:val="23"/>
        </w:rPr>
      </w:pPr>
    </w:p>
    <w:p w14:paraId="624082B4" w14:textId="77777777" w:rsidR="007F424B" w:rsidRDefault="00AB0ACA">
      <w:pPr>
        <w:pStyle w:val="Heading2"/>
        <w:jc w:val="both"/>
        <w:rPr>
          <w:b w:val="0"/>
          <w:i w:val="0"/>
        </w:rPr>
      </w:pPr>
      <w:r>
        <w:t>eligible hybrid capital</w:t>
      </w:r>
      <w:r>
        <w:rPr>
          <w:b w:val="0"/>
          <w:i w:val="0"/>
        </w:rPr>
        <w:t>:</w:t>
      </w:r>
    </w:p>
    <w:p w14:paraId="624082B5" w14:textId="77777777" w:rsidR="007F424B" w:rsidRDefault="007F424B">
      <w:pPr>
        <w:pStyle w:val="BodyText"/>
      </w:pPr>
    </w:p>
    <w:p w14:paraId="624082B6" w14:textId="77777777" w:rsidR="007F424B" w:rsidRDefault="00AB0ACA">
      <w:pPr>
        <w:pStyle w:val="ListParagraph"/>
        <w:numPr>
          <w:ilvl w:val="0"/>
          <w:numId w:val="6"/>
        </w:numPr>
        <w:tabs>
          <w:tab w:val="left" w:pos="1540"/>
          <w:tab w:val="left" w:pos="1541"/>
        </w:tabs>
        <w:ind w:right="1027"/>
        <w:rPr>
          <w:sz w:val="24"/>
        </w:rPr>
      </w:pPr>
      <w:r>
        <w:rPr>
          <w:sz w:val="24"/>
        </w:rPr>
        <w:t>for the ADI Group, means Innovative Tier 1 capital within the meaning</w:t>
      </w:r>
      <w:r>
        <w:rPr>
          <w:spacing w:val="-31"/>
          <w:sz w:val="24"/>
        </w:rPr>
        <w:t xml:space="preserve"> </w:t>
      </w:r>
      <w:r>
        <w:rPr>
          <w:sz w:val="24"/>
        </w:rPr>
        <w:t>of APS 111;</w:t>
      </w:r>
      <w:r>
        <w:rPr>
          <w:spacing w:val="-2"/>
          <w:sz w:val="24"/>
        </w:rPr>
        <w:t xml:space="preserve"> </w:t>
      </w:r>
      <w:r>
        <w:rPr>
          <w:sz w:val="24"/>
        </w:rPr>
        <w:t>and</w:t>
      </w:r>
    </w:p>
    <w:p w14:paraId="624082B7" w14:textId="77777777" w:rsidR="007F424B" w:rsidRDefault="00AB0ACA">
      <w:pPr>
        <w:pStyle w:val="ListParagraph"/>
        <w:numPr>
          <w:ilvl w:val="0"/>
          <w:numId w:val="6"/>
        </w:numPr>
        <w:tabs>
          <w:tab w:val="left" w:pos="1540"/>
          <w:tab w:val="left" w:pos="1541"/>
        </w:tabs>
        <w:spacing w:before="1"/>
        <w:ind w:right="1041"/>
        <w:rPr>
          <w:sz w:val="24"/>
        </w:rPr>
      </w:pPr>
      <w:r>
        <w:rPr>
          <w:sz w:val="24"/>
        </w:rPr>
        <w:t>for the Non-ADI Group, means hybrid capital that meets the condit</w:t>
      </w:r>
      <w:r>
        <w:rPr>
          <w:sz w:val="24"/>
        </w:rPr>
        <w:t>ions in Annexure 2 to these</w:t>
      </w:r>
      <w:r>
        <w:rPr>
          <w:spacing w:val="-1"/>
          <w:sz w:val="24"/>
        </w:rPr>
        <w:t xml:space="preserve"> </w:t>
      </w:r>
      <w:r>
        <w:rPr>
          <w:sz w:val="24"/>
        </w:rPr>
        <w:t>conditions;</w:t>
      </w:r>
    </w:p>
    <w:p w14:paraId="624082B8" w14:textId="77777777" w:rsidR="007F424B" w:rsidRDefault="007F424B">
      <w:pPr>
        <w:pStyle w:val="BodyText"/>
      </w:pPr>
    </w:p>
    <w:p w14:paraId="624082B9" w14:textId="77777777" w:rsidR="007F424B" w:rsidRDefault="00AB0ACA">
      <w:pPr>
        <w:ind w:left="460" w:right="916"/>
        <w:jc w:val="both"/>
        <w:rPr>
          <w:sz w:val="24"/>
        </w:rPr>
      </w:pPr>
      <w:r>
        <w:rPr>
          <w:b/>
          <w:i/>
          <w:sz w:val="24"/>
        </w:rPr>
        <w:t xml:space="preserve">eligible non-innovative Residual Tier 1 capital </w:t>
      </w:r>
      <w:r>
        <w:rPr>
          <w:sz w:val="24"/>
        </w:rPr>
        <w:t>means non-innovative Residual Tier 1 capital within the meaning of APS 111;</w:t>
      </w:r>
    </w:p>
    <w:p w14:paraId="624082BA" w14:textId="77777777" w:rsidR="007F424B" w:rsidRDefault="007F424B">
      <w:pPr>
        <w:pStyle w:val="BodyText"/>
        <w:spacing w:before="11"/>
        <w:rPr>
          <w:sz w:val="23"/>
        </w:rPr>
      </w:pPr>
    </w:p>
    <w:p w14:paraId="624082BB" w14:textId="77777777" w:rsidR="007F424B" w:rsidRDefault="00AB0ACA">
      <w:pPr>
        <w:pStyle w:val="Heading2"/>
        <w:jc w:val="both"/>
        <w:rPr>
          <w:b w:val="0"/>
          <w:i w:val="0"/>
        </w:rPr>
      </w:pPr>
      <w:r>
        <w:t>eligible share capital</w:t>
      </w:r>
      <w:r>
        <w:rPr>
          <w:b w:val="0"/>
          <w:i w:val="0"/>
        </w:rPr>
        <w:t>:</w:t>
      </w:r>
    </w:p>
    <w:p w14:paraId="624082BC" w14:textId="77777777" w:rsidR="007F424B" w:rsidRDefault="007F424B">
      <w:pPr>
        <w:pStyle w:val="BodyText"/>
      </w:pPr>
    </w:p>
    <w:p w14:paraId="624082BD" w14:textId="77777777" w:rsidR="007F424B" w:rsidRDefault="00AB0ACA">
      <w:pPr>
        <w:pStyle w:val="ListParagraph"/>
        <w:numPr>
          <w:ilvl w:val="0"/>
          <w:numId w:val="5"/>
        </w:numPr>
        <w:tabs>
          <w:tab w:val="left" w:pos="1028"/>
        </w:tabs>
        <w:spacing w:before="1"/>
        <w:ind w:right="1341"/>
        <w:rPr>
          <w:sz w:val="24"/>
        </w:rPr>
      </w:pPr>
      <w:r>
        <w:rPr>
          <w:sz w:val="24"/>
        </w:rPr>
        <w:t>for the ADI Group, means share capital that qualifies as Fundamental Tier 1 capital under APS 111;</w:t>
      </w:r>
      <w:r>
        <w:rPr>
          <w:spacing w:val="-2"/>
          <w:sz w:val="24"/>
        </w:rPr>
        <w:t xml:space="preserve"> </w:t>
      </w:r>
      <w:r>
        <w:rPr>
          <w:sz w:val="24"/>
        </w:rPr>
        <w:t>and</w:t>
      </w:r>
    </w:p>
    <w:p w14:paraId="624082BE" w14:textId="77777777" w:rsidR="007F424B" w:rsidRDefault="00AB0ACA">
      <w:pPr>
        <w:pStyle w:val="ListParagraph"/>
        <w:numPr>
          <w:ilvl w:val="0"/>
          <w:numId w:val="5"/>
        </w:numPr>
        <w:tabs>
          <w:tab w:val="left" w:pos="1028"/>
        </w:tabs>
        <w:ind w:right="998"/>
        <w:rPr>
          <w:sz w:val="24"/>
        </w:rPr>
      </w:pPr>
      <w:r>
        <w:rPr>
          <w:sz w:val="24"/>
        </w:rPr>
        <w:t xml:space="preserve">for the Non-ADI Group, means paid-up capital issued by entities in the Macquarie Group to parties external to the Macquarie Group that is </w:t>
      </w:r>
      <w:proofErr w:type="spellStart"/>
      <w:r>
        <w:rPr>
          <w:sz w:val="24"/>
        </w:rPr>
        <w:t>recognised</w:t>
      </w:r>
      <w:proofErr w:type="spellEnd"/>
      <w:r>
        <w:rPr>
          <w:sz w:val="24"/>
        </w:rPr>
        <w:t xml:space="preserve"> as s</w:t>
      </w:r>
      <w:r>
        <w:rPr>
          <w:sz w:val="24"/>
        </w:rPr>
        <w:t>hare capital applying ordinary Australian accounting standards, conventions and</w:t>
      </w:r>
      <w:r>
        <w:rPr>
          <w:spacing w:val="-1"/>
          <w:sz w:val="24"/>
        </w:rPr>
        <w:t xml:space="preserve"> </w:t>
      </w:r>
      <w:r>
        <w:rPr>
          <w:sz w:val="24"/>
        </w:rPr>
        <w:t>practices;</w:t>
      </w:r>
    </w:p>
    <w:p w14:paraId="624082BF" w14:textId="77777777" w:rsidR="007F424B" w:rsidRDefault="007F424B">
      <w:pPr>
        <w:pStyle w:val="BodyText"/>
        <w:spacing w:before="1"/>
      </w:pPr>
    </w:p>
    <w:p w14:paraId="624082C0" w14:textId="77777777" w:rsidR="007F424B" w:rsidRDefault="00AB0ACA">
      <w:pPr>
        <w:ind w:left="460"/>
        <w:jc w:val="both"/>
        <w:rPr>
          <w:sz w:val="24"/>
        </w:rPr>
      </w:pPr>
      <w:r>
        <w:rPr>
          <w:b/>
          <w:i/>
          <w:sz w:val="24"/>
        </w:rPr>
        <w:t xml:space="preserve">Fundamental Tier 1 capital </w:t>
      </w:r>
      <w:r>
        <w:rPr>
          <w:sz w:val="24"/>
        </w:rPr>
        <w:t>has the meaning in APS 111;</w:t>
      </w:r>
    </w:p>
    <w:p w14:paraId="624082C1" w14:textId="77777777" w:rsidR="007F424B" w:rsidRDefault="007F424B">
      <w:pPr>
        <w:pStyle w:val="BodyText"/>
      </w:pPr>
    </w:p>
    <w:p w14:paraId="624082C2" w14:textId="77777777" w:rsidR="007F424B" w:rsidRDefault="00AB0ACA">
      <w:pPr>
        <w:ind w:left="460"/>
        <w:jc w:val="both"/>
        <w:rPr>
          <w:sz w:val="24"/>
        </w:rPr>
      </w:pPr>
      <w:r>
        <w:rPr>
          <w:b/>
          <w:i/>
          <w:sz w:val="24"/>
        </w:rPr>
        <w:t xml:space="preserve">Innovative Tier 1 capital </w:t>
      </w:r>
      <w:r>
        <w:rPr>
          <w:sz w:val="24"/>
        </w:rPr>
        <w:t>has the meaning in APS 111;</w:t>
      </w:r>
    </w:p>
    <w:p w14:paraId="624082C3" w14:textId="77777777" w:rsidR="007F424B" w:rsidRDefault="007F424B">
      <w:pPr>
        <w:pStyle w:val="BodyText"/>
        <w:spacing w:before="10"/>
        <w:rPr>
          <w:sz w:val="23"/>
        </w:rPr>
      </w:pPr>
    </w:p>
    <w:p w14:paraId="624082C4" w14:textId="77777777" w:rsidR="007F424B" w:rsidRDefault="00AB0ACA">
      <w:pPr>
        <w:pStyle w:val="BodyText"/>
        <w:ind w:left="460" w:right="919"/>
        <w:jc w:val="both"/>
      </w:pPr>
      <w:r>
        <w:rPr>
          <w:b/>
          <w:i/>
        </w:rPr>
        <w:t xml:space="preserve">Level 2 </w:t>
      </w:r>
      <w:r>
        <w:t>means the consolidated banking group comprising the ADI, the ADI NOHC and all their subsidiary entities other than non-consolidated subsidiaries within the meaning of APS 110;</w:t>
      </w:r>
    </w:p>
    <w:p w14:paraId="624082C5" w14:textId="77777777" w:rsidR="007F424B" w:rsidRDefault="007F424B">
      <w:pPr>
        <w:pStyle w:val="BodyText"/>
        <w:spacing w:before="1"/>
      </w:pPr>
    </w:p>
    <w:p w14:paraId="624082C6" w14:textId="77777777" w:rsidR="007F424B" w:rsidRDefault="00AB0ACA">
      <w:pPr>
        <w:ind w:left="460"/>
        <w:jc w:val="both"/>
        <w:rPr>
          <w:sz w:val="24"/>
        </w:rPr>
      </w:pPr>
      <w:r>
        <w:rPr>
          <w:b/>
          <w:i/>
          <w:sz w:val="24"/>
        </w:rPr>
        <w:t xml:space="preserve">Level 3 </w:t>
      </w:r>
      <w:r>
        <w:rPr>
          <w:sz w:val="24"/>
        </w:rPr>
        <w:t>has the meaning in APS 110;</w:t>
      </w:r>
    </w:p>
    <w:p w14:paraId="624082C7" w14:textId="77777777" w:rsidR="007F424B" w:rsidRDefault="007F424B">
      <w:pPr>
        <w:pStyle w:val="BodyText"/>
        <w:spacing w:before="1"/>
      </w:pPr>
    </w:p>
    <w:p w14:paraId="624082C8" w14:textId="77777777" w:rsidR="007F424B" w:rsidRDefault="00AB0ACA">
      <w:pPr>
        <w:ind w:left="460"/>
        <w:jc w:val="both"/>
        <w:rPr>
          <w:sz w:val="24"/>
        </w:rPr>
      </w:pPr>
      <w:r>
        <w:rPr>
          <w:b/>
          <w:i/>
          <w:sz w:val="24"/>
        </w:rPr>
        <w:t xml:space="preserve">Level 3 MCR </w:t>
      </w:r>
      <w:r>
        <w:rPr>
          <w:sz w:val="24"/>
        </w:rPr>
        <w:t>has the meaning in paragraph 2</w:t>
      </w:r>
      <w:r>
        <w:rPr>
          <w:sz w:val="24"/>
        </w:rPr>
        <w:t>;</w:t>
      </w:r>
    </w:p>
    <w:p w14:paraId="624082C9" w14:textId="77777777" w:rsidR="007F424B" w:rsidRDefault="007F424B">
      <w:pPr>
        <w:pStyle w:val="BodyText"/>
        <w:spacing w:before="9"/>
        <w:rPr>
          <w:sz w:val="23"/>
        </w:rPr>
      </w:pPr>
    </w:p>
    <w:p w14:paraId="624082CA" w14:textId="77777777" w:rsidR="007F424B" w:rsidRDefault="00AB0ACA">
      <w:pPr>
        <w:pStyle w:val="BodyText"/>
        <w:ind w:left="460" w:right="925"/>
        <w:jc w:val="both"/>
      </w:pPr>
      <w:r>
        <w:rPr>
          <w:b/>
          <w:i/>
        </w:rPr>
        <w:t xml:space="preserve">Macquarie Group </w:t>
      </w:r>
      <w:r>
        <w:t xml:space="preserve">means the group of companies of which the </w:t>
      </w:r>
      <w:proofErr w:type="spellStart"/>
      <w:r>
        <w:t>Authorised</w:t>
      </w:r>
      <w:proofErr w:type="spellEnd"/>
      <w:r>
        <w:t xml:space="preserve"> NOHC is the parent company;</w:t>
      </w:r>
    </w:p>
    <w:p w14:paraId="624082CB" w14:textId="77777777" w:rsidR="007F424B" w:rsidRDefault="007F424B">
      <w:pPr>
        <w:pStyle w:val="BodyText"/>
        <w:spacing w:before="3"/>
      </w:pPr>
    </w:p>
    <w:p w14:paraId="624082CC" w14:textId="77777777" w:rsidR="007F424B" w:rsidRDefault="00AB0ACA">
      <w:pPr>
        <w:ind w:left="460" w:right="921"/>
        <w:jc w:val="both"/>
        <w:rPr>
          <w:sz w:val="24"/>
        </w:rPr>
      </w:pPr>
      <w:r>
        <w:rPr>
          <w:b/>
          <w:i/>
          <w:sz w:val="24"/>
        </w:rPr>
        <w:t xml:space="preserve">Macquarie Group restructure </w:t>
      </w:r>
      <w:r>
        <w:rPr>
          <w:sz w:val="24"/>
        </w:rPr>
        <w:t xml:space="preserve">means the restructure under which the ADI becomes a subsidiary of the </w:t>
      </w:r>
      <w:proofErr w:type="spellStart"/>
      <w:r>
        <w:rPr>
          <w:sz w:val="24"/>
        </w:rPr>
        <w:t>Authorised</w:t>
      </w:r>
      <w:proofErr w:type="spellEnd"/>
      <w:r>
        <w:rPr>
          <w:sz w:val="24"/>
        </w:rPr>
        <w:t xml:space="preserve"> NOHC;</w:t>
      </w:r>
    </w:p>
    <w:p w14:paraId="624082CD" w14:textId="77777777" w:rsidR="007F424B" w:rsidRDefault="007F424B">
      <w:pPr>
        <w:pStyle w:val="BodyText"/>
        <w:spacing w:before="11"/>
        <w:rPr>
          <w:sz w:val="23"/>
        </w:rPr>
      </w:pPr>
    </w:p>
    <w:p w14:paraId="624082CE" w14:textId="77777777" w:rsidR="007F424B" w:rsidRDefault="00AB0ACA">
      <w:pPr>
        <w:pStyle w:val="BodyText"/>
        <w:ind w:left="460"/>
        <w:jc w:val="both"/>
      </w:pPr>
      <w:r>
        <w:rPr>
          <w:b/>
          <w:i/>
        </w:rPr>
        <w:t xml:space="preserve">NOHC </w:t>
      </w:r>
      <w:r>
        <w:t>means non-operating holding company;</w:t>
      </w:r>
    </w:p>
    <w:p w14:paraId="624082CF" w14:textId="77777777" w:rsidR="007F424B" w:rsidRDefault="007F424B">
      <w:pPr>
        <w:pStyle w:val="BodyText"/>
      </w:pPr>
    </w:p>
    <w:p w14:paraId="624082D0" w14:textId="77777777" w:rsidR="007F424B" w:rsidRDefault="00AB0ACA">
      <w:pPr>
        <w:pStyle w:val="BodyText"/>
        <w:ind w:left="460" w:right="922"/>
        <w:jc w:val="both"/>
      </w:pPr>
      <w:r>
        <w:rPr>
          <w:b/>
          <w:i/>
        </w:rPr>
        <w:t xml:space="preserve">Non-ADI Group </w:t>
      </w:r>
      <w:r>
        <w:t>means all companies in the Macquarie Group other than the companies</w:t>
      </w:r>
      <w:r>
        <w:rPr>
          <w:spacing w:val="-12"/>
        </w:rPr>
        <w:t xml:space="preserve"> </w:t>
      </w:r>
      <w:r>
        <w:t>in</w:t>
      </w:r>
      <w:r>
        <w:rPr>
          <w:spacing w:val="-14"/>
        </w:rPr>
        <w:t xml:space="preserve"> </w:t>
      </w:r>
      <w:r>
        <w:t>the</w:t>
      </w:r>
      <w:r>
        <w:rPr>
          <w:spacing w:val="-13"/>
        </w:rPr>
        <w:t xml:space="preserve"> </w:t>
      </w:r>
      <w:r>
        <w:t>ADI</w:t>
      </w:r>
      <w:r>
        <w:rPr>
          <w:spacing w:val="-12"/>
        </w:rPr>
        <w:t xml:space="preserve"> </w:t>
      </w:r>
      <w:r>
        <w:t>Group.</w:t>
      </w:r>
      <w:r>
        <w:rPr>
          <w:spacing w:val="-11"/>
        </w:rPr>
        <w:t xml:space="preserve"> </w:t>
      </w:r>
      <w:r>
        <w:t>For</w:t>
      </w:r>
      <w:r>
        <w:rPr>
          <w:spacing w:val="-11"/>
        </w:rPr>
        <w:t xml:space="preserve"> </w:t>
      </w:r>
      <w:r>
        <w:t>clarification</w:t>
      </w:r>
      <w:r>
        <w:rPr>
          <w:spacing w:val="-11"/>
        </w:rPr>
        <w:t xml:space="preserve"> </w:t>
      </w:r>
      <w:r>
        <w:t>this</w:t>
      </w:r>
      <w:r>
        <w:rPr>
          <w:spacing w:val="-11"/>
        </w:rPr>
        <w:t xml:space="preserve"> </w:t>
      </w:r>
      <w:r>
        <w:t>definition</w:t>
      </w:r>
      <w:r>
        <w:rPr>
          <w:spacing w:val="-11"/>
        </w:rPr>
        <w:t xml:space="preserve"> </w:t>
      </w:r>
      <w:r>
        <w:t>also</w:t>
      </w:r>
      <w:r>
        <w:rPr>
          <w:spacing w:val="-11"/>
        </w:rPr>
        <w:t xml:space="preserve"> </w:t>
      </w:r>
      <w:r>
        <w:t>excludes</w:t>
      </w:r>
      <w:r>
        <w:rPr>
          <w:spacing w:val="-12"/>
        </w:rPr>
        <w:t xml:space="preserve"> </w:t>
      </w:r>
      <w:r>
        <w:t>subsidiaries of the ADI NOHC that are non-consolidated for APRA regula</w:t>
      </w:r>
      <w:r>
        <w:t>tory capital</w:t>
      </w:r>
      <w:r>
        <w:rPr>
          <w:spacing w:val="-23"/>
        </w:rPr>
        <w:t xml:space="preserve"> </w:t>
      </w:r>
      <w:r>
        <w:t>purposes;</w:t>
      </w:r>
    </w:p>
    <w:p w14:paraId="624082D1" w14:textId="77777777" w:rsidR="007F424B" w:rsidRDefault="007F424B">
      <w:pPr>
        <w:jc w:val="both"/>
        <w:sectPr w:rsidR="007F424B">
          <w:pgSz w:w="11910" w:h="16840"/>
          <w:pgMar w:top="1340" w:right="880" w:bottom="1120" w:left="1340" w:header="0" w:footer="928" w:gutter="0"/>
          <w:cols w:space="720"/>
        </w:sectPr>
      </w:pPr>
    </w:p>
    <w:p w14:paraId="624082D2" w14:textId="77777777" w:rsidR="007F424B" w:rsidRDefault="00AB0ACA">
      <w:pPr>
        <w:spacing w:before="76"/>
        <w:ind w:left="460" w:right="775"/>
        <w:rPr>
          <w:sz w:val="24"/>
        </w:rPr>
      </w:pPr>
      <w:r>
        <w:rPr>
          <w:b/>
          <w:i/>
          <w:sz w:val="24"/>
        </w:rPr>
        <w:lastRenderedPageBreak/>
        <w:t xml:space="preserve">Non-ADI Group capital requirement </w:t>
      </w:r>
      <w:r>
        <w:rPr>
          <w:sz w:val="24"/>
        </w:rPr>
        <w:t>means the capital requirement for the Non-ADI Group, determined using the ECM;</w:t>
      </w:r>
    </w:p>
    <w:p w14:paraId="624082D3" w14:textId="77777777" w:rsidR="007F424B" w:rsidRDefault="007F424B">
      <w:pPr>
        <w:pStyle w:val="BodyText"/>
      </w:pPr>
    </w:p>
    <w:p w14:paraId="624082D4" w14:textId="77777777" w:rsidR="007F424B" w:rsidRDefault="00AB0ACA">
      <w:pPr>
        <w:ind w:left="460"/>
        <w:rPr>
          <w:sz w:val="24"/>
        </w:rPr>
      </w:pPr>
      <w:r>
        <w:rPr>
          <w:b/>
          <w:i/>
          <w:sz w:val="24"/>
        </w:rPr>
        <w:t xml:space="preserve">prudential standard </w:t>
      </w:r>
      <w:r>
        <w:rPr>
          <w:sz w:val="24"/>
        </w:rPr>
        <w:t>has the meaning in the Act;</w:t>
      </w:r>
    </w:p>
    <w:p w14:paraId="624082D5" w14:textId="77777777" w:rsidR="007F424B" w:rsidRDefault="007F424B">
      <w:pPr>
        <w:pStyle w:val="BodyText"/>
      </w:pPr>
    </w:p>
    <w:p w14:paraId="624082D6" w14:textId="77777777" w:rsidR="007F424B" w:rsidRDefault="00AB0ACA">
      <w:pPr>
        <w:ind w:left="460"/>
        <w:rPr>
          <w:sz w:val="24"/>
        </w:rPr>
      </w:pPr>
      <w:r>
        <w:rPr>
          <w:b/>
          <w:i/>
          <w:sz w:val="24"/>
        </w:rPr>
        <w:t xml:space="preserve">reserves </w:t>
      </w:r>
      <w:proofErr w:type="gramStart"/>
      <w:r>
        <w:rPr>
          <w:sz w:val="24"/>
        </w:rPr>
        <w:t>means</w:t>
      </w:r>
      <w:proofErr w:type="gramEnd"/>
      <w:r>
        <w:rPr>
          <w:sz w:val="24"/>
        </w:rPr>
        <w:t>:</w:t>
      </w:r>
    </w:p>
    <w:p w14:paraId="624082D7" w14:textId="77777777" w:rsidR="007F424B" w:rsidRDefault="007F424B">
      <w:pPr>
        <w:pStyle w:val="BodyText"/>
        <w:spacing w:before="1"/>
      </w:pPr>
    </w:p>
    <w:p w14:paraId="624082D8" w14:textId="77777777" w:rsidR="007F424B" w:rsidRDefault="00AB0ACA">
      <w:pPr>
        <w:pStyle w:val="ListParagraph"/>
        <w:numPr>
          <w:ilvl w:val="0"/>
          <w:numId w:val="4"/>
        </w:numPr>
        <w:tabs>
          <w:tab w:val="left" w:pos="1028"/>
        </w:tabs>
        <w:ind w:right="1282"/>
        <w:rPr>
          <w:sz w:val="24"/>
        </w:rPr>
      </w:pPr>
      <w:r>
        <w:rPr>
          <w:sz w:val="24"/>
        </w:rPr>
        <w:t>for the ADI Group, reserves that qu</w:t>
      </w:r>
      <w:r>
        <w:rPr>
          <w:sz w:val="24"/>
        </w:rPr>
        <w:t>alify as Fundamental Tier 1 capital under APS</w:t>
      </w:r>
      <w:r>
        <w:rPr>
          <w:spacing w:val="-2"/>
          <w:sz w:val="24"/>
        </w:rPr>
        <w:t xml:space="preserve"> </w:t>
      </w:r>
      <w:r>
        <w:rPr>
          <w:sz w:val="24"/>
        </w:rPr>
        <w:t>111;</w:t>
      </w:r>
    </w:p>
    <w:p w14:paraId="624082D9" w14:textId="77777777" w:rsidR="007F424B" w:rsidRDefault="00AB0ACA">
      <w:pPr>
        <w:pStyle w:val="ListParagraph"/>
        <w:numPr>
          <w:ilvl w:val="0"/>
          <w:numId w:val="4"/>
        </w:numPr>
        <w:tabs>
          <w:tab w:val="left" w:pos="1028"/>
        </w:tabs>
        <w:spacing w:line="275" w:lineRule="exact"/>
        <w:rPr>
          <w:sz w:val="24"/>
        </w:rPr>
      </w:pPr>
      <w:r>
        <w:rPr>
          <w:sz w:val="24"/>
        </w:rPr>
        <w:t>for the Non-ADI</w:t>
      </w:r>
      <w:r>
        <w:rPr>
          <w:spacing w:val="-4"/>
          <w:sz w:val="24"/>
        </w:rPr>
        <w:t xml:space="preserve"> </w:t>
      </w:r>
      <w:r>
        <w:rPr>
          <w:sz w:val="24"/>
        </w:rPr>
        <w:t>Group:</w:t>
      </w:r>
    </w:p>
    <w:p w14:paraId="624082DA" w14:textId="77777777" w:rsidR="007F424B" w:rsidRDefault="00AB0ACA">
      <w:pPr>
        <w:pStyle w:val="ListParagraph"/>
        <w:numPr>
          <w:ilvl w:val="1"/>
          <w:numId w:val="4"/>
        </w:numPr>
        <w:tabs>
          <w:tab w:val="left" w:pos="1596"/>
        </w:tabs>
        <w:ind w:right="2052"/>
        <w:rPr>
          <w:sz w:val="24"/>
        </w:rPr>
      </w:pPr>
      <w:r>
        <w:rPr>
          <w:sz w:val="24"/>
        </w:rPr>
        <w:t>share based payment reserves, to the extent that they qualify</w:t>
      </w:r>
      <w:r>
        <w:rPr>
          <w:spacing w:val="-30"/>
          <w:sz w:val="24"/>
        </w:rPr>
        <w:t xml:space="preserve"> </w:t>
      </w:r>
      <w:r>
        <w:rPr>
          <w:sz w:val="24"/>
        </w:rPr>
        <w:t>as Fundamental Tier 1 capital under APS 111;</w:t>
      </w:r>
      <w:r>
        <w:rPr>
          <w:spacing w:val="-5"/>
          <w:sz w:val="24"/>
        </w:rPr>
        <w:t xml:space="preserve"> </w:t>
      </w:r>
      <w:r>
        <w:rPr>
          <w:sz w:val="24"/>
        </w:rPr>
        <w:t>and</w:t>
      </w:r>
    </w:p>
    <w:p w14:paraId="624082DB" w14:textId="77777777" w:rsidR="007F424B" w:rsidRDefault="00AB0ACA">
      <w:pPr>
        <w:pStyle w:val="ListParagraph"/>
        <w:numPr>
          <w:ilvl w:val="1"/>
          <w:numId w:val="4"/>
        </w:numPr>
        <w:tabs>
          <w:tab w:val="left" w:pos="2107"/>
          <w:tab w:val="left" w:pos="2108"/>
        </w:tabs>
        <w:spacing w:line="276" w:lineRule="exact"/>
        <w:ind w:left="2108" w:hanging="748"/>
        <w:rPr>
          <w:sz w:val="24"/>
        </w:rPr>
      </w:pPr>
      <w:r>
        <w:rPr>
          <w:sz w:val="24"/>
        </w:rPr>
        <w:t>foreign currency translation</w:t>
      </w:r>
      <w:r>
        <w:rPr>
          <w:spacing w:val="-7"/>
          <w:sz w:val="24"/>
        </w:rPr>
        <w:t xml:space="preserve"> </w:t>
      </w:r>
      <w:r>
        <w:rPr>
          <w:sz w:val="24"/>
        </w:rPr>
        <w:t>reserves</w:t>
      </w:r>
    </w:p>
    <w:p w14:paraId="624082DC" w14:textId="77777777" w:rsidR="007F424B" w:rsidRDefault="00AB0ACA">
      <w:pPr>
        <w:pStyle w:val="BodyText"/>
        <w:ind w:left="820" w:right="2612" w:firstLine="540"/>
      </w:pPr>
      <w:r>
        <w:t xml:space="preserve">all at face value and </w:t>
      </w:r>
      <w:proofErr w:type="spellStart"/>
      <w:r>
        <w:t>recognised</w:t>
      </w:r>
      <w:proofErr w:type="spellEnd"/>
      <w:r>
        <w:t xml:space="preserve"> in accordance with AIFRS; unless otherwise agreed by APRA in writing;</w:t>
      </w:r>
    </w:p>
    <w:p w14:paraId="624082DD" w14:textId="77777777" w:rsidR="007F424B" w:rsidRDefault="007F424B">
      <w:pPr>
        <w:pStyle w:val="BodyText"/>
      </w:pPr>
    </w:p>
    <w:p w14:paraId="624082DE" w14:textId="77777777" w:rsidR="007F424B" w:rsidRDefault="00AB0ACA">
      <w:pPr>
        <w:ind w:left="460"/>
        <w:rPr>
          <w:sz w:val="24"/>
        </w:rPr>
      </w:pPr>
      <w:r>
        <w:rPr>
          <w:b/>
          <w:i/>
          <w:sz w:val="24"/>
        </w:rPr>
        <w:t xml:space="preserve">Residual Tier 1 capital </w:t>
      </w:r>
      <w:r>
        <w:rPr>
          <w:sz w:val="24"/>
        </w:rPr>
        <w:t>has the meaning in APS 111;</w:t>
      </w:r>
    </w:p>
    <w:p w14:paraId="624082DF" w14:textId="77777777" w:rsidR="007F424B" w:rsidRDefault="007F424B">
      <w:pPr>
        <w:pStyle w:val="BodyText"/>
        <w:spacing w:before="5"/>
      </w:pPr>
    </w:p>
    <w:p w14:paraId="624082E0" w14:textId="77777777" w:rsidR="007F424B" w:rsidRDefault="00AB0ACA">
      <w:pPr>
        <w:pStyle w:val="Heading2"/>
        <w:rPr>
          <w:i w:val="0"/>
        </w:rPr>
      </w:pPr>
      <w:r>
        <w:t>retained earnings</w:t>
      </w:r>
      <w:r>
        <w:rPr>
          <w:i w:val="0"/>
        </w:rPr>
        <w:t>:</w:t>
      </w:r>
    </w:p>
    <w:p w14:paraId="624082E1" w14:textId="77777777" w:rsidR="007F424B" w:rsidRDefault="007F424B">
      <w:pPr>
        <w:pStyle w:val="BodyText"/>
        <w:spacing w:before="7"/>
        <w:rPr>
          <w:b/>
          <w:sz w:val="23"/>
        </w:rPr>
      </w:pPr>
    </w:p>
    <w:p w14:paraId="624082E2" w14:textId="77777777" w:rsidR="007F424B" w:rsidRDefault="00AB0ACA">
      <w:pPr>
        <w:pStyle w:val="ListParagraph"/>
        <w:numPr>
          <w:ilvl w:val="0"/>
          <w:numId w:val="3"/>
        </w:numPr>
        <w:tabs>
          <w:tab w:val="left" w:pos="1181"/>
        </w:tabs>
        <w:spacing w:line="275" w:lineRule="exact"/>
        <w:ind w:hanging="361"/>
        <w:rPr>
          <w:sz w:val="24"/>
        </w:rPr>
      </w:pPr>
      <w:r>
        <w:rPr>
          <w:sz w:val="24"/>
        </w:rPr>
        <w:t>for the ADI Group, has the meaning in APS</w:t>
      </w:r>
      <w:r>
        <w:rPr>
          <w:spacing w:val="-9"/>
          <w:sz w:val="24"/>
        </w:rPr>
        <w:t xml:space="preserve"> </w:t>
      </w:r>
      <w:r>
        <w:rPr>
          <w:sz w:val="24"/>
        </w:rPr>
        <w:t>111;</w:t>
      </w:r>
    </w:p>
    <w:p w14:paraId="624082E3" w14:textId="77777777" w:rsidR="007F424B" w:rsidRDefault="00AB0ACA">
      <w:pPr>
        <w:pStyle w:val="ListParagraph"/>
        <w:numPr>
          <w:ilvl w:val="0"/>
          <w:numId w:val="3"/>
        </w:numPr>
        <w:tabs>
          <w:tab w:val="left" w:pos="1181"/>
        </w:tabs>
        <w:ind w:left="1360" w:right="1326" w:hanging="541"/>
        <w:rPr>
          <w:sz w:val="24"/>
        </w:rPr>
      </w:pPr>
      <w:r>
        <w:rPr>
          <w:sz w:val="24"/>
        </w:rPr>
        <w:t xml:space="preserve">for the </w:t>
      </w:r>
      <w:proofErr w:type="gramStart"/>
      <w:r>
        <w:rPr>
          <w:sz w:val="24"/>
        </w:rPr>
        <w:t>Non ADI</w:t>
      </w:r>
      <w:proofErr w:type="gramEnd"/>
      <w:r>
        <w:rPr>
          <w:sz w:val="24"/>
        </w:rPr>
        <w:t xml:space="preserve"> Group, means amo</w:t>
      </w:r>
      <w:r>
        <w:rPr>
          <w:sz w:val="24"/>
        </w:rPr>
        <w:t xml:space="preserve">unts </w:t>
      </w:r>
      <w:proofErr w:type="spellStart"/>
      <w:r>
        <w:rPr>
          <w:sz w:val="24"/>
        </w:rPr>
        <w:t>recognised</w:t>
      </w:r>
      <w:proofErr w:type="spellEnd"/>
      <w:r>
        <w:rPr>
          <w:sz w:val="24"/>
        </w:rPr>
        <w:t xml:space="preserve"> as retained earnings</w:t>
      </w:r>
      <w:r>
        <w:rPr>
          <w:spacing w:val="-27"/>
          <w:sz w:val="24"/>
        </w:rPr>
        <w:t xml:space="preserve"> </w:t>
      </w:r>
      <w:r>
        <w:rPr>
          <w:sz w:val="24"/>
        </w:rPr>
        <w:t>in accordance with</w:t>
      </w:r>
      <w:r>
        <w:rPr>
          <w:spacing w:val="-1"/>
          <w:sz w:val="24"/>
        </w:rPr>
        <w:t xml:space="preserve"> </w:t>
      </w:r>
      <w:r>
        <w:rPr>
          <w:sz w:val="24"/>
        </w:rPr>
        <w:t>AIFRS;</w:t>
      </w:r>
    </w:p>
    <w:p w14:paraId="624082E4" w14:textId="77777777" w:rsidR="007F424B" w:rsidRDefault="007F424B">
      <w:pPr>
        <w:pStyle w:val="BodyText"/>
        <w:spacing w:before="11"/>
        <w:rPr>
          <w:sz w:val="23"/>
        </w:rPr>
      </w:pPr>
    </w:p>
    <w:p w14:paraId="624082E5" w14:textId="77777777" w:rsidR="007F424B" w:rsidRDefault="00AB0ACA">
      <w:pPr>
        <w:pStyle w:val="BodyText"/>
        <w:ind w:left="460" w:right="923"/>
        <w:jc w:val="both"/>
      </w:pPr>
      <w:r>
        <w:rPr>
          <w:b/>
          <w:i/>
        </w:rPr>
        <w:t xml:space="preserve">service company </w:t>
      </w:r>
      <w:r>
        <w:t xml:space="preserve">means a subsidiary of the </w:t>
      </w:r>
      <w:proofErr w:type="spellStart"/>
      <w:r>
        <w:t>Authorised</w:t>
      </w:r>
      <w:proofErr w:type="spellEnd"/>
      <w:r>
        <w:t xml:space="preserve"> NOHC which predominantly provides services to the Macquarie Group, such as (without limitation) risk management, financial operations, huma</w:t>
      </w:r>
      <w:r>
        <w:t>n resources or information technology;</w:t>
      </w:r>
    </w:p>
    <w:p w14:paraId="624082E6" w14:textId="77777777" w:rsidR="007F424B" w:rsidRDefault="007F424B">
      <w:pPr>
        <w:pStyle w:val="BodyText"/>
        <w:spacing w:before="1"/>
      </w:pPr>
    </w:p>
    <w:p w14:paraId="624082E7" w14:textId="77777777" w:rsidR="007F424B" w:rsidRDefault="00AB0ACA">
      <w:pPr>
        <w:spacing w:before="1"/>
        <w:ind w:left="460"/>
        <w:rPr>
          <w:sz w:val="24"/>
        </w:rPr>
      </w:pPr>
      <w:r>
        <w:rPr>
          <w:b/>
          <w:i/>
          <w:sz w:val="24"/>
        </w:rPr>
        <w:t xml:space="preserve">Tier 1 capital </w:t>
      </w:r>
      <w:r>
        <w:rPr>
          <w:sz w:val="24"/>
        </w:rPr>
        <w:t>has the meaning in APS 111.</w:t>
      </w:r>
    </w:p>
    <w:p w14:paraId="624082E8" w14:textId="77777777" w:rsidR="007F424B" w:rsidRDefault="007F424B">
      <w:pPr>
        <w:rPr>
          <w:sz w:val="24"/>
        </w:rPr>
        <w:sectPr w:rsidR="007F424B">
          <w:pgSz w:w="11910" w:h="16840"/>
          <w:pgMar w:top="1340" w:right="880" w:bottom="1120" w:left="1340" w:header="0" w:footer="928" w:gutter="0"/>
          <w:cols w:space="720"/>
        </w:sectPr>
      </w:pPr>
    </w:p>
    <w:p w14:paraId="624082E9" w14:textId="77777777" w:rsidR="007F424B" w:rsidRDefault="00AB0ACA">
      <w:pPr>
        <w:pStyle w:val="Heading1"/>
        <w:spacing w:before="77"/>
        <w:ind w:left="460"/>
      </w:pPr>
      <w:r>
        <w:lastRenderedPageBreak/>
        <w:t>Capital</w:t>
      </w:r>
    </w:p>
    <w:p w14:paraId="624082EA" w14:textId="77777777" w:rsidR="007F424B" w:rsidRDefault="007F424B">
      <w:pPr>
        <w:pStyle w:val="BodyText"/>
        <w:spacing w:before="11"/>
        <w:rPr>
          <w:rFonts w:ascii="Arial"/>
          <w:b/>
          <w:sz w:val="23"/>
        </w:rPr>
      </w:pPr>
    </w:p>
    <w:p w14:paraId="624082EB" w14:textId="77777777" w:rsidR="007F424B" w:rsidRDefault="00AB0ACA">
      <w:pPr>
        <w:pStyle w:val="ListParagraph"/>
        <w:numPr>
          <w:ilvl w:val="0"/>
          <w:numId w:val="7"/>
        </w:numPr>
        <w:tabs>
          <w:tab w:val="left" w:pos="1000"/>
          <w:tab w:val="left" w:pos="1001"/>
        </w:tabs>
        <w:ind w:right="963"/>
        <w:jc w:val="left"/>
        <w:rPr>
          <w:sz w:val="24"/>
        </w:rPr>
      </w:pPr>
      <w:r>
        <w:rPr>
          <w:sz w:val="24"/>
        </w:rPr>
        <w:t xml:space="preserve">Subject to paragraph 3, the </w:t>
      </w:r>
      <w:proofErr w:type="spellStart"/>
      <w:r>
        <w:rPr>
          <w:sz w:val="24"/>
        </w:rPr>
        <w:t>Authorised</w:t>
      </w:r>
      <w:proofErr w:type="spellEnd"/>
      <w:r>
        <w:rPr>
          <w:sz w:val="24"/>
        </w:rPr>
        <w:t xml:space="preserve"> NOHC must ensure that the Macquarie Group complies with a minimum capital requirement at Level 3 (</w:t>
      </w:r>
      <w:r>
        <w:rPr>
          <w:b/>
          <w:sz w:val="24"/>
        </w:rPr>
        <w:t>Level 3 MCR</w:t>
      </w:r>
      <w:r>
        <w:rPr>
          <w:sz w:val="24"/>
        </w:rPr>
        <w:t>) equal to the sum of the dollar value</w:t>
      </w:r>
      <w:r>
        <w:rPr>
          <w:spacing w:val="-8"/>
          <w:sz w:val="24"/>
        </w:rPr>
        <w:t xml:space="preserve"> </w:t>
      </w:r>
      <w:r>
        <w:rPr>
          <w:sz w:val="24"/>
        </w:rPr>
        <w:t>of:</w:t>
      </w:r>
    </w:p>
    <w:p w14:paraId="624082EC" w14:textId="77777777" w:rsidR="007F424B" w:rsidRDefault="007F424B">
      <w:pPr>
        <w:pStyle w:val="BodyText"/>
        <w:spacing w:before="10"/>
        <w:rPr>
          <w:sz w:val="23"/>
        </w:rPr>
      </w:pPr>
    </w:p>
    <w:p w14:paraId="624082ED" w14:textId="77777777" w:rsidR="007F424B" w:rsidRDefault="00AB0ACA">
      <w:pPr>
        <w:pStyle w:val="ListParagraph"/>
        <w:numPr>
          <w:ilvl w:val="1"/>
          <w:numId w:val="7"/>
        </w:numPr>
        <w:tabs>
          <w:tab w:val="left" w:pos="1540"/>
          <w:tab w:val="left" w:pos="1541"/>
        </w:tabs>
        <w:ind w:hanging="541"/>
        <w:rPr>
          <w:sz w:val="24"/>
        </w:rPr>
      </w:pPr>
      <w:r>
        <w:rPr>
          <w:sz w:val="24"/>
        </w:rPr>
        <w:t>the ADI Group capital requirement;</w:t>
      </w:r>
      <w:r>
        <w:rPr>
          <w:spacing w:val="-3"/>
          <w:sz w:val="24"/>
        </w:rPr>
        <w:t xml:space="preserve"> </w:t>
      </w:r>
      <w:r>
        <w:rPr>
          <w:sz w:val="24"/>
        </w:rPr>
        <w:t>and</w:t>
      </w:r>
    </w:p>
    <w:p w14:paraId="624082EE" w14:textId="77777777" w:rsidR="007F424B" w:rsidRDefault="007F424B">
      <w:pPr>
        <w:pStyle w:val="BodyText"/>
        <w:spacing w:before="1"/>
      </w:pPr>
    </w:p>
    <w:p w14:paraId="624082EF" w14:textId="77777777" w:rsidR="007F424B" w:rsidRDefault="00AB0ACA">
      <w:pPr>
        <w:pStyle w:val="ListParagraph"/>
        <w:numPr>
          <w:ilvl w:val="1"/>
          <w:numId w:val="7"/>
        </w:numPr>
        <w:tabs>
          <w:tab w:val="left" w:pos="1540"/>
          <w:tab w:val="left" w:pos="1541"/>
        </w:tabs>
        <w:ind w:hanging="541"/>
        <w:rPr>
          <w:sz w:val="24"/>
        </w:rPr>
      </w:pPr>
      <w:r>
        <w:rPr>
          <w:sz w:val="24"/>
        </w:rPr>
        <w:t>the Non-ADI Group capital</w:t>
      </w:r>
      <w:r>
        <w:rPr>
          <w:spacing w:val="-2"/>
          <w:sz w:val="24"/>
        </w:rPr>
        <w:t xml:space="preserve"> </w:t>
      </w:r>
      <w:r>
        <w:rPr>
          <w:sz w:val="24"/>
        </w:rPr>
        <w:t>requirement.</w:t>
      </w:r>
    </w:p>
    <w:p w14:paraId="624082F0" w14:textId="77777777" w:rsidR="007F424B" w:rsidRDefault="007F424B">
      <w:pPr>
        <w:pStyle w:val="BodyText"/>
      </w:pPr>
    </w:p>
    <w:p w14:paraId="624082F1" w14:textId="77777777" w:rsidR="007F424B" w:rsidRDefault="00AB0ACA">
      <w:pPr>
        <w:pStyle w:val="ListParagraph"/>
        <w:numPr>
          <w:ilvl w:val="0"/>
          <w:numId w:val="7"/>
        </w:numPr>
        <w:tabs>
          <w:tab w:val="left" w:pos="1001"/>
        </w:tabs>
        <w:ind w:right="979"/>
        <w:jc w:val="both"/>
        <w:rPr>
          <w:sz w:val="24"/>
        </w:rPr>
      </w:pPr>
      <w:r>
        <w:rPr>
          <w:sz w:val="24"/>
        </w:rPr>
        <w:t xml:space="preserve">The </w:t>
      </w:r>
      <w:proofErr w:type="spellStart"/>
      <w:r>
        <w:rPr>
          <w:sz w:val="24"/>
        </w:rPr>
        <w:t>Authorised</w:t>
      </w:r>
      <w:proofErr w:type="spellEnd"/>
      <w:r>
        <w:rPr>
          <w:sz w:val="24"/>
        </w:rPr>
        <w:t xml:space="preserve"> NOHC’s Level 3 MCR will be reduced by an initial transitional amount of $187 million. This transitional amount will be </w:t>
      </w:r>
      <w:proofErr w:type="spellStart"/>
      <w:r>
        <w:rPr>
          <w:sz w:val="24"/>
        </w:rPr>
        <w:t>amortised</w:t>
      </w:r>
      <w:proofErr w:type="spellEnd"/>
      <w:r>
        <w:rPr>
          <w:sz w:val="24"/>
        </w:rPr>
        <w:t xml:space="preserve"> on a</w:t>
      </w:r>
      <w:r>
        <w:rPr>
          <w:spacing w:val="-29"/>
          <w:sz w:val="24"/>
        </w:rPr>
        <w:t xml:space="preserve"> </w:t>
      </w:r>
      <w:proofErr w:type="gramStart"/>
      <w:r>
        <w:rPr>
          <w:sz w:val="24"/>
        </w:rPr>
        <w:t>straight line</w:t>
      </w:r>
      <w:proofErr w:type="gramEnd"/>
      <w:r>
        <w:rPr>
          <w:sz w:val="24"/>
        </w:rPr>
        <w:t xml:space="preserve"> basis to a reduction of nil by 31 December</w:t>
      </w:r>
      <w:r>
        <w:rPr>
          <w:spacing w:val="-9"/>
          <w:sz w:val="24"/>
        </w:rPr>
        <w:t xml:space="preserve"> </w:t>
      </w:r>
      <w:r>
        <w:rPr>
          <w:sz w:val="24"/>
        </w:rPr>
        <w:t>2008.</w:t>
      </w:r>
    </w:p>
    <w:p w14:paraId="624082F2" w14:textId="77777777" w:rsidR="007F424B" w:rsidRDefault="007F424B">
      <w:pPr>
        <w:pStyle w:val="BodyText"/>
        <w:spacing w:before="11"/>
        <w:rPr>
          <w:sz w:val="23"/>
        </w:rPr>
      </w:pPr>
    </w:p>
    <w:p w14:paraId="624082F3" w14:textId="77777777" w:rsidR="007F424B" w:rsidRDefault="00AB0ACA">
      <w:pPr>
        <w:pStyle w:val="ListParagraph"/>
        <w:numPr>
          <w:ilvl w:val="0"/>
          <w:numId w:val="7"/>
        </w:numPr>
        <w:tabs>
          <w:tab w:val="left" w:pos="1001"/>
        </w:tabs>
        <w:ind w:right="921"/>
        <w:jc w:val="both"/>
        <w:rPr>
          <w:sz w:val="24"/>
        </w:rPr>
      </w:pPr>
      <w:r>
        <w:rPr>
          <w:sz w:val="24"/>
        </w:rPr>
        <w:t>In applying the ECM to the Non-ADI Group, n</w:t>
      </w:r>
      <w:r>
        <w:rPr>
          <w:sz w:val="24"/>
        </w:rPr>
        <w:t>o value may be given to the inter- group diversification benefit (i.e. between the ADI Group and Non-ADI</w:t>
      </w:r>
      <w:r>
        <w:rPr>
          <w:spacing w:val="-18"/>
          <w:sz w:val="24"/>
        </w:rPr>
        <w:t xml:space="preserve"> </w:t>
      </w:r>
      <w:r>
        <w:rPr>
          <w:sz w:val="24"/>
        </w:rPr>
        <w:t>Group).</w:t>
      </w:r>
    </w:p>
    <w:p w14:paraId="624082F4" w14:textId="77777777" w:rsidR="007F424B" w:rsidRDefault="007F424B">
      <w:pPr>
        <w:pStyle w:val="BodyText"/>
        <w:spacing w:before="2"/>
      </w:pPr>
    </w:p>
    <w:p w14:paraId="624082F5" w14:textId="77777777" w:rsidR="007F424B" w:rsidRDefault="00AB0ACA">
      <w:pPr>
        <w:pStyle w:val="ListParagraph"/>
        <w:numPr>
          <w:ilvl w:val="0"/>
          <w:numId w:val="7"/>
        </w:numPr>
        <w:tabs>
          <w:tab w:val="left" w:pos="1000"/>
          <w:tab w:val="left" w:pos="1001"/>
        </w:tabs>
        <w:ind w:right="1123"/>
        <w:jc w:val="left"/>
        <w:rPr>
          <w:sz w:val="24"/>
        </w:rPr>
      </w:pPr>
      <w:r>
        <w:rPr>
          <w:sz w:val="24"/>
        </w:rPr>
        <w:t xml:space="preserve">The </w:t>
      </w:r>
      <w:proofErr w:type="spellStart"/>
      <w:r>
        <w:rPr>
          <w:sz w:val="24"/>
        </w:rPr>
        <w:t>Authorised</w:t>
      </w:r>
      <w:proofErr w:type="spellEnd"/>
      <w:r>
        <w:rPr>
          <w:sz w:val="24"/>
        </w:rPr>
        <w:t xml:space="preserve"> NOHC must ensure that eligible capital held by the Macquarie Group at all times equals or exceeds the Level 3</w:t>
      </w:r>
      <w:r>
        <w:rPr>
          <w:spacing w:val="-8"/>
          <w:sz w:val="24"/>
        </w:rPr>
        <w:t xml:space="preserve"> </w:t>
      </w:r>
      <w:r>
        <w:rPr>
          <w:sz w:val="24"/>
        </w:rPr>
        <w:t>MCR.</w:t>
      </w:r>
    </w:p>
    <w:p w14:paraId="624082F6" w14:textId="77777777" w:rsidR="007F424B" w:rsidRDefault="007F424B">
      <w:pPr>
        <w:pStyle w:val="BodyText"/>
        <w:spacing w:before="11"/>
        <w:rPr>
          <w:sz w:val="23"/>
        </w:rPr>
      </w:pPr>
    </w:p>
    <w:p w14:paraId="624082F7" w14:textId="77777777" w:rsidR="007F424B" w:rsidRDefault="00AB0ACA">
      <w:pPr>
        <w:pStyle w:val="ListParagraph"/>
        <w:numPr>
          <w:ilvl w:val="0"/>
          <w:numId w:val="7"/>
        </w:numPr>
        <w:tabs>
          <w:tab w:val="left" w:pos="1000"/>
          <w:tab w:val="left" w:pos="1001"/>
        </w:tabs>
        <w:ind w:right="1136"/>
        <w:jc w:val="left"/>
        <w:rPr>
          <w:sz w:val="24"/>
        </w:rPr>
      </w:pPr>
      <w:r>
        <w:rPr>
          <w:sz w:val="24"/>
        </w:rPr>
        <w:t xml:space="preserve">The </w:t>
      </w:r>
      <w:proofErr w:type="spellStart"/>
      <w:r>
        <w:rPr>
          <w:sz w:val="24"/>
        </w:rPr>
        <w:t>Authorised</w:t>
      </w:r>
      <w:proofErr w:type="spellEnd"/>
      <w:r>
        <w:rPr>
          <w:sz w:val="24"/>
        </w:rPr>
        <w:t xml:space="preserve"> NOHC must have a rigorous process in place to ensure that all material changes to the ECM are submitted to the </w:t>
      </w:r>
      <w:proofErr w:type="spellStart"/>
      <w:r>
        <w:rPr>
          <w:sz w:val="24"/>
        </w:rPr>
        <w:t>Authorised</w:t>
      </w:r>
      <w:proofErr w:type="spellEnd"/>
      <w:r>
        <w:rPr>
          <w:sz w:val="24"/>
        </w:rPr>
        <w:t xml:space="preserve"> NOHC’s Board for approval. This process must include, at a minimum, clear definitions of materiality and trigger events</w:t>
      </w:r>
      <w:r>
        <w:rPr>
          <w:sz w:val="24"/>
        </w:rPr>
        <w:t xml:space="preserve"> for Board approvals or other</w:t>
      </w:r>
      <w:r>
        <w:rPr>
          <w:spacing w:val="-16"/>
          <w:sz w:val="24"/>
        </w:rPr>
        <w:t xml:space="preserve"> </w:t>
      </w:r>
      <w:r>
        <w:rPr>
          <w:sz w:val="24"/>
        </w:rPr>
        <w:t>interventions.</w:t>
      </w:r>
    </w:p>
    <w:p w14:paraId="624082F8" w14:textId="77777777" w:rsidR="007F424B" w:rsidRDefault="007F424B">
      <w:pPr>
        <w:rPr>
          <w:sz w:val="24"/>
        </w:rPr>
        <w:sectPr w:rsidR="007F424B">
          <w:pgSz w:w="11910" w:h="16840"/>
          <w:pgMar w:top="1340" w:right="880" w:bottom="1120" w:left="1340" w:header="0" w:footer="928" w:gutter="0"/>
          <w:cols w:space="720"/>
        </w:sectPr>
      </w:pPr>
    </w:p>
    <w:p w14:paraId="624082F9" w14:textId="77777777" w:rsidR="007F424B" w:rsidRDefault="00AB0ACA">
      <w:pPr>
        <w:pStyle w:val="Heading1"/>
        <w:spacing w:before="77"/>
        <w:ind w:left="480"/>
      </w:pPr>
      <w:r>
        <w:lastRenderedPageBreak/>
        <w:t>Quality of Capital</w:t>
      </w:r>
    </w:p>
    <w:p w14:paraId="624082FA" w14:textId="77777777" w:rsidR="007F424B" w:rsidRDefault="007F424B">
      <w:pPr>
        <w:pStyle w:val="BodyText"/>
        <w:spacing w:before="11"/>
        <w:rPr>
          <w:rFonts w:ascii="Arial"/>
          <w:b/>
          <w:sz w:val="23"/>
        </w:rPr>
      </w:pPr>
    </w:p>
    <w:p w14:paraId="624082FB" w14:textId="77777777" w:rsidR="007F424B" w:rsidRDefault="00AB0ACA">
      <w:pPr>
        <w:pStyle w:val="ListParagraph"/>
        <w:numPr>
          <w:ilvl w:val="0"/>
          <w:numId w:val="7"/>
        </w:numPr>
        <w:tabs>
          <w:tab w:val="left" w:pos="1000"/>
          <w:tab w:val="left" w:pos="1001"/>
        </w:tabs>
        <w:ind w:right="1180"/>
        <w:jc w:val="left"/>
        <w:rPr>
          <w:sz w:val="24"/>
        </w:rPr>
      </w:pPr>
      <w:r>
        <w:rPr>
          <w:sz w:val="24"/>
        </w:rPr>
        <w:t xml:space="preserve">The </w:t>
      </w:r>
      <w:proofErr w:type="spellStart"/>
      <w:r>
        <w:rPr>
          <w:sz w:val="24"/>
        </w:rPr>
        <w:t>Authorised</w:t>
      </w:r>
      <w:proofErr w:type="spellEnd"/>
      <w:r>
        <w:rPr>
          <w:sz w:val="24"/>
        </w:rPr>
        <w:t xml:space="preserve"> NOHC must ensure that the Macquarie Group’s eligible share capital, retained earnings and reserves are not less than 75% of the Level 3 MCR.</w:t>
      </w:r>
    </w:p>
    <w:p w14:paraId="624082FC" w14:textId="77777777" w:rsidR="007F424B" w:rsidRDefault="007F424B">
      <w:pPr>
        <w:pStyle w:val="BodyText"/>
        <w:spacing w:before="10"/>
        <w:rPr>
          <w:sz w:val="23"/>
        </w:rPr>
      </w:pPr>
    </w:p>
    <w:p w14:paraId="624082FD" w14:textId="77777777" w:rsidR="007F424B" w:rsidRDefault="00AB0ACA">
      <w:pPr>
        <w:pStyle w:val="ListParagraph"/>
        <w:numPr>
          <w:ilvl w:val="0"/>
          <w:numId w:val="7"/>
        </w:numPr>
        <w:tabs>
          <w:tab w:val="left" w:pos="1000"/>
          <w:tab w:val="left" w:pos="1001"/>
        </w:tabs>
        <w:ind w:right="1090"/>
        <w:jc w:val="left"/>
        <w:rPr>
          <w:sz w:val="24"/>
        </w:rPr>
      </w:pPr>
      <w:r>
        <w:rPr>
          <w:sz w:val="24"/>
        </w:rPr>
        <w:t xml:space="preserve">The </w:t>
      </w:r>
      <w:proofErr w:type="spellStart"/>
      <w:r>
        <w:rPr>
          <w:sz w:val="24"/>
        </w:rPr>
        <w:t>Authorised</w:t>
      </w:r>
      <w:proofErr w:type="spellEnd"/>
      <w:r>
        <w:rPr>
          <w:sz w:val="24"/>
        </w:rPr>
        <w:t xml:space="preserve"> N</w:t>
      </w:r>
      <w:r>
        <w:rPr>
          <w:sz w:val="24"/>
        </w:rPr>
        <w:t>OHC must ensure, at all times, that the Macquarie Group</w:t>
      </w:r>
      <w:r>
        <w:rPr>
          <w:spacing w:val="-23"/>
          <w:sz w:val="24"/>
        </w:rPr>
        <w:t xml:space="preserve"> </w:t>
      </w:r>
      <w:r>
        <w:rPr>
          <w:sz w:val="24"/>
        </w:rPr>
        <w:t>has sufficient Level 3 eligible</w:t>
      </w:r>
      <w:r>
        <w:rPr>
          <w:spacing w:val="-3"/>
          <w:sz w:val="24"/>
        </w:rPr>
        <w:t xml:space="preserve"> </w:t>
      </w:r>
      <w:r>
        <w:rPr>
          <w:sz w:val="24"/>
        </w:rPr>
        <w:t>capital:</w:t>
      </w:r>
    </w:p>
    <w:p w14:paraId="624082FE" w14:textId="77777777" w:rsidR="007F424B" w:rsidRDefault="007F424B">
      <w:pPr>
        <w:pStyle w:val="BodyText"/>
        <w:spacing w:before="2"/>
      </w:pPr>
    </w:p>
    <w:p w14:paraId="624082FF" w14:textId="77777777" w:rsidR="007F424B" w:rsidRDefault="00AB0ACA">
      <w:pPr>
        <w:pStyle w:val="ListParagraph"/>
        <w:numPr>
          <w:ilvl w:val="1"/>
          <w:numId w:val="7"/>
        </w:numPr>
        <w:tabs>
          <w:tab w:val="left" w:pos="1540"/>
          <w:tab w:val="left" w:pos="1541"/>
        </w:tabs>
        <w:ind w:right="1078" w:hanging="540"/>
        <w:rPr>
          <w:sz w:val="24"/>
        </w:rPr>
      </w:pPr>
      <w:r>
        <w:rPr>
          <w:sz w:val="24"/>
        </w:rPr>
        <w:t>of an equivalent to, or higher quality than, that necessary to meet the</w:t>
      </w:r>
      <w:r>
        <w:rPr>
          <w:spacing w:val="-29"/>
          <w:sz w:val="24"/>
        </w:rPr>
        <w:t xml:space="preserve"> </w:t>
      </w:r>
      <w:r>
        <w:rPr>
          <w:sz w:val="24"/>
        </w:rPr>
        <w:t>ADI Group capital requirement;</w:t>
      </w:r>
      <w:r>
        <w:rPr>
          <w:spacing w:val="-1"/>
          <w:sz w:val="24"/>
        </w:rPr>
        <w:t xml:space="preserve"> </w:t>
      </w:r>
      <w:r>
        <w:rPr>
          <w:sz w:val="24"/>
        </w:rPr>
        <w:t>and</w:t>
      </w:r>
    </w:p>
    <w:p w14:paraId="62408300" w14:textId="77777777" w:rsidR="007F424B" w:rsidRDefault="007F424B">
      <w:pPr>
        <w:pStyle w:val="BodyText"/>
      </w:pPr>
    </w:p>
    <w:p w14:paraId="62408301" w14:textId="77777777" w:rsidR="007F424B" w:rsidRDefault="00AB0ACA">
      <w:pPr>
        <w:pStyle w:val="ListParagraph"/>
        <w:numPr>
          <w:ilvl w:val="1"/>
          <w:numId w:val="7"/>
        </w:numPr>
        <w:tabs>
          <w:tab w:val="left" w:pos="1540"/>
          <w:tab w:val="left" w:pos="1541"/>
        </w:tabs>
        <w:ind w:right="1046" w:hanging="540"/>
        <w:rPr>
          <w:sz w:val="24"/>
        </w:rPr>
      </w:pPr>
      <w:r>
        <w:rPr>
          <w:sz w:val="24"/>
        </w:rPr>
        <w:t xml:space="preserve">after deducting the capital necessary to meet the </w:t>
      </w:r>
      <w:r>
        <w:rPr>
          <w:sz w:val="24"/>
        </w:rPr>
        <w:t>ADI Group capital requirement – of an equivalent to, or higher quality than, that necessary</w:t>
      </w:r>
      <w:r>
        <w:rPr>
          <w:spacing w:val="-28"/>
          <w:sz w:val="24"/>
        </w:rPr>
        <w:t xml:space="preserve"> </w:t>
      </w:r>
      <w:r>
        <w:rPr>
          <w:sz w:val="24"/>
        </w:rPr>
        <w:t>to meet the Non-ADI Group capital</w:t>
      </w:r>
      <w:r>
        <w:rPr>
          <w:spacing w:val="-4"/>
          <w:sz w:val="24"/>
        </w:rPr>
        <w:t xml:space="preserve"> </w:t>
      </w:r>
      <w:r>
        <w:rPr>
          <w:sz w:val="24"/>
        </w:rPr>
        <w:t>requirement.</w:t>
      </w:r>
    </w:p>
    <w:p w14:paraId="62408302" w14:textId="77777777" w:rsidR="007F424B" w:rsidRDefault="007F424B">
      <w:pPr>
        <w:pStyle w:val="BodyText"/>
        <w:spacing w:before="10"/>
        <w:rPr>
          <w:sz w:val="23"/>
        </w:rPr>
      </w:pPr>
    </w:p>
    <w:p w14:paraId="62408303" w14:textId="77777777" w:rsidR="007F424B" w:rsidRDefault="00AB0ACA">
      <w:pPr>
        <w:pStyle w:val="ListParagraph"/>
        <w:numPr>
          <w:ilvl w:val="0"/>
          <w:numId w:val="7"/>
        </w:numPr>
        <w:tabs>
          <w:tab w:val="left" w:pos="1000"/>
          <w:tab w:val="left" w:pos="1001"/>
        </w:tabs>
        <w:spacing w:before="1"/>
        <w:ind w:right="1186"/>
        <w:jc w:val="left"/>
        <w:rPr>
          <w:sz w:val="24"/>
        </w:rPr>
      </w:pPr>
      <w:r>
        <w:rPr>
          <w:sz w:val="24"/>
        </w:rPr>
        <w:t>The criteria for defining eligible hybrid capital set out in Annexure 2 will be applied to hybrid capital instrument</w:t>
      </w:r>
      <w:r>
        <w:rPr>
          <w:sz w:val="24"/>
        </w:rPr>
        <w:t>s used to meet the Non-ADI Group capital requirement.</w:t>
      </w:r>
    </w:p>
    <w:p w14:paraId="62408304" w14:textId="77777777" w:rsidR="007F424B" w:rsidRDefault="007F424B">
      <w:pPr>
        <w:pStyle w:val="BodyText"/>
      </w:pPr>
    </w:p>
    <w:p w14:paraId="62408305" w14:textId="77777777" w:rsidR="007F424B" w:rsidRDefault="00AB0ACA">
      <w:pPr>
        <w:ind w:left="1000" w:right="916"/>
        <w:jc w:val="both"/>
        <w:rPr>
          <w:sz w:val="20"/>
        </w:rPr>
      </w:pPr>
      <w:r>
        <w:rPr>
          <w:i/>
          <w:sz w:val="20"/>
        </w:rPr>
        <w:t>Note</w:t>
      </w:r>
      <w:r>
        <w:rPr>
          <w:i/>
          <w:spacing w:val="-4"/>
          <w:sz w:val="20"/>
        </w:rPr>
        <w:t xml:space="preserve"> </w:t>
      </w:r>
      <w:r>
        <w:rPr>
          <w:i/>
          <w:sz w:val="20"/>
        </w:rPr>
        <w:t>1</w:t>
      </w:r>
      <w:r>
        <w:rPr>
          <w:sz w:val="20"/>
        </w:rPr>
        <w:t>:</w:t>
      </w:r>
      <w:r>
        <w:rPr>
          <w:spacing w:val="-5"/>
          <w:sz w:val="20"/>
        </w:rPr>
        <w:t xml:space="preserve"> </w:t>
      </w:r>
      <w:r>
        <w:rPr>
          <w:sz w:val="20"/>
        </w:rPr>
        <w:t>Once</w:t>
      </w:r>
      <w:r>
        <w:rPr>
          <w:spacing w:val="-3"/>
          <w:sz w:val="20"/>
        </w:rPr>
        <w:t xml:space="preserve"> </w:t>
      </w:r>
      <w:r>
        <w:rPr>
          <w:sz w:val="20"/>
        </w:rPr>
        <w:t>APRA</w:t>
      </w:r>
      <w:r>
        <w:rPr>
          <w:spacing w:val="-5"/>
          <w:sz w:val="20"/>
        </w:rPr>
        <w:t xml:space="preserve"> </w:t>
      </w:r>
      <w:r>
        <w:rPr>
          <w:sz w:val="20"/>
        </w:rPr>
        <w:t>develops</w:t>
      </w:r>
      <w:r>
        <w:rPr>
          <w:spacing w:val="-4"/>
          <w:sz w:val="20"/>
        </w:rPr>
        <w:t xml:space="preserve"> </w:t>
      </w:r>
      <w:r>
        <w:rPr>
          <w:sz w:val="20"/>
        </w:rPr>
        <w:t>industry-wide</w:t>
      </w:r>
      <w:r>
        <w:rPr>
          <w:spacing w:val="-3"/>
          <w:sz w:val="20"/>
        </w:rPr>
        <w:t xml:space="preserve"> </w:t>
      </w:r>
      <w:r>
        <w:rPr>
          <w:sz w:val="20"/>
        </w:rPr>
        <w:t>prudential</w:t>
      </w:r>
      <w:r>
        <w:rPr>
          <w:spacing w:val="-6"/>
          <w:sz w:val="20"/>
        </w:rPr>
        <w:t xml:space="preserve"> </w:t>
      </w:r>
      <w:r>
        <w:rPr>
          <w:sz w:val="20"/>
        </w:rPr>
        <w:t>policy</w:t>
      </w:r>
      <w:r>
        <w:rPr>
          <w:spacing w:val="-6"/>
          <w:sz w:val="20"/>
        </w:rPr>
        <w:t xml:space="preserve"> </w:t>
      </w:r>
      <w:r>
        <w:rPr>
          <w:sz w:val="20"/>
        </w:rPr>
        <w:t>on</w:t>
      </w:r>
      <w:r>
        <w:rPr>
          <w:spacing w:val="-4"/>
          <w:sz w:val="20"/>
        </w:rPr>
        <w:t xml:space="preserve"> </w:t>
      </w:r>
      <w:r>
        <w:rPr>
          <w:sz w:val="20"/>
        </w:rPr>
        <w:t>eligible</w:t>
      </w:r>
      <w:r>
        <w:rPr>
          <w:spacing w:val="-4"/>
          <w:sz w:val="20"/>
        </w:rPr>
        <w:t xml:space="preserve"> </w:t>
      </w:r>
      <w:r>
        <w:rPr>
          <w:sz w:val="20"/>
        </w:rPr>
        <w:t>capital</w:t>
      </w:r>
      <w:r>
        <w:rPr>
          <w:spacing w:val="-6"/>
          <w:sz w:val="20"/>
        </w:rPr>
        <w:t xml:space="preserve"> </w:t>
      </w:r>
      <w:r>
        <w:rPr>
          <w:sz w:val="20"/>
        </w:rPr>
        <w:t>for</w:t>
      </w:r>
      <w:r>
        <w:rPr>
          <w:spacing w:val="-3"/>
          <w:sz w:val="20"/>
        </w:rPr>
        <w:t xml:space="preserve"> </w:t>
      </w:r>
      <w:r>
        <w:rPr>
          <w:sz w:val="20"/>
        </w:rPr>
        <w:t>non-banking businesses in a non-operating holding company structure and this comes into force, APRA will consider any transitional arrangements that may be necessary. However, APRA does not</w:t>
      </w:r>
      <w:r>
        <w:rPr>
          <w:spacing w:val="-35"/>
          <w:sz w:val="20"/>
        </w:rPr>
        <w:t xml:space="preserve"> </w:t>
      </w:r>
      <w:r>
        <w:rPr>
          <w:sz w:val="20"/>
        </w:rPr>
        <w:t>propose to grandfather the interim arrangements set out in the abo</w:t>
      </w:r>
      <w:r>
        <w:rPr>
          <w:sz w:val="20"/>
        </w:rPr>
        <w:t>ve</w:t>
      </w:r>
      <w:r>
        <w:rPr>
          <w:spacing w:val="-9"/>
          <w:sz w:val="20"/>
        </w:rPr>
        <w:t xml:space="preserve"> </w:t>
      </w:r>
      <w:r>
        <w:rPr>
          <w:sz w:val="20"/>
        </w:rPr>
        <w:t>conditions.</w:t>
      </w:r>
    </w:p>
    <w:p w14:paraId="62408306" w14:textId="77777777" w:rsidR="007F424B" w:rsidRDefault="007F424B">
      <w:pPr>
        <w:pStyle w:val="BodyText"/>
        <w:rPr>
          <w:sz w:val="20"/>
        </w:rPr>
      </w:pPr>
    </w:p>
    <w:p w14:paraId="62408307" w14:textId="77777777" w:rsidR="007F424B" w:rsidRDefault="00AB0ACA">
      <w:pPr>
        <w:ind w:left="1000" w:right="916"/>
        <w:jc w:val="both"/>
        <w:rPr>
          <w:sz w:val="20"/>
        </w:rPr>
      </w:pPr>
      <w:r>
        <w:rPr>
          <w:i/>
          <w:sz w:val="20"/>
        </w:rPr>
        <w:t>Note 2</w:t>
      </w:r>
      <w:r>
        <w:rPr>
          <w:sz w:val="20"/>
        </w:rPr>
        <w:t>: The Level 3 capital framework outlined in conditions 2 to 9 is an interim arrangement pending</w:t>
      </w:r>
      <w:r>
        <w:rPr>
          <w:spacing w:val="-12"/>
          <w:sz w:val="20"/>
        </w:rPr>
        <w:t xml:space="preserve"> </w:t>
      </w:r>
      <w:r>
        <w:rPr>
          <w:sz w:val="20"/>
        </w:rPr>
        <w:t>the</w:t>
      </w:r>
      <w:r>
        <w:rPr>
          <w:spacing w:val="-8"/>
          <w:sz w:val="20"/>
        </w:rPr>
        <w:t xml:space="preserve"> </w:t>
      </w:r>
      <w:r>
        <w:rPr>
          <w:sz w:val="20"/>
        </w:rPr>
        <w:t>development</w:t>
      </w:r>
      <w:r>
        <w:rPr>
          <w:spacing w:val="-10"/>
          <w:sz w:val="20"/>
        </w:rPr>
        <w:t xml:space="preserve"> </w:t>
      </w:r>
      <w:r>
        <w:rPr>
          <w:sz w:val="20"/>
        </w:rPr>
        <w:t>and</w:t>
      </w:r>
      <w:r>
        <w:rPr>
          <w:spacing w:val="-9"/>
          <w:sz w:val="20"/>
        </w:rPr>
        <w:t xml:space="preserve"> </w:t>
      </w:r>
      <w:r>
        <w:rPr>
          <w:sz w:val="20"/>
        </w:rPr>
        <w:t>implementation</w:t>
      </w:r>
      <w:r>
        <w:rPr>
          <w:spacing w:val="-10"/>
          <w:sz w:val="20"/>
        </w:rPr>
        <w:t xml:space="preserve"> </w:t>
      </w:r>
      <w:r>
        <w:rPr>
          <w:sz w:val="20"/>
        </w:rPr>
        <w:t>by</w:t>
      </w:r>
      <w:r>
        <w:rPr>
          <w:spacing w:val="-11"/>
          <w:sz w:val="20"/>
        </w:rPr>
        <w:t xml:space="preserve"> </w:t>
      </w:r>
      <w:r>
        <w:rPr>
          <w:sz w:val="20"/>
        </w:rPr>
        <w:t>APRA</w:t>
      </w:r>
      <w:r>
        <w:rPr>
          <w:spacing w:val="-8"/>
          <w:sz w:val="20"/>
        </w:rPr>
        <w:t xml:space="preserve"> </w:t>
      </w:r>
      <w:r>
        <w:rPr>
          <w:sz w:val="20"/>
        </w:rPr>
        <w:t>of</w:t>
      </w:r>
      <w:r>
        <w:rPr>
          <w:spacing w:val="-9"/>
          <w:sz w:val="20"/>
        </w:rPr>
        <w:t xml:space="preserve"> </w:t>
      </w:r>
      <w:r>
        <w:rPr>
          <w:sz w:val="20"/>
        </w:rPr>
        <w:t>industry-wide</w:t>
      </w:r>
      <w:r>
        <w:rPr>
          <w:spacing w:val="-8"/>
          <w:sz w:val="20"/>
        </w:rPr>
        <w:t xml:space="preserve"> </w:t>
      </w:r>
      <w:r>
        <w:rPr>
          <w:sz w:val="20"/>
        </w:rPr>
        <w:t>Non-Operating</w:t>
      </w:r>
      <w:r>
        <w:rPr>
          <w:spacing w:val="-12"/>
          <w:sz w:val="20"/>
        </w:rPr>
        <w:t xml:space="preserve"> </w:t>
      </w:r>
      <w:r>
        <w:rPr>
          <w:sz w:val="20"/>
        </w:rPr>
        <w:t>Holding Company</w:t>
      </w:r>
      <w:r>
        <w:rPr>
          <w:spacing w:val="-16"/>
          <w:sz w:val="20"/>
        </w:rPr>
        <w:t xml:space="preserve"> </w:t>
      </w:r>
      <w:r>
        <w:rPr>
          <w:sz w:val="20"/>
        </w:rPr>
        <w:t>Prudential</w:t>
      </w:r>
      <w:r>
        <w:rPr>
          <w:spacing w:val="-12"/>
          <w:sz w:val="20"/>
        </w:rPr>
        <w:t xml:space="preserve"> </w:t>
      </w:r>
      <w:r>
        <w:rPr>
          <w:sz w:val="20"/>
        </w:rPr>
        <w:t>Standards.</w:t>
      </w:r>
      <w:r>
        <w:rPr>
          <w:spacing w:val="-11"/>
          <w:sz w:val="20"/>
        </w:rPr>
        <w:t xml:space="preserve"> </w:t>
      </w:r>
      <w:r>
        <w:rPr>
          <w:sz w:val="20"/>
        </w:rPr>
        <w:t>At</w:t>
      </w:r>
      <w:r>
        <w:rPr>
          <w:spacing w:val="-12"/>
          <w:sz w:val="20"/>
        </w:rPr>
        <w:t xml:space="preserve"> </w:t>
      </w:r>
      <w:r>
        <w:rPr>
          <w:sz w:val="20"/>
        </w:rPr>
        <w:t>the</w:t>
      </w:r>
      <w:r>
        <w:rPr>
          <w:spacing w:val="-10"/>
          <w:sz w:val="20"/>
        </w:rPr>
        <w:t xml:space="preserve"> </w:t>
      </w:r>
      <w:r>
        <w:rPr>
          <w:sz w:val="20"/>
        </w:rPr>
        <w:t>inception</w:t>
      </w:r>
      <w:r>
        <w:rPr>
          <w:spacing w:val="-6"/>
          <w:sz w:val="20"/>
        </w:rPr>
        <w:t xml:space="preserve"> </w:t>
      </w:r>
      <w:r>
        <w:rPr>
          <w:sz w:val="20"/>
        </w:rPr>
        <w:t>of</w:t>
      </w:r>
      <w:r>
        <w:rPr>
          <w:spacing w:val="-11"/>
          <w:sz w:val="20"/>
        </w:rPr>
        <w:t xml:space="preserve"> </w:t>
      </w:r>
      <w:r>
        <w:rPr>
          <w:sz w:val="20"/>
        </w:rPr>
        <w:t>such</w:t>
      </w:r>
      <w:r>
        <w:rPr>
          <w:spacing w:val="-11"/>
          <w:sz w:val="20"/>
        </w:rPr>
        <w:t xml:space="preserve"> </w:t>
      </w:r>
      <w:r>
        <w:rPr>
          <w:sz w:val="20"/>
        </w:rPr>
        <w:t>P</w:t>
      </w:r>
      <w:r>
        <w:rPr>
          <w:sz w:val="20"/>
        </w:rPr>
        <w:t>rudential</w:t>
      </w:r>
      <w:r>
        <w:rPr>
          <w:spacing w:val="-11"/>
          <w:sz w:val="20"/>
        </w:rPr>
        <w:t xml:space="preserve"> </w:t>
      </w:r>
      <w:r>
        <w:rPr>
          <w:sz w:val="20"/>
        </w:rPr>
        <w:t>Standards,</w:t>
      </w:r>
      <w:r>
        <w:rPr>
          <w:spacing w:val="-12"/>
          <w:sz w:val="20"/>
        </w:rPr>
        <w:t xml:space="preserve"> </w:t>
      </w:r>
      <w:r>
        <w:rPr>
          <w:sz w:val="20"/>
        </w:rPr>
        <w:t>APRA</w:t>
      </w:r>
      <w:r>
        <w:rPr>
          <w:spacing w:val="-11"/>
          <w:sz w:val="20"/>
        </w:rPr>
        <w:t xml:space="preserve"> </w:t>
      </w:r>
      <w:r>
        <w:rPr>
          <w:sz w:val="20"/>
        </w:rPr>
        <w:t>may</w:t>
      </w:r>
      <w:r>
        <w:rPr>
          <w:spacing w:val="-13"/>
          <w:sz w:val="20"/>
        </w:rPr>
        <w:t xml:space="preserve"> </w:t>
      </w:r>
      <w:r>
        <w:rPr>
          <w:sz w:val="20"/>
        </w:rPr>
        <w:t>impose transitional capital arrangements. APRA does not propose that the interim arrangements set out in these conditions be</w:t>
      </w:r>
      <w:r>
        <w:rPr>
          <w:spacing w:val="-2"/>
          <w:sz w:val="20"/>
        </w:rPr>
        <w:t xml:space="preserve"> </w:t>
      </w:r>
      <w:r>
        <w:rPr>
          <w:sz w:val="20"/>
        </w:rPr>
        <w:t>grandfathered.</w:t>
      </w:r>
    </w:p>
    <w:p w14:paraId="62408308" w14:textId="77777777" w:rsidR="007F424B" w:rsidRDefault="007F424B">
      <w:pPr>
        <w:jc w:val="both"/>
        <w:rPr>
          <w:sz w:val="20"/>
        </w:rPr>
        <w:sectPr w:rsidR="007F424B">
          <w:pgSz w:w="11910" w:h="16840"/>
          <w:pgMar w:top="1340" w:right="880" w:bottom="1120" w:left="1340" w:header="0" w:footer="928" w:gutter="0"/>
          <w:cols w:space="720"/>
        </w:sectPr>
      </w:pPr>
    </w:p>
    <w:p w14:paraId="62408309" w14:textId="77777777" w:rsidR="007F424B" w:rsidRDefault="00AB0ACA">
      <w:pPr>
        <w:pStyle w:val="Heading1"/>
        <w:spacing w:before="77"/>
        <w:ind w:left="440"/>
      </w:pPr>
      <w:r>
        <w:lastRenderedPageBreak/>
        <w:t>Prudential Standards</w:t>
      </w:r>
    </w:p>
    <w:p w14:paraId="6240830A" w14:textId="77777777" w:rsidR="007F424B" w:rsidRDefault="007F424B">
      <w:pPr>
        <w:pStyle w:val="BodyText"/>
        <w:spacing w:before="11"/>
        <w:rPr>
          <w:rFonts w:ascii="Arial"/>
          <w:b/>
          <w:sz w:val="23"/>
        </w:rPr>
      </w:pPr>
    </w:p>
    <w:p w14:paraId="6240830B" w14:textId="77777777" w:rsidR="007F424B" w:rsidRDefault="00AB0ACA">
      <w:pPr>
        <w:pStyle w:val="ListParagraph"/>
        <w:numPr>
          <w:ilvl w:val="0"/>
          <w:numId w:val="7"/>
        </w:numPr>
        <w:tabs>
          <w:tab w:val="left" w:pos="1000"/>
          <w:tab w:val="left" w:pos="1001"/>
        </w:tabs>
        <w:ind w:hanging="541"/>
        <w:jc w:val="left"/>
        <w:rPr>
          <w:sz w:val="24"/>
        </w:rPr>
      </w:pPr>
      <w:r>
        <w:rPr>
          <w:sz w:val="24"/>
        </w:rPr>
        <w:t xml:space="preserve">The </w:t>
      </w:r>
      <w:proofErr w:type="spellStart"/>
      <w:r>
        <w:rPr>
          <w:sz w:val="24"/>
        </w:rPr>
        <w:t>Authorised</w:t>
      </w:r>
      <w:proofErr w:type="spellEnd"/>
      <w:r>
        <w:rPr>
          <w:sz w:val="24"/>
        </w:rPr>
        <w:t xml:space="preserve"> NOHC must comply</w:t>
      </w:r>
      <w:r>
        <w:rPr>
          <w:spacing w:val="-7"/>
          <w:sz w:val="24"/>
        </w:rPr>
        <w:t xml:space="preserve"> </w:t>
      </w:r>
      <w:r>
        <w:rPr>
          <w:sz w:val="24"/>
        </w:rPr>
        <w:t>with:</w:t>
      </w:r>
    </w:p>
    <w:p w14:paraId="6240830C" w14:textId="77777777" w:rsidR="007F424B" w:rsidRDefault="007F424B">
      <w:pPr>
        <w:pStyle w:val="BodyText"/>
        <w:spacing w:before="1"/>
      </w:pPr>
    </w:p>
    <w:p w14:paraId="6240830D" w14:textId="77777777" w:rsidR="007F424B" w:rsidRDefault="00AB0ACA">
      <w:pPr>
        <w:pStyle w:val="ListParagraph"/>
        <w:numPr>
          <w:ilvl w:val="1"/>
          <w:numId w:val="7"/>
        </w:numPr>
        <w:tabs>
          <w:tab w:val="left" w:pos="1540"/>
          <w:tab w:val="left" w:pos="1541"/>
        </w:tabs>
        <w:ind w:right="1154" w:hanging="540"/>
        <w:rPr>
          <w:sz w:val="24"/>
        </w:rPr>
      </w:pPr>
      <w:r>
        <w:rPr>
          <w:sz w:val="24"/>
        </w:rPr>
        <w:t xml:space="preserve">APS 210, as if the </w:t>
      </w:r>
      <w:proofErr w:type="spellStart"/>
      <w:r>
        <w:rPr>
          <w:sz w:val="24"/>
        </w:rPr>
        <w:t>Authorised</w:t>
      </w:r>
      <w:proofErr w:type="spellEnd"/>
      <w:r>
        <w:rPr>
          <w:sz w:val="24"/>
        </w:rPr>
        <w:t xml:space="preserve"> NOHC were an ADI. In applying this prudential standard, the </w:t>
      </w:r>
      <w:proofErr w:type="spellStart"/>
      <w:r>
        <w:rPr>
          <w:sz w:val="24"/>
        </w:rPr>
        <w:t>Authorised</w:t>
      </w:r>
      <w:proofErr w:type="spellEnd"/>
      <w:r>
        <w:rPr>
          <w:sz w:val="24"/>
        </w:rPr>
        <w:t xml:space="preserve"> NOHC must be able to demonstrate that it has </w:t>
      </w:r>
      <w:proofErr w:type="gramStart"/>
      <w:r>
        <w:rPr>
          <w:sz w:val="24"/>
        </w:rPr>
        <w:t>taken into account</w:t>
      </w:r>
      <w:proofErr w:type="gramEnd"/>
      <w:r>
        <w:rPr>
          <w:sz w:val="24"/>
        </w:rPr>
        <w:t xml:space="preserve"> the needs of all members of the Macquarie Group in establishing its liquidity management st</w:t>
      </w:r>
      <w:r>
        <w:rPr>
          <w:sz w:val="24"/>
        </w:rPr>
        <w:t>rategy, but the standard does not apply directly to other members of the Non-ADI</w:t>
      </w:r>
      <w:r>
        <w:rPr>
          <w:spacing w:val="-18"/>
          <w:sz w:val="24"/>
        </w:rPr>
        <w:t xml:space="preserve"> </w:t>
      </w:r>
      <w:r>
        <w:rPr>
          <w:sz w:val="24"/>
        </w:rPr>
        <w:t>Group;</w:t>
      </w:r>
    </w:p>
    <w:p w14:paraId="6240830E" w14:textId="77777777" w:rsidR="007F424B" w:rsidRDefault="007F424B">
      <w:pPr>
        <w:pStyle w:val="BodyText"/>
        <w:spacing w:before="10"/>
        <w:rPr>
          <w:sz w:val="23"/>
        </w:rPr>
      </w:pPr>
    </w:p>
    <w:p w14:paraId="6240830F" w14:textId="77777777" w:rsidR="007F424B" w:rsidRDefault="00AB0ACA">
      <w:pPr>
        <w:pStyle w:val="ListParagraph"/>
        <w:numPr>
          <w:ilvl w:val="1"/>
          <w:numId w:val="7"/>
        </w:numPr>
        <w:tabs>
          <w:tab w:val="left" w:pos="1540"/>
          <w:tab w:val="left" w:pos="1541"/>
        </w:tabs>
        <w:ind w:hanging="541"/>
        <w:rPr>
          <w:sz w:val="24"/>
        </w:rPr>
      </w:pPr>
      <w:r>
        <w:rPr>
          <w:sz w:val="24"/>
        </w:rPr>
        <w:t xml:space="preserve">APS 310, as if the </w:t>
      </w:r>
      <w:proofErr w:type="spellStart"/>
      <w:r>
        <w:rPr>
          <w:sz w:val="24"/>
        </w:rPr>
        <w:t>Authorised</w:t>
      </w:r>
      <w:proofErr w:type="spellEnd"/>
      <w:r>
        <w:rPr>
          <w:sz w:val="24"/>
        </w:rPr>
        <w:t xml:space="preserve"> NOHC were an ADI;</w:t>
      </w:r>
      <w:r>
        <w:rPr>
          <w:spacing w:val="-7"/>
          <w:sz w:val="24"/>
        </w:rPr>
        <w:t xml:space="preserve"> </w:t>
      </w:r>
      <w:r>
        <w:rPr>
          <w:sz w:val="24"/>
        </w:rPr>
        <w:t>and</w:t>
      </w:r>
    </w:p>
    <w:p w14:paraId="62408310" w14:textId="77777777" w:rsidR="007F424B" w:rsidRDefault="007F424B">
      <w:pPr>
        <w:pStyle w:val="BodyText"/>
        <w:spacing w:before="1"/>
      </w:pPr>
    </w:p>
    <w:p w14:paraId="62408311" w14:textId="77777777" w:rsidR="007F424B" w:rsidRDefault="00AB0ACA">
      <w:pPr>
        <w:pStyle w:val="ListParagraph"/>
        <w:numPr>
          <w:ilvl w:val="1"/>
          <w:numId w:val="7"/>
        </w:numPr>
        <w:tabs>
          <w:tab w:val="left" w:pos="1540"/>
          <w:tab w:val="left" w:pos="1541"/>
        </w:tabs>
        <w:ind w:right="1031" w:hanging="540"/>
        <w:rPr>
          <w:sz w:val="24"/>
        </w:rPr>
      </w:pPr>
      <w:r>
        <w:rPr>
          <w:sz w:val="24"/>
        </w:rPr>
        <w:t>APS 231 and APS 232, to the extent that they relate to the activities of</w:t>
      </w:r>
      <w:r>
        <w:rPr>
          <w:spacing w:val="-28"/>
          <w:sz w:val="24"/>
        </w:rPr>
        <w:t xml:space="preserve"> </w:t>
      </w:r>
      <w:r>
        <w:rPr>
          <w:sz w:val="24"/>
        </w:rPr>
        <w:t xml:space="preserve">the ADI or the </w:t>
      </w:r>
      <w:proofErr w:type="spellStart"/>
      <w:r>
        <w:rPr>
          <w:sz w:val="24"/>
        </w:rPr>
        <w:t>Authorised</w:t>
      </w:r>
      <w:proofErr w:type="spellEnd"/>
      <w:r>
        <w:rPr>
          <w:spacing w:val="-4"/>
          <w:sz w:val="24"/>
        </w:rPr>
        <w:t xml:space="preserve"> </w:t>
      </w:r>
      <w:r>
        <w:rPr>
          <w:sz w:val="24"/>
        </w:rPr>
        <w:t>NOHC.</w:t>
      </w:r>
    </w:p>
    <w:p w14:paraId="62408312" w14:textId="77777777" w:rsidR="007F424B" w:rsidRDefault="007F424B">
      <w:pPr>
        <w:pStyle w:val="BodyText"/>
      </w:pPr>
    </w:p>
    <w:p w14:paraId="62408313" w14:textId="77777777" w:rsidR="007F424B" w:rsidRDefault="00AB0ACA">
      <w:pPr>
        <w:pStyle w:val="ListParagraph"/>
        <w:numPr>
          <w:ilvl w:val="0"/>
          <w:numId w:val="7"/>
        </w:numPr>
        <w:tabs>
          <w:tab w:val="left" w:pos="1000"/>
          <w:tab w:val="left" w:pos="1001"/>
        </w:tabs>
        <w:ind w:right="998"/>
        <w:jc w:val="left"/>
        <w:rPr>
          <w:sz w:val="24"/>
        </w:rPr>
      </w:pPr>
      <w:r>
        <w:rPr>
          <w:sz w:val="24"/>
        </w:rPr>
        <w:t xml:space="preserve">The paragraphs of APS 222 relating to badging and disclosure are to apply to the </w:t>
      </w:r>
      <w:proofErr w:type="spellStart"/>
      <w:r>
        <w:rPr>
          <w:sz w:val="24"/>
        </w:rPr>
        <w:t>Authorised</w:t>
      </w:r>
      <w:proofErr w:type="spellEnd"/>
      <w:r>
        <w:rPr>
          <w:sz w:val="24"/>
        </w:rPr>
        <w:t xml:space="preserve"> NOHC and other companies in the Macquarie Group. The </w:t>
      </w:r>
      <w:proofErr w:type="spellStart"/>
      <w:r>
        <w:rPr>
          <w:sz w:val="24"/>
        </w:rPr>
        <w:t>Authorised</w:t>
      </w:r>
      <w:proofErr w:type="spellEnd"/>
      <w:r>
        <w:rPr>
          <w:sz w:val="24"/>
        </w:rPr>
        <w:t xml:space="preserve"> NOHC and Macquarie Group members may use the Macquarie</w:t>
      </w:r>
      <w:r>
        <w:rPr>
          <w:spacing w:val="-29"/>
          <w:sz w:val="24"/>
        </w:rPr>
        <w:t xml:space="preserve"> </w:t>
      </w:r>
      <w:r>
        <w:rPr>
          <w:sz w:val="24"/>
        </w:rPr>
        <w:t>logo and brand provided the relevant disclosu</w:t>
      </w:r>
      <w:r>
        <w:rPr>
          <w:sz w:val="24"/>
        </w:rPr>
        <w:t>re requirements are</w:t>
      </w:r>
      <w:r>
        <w:rPr>
          <w:spacing w:val="-5"/>
          <w:sz w:val="24"/>
        </w:rPr>
        <w:t xml:space="preserve"> </w:t>
      </w:r>
      <w:r>
        <w:rPr>
          <w:sz w:val="24"/>
        </w:rPr>
        <w:t>met.</w:t>
      </w:r>
    </w:p>
    <w:p w14:paraId="62408314" w14:textId="77777777" w:rsidR="007F424B" w:rsidRDefault="007F424B">
      <w:pPr>
        <w:rPr>
          <w:sz w:val="24"/>
        </w:rPr>
        <w:sectPr w:rsidR="007F424B">
          <w:pgSz w:w="11910" w:h="16840"/>
          <w:pgMar w:top="1340" w:right="880" w:bottom="1120" w:left="1340" w:header="0" w:footer="928" w:gutter="0"/>
          <w:cols w:space="720"/>
        </w:sectPr>
      </w:pPr>
    </w:p>
    <w:p w14:paraId="62408315" w14:textId="77777777" w:rsidR="007F424B" w:rsidRDefault="00AB0ACA">
      <w:pPr>
        <w:pStyle w:val="Heading1"/>
        <w:spacing w:before="77"/>
        <w:ind w:left="440"/>
      </w:pPr>
      <w:proofErr w:type="spellStart"/>
      <w:r>
        <w:lastRenderedPageBreak/>
        <w:t>Authorised</w:t>
      </w:r>
      <w:proofErr w:type="spellEnd"/>
      <w:r>
        <w:t xml:space="preserve"> NOHC Activities</w:t>
      </w:r>
    </w:p>
    <w:p w14:paraId="62408316" w14:textId="77777777" w:rsidR="007F424B" w:rsidRDefault="007F424B">
      <w:pPr>
        <w:pStyle w:val="BodyText"/>
        <w:rPr>
          <w:rFonts w:ascii="Arial"/>
          <w:b/>
          <w:sz w:val="22"/>
        </w:rPr>
      </w:pPr>
    </w:p>
    <w:p w14:paraId="62408317" w14:textId="77777777" w:rsidR="007F424B" w:rsidRDefault="00AB0ACA">
      <w:pPr>
        <w:pStyle w:val="ListParagraph"/>
        <w:numPr>
          <w:ilvl w:val="0"/>
          <w:numId w:val="7"/>
        </w:numPr>
        <w:tabs>
          <w:tab w:val="left" w:pos="1000"/>
          <w:tab w:val="left" w:pos="1001"/>
        </w:tabs>
        <w:ind w:right="969"/>
        <w:jc w:val="left"/>
        <w:rPr>
          <w:sz w:val="24"/>
        </w:rPr>
      </w:pPr>
      <w:r>
        <w:rPr>
          <w:sz w:val="24"/>
        </w:rPr>
        <w:t xml:space="preserve">The </w:t>
      </w:r>
      <w:proofErr w:type="spellStart"/>
      <w:r>
        <w:rPr>
          <w:sz w:val="24"/>
        </w:rPr>
        <w:t>Authorised</w:t>
      </w:r>
      <w:proofErr w:type="spellEnd"/>
      <w:r>
        <w:rPr>
          <w:sz w:val="24"/>
        </w:rPr>
        <w:t xml:space="preserve"> NOHC may undertake a “corporate </w:t>
      </w:r>
      <w:proofErr w:type="spellStart"/>
      <w:r>
        <w:rPr>
          <w:sz w:val="24"/>
        </w:rPr>
        <w:t>centre</w:t>
      </w:r>
      <w:proofErr w:type="spellEnd"/>
      <w:r>
        <w:rPr>
          <w:sz w:val="24"/>
        </w:rPr>
        <w:t>” role, including group treasury activities, risk management, settlements, information</w:t>
      </w:r>
      <w:r>
        <w:rPr>
          <w:spacing w:val="-36"/>
          <w:sz w:val="24"/>
        </w:rPr>
        <w:t xml:space="preserve"> </w:t>
      </w:r>
      <w:r>
        <w:rPr>
          <w:sz w:val="24"/>
        </w:rPr>
        <w:t>technology, human resources, financial report</w:t>
      </w:r>
      <w:r>
        <w:rPr>
          <w:sz w:val="24"/>
        </w:rPr>
        <w:t xml:space="preserve">ing and other group services such as company secretarial. These roles may also be performed by service subsidiaries of the NOHC formed for that purpose. Where </w:t>
      </w:r>
      <w:proofErr w:type="spellStart"/>
      <w:r>
        <w:rPr>
          <w:sz w:val="24"/>
        </w:rPr>
        <w:t>centralised</w:t>
      </w:r>
      <w:proofErr w:type="spellEnd"/>
      <w:r>
        <w:rPr>
          <w:sz w:val="24"/>
        </w:rPr>
        <w:t xml:space="preserve"> treasury functions are undertaken by the </w:t>
      </w:r>
      <w:proofErr w:type="spellStart"/>
      <w:r>
        <w:rPr>
          <w:sz w:val="24"/>
        </w:rPr>
        <w:t>Authorised</w:t>
      </w:r>
      <w:proofErr w:type="spellEnd"/>
      <w:r>
        <w:rPr>
          <w:spacing w:val="-7"/>
          <w:sz w:val="24"/>
        </w:rPr>
        <w:t xml:space="preserve"> </w:t>
      </w:r>
      <w:r>
        <w:rPr>
          <w:sz w:val="24"/>
        </w:rPr>
        <w:t>NOHC:</w:t>
      </w:r>
    </w:p>
    <w:p w14:paraId="62408318" w14:textId="77777777" w:rsidR="007F424B" w:rsidRDefault="007F424B">
      <w:pPr>
        <w:pStyle w:val="BodyText"/>
        <w:spacing w:before="10"/>
        <w:rPr>
          <w:sz w:val="23"/>
        </w:rPr>
      </w:pPr>
    </w:p>
    <w:p w14:paraId="62408319" w14:textId="77777777" w:rsidR="007F424B" w:rsidRDefault="00AB0ACA">
      <w:pPr>
        <w:pStyle w:val="ListParagraph"/>
        <w:numPr>
          <w:ilvl w:val="1"/>
          <w:numId w:val="7"/>
        </w:numPr>
        <w:tabs>
          <w:tab w:val="left" w:pos="1540"/>
          <w:tab w:val="left" w:pos="1541"/>
        </w:tabs>
        <w:ind w:right="1261" w:hanging="540"/>
        <w:rPr>
          <w:sz w:val="24"/>
        </w:rPr>
      </w:pPr>
      <w:r>
        <w:rPr>
          <w:sz w:val="24"/>
        </w:rPr>
        <w:t>there must be separate liq</w:t>
      </w:r>
      <w:r>
        <w:rPr>
          <w:sz w:val="24"/>
        </w:rPr>
        <w:t xml:space="preserve">uidity policies for the ADI and the </w:t>
      </w:r>
      <w:proofErr w:type="spellStart"/>
      <w:r>
        <w:rPr>
          <w:sz w:val="24"/>
        </w:rPr>
        <w:t>Authorised</w:t>
      </w:r>
      <w:proofErr w:type="spellEnd"/>
      <w:r>
        <w:rPr>
          <w:sz w:val="24"/>
        </w:rPr>
        <w:t xml:space="preserve"> NOHC;</w:t>
      </w:r>
    </w:p>
    <w:p w14:paraId="6240831A" w14:textId="77777777" w:rsidR="007F424B" w:rsidRDefault="007F424B">
      <w:pPr>
        <w:pStyle w:val="BodyText"/>
        <w:spacing w:before="11"/>
        <w:rPr>
          <w:sz w:val="23"/>
        </w:rPr>
      </w:pPr>
    </w:p>
    <w:p w14:paraId="6240831B" w14:textId="77777777" w:rsidR="007F424B" w:rsidRDefault="00AB0ACA">
      <w:pPr>
        <w:pStyle w:val="ListParagraph"/>
        <w:numPr>
          <w:ilvl w:val="1"/>
          <w:numId w:val="7"/>
        </w:numPr>
        <w:tabs>
          <w:tab w:val="left" w:pos="1541"/>
        </w:tabs>
        <w:ind w:right="1519" w:hanging="540"/>
        <w:jc w:val="both"/>
        <w:rPr>
          <w:sz w:val="24"/>
        </w:rPr>
      </w:pPr>
      <w:r>
        <w:rPr>
          <w:sz w:val="24"/>
        </w:rPr>
        <w:t xml:space="preserve">there must be separate and distinct funding </w:t>
      </w:r>
      <w:proofErr w:type="spellStart"/>
      <w:r>
        <w:rPr>
          <w:sz w:val="24"/>
        </w:rPr>
        <w:t>programmes</w:t>
      </w:r>
      <w:proofErr w:type="spellEnd"/>
      <w:r>
        <w:rPr>
          <w:sz w:val="24"/>
        </w:rPr>
        <w:t xml:space="preserve"> for the ADI, </w:t>
      </w:r>
      <w:proofErr w:type="spellStart"/>
      <w:r>
        <w:rPr>
          <w:sz w:val="24"/>
        </w:rPr>
        <w:t>Authorised</w:t>
      </w:r>
      <w:proofErr w:type="spellEnd"/>
      <w:r>
        <w:rPr>
          <w:sz w:val="24"/>
        </w:rPr>
        <w:t xml:space="preserve"> NOHC and any other Macquarie Group entities requiring external</w:t>
      </w:r>
      <w:r>
        <w:rPr>
          <w:spacing w:val="-1"/>
          <w:sz w:val="24"/>
        </w:rPr>
        <w:t xml:space="preserve"> </w:t>
      </w:r>
      <w:r>
        <w:rPr>
          <w:sz w:val="24"/>
        </w:rPr>
        <w:t>funding;</w:t>
      </w:r>
    </w:p>
    <w:p w14:paraId="6240831C" w14:textId="77777777" w:rsidR="007F424B" w:rsidRDefault="007F424B">
      <w:pPr>
        <w:pStyle w:val="BodyText"/>
        <w:spacing w:before="1"/>
      </w:pPr>
    </w:p>
    <w:p w14:paraId="6240831D" w14:textId="77777777" w:rsidR="007F424B" w:rsidRDefault="00AB0ACA">
      <w:pPr>
        <w:pStyle w:val="ListParagraph"/>
        <w:numPr>
          <w:ilvl w:val="1"/>
          <w:numId w:val="7"/>
        </w:numPr>
        <w:tabs>
          <w:tab w:val="left" w:pos="1540"/>
          <w:tab w:val="left" w:pos="1541"/>
        </w:tabs>
        <w:ind w:right="962" w:hanging="540"/>
        <w:rPr>
          <w:sz w:val="24"/>
        </w:rPr>
      </w:pPr>
      <w:r>
        <w:rPr>
          <w:sz w:val="24"/>
        </w:rPr>
        <w:t xml:space="preserve">there must be clearly defined processes to ensure </w:t>
      </w:r>
      <w:r>
        <w:rPr>
          <w:sz w:val="24"/>
        </w:rPr>
        <w:t>external counterparties are fully aware of which Macquarie Group entity is being represented by a treasury person, including the providing separate offering documentation and ensuring that transaction confirmations clearly identify the appropriate counterp</w:t>
      </w:r>
      <w:r>
        <w:rPr>
          <w:sz w:val="24"/>
        </w:rPr>
        <w:t>arty;</w:t>
      </w:r>
    </w:p>
    <w:p w14:paraId="6240831E" w14:textId="77777777" w:rsidR="007F424B" w:rsidRDefault="007F424B">
      <w:pPr>
        <w:pStyle w:val="BodyText"/>
        <w:spacing w:before="11"/>
        <w:rPr>
          <w:sz w:val="23"/>
        </w:rPr>
      </w:pPr>
    </w:p>
    <w:p w14:paraId="6240831F" w14:textId="77777777" w:rsidR="007F424B" w:rsidRDefault="00AB0ACA">
      <w:pPr>
        <w:pStyle w:val="ListParagraph"/>
        <w:numPr>
          <w:ilvl w:val="1"/>
          <w:numId w:val="7"/>
        </w:numPr>
        <w:tabs>
          <w:tab w:val="left" w:pos="1540"/>
          <w:tab w:val="left" w:pos="1541"/>
        </w:tabs>
        <w:ind w:right="951" w:hanging="540"/>
        <w:rPr>
          <w:sz w:val="24"/>
        </w:rPr>
      </w:pPr>
      <w:r>
        <w:rPr>
          <w:sz w:val="24"/>
        </w:rPr>
        <w:t xml:space="preserve">there must be separate correspondent banking arrangements for the ADI and </w:t>
      </w:r>
      <w:proofErr w:type="spellStart"/>
      <w:r>
        <w:rPr>
          <w:sz w:val="24"/>
        </w:rPr>
        <w:t>Authorised</w:t>
      </w:r>
      <w:proofErr w:type="spellEnd"/>
      <w:r>
        <w:rPr>
          <w:sz w:val="24"/>
        </w:rPr>
        <w:t xml:space="preserve"> NOHC, although these may be held with the ADI who may offer to provide banking services to various members of the Non-ADI Group. There must also be separate securit</w:t>
      </w:r>
      <w:r>
        <w:rPr>
          <w:sz w:val="24"/>
        </w:rPr>
        <w:t xml:space="preserve">y clearing accounts and custody arrangements for the ADI and the </w:t>
      </w:r>
      <w:proofErr w:type="spellStart"/>
      <w:r>
        <w:rPr>
          <w:sz w:val="24"/>
        </w:rPr>
        <w:t>Authorised</w:t>
      </w:r>
      <w:proofErr w:type="spellEnd"/>
      <w:r>
        <w:rPr>
          <w:sz w:val="24"/>
        </w:rPr>
        <w:t xml:space="preserve"> NOHC such as with </w:t>
      </w:r>
      <w:proofErr w:type="spellStart"/>
      <w:r>
        <w:rPr>
          <w:sz w:val="24"/>
        </w:rPr>
        <w:t>Austraclear</w:t>
      </w:r>
      <w:proofErr w:type="spellEnd"/>
      <w:r>
        <w:rPr>
          <w:sz w:val="24"/>
        </w:rPr>
        <w:t xml:space="preserve">, </w:t>
      </w:r>
      <w:proofErr w:type="spellStart"/>
      <w:r>
        <w:rPr>
          <w:sz w:val="24"/>
        </w:rPr>
        <w:t>Clearstream</w:t>
      </w:r>
      <w:proofErr w:type="spellEnd"/>
      <w:r>
        <w:rPr>
          <w:sz w:val="24"/>
        </w:rPr>
        <w:t xml:space="preserve"> and</w:t>
      </w:r>
      <w:r>
        <w:rPr>
          <w:spacing w:val="-1"/>
          <w:sz w:val="24"/>
        </w:rPr>
        <w:t xml:space="preserve"> </w:t>
      </w:r>
      <w:r>
        <w:rPr>
          <w:sz w:val="24"/>
        </w:rPr>
        <w:t>Euroclear;</w:t>
      </w:r>
    </w:p>
    <w:p w14:paraId="62408320" w14:textId="77777777" w:rsidR="007F424B" w:rsidRDefault="007F424B">
      <w:pPr>
        <w:pStyle w:val="BodyText"/>
        <w:spacing w:before="1"/>
      </w:pPr>
    </w:p>
    <w:p w14:paraId="62408321" w14:textId="77777777" w:rsidR="007F424B" w:rsidRDefault="00AB0ACA">
      <w:pPr>
        <w:pStyle w:val="ListParagraph"/>
        <w:numPr>
          <w:ilvl w:val="1"/>
          <w:numId w:val="7"/>
        </w:numPr>
        <w:tabs>
          <w:tab w:val="left" w:pos="1541"/>
        </w:tabs>
        <w:ind w:right="1082" w:hanging="540"/>
        <w:jc w:val="both"/>
        <w:rPr>
          <w:sz w:val="24"/>
        </w:rPr>
      </w:pPr>
      <w:r>
        <w:rPr>
          <w:sz w:val="24"/>
        </w:rPr>
        <w:t xml:space="preserve">the ADI, in any role as banker to the </w:t>
      </w:r>
      <w:proofErr w:type="spellStart"/>
      <w:r>
        <w:rPr>
          <w:sz w:val="24"/>
        </w:rPr>
        <w:t>Authorised</w:t>
      </w:r>
      <w:proofErr w:type="spellEnd"/>
      <w:r>
        <w:rPr>
          <w:sz w:val="24"/>
        </w:rPr>
        <w:t xml:space="preserve"> NOHC, must ensure that its processes and systems result in the clear identification and segregation of cash flows to the ultimate beneficiary of transactions;</w:t>
      </w:r>
      <w:r>
        <w:rPr>
          <w:spacing w:val="-16"/>
          <w:sz w:val="24"/>
        </w:rPr>
        <w:t xml:space="preserve"> </w:t>
      </w:r>
      <w:r>
        <w:rPr>
          <w:sz w:val="24"/>
        </w:rPr>
        <w:t>and</w:t>
      </w:r>
    </w:p>
    <w:p w14:paraId="62408322" w14:textId="77777777" w:rsidR="007F424B" w:rsidRDefault="007F424B">
      <w:pPr>
        <w:pStyle w:val="BodyText"/>
        <w:spacing w:before="1"/>
      </w:pPr>
    </w:p>
    <w:p w14:paraId="62408323" w14:textId="77777777" w:rsidR="007F424B" w:rsidRDefault="00AB0ACA">
      <w:pPr>
        <w:pStyle w:val="ListParagraph"/>
        <w:numPr>
          <w:ilvl w:val="1"/>
          <w:numId w:val="7"/>
        </w:numPr>
        <w:tabs>
          <w:tab w:val="left" w:pos="1540"/>
          <w:tab w:val="left" w:pos="1541"/>
        </w:tabs>
        <w:spacing w:before="1"/>
        <w:ind w:right="1069" w:hanging="540"/>
        <w:rPr>
          <w:sz w:val="24"/>
        </w:rPr>
      </w:pPr>
      <w:r>
        <w:rPr>
          <w:sz w:val="24"/>
        </w:rPr>
        <w:t xml:space="preserve">the ADI Group’s funding, measured at level 1 and 2, from the </w:t>
      </w:r>
      <w:proofErr w:type="spellStart"/>
      <w:r>
        <w:rPr>
          <w:sz w:val="24"/>
        </w:rPr>
        <w:t>Authorised</w:t>
      </w:r>
      <w:proofErr w:type="spellEnd"/>
      <w:r>
        <w:rPr>
          <w:sz w:val="24"/>
        </w:rPr>
        <w:t xml:space="preserve"> NOHC must not exceed 8.0% of total ADI Group funding subject to APRA approved adjustments. For the avoidance of doubt, netting is not permitted within the</w:t>
      </w:r>
      <w:r>
        <w:rPr>
          <w:spacing w:val="-3"/>
          <w:sz w:val="24"/>
        </w:rPr>
        <w:t xml:space="preserve"> </w:t>
      </w:r>
      <w:r>
        <w:rPr>
          <w:sz w:val="24"/>
        </w:rPr>
        <w:t>calculation.</w:t>
      </w:r>
    </w:p>
    <w:p w14:paraId="62408324" w14:textId="77777777" w:rsidR="007F424B" w:rsidRDefault="007F424B">
      <w:pPr>
        <w:pStyle w:val="BodyText"/>
        <w:spacing w:before="9"/>
        <w:rPr>
          <w:sz w:val="21"/>
        </w:rPr>
      </w:pPr>
    </w:p>
    <w:p w14:paraId="62408325" w14:textId="77777777" w:rsidR="007F424B" w:rsidRDefault="00AB0ACA">
      <w:pPr>
        <w:pStyle w:val="ListParagraph"/>
        <w:numPr>
          <w:ilvl w:val="0"/>
          <w:numId w:val="7"/>
        </w:numPr>
        <w:tabs>
          <w:tab w:val="left" w:pos="1000"/>
          <w:tab w:val="left" w:pos="1001"/>
        </w:tabs>
        <w:spacing w:before="1"/>
        <w:ind w:right="1067"/>
        <w:jc w:val="left"/>
        <w:rPr>
          <w:sz w:val="24"/>
        </w:rPr>
      </w:pPr>
      <w:r>
        <w:rPr>
          <w:sz w:val="24"/>
        </w:rPr>
        <w:t>Any overseas ba</w:t>
      </w:r>
      <w:r>
        <w:rPr>
          <w:sz w:val="24"/>
        </w:rPr>
        <w:t>nking subsidiary that the Macquarie Group establishes must</w:t>
      </w:r>
      <w:r>
        <w:rPr>
          <w:spacing w:val="-31"/>
          <w:sz w:val="24"/>
        </w:rPr>
        <w:t xml:space="preserve"> </w:t>
      </w:r>
      <w:r>
        <w:rPr>
          <w:sz w:val="24"/>
        </w:rPr>
        <w:t>be wholly-owned, directly or indirectly, by the ADI NOHC unless otherwise approved by APRA in</w:t>
      </w:r>
      <w:r>
        <w:rPr>
          <w:spacing w:val="-5"/>
          <w:sz w:val="24"/>
        </w:rPr>
        <w:t xml:space="preserve"> </w:t>
      </w:r>
      <w:r>
        <w:rPr>
          <w:sz w:val="24"/>
        </w:rPr>
        <w:t>writing.</w:t>
      </w:r>
    </w:p>
    <w:p w14:paraId="62408326" w14:textId="77777777" w:rsidR="007F424B" w:rsidRDefault="007F424B">
      <w:pPr>
        <w:rPr>
          <w:sz w:val="24"/>
        </w:rPr>
        <w:sectPr w:rsidR="007F424B">
          <w:pgSz w:w="11910" w:h="16840"/>
          <w:pgMar w:top="1340" w:right="880" w:bottom="1120" w:left="1340" w:header="0" w:footer="928" w:gutter="0"/>
          <w:cols w:space="720"/>
        </w:sectPr>
      </w:pPr>
    </w:p>
    <w:p w14:paraId="62408327" w14:textId="77777777" w:rsidR="007F424B" w:rsidRDefault="00AB0ACA">
      <w:pPr>
        <w:pStyle w:val="Heading1"/>
      </w:pPr>
      <w:r>
        <w:lastRenderedPageBreak/>
        <w:t>Reporting</w:t>
      </w:r>
    </w:p>
    <w:p w14:paraId="62408328" w14:textId="77777777" w:rsidR="007F424B" w:rsidRDefault="007F424B">
      <w:pPr>
        <w:pStyle w:val="BodyText"/>
        <w:spacing w:before="8"/>
        <w:rPr>
          <w:rFonts w:ascii="Arial"/>
          <w:b/>
          <w:sz w:val="23"/>
        </w:rPr>
      </w:pPr>
    </w:p>
    <w:p w14:paraId="62408329" w14:textId="77777777" w:rsidR="007F424B" w:rsidRDefault="00AB0ACA">
      <w:pPr>
        <w:pStyle w:val="ListParagraph"/>
        <w:numPr>
          <w:ilvl w:val="0"/>
          <w:numId w:val="7"/>
        </w:numPr>
        <w:tabs>
          <w:tab w:val="left" w:pos="640"/>
          <w:tab w:val="left" w:pos="641"/>
        </w:tabs>
        <w:ind w:left="640" w:right="709"/>
        <w:jc w:val="left"/>
        <w:rPr>
          <w:sz w:val="24"/>
        </w:rPr>
      </w:pPr>
      <w:r>
        <w:rPr>
          <w:sz w:val="24"/>
        </w:rPr>
        <w:t xml:space="preserve">The </w:t>
      </w:r>
      <w:proofErr w:type="spellStart"/>
      <w:r>
        <w:rPr>
          <w:sz w:val="24"/>
        </w:rPr>
        <w:t>Authorised</w:t>
      </w:r>
      <w:proofErr w:type="spellEnd"/>
      <w:r>
        <w:rPr>
          <w:sz w:val="24"/>
        </w:rPr>
        <w:t xml:space="preserve"> NOHC must provide APRA with quarterly reporting, i</w:t>
      </w:r>
      <w:r>
        <w:rPr>
          <w:sz w:val="24"/>
        </w:rPr>
        <w:t>n a form acceptable to APRA, of its Level 3 MCR and eligible capital. Each report must be provided within 20 business days of the end of the quarter to which it relates, or within such further time as APRA may approve in</w:t>
      </w:r>
      <w:r>
        <w:rPr>
          <w:spacing w:val="-11"/>
          <w:sz w:val="24"/>
        </w:rPr>
        <w:t xml:space="preserve"> </w:t>
      </w:r>
      <w:r>
        <w:rPr>
          <w:sz w:val="24"/>
        </w:rPr>
        <w:t>writing.</w:t>
      </w:r>
    </w:p>
    <w:p w14:paraId="6240832A" w14:textId="77777777" w:rsidR="007F424B" w:rsidRDefault="007F424B">
      <w:pPr>
        <w:pStyle w:val="BodyText"/>
      </w:pPr>
    </w:p>
    <w:p w14:paraId="6240832B" w14:textId="77777777" w:rsidR="007F424B" w:rsidRDefault="00AB0ACA">
      <w:pPr>
        <w:pStyle w:val="ListParagraph"/>
        <w:numPr>
          <w:ilvl w:val="0"/>
          <w:numId w:val="7"/>
        </w:numPr>
        <w:tabs>
          <w:tab w:val="left" w:pos="640"/>
          <w:tab w:val="left" w:pos="641"/>
        </w:tabs>
        <w:ind w:left="640" w:right="730"/>
        <w:jc w:val="left"/>
        <w:rPr>
          <w:sz w:val="24"/>
        </w:rPr>
      </w:pPr>
      <w:r>
        <w:rPr>
          <w:sz w:val="24"/>
        </w:rPr>
        <w:t xml:space="preserve">Approval by the Board of </w:t>
      </w:r>
      <w:r>
        <w:rPr>
          <w:sz w:val="24"/>
        </w:rPr>
        <w:t xml:space="preserve">the </w:t>
      </w:r>
      <w:proofErr w:type="spellStart"/>
      <w:r>
        <w:rPr>
          <w:sz w:val="24"/>
        </w:rPr>
        <w:t>Authorised</w:t>
      </w:r>
      <w:proofErr w:type="spellEnd"/>
      <w:r>
        <w:rPr>
          <w:sz w:val="24"/>
        </w:rPr>
        <w:t xml:space="preserve"> NOHC will be sought for any significant changes to the ECM assumptions or methodology. Any such changes and the effect</w:t>
      </w:r>
      <w:r>
        <w:rPr>
          <w:spacing w:val="-26"/>
          <w:sz w:val="24"/>
        </w:rPr>
        <w:t xml:space="preserve"> </w:t>
      </w:r>
      <w:r>
        <w:rPr>
          <w:sz w:val="24"/>
        </w:rPr>
        <w:t xml:space="preserve">on the Level 3 MCR must be provided to APRA within 14 days of the </w:t>
      </w:r>
      <w:proofErr w:type="spellStart"/>
      <w:r>
        <w:rPr>
          <w:sz w:val="24"/>
        </w:rPr>
        <w:t>Authorised</w:t>
      </w:r>
      <w:proofErr w:type="spellEnd"/>
      <w:r>
        <w:rPr>
          <w:sz w:val="24"/>
        </w:rPr>
        <w:t xml:space="preserve"> NOHC Board’s</w:t>
      </w:r>
      <w:r>
        <w:rPr>
          <w:spacing w:val="-1"/>
          <w:sz w:val="24"/>
        </w:rPr>
        <w:t xml:space="preserve"> </w:t>
      </w:r>
      <w:r>
        <w:rPr>
          <w:sz w:val="24"/>
        </w:rPr>
        <w:t>approvals.</w:t>
      </w:r>
    </w:p>
    <w:p w14:paraId="6240832C" w14:textId="77777777" w:rsidR="007F424B" w:rsidRDefault="007F424B">
      <w:pPr>
        <w:pStyle w:val="BodyText"/>
      </w:pPr>
    </w:p>
    <w:p w14:paraId="6240832D" w14:textId="77777777" w:rsidR="007F424B" w:rsidRDefault="00AB0ACA">
      <w:pPr>
        <w:pStyle w:val="ListParagraph"/>
        <w:numPr>
          <w:ilvl w:val="0"/>
          <w:numId w:val="7"/>
        </w:numPr>
        <w:tabs>
          <w:tab w:val="left" w:pos="640"/>
          <w:tab w:val="left" w:pos="641"/>
        </w:tabs>
        <w:ind w:left="640" w:right="1429"/>
        <w:jc w:val="left"/>
        <w:rPr>
          <w:sz w:val="24"/>
        </w:rPr>
      </w:pPr>
      <w:r>
        <w:rPr>
          <w:sz w:val="24"/>
        </w:rPr>
        <w:t>The Macquarie Group must also report to APRA on a quarterly basis, in a form acceptable to APRA,</w:t>
      </w:r>
      <w:r>
        <w:rPr>
          <w:spacing w:val="-1"/>
          <w:sz w:val="24"/>
        </w:rPr>
        <w:t xml:space="preserve"> </w:t>
      </w:r>
      <w:r>
        <w:rPr>
          <w:sz w:val="24"/>
        </w:rPr>
        <w:t>on:</w:t>
      </w:r>
    </w:p>
    <w:p w14:paraId="6240832E" w14:textId="77777777" w:rsidR="007F424B" w:rsidRDefault="007F424B">
      <w:pPr>
        <w:pStyle w:val="BodyText"/>
      </w:pPr>
    </w:p>
    <w:p w14:paraId="6240832F" w14:textId="77777777" w:rsidR="007F424B" w:rsidRDefault="00AB0ACA">
      <w:pPr>
        <w:pStyle w:val="ListParagraph"/>
        <w:numPr>
          <w:ilvl w:val="1"/>
          <w:numId w:val="7"/>
        </w:numPr>
        <w:tabs>
          <w:tab w:val="left" w:pos="1180"/>
          <w:tab w:val="left" w:pos="1181"/>
        </w:tabs>
        <w:ind w:left="1180" w:hanging="541"/>
        <w:rPr>
          <w:sz w:val="24"/>
        </w:rPr>
      </w:pPr>
      <w:r>
        <w:rPr>
          <w:sz w:val="24"/>
        </w:rPr>
        <w:t>the liquidity position of the Macquarie</w:t>
      </w:r>
      <w:r>
        <w:rPr>
          <w:spacing w:val="-10"/>
          <w:sz w:val="24"/>
        </w:rPr>
        <w:t xml:space="preserve"> </w:t>
      </w:r>
      <w:r>
        <w:rPr>
          <w:sz w:val="24"/>
        </w:rPr>
        <w:t>Group;</w:t>
      </w:r>
    </w:p>
    <w:p w14:paraId="62408330" w14:textId="77777777" w:rsidR="007F424B" w:rsidRDefault="007F424B">
      <w:pPr>
        <w:pStyle w:val="BodyText"/>
      </w:pPr>
    </w:p>
    <w:p w14:paraId="62408331" w14:textId="77777777" w:rsidR="007F424B" w:rsidRDefault="00AB0ACA">
      <w:pPr>
        <w:pStyle w:val="ListParagraph"/>
        <w:numPr>
          <w:ilvl w:val="1"/>
          <w:numId w:val="7"/>
        </w:numPr>
        <w:tabs>
          <w:tab w:val="left" w:pos="1180"/>
          <w:tab w:val="left" w:pos="1181"/>
        </w:tabs>
        <w:spacing w:before="1"/>
        <w:ind w:left="1180" w:right="609" w:hanging="540"/>
        <w:rPr>
          <w:sz w:val="24"/>
        </w:rPr>
      </w:pPr>
      <w:r>
        <w:rPr>
          <w:sz w:val="24"/>
        </w:rPr>
        <w:t xml:space="preserve">intra-group exposures between the </w:t>
      </w:r>
      <w:proofErr w:type="spellStart"/>
      <w:r>
        <w:rPr>
          <w:sz w:val="24"/>
        </w:rPr>
        <w:t>Authorised</w:t>
      </w:r>
      <w:proofErr w:type="spellEnd"/>
      <w:r>
        <w:rPr>
          <w:sz w:val="24"/>
        </w:rPr>
        <w:t xml:space="preserve"> NOHC and other Macquarie Group members;</w:t>
      </w:r>
    </w:p>
    <w:p w14:paraId="62408332" w14:textId="77777777" w:rsidR="007F424B" w:rsidRDefault="007F424B">
      <w:pPr>
        <w:pStyle w:val="BodyText"/>
        <w:spacing w:before="10"/>
        <w:rPr>
          <w:sz w:val="23"/>
        </w:rPr>
      </w:pPr>
    </w:p>
    <w:p w14:paraId="62408333" w14:textId="77777777" w:rsidR="007F424B" w:rsidRDefault="00AB0ACA">
      <w:pPr>
        <w:pStyle w:val="ListParagraph"/>
        <w:numPr>
          <w:ilvl w:val="1"/>
          <w:numId w:val="7"/>
        </w:numPr>
        <w:tabs>
          <w:tab w:val="left" w:pos="1180"/>
          <w:tab w:val="left" w:pos="1181"/>
        </w:tabs>
        <w:spacing w:before="1"/>
        <w:ind w:left="1180" w:right="1349" w:hanging="540"/>
        <w:rPr>
          <w:sz w:val="24"/>
        </w:rPr>
      </w:pPr>
      <w:r>
        <w:rPr>
          <w:sz w:val="24"/>
        </w:rPr>
        <w:t>large exposures of t</w:t>
      </w:r>
      <w:r>
        <w:rPr>
          <w:sz w:val="24"/>
        </w:rPr>
        <w:t xml:space="preserve">he Macquarie Group, based on its own large </w:t>
      </w:r>
      <w:proofErr w:type="gramStart"/>
      <w:r>
        <w:rPr>
          <w:sz w:val="24"/>
        </w:rPr>
        <w:t>exposures</w:t>
      </w:r>
      <w:proofErr w:type="gramEnd"/>
      <w:r>
        <w:rPr>
          <w:sz w:val="24"/>
        </w:rPr>
        <w:t xml:space="preserve"> framework;</w:t>
      </w:r>
      <w:r>
        <w:rPr>
          <w:spacing w:val="-1"/>
          <w:sz w:val="24"/>
        </w:rPr>
        <w:t xml:space="preserve"> </w:t>
      </w:r>
      <w:r>
        <w:rPr>
          <w:sz w:val="24"/>
        </w:rPr>
        <w:t>and</w:t>
      </w:r>
    </w:p>
    <w:p w14:paraId="62408334" w14:textId="77777777" w:rsidR="007F424B" w:rsidRDefault="007F424B">
      <w:pPr>
        <w:pStyle w:val="BodyText"/>
        <w:spacing w:before="1"/>
      </w:pPr>
    </w:p>
    <w:p w14:paraId="62408335" w14:textId="77777777" w:rsidR="007F424B" w:rsidRDefault="00AB0ACA">
      <w:pPr>
        <w:pStyle w:val="ListParagraph"/>
        <w:numPr>
          <w:ilvl w:val="1"/>
          <w:numId w:val="7"/>
        </w:numPr>
        <w:tabs>
          <w:tab w:val="left" w:pos="1180"/>
          <w:tab w:val="left" w:pos="1181"/>
        </w:tabs>
        <w:spacing w:before="1"/>
        <w:ind w:left="1180" w:right="1010" w:hanging="540"/>
        <w:rPr>
          <w:sz w:val="24"/>
        </w:rPr>
      </w:pPr>
      <w:r>
        <w:rPr>
          <w:sz w:val="24"/>
        </w:rPr>
        <w:t xml:space="preserve">the balance sheet of the </w:t>
      </w:r>
      <w:proofErr w:type="spellStart"/>
      <w:r>
        <w:rPr>
          <w:sz w:val="24"/>
        </w:rPr>
        <w:t>Authorised</w:t>
      </w:r>
      <w:proofErr w:type="spellEnd"/>
      <w:r>
        <w:rPr>
          <w:sz w:val="24"/>
        </w:rPr>
        <w:t xml:space="preserve"> NOHC and of the consolidated Macquarie Group.</w:t>
      </w:r>
    </w:p>
    <w:p w14:paraId="62408336" w14:textId="77777777" w:rsidR="007F424B" w:rsidRDefault="007F424B">
      <w:pPr>
        <w:pStyle w:val="BodyText"/>
      </w:pPr>
    </w:p>
    <w:p w14:paraId="62408337" w14:textId="77777777" w:rsidR="007F424B" w:rsidRDefault="00AB0ACA">
      <w:pPr>
        <w:pStyle w:val="BodyText"/>
        <w:ind w:left="640" w:right="485"/>
      </w:pPr>
      <w:r>
        <w:t>Each report must be provided within 20 business days of the end of the quarter to which it relates, or w</w:t>
      </w:r>
      <w:r>
        <w:t>ithin such further time as APRA may approve in writing.</w:t>
      </w:r>
    </w:p>
    <w:p w14:paraId="62408338" w14:textId="77777777" w:rsidR="007F424B" w:rsidRDefault="007F424B">
      <w:pPr>
        <w:pStyle w:val="BodyText"/>
        <w:spacing w:before="11"/>
        <w:rPr>
          <w:sz w:val="23"/>
        </w:rPr>
      </w:pPr>
    </w:p>
    <w:p w14:paraId="62408339" w14:textId="77777777" w:rsidR="007F424B" w:rsidRDefault="00AB0ACA">
      <w:pPr>
        <w:pStyle w:val="ListParagraph"/>
        <w:numPr>
          <w:ilvl w:val="0"/>
          <w:numId w:val="7"/>
        </w:numPr>
        <w:tabs>
          <w:tab w:val="left" w:pos="640"/>
          <w:tab w:val="left" w:pos="641"/>
        </w:tabs>
        <w:ind w:left="640" w:right="595"/>
        <w:jc w:val="left"/>
        <w:rPr>
          <w:sz w:val="24"/>
        </w:rPr>
      </w:pPr>
      <w:r>
        <w:rPr>
          <w:sz w:val="24"/>
        </w:rPr>
        <w:t xml:space="preserve">The CEO of the </w:t>
      </w:r>
      <w:proofErr w:type="spellStart"/>
      <w:r>
        <w:rPr>
          <w:sz w:val="24"/>
        </w:rPr>
        <w:t>Authorised</w:t>
      </w:r>
      <w:proofErr w:type="spellEnd"/>
      <w:r>
        <w:rPr>
          <w:sz w:val="24"/>
        </w:rPr>
        <w:t xml:space="preserve"> NOHC must provide APRA with an attestation no later than 3 months after the end of each financial year of the </w:t>
      </w:r>
      <w:proofErr w:type="spellStart"/>
      <w:r>
        <w:rPr>
          <w:sz w:val="24"/>
        </w:rPr>
        <w:t>Authorised</w:t>
      </w:r>
      <w:proofErr w:type="spellEnd"/>
      <w:r>
        <w:rPr>
          <w:sz w:val="24"/>
        </w:rPr>
        <w:t xml:space="preserve"> NOHC that the requirements of these conditions in relation to the amount and quality of capital have been com</w:t>
      </w:r>
      <w:r>
        <w:rPr>
          <w:sz w:val="24"/>
        </w:rPr>
        <w:t>plied with at all times during the financial year to which the attestation</w:t>
      </w:r>
      <w:r>
        <w:rPr>
          <w:spacing w:val="-38"/>
          <w:sz w:val="24"/>
        </w:rPr>
        <w:t xml:space="preserve"> </w:t>
      </w:r>
      <w:r>
        <w:rPr>
          <w:sz w:val="24"/>
        </w:rPr>
        <w:t xml:space="preserve">relates. At the same time, the </w:t>
      </w:r>
      <w:proofErr w:type="spellStart"/>
      <w:r>
        <w:rPr>
          <w:sz w:val="24"/>
        </w:rPr>
        <w:t>Authorised</w:t>
      </w:r>
      <w:proofErr w:type="spellEnd"/>
      <w:r>
        <w:rPr>
          <w:sz w:val="24"/>
        </w:rPr>
        <w:t xml:space="preserve"> NOHC’s external auditor must provide APRA with a written opinion as</w:t>
      </w:r>
      <w:r>
        <w:rPr>
          <w:spacing w:val="-2"/>
          <w:sz w:val="24"/>
        </w:rPr>
        <w:t xml:space="preserve"> </w:t>
      </w:r>
      <w:r>
        <w:rPr>
          <w:sz w:val="24"/>
        </w:rPr>
        <w:t>to:</w:t>
      </w:r>
    </w:p>
    <w:p w14:paraId="6240833A" w14:textId="77777777" w:rsidR="007F424B" w:rsidRDefault="007F424B">
      <w:pPr>
        <w:pStyle w:val="BodyText"/>
      </w:pPr>
    </w:p>
    <w:p w14:paraId="6240833B" w14:textId="77777777" w:rsidR="007F424B" w:rsidRDefault="00AB0ACA">
      <w:pPr>
        <w:pStyle w:val="ListParagraph"/>
        <w:numPr>
          <w:ilvl w:val="1"/>
          <w:numId w:val="7"/>
        </w:numPr>
        <w:tabs>
          <w:tab w:val="left" w:pos="1180"/>
          <w:tab w:val="left" w:pos="1181"/>
        </w:tabs>
        <w:spacing w:before="1"/>
        <w:ind w:left="1180" w:hanging="541"/>
        <w:rPr>
          <w:sz w:val="24"/>
        </w:rPr>
      </w:pPr>
      <w:r>
        <w:rPr>
          <w:sz w:val="24"/>
        </w:rPr>
        <w:t>whether the approved capital methodology has been applied at all t</w:t>
      </w:r>
      <w:r>
        <w:rPr>
          <w:sz w:val="24"/>
        </w:rPr>
        <w:t>imes;</w:t>
      </w:r>
      <w:r>
        <w:rPr>
          <w:spacing w:val="-19"/>
          <w:sz w:val="24"/>
        </w:rPr>
        <w:t xml:space="preserve"> </w:t>
      </w:r>
      <w:r>
        <w:rPr>
          <w:sz w:val="24"/>
        </w:rPr>
        <w:t>and</w:t>
      </w:r>
    </w:p>
    <w:p w14:paraId="6240833C" w14:textId="77777777" w:rsidR="007F424B" w:rsidRDefault="007F424B">
      <w:pPr>
        <w:pStyle w:val="BodyText"/>
        <w:spacing w:before="9"/>
        <w:rPr>
          <w:sz w:val="23"/>
        </w:rPr>
      </w:pPr>
    </w:p>
    <w:p w14:paraId="6240833D" w14:textId="77777777" w:rsidR="007F424B" w:rsidRDefault="00AB0ACA">
      <w:pPr>
        <w:pStyle w:val="ListParagraph"/>
        <w:numPr>
          <w:ilvl w:val="1"/>
          <w:numId w:val="7"/>
        </w:numPr>
        <w:tabs>
          <w:tab w:val="left" w:pos="1180"/>
          <w:tab w:val="left" w:pos="1181"/>
        </w:tabs>
        <w:spacing w:before="1"/>
        <w:ind w:left="1180" w:hanging="541"/>
        <w:rPr>
          <w:sz w:val="24"/>
        </w:rPr>
      </w:pPr>
      <w:r>
        <w:rPr>
          <w:sz w:val="24"/>
        </w:rPr>
        <w:t>the reliability of the quarterly</w:t>
      </w:r>
      <w:r>
        <w:rPr>
          <w:spacing w:val="-16"/>
          <w:sz w:val="24"/>
        </w:rPr>
        <w:t xml:space="preserve"> </w:t>
      </w:r>
      <w:r>
        <w:rPr>
          <w:sz w:val="24"/>
        </w:rPr>
        <w:t>reporting.</w:t>
      </w:r>
    </w:p>
    <w:p w14:paraId="6240833E" w14:textId="77777777" w:rsidR="007F424B" w:rsidRDefault="007F424B">
      <w:pPr>
        <w:rPr>
          <w:sz w:val="24"/>
        </w:rPr>
        <w:sectPr w:rsidR="007F424B">
          <w:footerReference w:type="default" r:id="rId15"/>
          <w:pgSz w:w="11910" w:h="16840"/>
          <w:pgMar w:top="1580" w:right="880" w:bottom="280" w:left="1340" w:header="0" w:footer="0" w:gutter="0"/>
          <w:cols w:space="720"/>
        </w:sectPr>
      </w:pPr>
    </w:p>
    <w:p w14:paraId="6240833F" w14:textId="77777777" w:rsidR="007F424B" w:rsidRDefault="00AB0ACA">
      <w:pPr>
        <w:pStyle w:val="Heading1"/>
      </w:pPr>
      <w:r>
        <w:lastRenderedPageBreak/>
        <w:t>Operation</w:t>
      </w:r>
    </w:p>
    <w:p w14:paraId="62408340" w14:textId="77777777" w:rsidR="007F424B" w:rsidRDefault="007F424B">
      <w:pPr>
        <w:pStyle w:val="BodyText"/>
        <w:spacing w:before="8"/>
        <w:rPr>
          <w:rFonts w:ascii="Arial"/>
          <w:b/>
          <w:sz w:val="23"/>
        </w:rPr>
      </w:pPr>
    </w:p>
    <w:p w14:paraId="62408341" w14:textId="77777777" w:rsidR="007F424B" w:rsidRDefault="00AB0ACA">
      <w:pPr>
        <w:pStyle w:val="ListParagraph"/>
        <w:numPr>
          <w:ilvl w:val="0"/>
          <w:numId w:val="7"/>
        </w:numPr>
        <w:tabs>
          <w:tab w:val="left" w:pos="641"/>
        </w:tabs>
        <w:ind w:left="640" w:right="1102"/>
        <w:jc w:val="both"/>
        <w:rPr>
          <w:sz w:val="24"/>
        </w:rPr>
      </w:pPr>
      <w:r>
        <w:rPr>
          <w:sz w:val="24"/>
        </w:rPr>
        <w:t xml:space="preserve">These conditions take effect from the day on which the ADI becomes a subsidiary (within the meaning of section 46 of the </w:t>
      </w:r>
      <w:r>
        <w:rPr>
          <w:i/>
          <w:sz w:val="24"/>
        </w:rPr>
        <w:t>Corporations Act 2001</w:t>
      </w:r>
      <w:r>
        <w:rPr>
          <w:sz w:val="24"/>
        </w:rPr>
        <w:t xml:space="preserve">) of the </w:t>
      </w:r>
      <w:proofErr w:type="spellStart"/>
      <w:r>
        <w:rPr>
          <w:sz w:val="24"/>
        </w:rPr>
        <w:t>Authorised</w:t>
      </w:r>
      <w:proofErr w:type="spellEnd"/>
      <w:r>
        <w:rPr>
          <w:sz w:val="24"/>
        </w:rPr>
        <w:t xml:space="preserve"> NOHC.</w:t>
      </w:r>
    </w:p>
    <w:p w14:paraId="62408342" w14:textId="77777777" w:rsidR="007F424B" w:rsidRDefault="007F424B">
      <w:pPr>
        <w:jc w:val="both"/>
        <w:rPr>
          <w:sz w:val="24"/>
        </w:rPr>
        <w:sectPr w:rsidR="007F424B">
          <w:footerReference w:type="default" r:id="rId16"/>
          <w:pgSz w:w="11910" w:h="16840"/>
          <w:pgMar w:top="1580" w:right="880" w:bottom="900" w:left="1340" w:header="0" w:footer="710" w:gutter="0"/>
          <w:pgNumType w:start="11"/>
          <w:cols w:space="720"/>
        </w:sectPr>
      </w:pPr>
    </w:p>
    <w:p w14:paraId="62408343" w14:textId="77777777" w:rsidR="007F424B" w:rsidRDefault="00AB0ACA">
      <w:pPr>
        <w:pStyle w:val="Heading1"/>
        <w:jc w:val="both"/>
      </w:pPr>
      <w:r>
        <w:lastRenderedPageBreak/>
        <w:t>Annexure 1</w:t>
      </w:r>
    </w:p>
    <w:p w14:paraId="62408344" w14:textId="77777777" w:rsidR="007F424B" w:rsidRDefault="007F424B">
      <w:pPr>
        <w:pStyle w:val="BodyText"/>
        <w:spacing w:before="8"/>
        <w:rPr>
          <w:rFonts w:ascii="Arial"/>
          <w:b/>
          <w:sz w:val="23"/>
        </w:rPr>
      </w:pPr>
    </w:p>
    <w:p w14:paraId="62408345" w14:textId="77777777" w:rsidR="007F424B" w:rsidRDefault="00AB0ACA">
      <w:pPr>
        <w:pStyle w:val="BodyText"/>
        <w:ind w:left="100"/>
        <w:jc w:val="both"/>
      </w:pPr>
      <w:r>
        <w:t>The essential elements of the ECM Agreement are as follows:</w:t>
      </w:r>
    </w:p>
    <w:p w14:paraId="62408346" w14:textId="77777777" w:rsidR="007F424B" w:rsidRDefault="007F424B">
      <w:pPr>
        <w:pStyle w:val="BodyText"/>
      </w:pPr>
    </w:p>
    <w:p w14:paraId="62408347" w14:textId="77777777" w:rsidR="007F424B" w:rsidRDefault="00AB0ACA">
      <w:pPr>
        <w:pStyle w:val="BodyText"/>
        <w:ind w:left="100" w:right="565"/>
        <w:jc w:val="both"/>
      </w:pPr>
      <w:r>
        <w:t>The ECM calculates a measure the Macquarie Group (Macquarie) calls “economic risk” for use in capital adequacy assessment. This is the amount of capital and earnings required to protect Macquarie against insolvency to a standard commensurate with its credi</w:t>
      </w:r>
      <w:r>
        <w:t>t rating, and is calculated for each material component of risk faced by Macquarie.</w:t>
      </w:r>
    </w:p>
    <w:p w14:paraId="62408348" w14:textId="77777777" w:rsidR="007F424B" w:rsidRDefault="007F424B">
      <w:pPr>
        <w:pStyle w:val="BodyText"/>
      </w:pPr>
    </w:p>
    <w:p w14:paraId="62408349" w14:textId="77777777" w:rsidR="007F424B" w:rsidRDefault="00AB0ACA">
      <w:pPr>
        <w:pStyle w:val="BodyText"/>
        <w:ind w:left="100"/>
        <w:jc w:val="both"/>
      </w:pPr>
      <w:r>
        <w:t>The components that are relevant to the Non-ADI Group are:</w:t>
      </w:r>
    </w:p>
    <w:p w14:paraId="6240834A" w14:textId="77777777" w:rsidR="007F424B" w:rsidRDefault="007F424B">
      <w:pPr>
        <w:pStyle w:val="BodyText"/>
        <w:spacing w:before="1"/>
      </w:pPr>
    </w:p>
    <w:p w14:paraId="6240834B" w14:textId="77777777" w:rsidR="007F424B" w:rsidRDefault="00AB0ACA">
      <w:pPr>
        <w:pStyle w:val="ListParagraph"/>
        <w:numPr>
          <w:ilvl w:val="0"/>
          <w:numId w:val="2"/>
        </w:numPr>
        <w:tabs>
          <w:tab w:val="left" w:pos="460"/>
          <w:tab w:val="left" w:pos="461"/>
        </w:tabs>
        <w:spacing w:line="294" w:lineRule="exact"/>
        <w:ind w:left="460" w:hanging="361"/>
        <w:rPr>
          <w:sz w:val="24"/>
        </w:rPr>
      </w:pPr>
      <w:r>
        <w:rPr>
          <w:sz w:val="24"/>
        </w:rPr>
        <w:t>equity</w:t>
      </w:r>
      <w:r>
        <w:rPr>
          <w:spacing w:val="-6"/>
          <w:sz w:val="24"/>
        </w:rPr>
        <w:t xml:space="preserve"> </w:t>
      </w:r>
      <w:r>
        <w:rPr>
          <w:sz w:val="24"/>
        </w:rPr>
        <w:t>risk;</w:t>
      </w:r>
    </w:p>
    <w:p w14:paraId="6240834C" w14:textId="77777777" w:rsidR="007F424B" w:rsidRDefault="00AB0ACA">
      <w:pPr>
        <w:pStyle w:val="ListParagraph"/>
        <w:numPr>
          <w:ilvl w:val="0"/>
          <w:numId w:val="2"/>
        </w:numPr>
        <w:tabs>
          <w:tab w:val="left" w:pos="460"/>
          <w:tab w:val="left" w:pos="461"/>
        </w:tabs>
        <w:spacing w:line="293" w:lineRule="exact"/>
        <w:ind w:left="460" w:hanging="361"/>
        <w:rPr>
          <w:sz w:val="24"/>
        </w:rPr>
      </w:pPr>
      <w:r>
        <w:rPr>
          <w:sz w:val="24"/>
        </w:rPr>
        <w:t>credit</w:t>
      </w:r>
      <w:r>
        <w:rPr>
          <w:spacing w:val="-1"/>
          <w:sz w:val="24"/>
        </w:rPr>
        <w:t xml:space="preserve"> </w:t>
      </w:r>
      <w:r>
        <w:rPr>
          <w:sz w:val="24"/>
        </w:rPr>
        <w:t>risk;</w:t>
      </w:r>
    </w:p>
    <w:p w14:paraId="6240834D" w14:textId="77777777" w:rsidR="007F424B" w:rsidRDefault="00AB0ACA">
      <w:pPr>
        <w:pStyle w:val="ListParagraph"/>
        <w:numPr>
          <w:ilvl w:val="0"/>
          <w:numId w:val="2"/>
        </w:numPr>
        <w:tabs>
          <w:tab w:val="left" w:pos="460"/>
          <w:tab w:val="left" w:pos="461"/>
        </w:tabs>
        <w:spacing w:line="293" w:lineRule="exact"/>
        <w:ind w:left="460" w:hanging="361"/>
        <w:rPr>
          <w:sz w:val="24"/>
        </w:rPr>
      </w:pPr>
      <w:r>
        <w:rPr>
          <w:sz w:val="24"/>
        </w:rPr>
        <w:t>operational</w:t>
      </w:r>
      <w:r>
        <w:rPr>
          <w:spacing w:val="-1"/>
          <w:sz w:val="24"/>
        </w:rPr>
        <w:t xml:space="preserve"> </w:t>
      </w:r>
      <w:r>
        <w:rPr>
          <w:sz w:val="24"/>
        </w:rPr>
        <w:t>risk;</w:t>
      </w:r>
    </w:p>
    <w:p w14:paraId="6240834E" w14:textId="77777777" w:rsidR="007F424B" w:rsidRDefault="00AB0ACA">
      <w:pPr>
        <w:pStyle w:val="ListParagraph"/>
        <w:numPr>
          <w:ilvl w:val="0"/>
          <w:numId w:val="2"/>
        </w:numPr>
        <w:tabs>
          <w:tab w:val="left" w:pos="460"/>
          <w:tab w:val="left" w:pos="461"/>
        </w:tabs>
        <w:spacing w:before="1" w:line="293" w:lineRule="exact"/>
        <w:ind w:left="460" w:hanging="361"/>
        <w:rPr>
          <w:sz w:val="24"/>
        </w:rPr>
      </w:pPr>
      <w:r>
        <w:rPr>
          <w:sz w:val="24"/>
        </w:rPr>
        <w:t>market</w:t>
      </w:r>
      <w:r>
        <w:rPr>
          <w:spacing w:val="-1"/>
          <w:sz w:val="24"/>
        </w:rPr>
        <w:t xml:space="preserve"> </w:t>
      </w:r>
      <w:r>
        <w:rPr>
          <w:sz w:val="24"/>
        </w:rPr>
        <w:t>risk;</w:t>
      </w:r>
    </w:p>
    <w:p w14:paraId="6240834F" w14:textId="77777777" w:rsidR="007F424B" w:rsidRDefault="00AB0ACA">
      <w:pPr>
        <w:pStyle w:val="ListParagraph"/>
        <w:numPr>
          <w:ilvl w:val="0"/>
          <w:numId w:val="2"/>
        </w:numPr>
        <w:tabs>
          <w:tab w:val="left" w:pos="460"/>
          <w:tab w:val="left" w:pos="461"/>
        </w:tabs>
        <w:spacing w:line="293" w:lineRule="exact"/>
        <w:ind w:left="460" w:hanging="361"/>
        <w:rPr>
          <w:sz w:val="24"/>
        </w:rPr>
      </w:pPr>
      <w:r>
        <w:rPr>
          <w:sz w:val="24"/>
        </w:rPr>
        <w:t>liquidity</w:t>
      </w:r>
      <w:r>
        <w:rPr>
          <w:spacing w:val="-7"/>
          <w:sz w:val="24"/>
        </w:rPr>
        <w:t xml:space="preserve"> </w:t>
      </w:r>
      <w:r>
        <w:rPr>
          <w:sz w:val="24"/>
        </w:rPr>
        <w:t>risk;</w:t>
      </w:r>
    </w:p>
    <w:p w14:paraId="62408350" w14:textId="77777777" w:rsidR="007F424B" w:rsidRDefault="00AB0ACA">
      <w:pPr>
        <w:pStyle w:val="ListParagraph"/>
        <w:numPr>
          <w:ilvl w:val="0"/>
          <w:numId w:val="2"/>
        </w:numPr>
        <w:tabs>
          <w:tab w:val="left" w:pos="460"/>
          <w:tab w:val="left" w:pos="461"/>
        </w:tabs>
        <w:spacing w:line="293" w:lineRule="exact"/>
        <w:ind w:left="460" w:hanging="361"/>
        <w:rPr>
          <w:sz w:val="24"/>
        </w:rPr>
      </w:pPr>
      <w:r>
        <w:rPr>
          <w:sz w:val="24"/>
        </w:rPr>
        <w:t>risk on intangible assets and equity i</w:t>
      </w:r>
      <w:r>
        <w:rPr>
          <w:sz w:val="24"/>
        </w:rPr>
        <w:t>nvestments forming part of business operations;</w:t>
      </w:r>
      <w:r>
        <w:rPr>
          <w:spacing w:val="-24"/>
          <w:sz w:val="24"/>
        </w:rPr>
        <w:t xml:space="preserve"> </w:t>
      </w:r>
      <w:r>
        <w:rPr>
          <w:sz w:val="24"/>
        </w:rPr>
        <w:t>and</w:t>
      </w:r>
    </w:p>
    <w:p w14:paraId="62408351" w14:textId="77777777" w:rsidR="007F424B" w:rsidRDefault="00AB0ACA">
      <w:pPr>
        <w:pStyle w:val="ListParagraph"/>
        <w:numPr>
          <w:ilvl w:val="0"/>
          <w:numId w:val="2"/>
        </w:numPr>
        <w:tabs>
          <w:tab w:val="left" w:pos="460"/>
          <w:tab w:val="left" w:pos="461"/>
        </w:tabs>
        <w:spacing w:line="293" w:lineRule="exact"/>
        <w:ind w:left="460" w:hanging="361"/>
        <w:rPr>
          <w:sz w:val="24"/>
        </w:rPr>
      </w:pPr>
      <w:r>
        <w:rPr>
          <w:sz w:val="24"/>
        </w:rPr>
        <w:t>risk on fixed</w:t>
      </w:r>
      <w:r>
        <w:rPr>
          <w:spacing w:val="-1"/>
          <w:sz w:val="24"/>
        </w:rPr>
        <w:t xml:space="preserve"> </w:t>
      </w:r>
      <w:r>
        <w:rPr>
          <w:sz w:val="24"/>
        </w:rPr>
        <w:t>assets.</w:t>
      </w:r>
    </w:p>
    <w:p w14:paraId="62408352" w14:textId="77777777" w:rsidR="007F424B" w:rsidRDefault="007F424B">
      <w:pPr>
        <w:pStyle w:val="BodyText"/>
      </w:pPr>
    </w:p>
    <w:p w14:paraId="62408353" w14:textId="77777777" w:rsidR="007F424B" w:rsidRDefault="00AB0ACA">
      <w:pPr>
        <w:pStyle w:val="BodyText"/>
        <w:ind w:left="100" w:right="568"/>
        <w:jc w:val="both"/>
      </w:pPr>
      <w:r>
        <w:t>These components are summed, then adjusted for the impact of diversification between risk types and forward earnings stressed for a severe downturn.</w:t>
      </w:r>
    </w:p>
    <w:p w14:paraId="62408354" w14:textId="77777777" w:rsidR="007F424B" w:rsidRDefault="007F424B">
      <w:pPr>
        <w:pStyle w:val="BodyText"/>
        <w:spacing w:before="11"/>
        <w:rPr>
          <w:sz w:val="23"/>
        </w:rPr>
      </w:pPr>
    </w:p>
    <w:p w14:paraId="62408355" w14:textId="77777777" w:rsidR="007F424B" w:rsidRDefault="00AB0ACA">
      <w:pPr>
        <w:pStyle w:val="BodyText"/>
        <w:ind w:left="100" w:right="561"/>
        <w:jc w:val="both"/>
      </w:pPr>
      <w:r>
        <w:t>The ADI Group will remain subject to APRA’s ADI capital framework under the prudential standards as in force from time to time, including the need to meet minimum Tier 1 and minimum capital ratios under the prudential standards. The following description r</w:t>
      </w:r>
      <w:r>
        <w:t>elates only to the calculation of Level 3 capital:</w:t>
      </w:r>
    </w:p>
    <w:p w14:paraId="62408356" w14:textId="77777777" w:rsidR="007F424B" w:rsidRDefault="007F424B">
      <w:pPr>
        <w:pStyle w:val="BodyText"/>
        <w:spacing w:before="5"/>
      </w:pPr>
    </w:p>
    <w:p w14:paraId="62408357" w14:textId="77777777" w:rsidR="007F424B" w:rsidRDefault="00AB0ACA">
      <w:pPr>
        <w:pStyle w:val="Heading1"/>
        <w:numPr>
          <w:ilvl w:val="0"/>
          <w:numId w:val="1"/>
        </w:numPr>
        <w:tabs>
          <w:tab w:val="left" w:pos="461"/>
        </w:tabs>
        <w:spacing w:before="1"/>
        <w:ind w:hanging="361"/>
        <w:rPr>
          <w:rFonts w:ascii="Times New Roman"/>
        </w:rPr>
      </w:pPr>
      <w:r>
        <w:rPr>
          <w:rFonts w:ascii="Times New Roman"/>
        </w:rPr>
        <w:t>Capital</w:t>
      </w:r>
      <w:r>
        <w:rPr>
          <w:rFonts w:ascii="Times New Roman"/>
          <w:spacing w:val="-1"/>
        </w:rPr>
        <w:t xml:space="preserve"> </w:t>
      </w:r>
      <w:r>
        <w:rPr>
          <w:rFonts w:ascii="Times New Roman"/>
        </w:rPr>
        <w:t>requirements</w:t>
      </w:r>
    </w:p>
    <w:p w14:paraId="62408358" w14:textId="77777777" w:rsidR="007F424B" w:rsidRDefault="007F424B">
      <w:pPr>
        <w:pStyle w:val="BodyText"/>
        <w:spacing w:before="6"/>
        <w:rPr>
          <w:b/>
          <w:sz w:val="23"/>
        </w:rPr>
      </w:pPr>
    </w:p>
    <w:p w14:paraId="62408359" w14:textId="77777777" w:rsidR="007F424B" w:rsidRDefault="00AB0ACA">
      <w:pPr>
        <w:pStyle w:val="ListParagraph"/>
        <w:numPr>
          <w:ilvl w:val="1"/>
          <w:numId w:val="1"/>
        </w:numPr>
        <w:tabs>
          <w:tab w:val="left" w:pos="1000"/>
          <w:tab w:val="left" w:pos="1001"/>
        </w:tabs>
        <w:spacing w:before="1"/>
        <w:ind w:right="707"/>
        <w:rPr>
          <w:sz w:val="24"/>
        </w:rPr>
      </w:pPr>
      <w:r>
        <w:rPr>
          <w:sz w:val="24"/>
        </w:rPr>
        <w:t>The Level 3 MCR will be calculated as the ADI Group capital requirement (i.e.</w:t>
      </w:r>
      <w:r>
        <w:rPr>
          <w:spacing w:val="-34"/>
          <w:sz w:val="24"/>
        </w:rPr>
        <w:t xml:space="preserve"> </w:t>
      </w:r>
      <w:r>
        <w:rPr>
          <w:sz w:val="24"/>
        </w:rPr>
        <w:t>the ADI’s Board-approved internal minimum regulatory Tier 1 capital requirement of the ADI Group) plus t</w:t>
      </w:r>
      <w:r>
        <w:rPr>
          <w:sz w:val="24"/>
        </w:rPr>
        <w:t>he Non-ADI Group capital requirement (i.e. the Net Economic Risk of the Non-ADI</w:t>
      </w:r>
      <w:r>
        <w:rPr>
          <w:spacing w:val="-7"/>
          <w:sz w:val="24"/>
        </w:rPr>
        <w:t xml:space="preserve"> </w:t>
      </w:r>
      <w:r>
        <w:rPr>
          <w:sz w:val="24"/>
        </w:rPr>
        <w:t>Group).</w:t>
      </w:r>
    </w:p>
    <w:p w14:paraId="6240835A" w14:textId="77777777" w:rsidR="007F424B" w:rsidRDefault="007F424B">
      <w:pPr>
        <w:pStyle w:val="BodyText"/>
      </w:pPr>
    </w:p>
    <w:p w14:paraId="6240835B" w14:textId="77777777" w:rsidR="007F424B" w:rsidRDefault="00AB0ACA">
      <w:pPr>
        <w:pStyle w:val="ListParagraph"/>
        <w:numPr>
          <w:ilvl w:val="1"/>
          <w:numId w:val="1"/>
        </w:numPr>
        <w:tabs>
          <w:tab w:val="left" w:pos="1000"/>
          <w:tab w:val="left" w:pos="1001"/>
        </w:tabs>
        <w:ind w:right="787"/>
        <w:rPr>
          <w:sz w:val="24"/>
        </w:rPr>
      </w:pPr>
      <w:r>
        <w:rPr>
          <w:sz w:val="24"/>
        </w:rPr>
        <w:t>Where the ADI or a member of the Non-ADI Group issues capital directly to external parties and that capital meets the entity’s stand-alone capital requirement, this ma</w:t>
      </w:r>
      <w:r>
        <w:rPr>
          <w:sz w:val="24"/>
        </w:rPr>
        <w:t>y be counted towards satisfaction of the Level 3 MCR, provided the requirements in the conditions relating to the quality of capital are</w:t>
      </w:r>
      <w:r>
        <w:rPr>
          <w:spacing w:val="-21"/>
          <w:sz w:val="24"/>
        </w:rPr>
        <w:t xml:space="preserve"> </w:t>
      </w:r>
      <w:r>
        <w:rPr>
          <w:sz w:val="24"/>
        </w:rPr>
        <w:t>met.</w:t>
      </w:r>
    </w:p>
    <w:p w14:paraId="6240835C" w14:textId="77777777" w:rsidR="007F424B" w:rsidRDefault="007F424B">
      <w:pPr>
        <w:pStyle w:val="BodyText"/>
      </w:pPr>
    </w:p>
    <w:p w14:paraId="6240835D" w14:textId="77777777" w:rsidR="007F424B" w:rsidRDefault="00AB0ACA">
      <w:pPr>
        <w:pStyle w:val="ListParagraph"/>
        <w:numPr>
          <w:ilvl w:val="1"/>
          <w:numId w:val="1"/>
        </w:numPr>
        <w:tabs>
          <w:tab w:val="left" w:pos="1000"/>
          <w:tab w:val="left" w:pos="1001"/>
        </w:tabs>
        <w:ind w:right="873"/>
        <w:rPr>
          <w:sz w:val="24"/>
        </w:rPr>
      </w:pPr>
      <w:r>
        <w:rPr>
          <w:sz w:val="24"/>
        </w:rPr>
        <w:t xml:space="preserve">The ADI Group capital requirement will be calculated as X% of risk-weighted assets plus Tier 1 deductions, where </w:t>
      </w:r>
      <w:r>
        <w:rPr>
          <w:sz w:val="24"/>
        </w:rPr>
        <w:t>“X” is Macquarie’s internal minimum Tier</w:t>
      </w:r>
      <w:r>
        <w:rPr>
          <w:spacing w:val="-31"/>
          <w:sz w:val="24"/>
        </w:rPr>
        <w:t xml:space="preserve"> </w:t>
      </w:r>
      <w:r>
        <w:rPr>
          <w:sz w:val="24"/>
        </w:rPr>
        <w:t>1 capital ratio as set by the ADI’s Board and notified to</w:t>
      </w:r>
      <w:r>
        <w:rPr>
          <w:spacing w:val="-12"/>
          <w:sz w:val="24"/>
        </w:rPr>
        <w:t xml:space="preserve"> </w:t>
      </w:r>
      <w:r>
        <w:rPr>
          <w:sz w:val="24"/>
        </w:rPr>
        <w:t>APRA.</w:t>
      </w:r>
    </w:p>
    <w:p w14:paraId="6240835E" w14:textId="77777777" w:rsidR="007F424B" w:rsidRDefault="007F424B">
      <w:pPr>
        <w:pStyle w:val="BodyText"/>
        <w:spacing w:before="10"/>
        <w:rPr>
          <w:sz w:val="23"/>
        </w:rPr>
      </w:pPr>
    </w:p>
    <w:p w14:paraId="6240835F" w14:textId="77777777" w:rsidR="007F424B" w:rsidRDefault="00AB0ACA">
      <w:pPr>
        <w:pStyle w:val="ListParagraph"/>
        <w:numPr>
          <w:ilvl w:val="1"/>
          <w:numId w:val="1"/>
        </w:numPr>
        <w:tabs>
          <w:tab w:val="left" w:pos="1000"/>
          <w:tab w:val="left" w:pos="1001"/>
        </w:tabs>
        <w:ind w:right="567"/>
        <w:rPr>
          <w:sz w:val="24"/>
        </w:rPr>
      </w:pPr>
      <w:r>
        <w:rPr>
          <w:sz w:val="24"/>
        </w:rPr>
        <w:t xml:space="preserve">Net Economic Risk of the Non-ADI Group will be calculated as Economic Risk, per the </w:t>
      </w:r>
      <w:proofErr w:type="spellStart"/>
      <w:r>
        <w:rPr>
          <w:sz w:val="24"/>
        </w:rPr>
        <w:t>Authorised</w:t>
      </w:r>
      <w:proofErr w:type="spellEnd"/>
      <w:r>
        <w:rPr>
          <w:sz w:val="24"/>
        </w:rPr>
        <w:t xml:space="preserve"> NOHC’s Board-approved Economic Capital Model, less Non-</w:t>
      </w:r>
      <w:r>
        <w:rPr>
          <w:sz w:val="24"/>
        </w:rPr>
        <w:t>ADI Group Stressed Forward</w:t>
      </w:r>
      <w:r>
        <w:rPr>
          <w:spacing w:val="1"/>
          <w:sz w:val="24"/>
        </w:rPr>
        <w:t xml:space="preserve"> </w:t>
      </w:r>
      <w:r>
        <w:rPr>
          <w:sz w:val="24"/>
        </w:rPr>
        <w:t>Earnings.</w:t>
      </w:r>
    </w:p>
    <w:p w14:paraId="62408360" w14:textId="77777777" w:rsidR="007F424B" w:rsidRDefault="007F424B">
      <w:pPr>
        <w:rPr>
          <w:sz w:val="24"/>
        </w:rPr>
        <w:sectPr w:rsidR="007F424B">
          <w:pgSz w:w="11910" w:h="16840"/>
          <w:pgMar w:top="1580" w:right="880" w:bottom="900" w:left="1340" w:header="0" w:footer="710" w:gutter="0"/>
          <w:cols w:space="720"/>
        </w:sectPr>
      </w:pPr>
    </w:p>
    <w:p w14:paraId="62408361" w14:textId="77777777" w:rsidR="007F424B" w:rsidRDefault="00AB0ACA">
      <w:pPr>
        <w:pStyle w:val="ListParagraph"/>
        <w:numPr>
          <w:ilvl w:val="1"/>
          <w:numId w:val="1"/>
        </w:numPr>
        <w:tabs>
          <w:tab w:val="left" w:pos="1000"/>
          <w:tab w:val="left" w:pos="1001"/>
        </w:tabs>
        <w:spacing w:before="71"/>
        <w:ind w:right="980"/>
        <w:rPr>
          <w:sz w:val="24"/>
        </w:rPr>
      </w:pPr>
      <w:r>
        <w:rPr>
          <w:sz w:val="24"/>
        </w:rPr>
        <w:lastRenderedPageBreak/>
        <w:t>The capital impact of transactions internal to the Macquarie Group will be eliminated at the NOHC level. Similarly, intra-group holdings of capital will be eliminated.</w:t>
      </w:r>
    </w:p>
    <w:p w14:paraId="62408362" w14:textId="77777777" w:rsidR="007F424B" w:rsidRDefault="007F424B">
      <w:pPr>
        <w:pStyle w:val="BodyText"/>
        <w:spacing w:before="10"/>
        <w:rPr>
          <w:sz w:val="23"/>
        </w:rPr>
      </w:pPr>
    </w:p>
    <w:p w14:paraId="62408363" w14:textId="77777777" w:rsidR="007F424B" w:rsidRDefault="00AB0ACA">
      <w:pPr>
        <w:pStyle w:val="ListParagraph"/>
        <w:numPr>
          <w:ilvl w:val="1"/>
          <w:numId w:val="1"/>
        </w:numPr>
        <w:tabs>
          <w:tab w:val="left" w:pos="1000"/>
          <w:tab w:val="left" w:pos="1001"/>
        </w:tabs>
        <w:ind w:right="737"/>
        <w:rPr>
          <w:sz w:val="24"/>
        </w:rPr>
      </w:pPr>
      <w:r>
        <w:rPr>
          <w:sz w:val="24"/>
        </w:rPr>
        <w:t xml:space="preserve">Loans and direct credit substitutes provided by the </w:t>
      </w:r>
      <w:proofErr w:type="spellStart"/>
      <w:r>
        <w:rPr>
          <w:sz w:val="24"/>
        </w:rPr>
        <w:t>Authorised</w:t>
      </w:r>
      <w:proofErr w:type="spellEnd"/>
      <w:r>
        <w:rPr>
          <w:sz w:val="24"/>
        </w:rPr>
        <w:t xml:space="preserve"> NOHC to subsidiaries within the group will have no incremental capital impact on the </w:t>
      </w:r>
      <w:proofErr w:type="spellStart"/>
      <w:r>
        <w:rPr>
          <w:sz w:val="24"/>
        </w:rPr>
        <w:t>Authorised</w:t>
      </w:r>
      <w:proofErr w:type="spellEnd"/>
      <w:r>
        <w:rPr>
          <w:sz w:val="24"/>
        </w:rPr>
        <w:t xml:space="preserve"> NOHC. This is to avoid double-counting of capital requirements and is implicit in the building bl</w:t>
      </w:r>
      <w:r>
        <w:rPr>
          <w:sz w:val="24"/>
        </w:rPr>
        <w:t>ock</w:t>
      </w:r>
      <w:r>
        <w:rPr>
          <w:spacing w:val="-6"/>
          <w:sz w:val="24"/>
        </w:rPr>
        <w:t xml:space="preserve"> </w:t>
      </w:r>
      <w:r>
        <w:rPr>
          <w:sz w:val="24"/>
        </w:rPr>
        <w:t>approach.</w:t>
      </w:r>
    </w:p>
    <w:p w14:paraId="62408364" w14:textId="77777777" w:rsidR="007F424B" w:rsidRDefault="007F424B">
      <w:pPr>
        <w:pStyle w:val="BodyText"/>
      </w:pPr>
    </w:p>
    <w:p w14:paraId="62408365" w14:textId="77777777" w:rsidR="007F424B" w:rsidRDefault="00AB0ACA">
      <w:pPr>
        <w:pStyle w:val="ListParagraph"/>
        <w:numPr>
          <w:ilvl w:val="1"/>
          <w:numId w:val="1"/>
        </w:numPr>
        <w:tabs>
          <w:tab w:val="left" w:pos="1000"/>
          <w:tab w:val="left" w:pos="1001"/>
        </w:tabs>
        <w:ind w:right="603"/>
        <w:rPr>
          <w:sz w:val="24"/>
        </w:rPr>
      </w:pPr>
      <w:r>
        <w:rPr>
          <w:sz w:val="24"/>
        </w:rPr>
        <w:t xml:space="preserve">The </w:t>
      </w:r>
      <w:proofErr w:type="spellStart"/>
      <w:r>
        <w:rPr>
          <w:sz w:val="24"/>
        </w:rPr>
        <w:t>Authorised</w:t>
      </w:r>
      <w:proofErr w:type="spellEnd"/>
      <w:r>
        <w:rPr>
          <w:sz w:val="24"/>
        </w:rPr>
        <w:t xml:space="preserve"> NOHC must ensure that the Macquarie Group holds capital against any transactions the </w:t>
      </w:r>
      <w:proofErr w:type="spellStart"/>
      <w:r>
        <w:rPr>
          <w:sz w:val="24"/>
        </w:rPr>
        <w:t>Authorised</w:t>
      </w:r>
      <w:proofErr w:type="spellEnd"/>
      <w:r>
        <w:rPr>
          <w:sz w:val="24"/>
        </w:rPr>
        <w:t xml:space="preserve"> NOHC or service companies enter into, other than those transactions discussed above, for their own purposes e.g. to hedge interest</w:t>
      </w:r>
      <w:r>
        <w:rPr>
          <w:sz w:val="24"/>
        </w:rPr>
        <w:t xml:space="preserve"> rate or foreign exchange rate exposure. The capital for these transactions will be calculated using the</w:t>
      </w:r>
      <w:r>
        <w:rPr>
          <w:spacing w:val="-4"/>
          <w:sz w:val="24"/>
        </w:rPr>
        <w:t xml:space="preserve"> </w:t>
      </w:r>
      <w:r>
        <w:rPr>
          <w:sz w:val="24"/>
        </w:rPr>
        <w:t>ECM.</w:t>
      </w:r>
    </w:p>
    <w:p w14:paraId="62408366" w14:textId="77777777" w:rsidR="007F424B" w:rsidRDefault="007F424B">
      <w:pPr>
        <w:pStyle w:val="BodyText"/>
        <w:spacing w:before="5"/>
      </w:pPr>
    </w:p>
    <w:p w14:paraId="62408367" w14:textId="77777777" w:rsidR="007F424B" w:rsidRDefault="00AB0ACA">
      <w:pPr>
        <w:pStyle w:val="Heading1"/>
        <w:numPr>
          <w:ilvl w:val="0"/>
          <w:numId w:val="1"/>
        </w:numPr>
        <w:tabs>
          <w:tab w:val="left" w:pos="461"/>
        </w:tabs>
        <w:spacing w:before="0"/>
        <w:ind w:hanging="361"/>
        <w:rPr>
          <w:rFonts w:ascii="Times New Roman"/>
        </w:rPr>
      </w:pPr>
      <w:r>
        <w:rPr>
          <w:rFonts w:ascii="Times New Roman"/>
        </w:rPr>
        <w:t>Eligible</w:t>
      </w:r>
      <w:r>
        <w:rPr>
          <w:rFonts w:ascii="Times New Roman"/>
          <w:spacing w:val="-1"/>
        </w:rPr>
        <w:t xml:space="preserve"> </w:t>
      </w:r>
      <w:r>
        <w:rPr>
          <w:rFonts w:ascii="Times New Roman"/>
        </w:rPr>
        <w:t>Capital</w:t>
      </w:r>
    </w:p>
    <w:p w14:paraId="62408368" w14:textId="77777777" w:rsidR="007F424B" w:rsidRDefault="007F424B">
      <w:pPr>
        <w:pStyle w:val="BodyText"/>
        <w:spacing w:before="7"/>
        <w:rPr>
          <w:b/>
          <w:sz w:val="23"/>
        </w:rPr>
      </w:pPr>
    </w:p>
    <w:p w14:paraId="62408369" w14:textId="77777777" w:rsidR="007F424B" w:rsidRDefault="00AB0ACA">
      <w:pPr>
        <w:pStyle w:val="ListParagraph"/>
        <w:numPr>
          <w:ilvl w:val="1"/>
          <w:numId w:val="1"/>
        </w:numPr>
        <w:tabs>
          <w:tab w:val="left" w:pos="1000"/>
          <w:tab w:val="left" w:pos="1001"/>
        </w:tabs>
        <w:ind w:right="821"/>
        <w:rPr>
          <w:sz w:val="24"/>
        </w:rPr>
      </w:pPr>
      <w:r>
        <w:rPr>
          <w:sz w:val="24"/>
        </w:rPr>
        <w:t>The capital requirement computed above will be compared to total eligible</w:t>
      </w:r>
      <w:r>
        <w:rPr>
          <w:spacing w:val="-36"/>
          <w:sz w:val="24"/>
        </w:rPr>
        <w:t xml:space="preserve"> </w:t>
      </w:r>
      <w:r>
        <w:rPr>
          <w:sz w:val="24"/>
        </w:rPr>
        <w:t>capital calculated</w:t>
      </w:r>
      <w:r>
        <w:rPr>
          <w:spacing w:val="-1"/>
          <w:sz w:val="24"/>
        </w:rPr>
        <w:t xml:space="preserve"> </w:t>
      </w:r>
      <w:r>
        <w:rPr>
          <w:sz w:val="24"/>
        </w:rPr>
        <w:t>as:</w:t>
      </w:r>
    </w:p>
    <w:p w14:paraId="6240836A" w14:textId="77777777" w:rsidR="007F424B" w:rsidRDefault="00AB0ACA">
      <w:pPr>
        <w:pStyle w:val="ListParagraph"/>
        <w:numPr>
          <w:ilvl w:val="2"/>
          <w:numId w:val="1"/>
        </w:numPr>
        <w:tabs>
          <w:tab w:val="left" w:pos="1540"/>
          <w:tab w:val="left" w:pos="1541"/>
        </w:tabs>
        <w:spacing w:line="275" w:lineRule="exact"/>
        <w:ind w:hanging="541"/>
        <w:rPr>
          <w:sz w:val="24"/>
        </w:rPr>
      </w:pPr>
      <w:r>
        <w:rPr>
          <w:sz w:val="24"/>
        </w:rPr>
        <w:t>eligible share capital (at pai</w:t>
      </w:r>
      <w:r>
        <w:rPr>
          <w:sz w:val="24"/>
        </w:rPr>
        <w:t>d-up</w:t>
      </w:r>
      <w:r>
        <w:rPr>
          <w:spacing w:val="-1"/>
          <w:sz w:val="24"/>
        </w:rPr>
        <w:t xml:space="preserve"> </w:t>
      </w:r>
      <w:r>
        <w:rPr>
          <w:sz w:val="24"/>
        </w:rPr>
        <w:t>value);</w:t>
      </w:r>
    </w:p>
    <w:p w14:paraId="6240836B" w14:textId="77777777" w:rsidR="007F424B" w:rsidRDefault="00AB0ACA">
      <w:pPr>
        <w:pStyle w:val="ListParagraph"/>
        <w:numPr>
          <w:ilvl w:val="2"/>
          <w:numId w:val="1"/>
        </w:numPr>
        <w:tabs>
          <w:tab w:val="left" w:pos="1540"/>
          <w:tab w:val="left" w:pos="1541"/>
        </w:tabs>
        <w:spacing w:line="275" w:lineRule="exact"/>
        <w:ind w:hanging="541"/>
        <w:rPr>
          <w:sz w:val="24"/>
        </w:rPr>
      </w:pPr>
      <w:r>
        <w:rPr>
          <w:sz w:val="24"/>
        </w:rPr>
        <w:t>reserves;</w:t>
      </w:r>
    </w:p>
    <w:p w14:paraId="6240836C" w14:textId="77777777" w:rsidR="007F424B" w:rsidRDefault="00AB0ACA">
      <w:pPr>
        <w:pStyle w:val="ListParagraph"/>
        <w:numPr>
          <w:ilvl w:val="2"/>
          <w:numId w:val="1"/>
        </w:numPr>
        <w:tabs>
          <w:tab w:val="left" w:pos="1540"/>
          <w:tab w:val="left" w:pos="1541"/>
        </w:tabs>
        <w:spacing w:before="2" w:line="275" w:lineRule="exact"/>
        <w:ind w:hanging="541"/>
        <w:rPr>
          <w:sz w:val="24"/>
        </w:rPr>
      </w:pPr>
      <w:r>
        <w:rPr>
          <w:sz w:val="24"/>
        </w:rPr>
        <w:t>retained</w:t>
      </w:r>
      <w:r>
        <w:rPr>
          <w:spacing w:val="-1"/>
          <w:sz w:val="24"/>
        </w:rPr>
        <w:t xml:space="preserve"> </w:t>
      </w:r>
      <w:r>
        <w:rPr>
          <w:sz w:val="24"/>
        </w:rPr>
        <w:t>earnings;</w:t>
      </w:r>
    </w:p>
    <w:p w14:paraId="6240836D" w14:textId="77777777" w:rsidR="007F424B" w:rsidRDefault="00AB0ACA">
      <w:pPr>
        <w:pStyle w:val="ListParagraph"/>
        <w:numPr>
          <w:ilvl w:val="2"/>
          <w:numId w:val="1"/>
        </w:numPr>
        <w:tabs>
          <w:tab w:val="left" w:pos="1540"/>
          <w:tab w:val="left" w:pos="1541"/>
        </w:tabs>
        <w:spacing w:line="275" w:lineRule="exact"/>
        <w:ind w:hanging="541"/>
        <w:rPr>
          <w:sz w:val="24"/>
        </w:rPr>
      </w:pPr>
      <w:r>
        <w:rPr>
          <w:sz w:val="24"/>
        </w:rPr>
        <w:t>eligible non-innovative Residual Tier 1 capital (at paid-up value);</w:t>
      </w:r>
      <w:r>
        <w:rPr>
          <w:spacing w:val="-11"/>
          <w:sz w:val="24"/>
        </w:rPr>
        <w:t xml:space="preserve"> </w:t>
      </w:r>
      <w:r>
        <w:rPr>
          <w:sz w:val="24"/>
        </w:rPr>
        <w:t>and</w:t>
      </w:r>
    </w:p>
    <w:p w14:paraId="6240836E" w14:textId="77777777" w:rsidR="007F424B" w:rsidRDefault="00AB0ACA">
      <w:pPr>
        <w:pStyle w:val="ListParagraph"/>
        <w:numPr>
          <w:ilvl w:val="2"/>
          <w:numId w:val="1"/>
        </w:numPr>
        <w:tabs>
          <w:tab w:val="left" w:pos="1540"/>
          <w:tab w:val="left" w:pos="1541"/>
        </w:tabs>
        <w:spacing w:before="2"/>
        <w:ind w:hanging="541"/>
        <w:rPr>
          <w:sz w:val="24"/>
        </w:rPr>
      </w:pPr>
      <w:r>
        <w:rPr>
          <w:sz w:val="24"/>
        </w:rPr>
        <w:t>eligible hybrid capital (at paid-up</w:t>
      </w:r>
      <w:r>
        <w:rPr>
          <w:spacing w:val="-3"/>
          <w:sz w:val="24"/>
        </w:rPr>
        <w:t xml:space="preserve"> </w:t>
      </w:r>
      <w:r>
        <w:rPr>
          <w:sz w:val="24"/>
        </w:rPr>
        <w:t>value);</w:t>
      </w:r>
    </w:p>
    <w:p w14:paraId="6240836F" w14:textId="77777777" w:rsidR="007F424B" w:rsidRDefault="007F424B">
      <w:pPr>
        <w:pStyle w:val="BodyText"/>
        <w:spacing w:before="9"/>
        <w:rPr>
          <w:sz w:val="23"/>
        </w:rPr>
      </w:pPr>
    </w:p>
    <w:p w14:paraId="62408370" w14:textId="77777777" w:rsidR="007F424B" w:rsidRDefault="00AB0ACA">
      <w:pPr>
        <w:pStyle w:val="ListParagraph"/>
        <w:numPr>
          <w:ilvl w:val="1"/>
          <w:numId w:val="1"/>
        </w:numPr>
        <w:tabs>
          <w:tab w:val="left" w:pos="1000"/>
          <w:tab w:val="left" w:pos="1001"/>
        </w:tabs>
        <w:spacing w:before="1"/>
        <w:ind w:right="685"/>
        <w:rPr>
          <w:sz w:val="24"/>
        </w:rPr>
      </w:pPr>
      <w:r>
        <w:rPr>
          <w:sz w:val="24"/>
        </w:rPr>
        <w:t>Eligible hybrid capital, and any other Tier 1 capital, used to meet the ADI Group capital requirement must meet APRA’s criteria for inclusion in the Tier 1 capital</w:t>
      </w:r>
      <w:r>
        <w:rPr>
          <w:spacing w:val="-32"/>
          <w:sz w:val="24"/>
        </w:rPr>
        <w:t xml:space="preserve"> </w:t>
      </w:r>
      <w:r>
        <w:rPr>
          <w:sz w:val="24"/>
        </w:rPr>
        <w:t>of the</w:t>
      </w:r>
      <w:r>
        <w:rPr>
          <w:spacing w:val="-1"/>
          <w:sz w:val="24"/>
        </w:rPr>
        <w:t xml:space="preserve"> </w:t>
      </w:r>
      <w:r>
        <w:rPr>
          <w:sz w:val="24"/>
        </w:rPr>
        <w:t>ADI.</w:t>
      </w:r>
    </w:p>
    <w:p w14:paraId="62408371" w14:textId="77777777" w:rsidR="007F424B" w:rsidRDefault="007F424B">
      <w:pPr>
        <w:pStyle w:val="BodyText"/>
        <w:spacing w:before="1"/>
      </w:pPr>
    </w:p>
    <w:p w14:paraId="62408372" w14:textId="77777777" w:rsidR="007F424B" w:rsidRDefault="00AB0ACA">
      <w:pPr>
        <w:pStyle w:val="ListParagraph"/>
        <w:numPr>
          <w:ilvl w:val="1"/>
          <w:numId w:val="1"/>
        </w:numPr>
        <w:tabs>
          <w:tab w:val="left" w:pos="1000"/>
          <w:tab w:val="left" w:pos="1001"/>
        </w:tabs>
        <w:ind w:right="641"/>
        <w:rPr>
          <w:sz w:val="24"/>
        </w:rPr>
      </w:pPr>
      <w:r>
        <w:rPr>
          <w:sz w:val="24"/>
        </w:rPr>
        <w:t>Eligible hybrid capital to meet the Non-ADI Group capital requirement will need</w:t>
      </w:r>
      <w:r>
        <w:rPr>
          <w:sz w:val="24"/>
        </w:rPr>
        <w:t xml:space="preserve"> to meet criteria specified in Annexure</w:t>
      </w:r>
      <w:r>
        <w:rPr>
          <w:spacing w:val="-6"/>
          <w:sz w:val="24"/>
        </w:rPr>
        <w:t xml:space="preserve"> </w:t>
      </w:r>
      <w:r>
        <w:rPr>
          <w:sz w:val="24"/>
        </w:rPr>
        <w:t>2.</w:t>
      </w:r>
    </w:p>
    <w:p w14:paraId="62408373" w14:textId="77777777" w:rsidR="007F424B" w:rsidRDefault="007F424B">
      <w:pPr>
        <w:pStyle w:val="BodyText"/>
        <w:spacing w:before="10"/>
        <w:rPr>
          <w:sz w:val="23"/>
        </w:rPr>
      </w:pPr>
    </w:p>
    <w:p w14:paraId="62408374" w14:textId="77777777" w:rsidR="007F424B" w:rsidRDefault="00AB0ACA">
      <w:pPr>
        <w:spacing w:before="1"/>
        <w:ind w:left="100"/>
        <w:rPr>
          <w:sz w:val="20"/>
        </w:rPr>
      </w:pPr>
      <w:r>
        <w:rPr>
          <w:sz w:val="20"/>
        </w:rPr>
        <w:t>Note: This will be an interim arrangement, to apply until APRA’s new NOHC Level 3 capital regime is in force.</w:t>
      </w:r>
    </w:p>
    <w:p w14:paraId="62408375" w14:textId="77777777" w:rsidR="007F424B" w:rsidRDefault="007F424B">
      <w:pPr>
        <w:rPr>
          <w:sz w:val="20"/>
        </w:rPr>
        <w:sectPr w:rsidR="007F424B">
          <w:pgSz w:w="11910" w:h="16840"/>
          <w:pgMar w:top="1580" w:right="880" w:bottom="900" w:left="1340" w:header="0" w:footer="710" w:gutter="0"/>
          <w:cols w:space="720"/>
        </w:sectPr>
      </w:pPr>
    </w:p>
    <w:p w14:paraId="62408376" w14:textId="77777777" w:rsidR="007F424B" w:rsidRDefault="00AB0ACA">
      <w:pPr>
        <w:pStyle w:val="Heading1"/>
      </w:pPr>
      <w:r>
        <w:lastRenderedPageBreak/>
        <w:t>Annexure 2</w:t>
      </w:r>
    </w:p>
    <w:p w14:paraId="62408377" w14:textId="77777777" w:rsidR="007F424B" w:rsidRDefault="007F424B">
      <w:pPr>
        <w:pStyle w:val="BodyText"/>
        <w:spacing w:before="8"/>
        <w:rPr>
          <w:rFonts w:ascii="Arial"/>
          <w:b/>
          <w:sz w:val="21"/>
        </w:rPr>
      </w:pPr>
    </w:p>
    <w:p w14:paraId="62408378" w14:textId="77777777" w:rsidR="007F424B" w:rsidRDefault="00AB0ACA">
      <w:pPr>
        <w:pStyle w:val="BodyText"/>
        <w:ind w:left="100"/>
      </w:pPr>
      <w:r>
        <w:t>Eligible hybrid capital for the Non-ADI Group must contain the following</w:t>
      </w:r>
      <w:r>
        <w:t xml:space="preserve"> characteristics and features:</w:t>
      </w:r>
    </w:p>
    <w:p w14:paraId="62408379" w14:textId="77777777" w:rsidR="007F424B" w:rsidRDefault="007F424B">
      <w:pPr>
        <w:pStyle w:val="BodyText"/>
      </w:pPr>
    </w:p>
    <w:p w14:paraId="6240837A" w14:textId="77777777" w:rsidR="007F424B" w:rsidRDefault="00AB0ACA">
      <w:pPr>
        <w:pStyle w:val="ListParagraph"/>
        <w:numPr>
          <w:ilvl w:val="0"/>
          <w:numId w:val="2"/>
        </w:numPr>
        <w:tabs>
          <w:tab w:val="left" w:pos="640"/>
          <w:tab w:val="left" w:pos="641"/>
        </w:tabs>
        <w:ind w:hanging="541"/>
        <w:rPr>
          <w:sz w:val="24"/>
        </w:rPr>
      </w:pPr>
      <w:r>
        <w:rPr>
          <w:sz w:val="24"/>
        </w:rPr>
        <w:t>Ability to absorb losses within the Macquarie</w:t>
      </w:r>
      <w:r>
        <w:rPr>
          <w:spacing w:val="-9"/>
          <w:sz w:val="24"/>
        </w:rPr>
        <w:t xml:space="preserve"> </w:t>
      </w:r>
      <w:r>
        <w:rPr>
          <w:sz w:val="24"/>
        </w:rPr>
        <w:t>Group.</w:t>
      </w:r>
    </w:p>
    <w:p w14:paraId="6240837B" w14:textId="77777777" w:rsidR="007F424B" w:rsidRDefault="007F424B">
      <w:pPr>
        <w:pStyle w:val="BodyText"/>
      </w:pPr>
    </w:p>
    <w:p w14:paraId="6240837C" w14:textId="77777777" w:rsidR="007F424B" w:rsidRDefault="00AB0ACA">
      <w:pPr>
        <w:pStyle w:val="ListParagraph"/>
        <w:numPr>
          <w:ilvl w:val="0"/>
          <w:numId w:val="2"/>
        </w:numPr>
        <w:tabs>
          <w:tab w:val="left" w:pos="640"/>
          <w:tab w:val="left" w:pos="641"/>
        </w:tabs>
        <w:ind w:right="640" w:hanging="540"/>
        <w:rPr>
          <w:sz w:val="24"/>
        </w:rPr>
      </w:pPr>
      <w:r>
        <w:rPr>
          <w:sz w:val="24"/>
        </w:rPr>
        <w:t>Provides a permanent and unrestricted commitment of funds from third parties which</w:t>
      </w:r>
      <w:r>
        <w:rPr>
          <w:spacing w:val="-34"/>
          <w:sz w:val="24"/>
        </w:rPr>
        <w:t xml:space="preserve"> </w:t>
      </w:r>
      <w:r>
        <w:rPr>
          <w:sz w:val="24"/>
        </w:rPr>
        <w:t>is repayable for cash consideration only with regulatory</w:t>
      </w:r>
      <w:r>
        <w:rPr>
          <w:spacing w:val="-10"/>
          <w:sz w:val="24"/>
        </w:rPr>
        <w:t xml:space="preserve"> </w:t>
      </w:r>
      <w:r>
        <w:rPr>
          <w:sz w:val="24"/>
        </w:rPr>
        <w:t>approval;</w:t>
      </w:r>
    </w:p>
    <w:p w14:paraId="6240837D" w14:textId="77777777" w:rsidR="007F424B" w:rsidRDefault="007F424B">
      <w:pPr>
        <w:pStyle w:val="BodyText"/>
        <w:spacing w:before="10"/>
        <w:rPr>
          <w:sz w:val="23"/>
        </w:rPr>
      </w:pPr>
    </w:p>
    <w:p w14:paraId="6240837E" w14:textId="77777777" w:rsidR="007F424B" w:rsidRDefault="00AB0ACA">
      <w:pPr>
        <w:pStyle w:val="ListParagraph"/>
        <w:numPr>
          <w:ilvl w:val="1"/>
          <w:numId w:val="2"/>
        </w:numPr>
        <w:tabs>
          <w:tab w:val="left" w:pos="1180"/>
          <w:tab w:val="left" w:pos="1181"/>
        </w:tabs>
        <w:ind w:right="1137"/>
        <w:rPr>
          <w:sz w:val="24"/>
        </w:rPr>
      </w:pPr>
      <w:r>
        <w:rPr>
          <w:sz w:val="24"/>
        </w:rPr>
        <w:t>Non-defaultable – i</w:t>
      </w:r>
      <w:r>
        <w:rPr>
          <w:sz w:val="24"/>
        </w:rPr>
        <w:t>.e. non-repayment of interest or principal does not trigger default;</w:t>
      </w:r>
      <w:r>
        <w:rPr>
          <w:spacing w:val="-1"/>
          <w:sz w:val="24"/>
        </w:rPr>
        <w:t xml:space="preserve"> </w:t>
      </w:r>
      <w:r>
        <w:rPr>
          <w:sz w:val="24"/>
        </w:rPr>
        <w:t>and</w:t>
      </w:r>
    </w:p>
    <w:p w14:paraId="6240837F" w14:textId="77777777" w:rsidR="007F424B" w:rsidRDefault="00AB0ACA">
      <w:pPr>
        <w:pStyle w:val="ListParagraph"/>
        <w:numPr>
          <w:ilvl w:val="1"/>
          <w:numId w:val="2"/>
        </w:numPr>
        <w:tabs>
          <w:tab w:val="left" w:pos="1180"/>
          <w:tab w:val="left" w:pos="1181"/>
        </w:tabs>
        <w:spacing w:before="1"/>
        <w:ind w:right="603"/>
        <w:rPr>
          <w:sz w:val="24"/>
        </w:rPr>
      </w:pPr>
      <w:r>
        <w:rPr>
          <w:sz w:val="24"/>
        </w:rPr>
        <w:t>Subordinated – ranks behind claims of all other creditors in the event of a winding up.</w:t>
      </w:r>
    </w:p>
    <w:p w14:paraId="62408380" w14:textId="77777777" w:rsidR="007F424B" w:rsidRDefault="007F424B">
      <w:pPr>
        <w:pStyle w:val="BodyText"/>
      </w:pPr>
    </w:p>
    <w:p w14:paraId="62408381" w14:textId="77777777" w:rsidR="007F424B" w:rsidRDefault="00AB0ACA">
      <w:pPr>
        <w:pStyle w:val="ListParagraph"/>
        <w:numPr>
          <w:ilvl w:val="0"/>
          <w:numId w:val="2"/>
        </w:numPr>
        <w:tabs>
          <w:tab w:val="left" w:pos="640"/>
          <w:tab w:val="left" w:pos="641"/>
        </w:tabs>
        <w:ind w:right="672" w:hanging="540"/>
        <w:rPr>
          <w:sz w:val="24"/>
        </w:rPr>
      </w:pPr>
      <w:r>
        <w:rPr>
          <w:sz w:val="24"/>
        </w:rPr>
        <w:t>The holders of any eligible hybrid capital instrument shall have no contractual rights</w:t>
      </w:r>
      <w:r>
        <w:rPr>
          <w:spacing w:val="-36"/>
          <w:sz w:val="24"/>
        </w:rPr>
        <w:t xml:space="preserve"> </w:t>
      </w:r>
      <w:r>
        <w:rPr>
          <w:sz w:val="24"/>
        </w:rPr>
        <w:t>of set-off between the instrument and any claims by the Macquarie Group on the holders of the</w:t>
      </w:r>
      <w:r>
        <w:rPr>
          <w:spacing w:val="-4"/>
          <w:sz w:val="24"/>
        </w:rPr>
        <w:t xml:space="preserve"> </w:t>
      </w:r>
      <w:r>
        <w:rPr>
          <w:sz w:val="24"/>
        </w:rPr>
        <w:t>instrument.</w:t>
      </w:r>
    </w:p>
    <w:p w14:paraId="62408382" w14:textId="77777777" w:rsidR="007F424B" w:rsidRDefault="007F424B">
      <w:pPr>
        <w:pStyle w:val="BodyText"/>
        <w:spacing w:before="9"/>
        <w:rPr>
          <w:sz w:val="23"/>
        </w:rPr>
      </w:pPr>
    </w:p>
    <w:p w14:paraId="62408383" w14:textId="77777777" w:rsidR="007F424B" w:rsidRDefault="00AB0ACA">
      <w:pPr>
        <w:pStyle w:val="ListParagraph"/>
        <w:numPr>
          <w:ilvl w:val="0"/>
          <w:numId w:val="2"/>
        </w:numPr>
        <w:tabs>
          <w:tab w:val="left" w:pos="640"/>
          <w:tab w:val="left" w:pos="641"/>
        </w:tabs>
        <w:spacing w:before="1"/>
        <w:ind w:hanging="541"/>
        <w:rPr>
          <w:sz w:val="24"/>
        </w:rPr>
      </w:pPr>
      <w:r>
        <w:rPr>
          <w:sz w:val="24"/>
        </w:rPr>
        <w:t>Term – the term of the instrument must meet the following</w:t>
      </w:r>
      <w:r>
        <w:rPr>
          <w:spacing w:val="-11"/>
          <w:sz w:val="24"/>
        </w:rPr>
        <w:t xml:space="preserve"> </w:t>
      </w:r>
      <w:r>
        <w:rPr>
          <w:sz w:val="24"/>
        </w:rPr>
        <w:t>criteria:</w:t>
      </w:r>
    </w:p>
    <w:p w14:paraId="62408384" w14:textId="77777777" w:rsidR="007F424B" w:rsidRDefault="007F424B">
      <w:pPr>
        <w:pStyle w:val="BodyText"/>
        <w:spacing w:before="11"/>
        <w:rPr>
          <w:sz w:val="23"/>
        </w:rPr>
      </w:pPr>
    </w:p>
    <w:p w14:paraId="62408385" w14:textId="77777777" w:rsidR="007F424B" w:rsidRDefault="00AB0ACA">
      <w:pPr>
        <w:pStyle w:val="ListParagraph"/>
        <w:numPr>
          <w:ilvl w:val="1"/>
          <w:numId w:val="2"/>
        </w:numPr>
        <w:tabs>
          <w:tab w:val="left" w:pos="1180"/>
          <w:tab w:val="left" w:pos="1181"/>
        </w:tabs>
        <w:spacing w:line="275" w:lineRule="exact"/>
        <w:ind w:hanging="541"/>
        <w:rPr>
          <w:sz w:val="24"/>
        </w:rPr>
      </w:pPr>
      <w:r>
        <w:rPr>
          <w:sz w:val="24"/>
        </w:rPr>
        <w:t>the instrument is perpetual, with no call date for at least 5</w:t>
      </w:r>
      <w:r>
        <w:rPr>
          <w:spacing w:val="-6"/>
          <w:sz w:val="24"/>
        </w:rPr>
        <w:t xml:space="preserve"> </w:t>
      </w:r>
      <w:r>
        <w:rPr>
          <w:sz w:val="24"/>
        </w:rPr>
        <w:t>years;</w:t>
      </w:r>
    </w:p>
    <w:p w14:paraId="62408386" w14:textId="77777777" w:rsidR="007F424B" w:rsidRDefault="00AB0ACA">
      <w:pPr>
        <w:pStyle w:val="ListParagraph"/>
        <w:numPr>
          <w:ilvl w:val="1"/>
          <w:numId w:val="2"/>
        </w:numPr>
        <w:tabs>
          <w:tab w:val="left" w:pos="1180"/>
          <w:tab w:val="left" w:pos="1181"/>
        </w:tabs>
        <w:ind w:right="102"/>
        <w:rPr>
          <w:sz w:val="24"/>
        </w:rPr>
      </w:pPr>
      <w:r>
        <w:rPr>
          <w:sz w:val="24"/>
        </w:rPr>
        <w:t xml:space="preserve">if structured as legal form debt, a term of approximately 50 years or such other term (of at least 10 years) as is required in the relevant jurisdiction to ensure deductibility </w:t>
      </w:r>
      <w:r>
        <w:rPr>
          <w:spacing w:val="7"/>
          <w:sz w:val="24"/>
        </w:rPr>
        <w:t xml:space="preserve">of </w:t>
      </w:r>
      <w:r>
        <w:rPr>
          <w:sz w:val="24"/>
        </w:rPr>
        <w:t>interest may be</w:t>
      </w:r>
      <w:r>
        <w:rPr>
          <w:spacing w:val="-9"/>
          <w:sz w:val="24"/>
        </w:rPr>
        <w:t xml:space="preserve"> </w:t>
      </w:r>
      <w:r>
        <w:rPr>
          <w:sz w:val="24"/>
        </w:rPr>
        <w:t>applied;</w:t>
      </w:r>
    </w:p>
    <w:p w14:paraId="62408387" w14:textId="77777777" w:rsidR="007F424B" w:rsidRDefault="00AB0ACA">
      <w:pPr>
        <w:pStyle w:val="ListParagraph"/>
        <w:numPr>
          <w:ilvl w:val="1"/>
          <w:numId w:val="2"/>
        </w:numPr>
        <w:tabs>
          <w:tab w:val="left" w:pos="1180"/>
          <w:tab w:val="left" w:pos="1181"/>
        </w:tabs>
        <w:spacing w:before="2"/>
        <w:ind w:right="784"/>
        <w:rPr>
          <w:sz w:val="24"/>
        </w:rPr>
      </w:pPr>
      <w:r>
        <w:rPr>
          <w:sz w:val="24"/>
        </w:rPr>
        <w:t>a coupon step-up at the call date will be permissib</w:t>
      </w:r>
      <w:r>
        <w:rPr>
          <w:sz w:val="24"/>
        </w:rPr>
        <w:t>le if in line with market</w:t>
      </w:r>
      <w:r>
        <w:rPr>
          <w:spacing w:val="-32"/>
          <w:sz w:val="24"/>
        </w:rPr>
        <w:t xml:space="preserve"> </w:t>
      </w:r>
      <w:r>
        <w:rPr>
          <w:sz w:val="24"/>
        </w:rPr>
        <w:t>norms for the type of security</w:t>
      </w:r>
      <w:r>
        <w:rPr>
          <w:spacing w:val="-8"/>
          <w:sz w:val="24"/>
        </w:rPr>
        <w:t xml:space="preserve"> </w:t>
      </w:r>
      <w:r>
        <w:rPr>
          <w:sz w:val="24"/>
        </w:rPr>
        <w:t>issued;</w:t>
      </w:r>
    </w:p>
    <w:p w14:paraId="62408388" w14:textId="77777777" w:rsidR="007F424B" w:rsidRDefault="00AB0ACA">
      <w:pPr>
        <w:pStyle w:val="ListParagraph"/>
        <w:numPr>
          <w:ilvl w:val="1"/>
          <w:numId w:val="2"/>
        </w:numPr>
        <w:tabs>
          <w:tab w:val="left" w:pos="1180"/>
          <w:tab w:val="left" w:pos="1181"/>
        </w:tabs>
        <w:spacing w:line="274" w:lineRule="exact"/>
        <w:ind w:hanging="541"/>
        <w:rPr>
          <w:sz w:val="24"/>
        </w:rPr>
      </w:pPr>
      <w:r>
        <w:rPr>
          <w:sz w:val="24"/>
        </w:rPr>
        <w:t>normal tax and regulatory event calls will be permitted;</w:t>
      </w:r>
      <w:r>
        <w:rPr>
          <w:spacing w:val="-8"/>
          <w:sz w:val="24"/>
        </w:rPr>
        <w:t xml:space="preserve"> </w:t>
      </w:r>
      <w:r>
        <w:rPr>
          <w:sz w:val="24"/>
        </w:rPr>
        <w:t>and</w:t>
      </w:r>
    </w:p>
    <w:p w14:paraId="62408389" w14:textId="77777777" w:rsidR="007F424B" w:rsidRDefault="00AB0ACA">
      <w:pPr>
        <w:pStyle w:val="ListParagraph"/>
        <w:numPr>
          <w:ilvl w:val="1"/>
          <w:numId w:val="2"/>
        </w:numPr>
        <w:tabs>
          <w:tab w:val="left" w:pos="1180"/>
          <w:tab w:val="left" w:pos="1181"/>
        </w:tabs>
        <w:spacing w:before="2"/>
        <w:ind w:right="653"/>
        <w:rPr>
          <w:sz w:val="24"/>
        </w:rPr>
      </w:pPr>
      <w:r>
        <w:rPr>
          <w:sz w:val="24"/>
        </w:rPr>
        <w:t xml:space="preserve">repayment / redemption at call or maturity will </w:t>
      </w:r>
      <w:r>
        <w:rPr>
          <w:spacing w:val="2"/>
          <w:sz w:val="24"/>
        </w:rPr>
        <w:t xml:space="preserve">only </w:t>
      </w:r>
      <w:r>
        <w:rPr>
          <w:sz w:val="24"/>
        </w:rPr>
        <w:t>be permissible with</w:t>
      </w:r>
      <w:r>
        <w:rPr>
          <w:spacing w:val="-39"/>
          <w:sz w:val="24"/>
        </w:rPr>
        <w:t xml:space="preserve"> </w:t>
      </w:r>
      <w:proofErr w:type="spellStart"/>
      <w:r>
        <w:rPr>
          <w:sz w:val="24"/>
        </w:rPr>
        <w:t>regulator</w:t>
      </w:r>
      <w:proofErr w:type="spellEnd"/>
      <w:r>
        <w:rPr>
          <w:sz w:val="24"/>
        </w:rPr>
        <w:t xml:space="preserve"> approval.</w:t>
      </w:r>
    </w:p>
    <w:p w14:paraId="6240838A" w14:textId="77777777" w:rsidR="007F424B" w:rsidRDefault="007F424B">
      <w:pPr>
        <w:pStyle w:val="BodyText"/>
        <w:spacing w:before="11"/>
        <w:rPr>
          <w:sz w:val="23"/>
        </w:rPr>
      </w:pPr>
    </w:p>
    <w:p w14:paraId="6240838B" w14:textId="77777777" w:rsidR="007F424B" w:rsidRDefault="00AB0ACA">
      <w:pPr>
        <w:pStyle w:val="ListParagraph"/>
        <w:numPr>
          <w:ilvl w:val="0"/>
          <w:numId w:val="2"/>
        </w:numPr>
        <w:tabs>
          <w:tab w:val="left" w:pos="640"/>
          <w:tab w:val="left" w:pos="641"/>
        </w:tabs>
        <w:ind w:hanging="541"/>
        <w:rPr>
          <w:sz w:val="24"/>
        </w:rPr>
      </w:pPr>
      <w:r>
        <w:rPr>
          <w:sz w:val="24"/>
        </w:rPr>
        <w:t>Coupon – the coupon of the instrument must meet the following</w:t>
      </w:r>
      <w:r>
        <w:rPr>
          <w:spacing w:val="-13"/>
          <w:sz w:val="24"/>
        </w:rPr>
        <w:t xml:space="preserve"> </w:t>
      </w:r>
      <w:r>
        <w:rPr>
          <w:sz w:val="24"/>
        </w:rPr>
        <w:t>criteria:</w:t>
      </w:r>
    </w:p>
    <w:p w14:paraId="6240838C" w14:textId="77777777" w:rsidR="007F424B" w:rsidRDefault="007F424B">
      <w:pPr>
        <w:pStyle w:val="BodyText"/>
      </w:pPr>
    </w:p>
    <w:p w14:paraId="6240838D" w14:textId="77777777" w:rsidR="007F424B" w:rsidRDefault="00AB0ACA">
      <w:pPr>
        <w:pStyle w:val="ListParagraph"/>
        <w:numPr>
          <w:ilvl w:val="1"/>
          <w:numId w:val="2"/>
        </w:numPr>
        <w:tabs>
          <w:tab w:val="left" w:pos="1180"/>
          <w:tab w:val="left" w:pos="1181"/>
        </w:tabs>
        <w:ind w:right="1003"/>
        <w:rPr>
          <w:sz w:val="24"/>
        </w:rPr>
      </w:pPr>
      <w:r>
        <w:rPr>
          <w:sz w:val="24"/>
        </w:rPr>
        <w:t>the instrument offers a margin (over fixed or floating rate benchmark) fixed at time of</w:t>
      </w:r>
      <w:r>
        <w:rPr>
          <w:spacing w:val="-4"/>
          <w:sz w:val="24"/>
        </w:rPr>
        <w:t xml:space="preserve"> </w:t>
      </w:r>
      <w:r>
        <w:rPr>
          <w:sz w:val="24"/>
        </w:rPr>
        <w:t>issue;</w:t>
      </w:r>
    </w:p>
    <w:p w14:paraId="6240838E" w14:textId="77777777" w:rsidR="007F424B" w:rsidRDefault="00AB0ACA">
      <w:pPr>
        <w:pStyle w:val="ListParagraph"/>
        <w:numPr>
          <w:ilvl w:val="1"/>
          <w:numId w:val="2"/>
        </w:numPr>
        <w:tabs>
          <w:tab w:val="left" w:pos="1180"/>
          <w:tab w:val="left" w:pos="1181"/>
        </w:tabs>
        <w:ind w:right="695"/>
        <w:rPr>
          <w:sz w:val="24"/>
        </w:rPr>
      </w:pPr>
      <w:r>
        <w:rPr>
          <w:sz w:val="24"/>
        </w:rPr>
        <w:t>the instrument may convert from fixed to floating rate, providing the floating</w:t>
      </w:r>
      <w:r>
        <w:rPr>
          <w:spacing w:val="-36"/>
          <w:sz w:val="24"/>
        </w:rPr>
        <w:t xml:space="preserve"> </w:t>
      </w:r>
      <w:r>
        <w:rPr>
          <w:sz w:val="24"/>
        </w:rPr>
        <w:t>rate marg</w:t>
      </w:r>
      <w:r>
        <w:rPr>
          <w:sz w:val="24"/>
        </w:rPr>
        <w:t>in is set at time of</w:t>
      </w:r>
      <w:r>
        <w:rPr>
          <w:spacing w:val="-5"/>
          <w:sz w:val="24"/>
        </w:rPr>
        <w:t xml:space="preserve"> </w:t>
      </w:r>
      <w:r>
        <w:rPr>
          <w:sz w:val="24"/>
        </w:rPr>
        <w:t>issue;</w:t>
      </w:r>
    </w:p>
    <w:p w14:paraId="6240838F" w14:textId="77777777" w:rsidR="007F424B" w:rsidRDefault="00AB0ACA">
      <w:pPr>
        <w:pStyle w:val="ListParagraph"/>
        <w:numPr>
          <w:ilvl w:val="1"/>
          <w:numId w:val="2"/>
        </w:numPr>
        <w:tabs>
          <w:tab w:val="left" w:pos="1180"/>
          <w:tab w:val="left" w:pos="1181"/>
        </w:tabs>
        <w:ind w:right="609"/>
        <w:rPr>
          <w:sz w:val="24"/>
        </w:rPr>
      </w:pPr>
      <w:r>
        <w:rPr>
          <w:sz w:val="24"/>
        </w:rPr>
        <w:t xml:space="preserve">any step-up margin must be set at time of issue. Unless APRA determines in writing in relation to a particular class of instrument, there </w:t>
      </w:r>
      <w:r>
        <w:rPr>
          <w:spacing w:val="4"/>
          <w:sz w:val="24"/>
        </w:rPr>
        <w:t xml:space="preserve">is </w:t>
      </w:r>
      <w:r>
        <w:rPr>
          <w:sz w:val="24"/>
        </w:rPr>
        <w:t>no prescribed limitation on the step-up margin, provided it reflects norms at time of i</w:t>
      </w:r>
      <w:r>
        <w:rPr>
          <w:sz w:val="24"/>
        </w:rPr>
        <w:t>ssue for the type of security to be issued;</w:t>
      </w:r>
      <w:r>
        <w:rPr>
          <w:spacing w:val="-8"/>
          <w:sz w:val="24"/>
        </w:rPr>
        <w:t xml:space="preserve"> </w:t>
      </w:r>
      <w:r>
        <w:rPr>
          <w:sz w:val="24"/>
        </w:rPr>
        <w:t>and</w:t>
      </w:r>
    </w:p>
    <w:p w14:paraId="62408390" w14:textId="77777777" w:rsidR="007F424B" w:rsidRDefault="00AB0ACA">
      <w:pPr>
        <w:pStyle w:val="ListParagraph"/>
        <w:numPr>
          <w:ilvl w:val="1"/>
          <w:numId w:val="2"/>
        </w:numPr>
        <w:tabs>
          <w:tab w:val="left" w:pos="1180"/>
          <w:tab w:val="left" w:pos="1181"/>
        </w:tabs>
        <w:ind w:right="1351"/>
        <w:rPr>
          <w:sz w:val="24"/>
        </w:rPr>
      </w:pPr>
      <w:r>
        <w:rPr>
          <w:sz w:val="24"/>
        </w:rPr>
        <w:t>the instrument provides for mandatory deferral, either non-cumulative or cumulative non-compounding (but deferral must not constitute an event of default).</w:t>
      </w:r>
    </w:p>
    <w:p w14:paraId="62408391" w14:textId="77777777" w:rsidR="007F424B" w:rsidRDefault="007F424B">
      <w:pPr>
        <w:pStyle w:val="BodyText"/>
        <w:spacing w:before="10"/>
        <w:rPr>
          <w:sz w:val="23"/>
        </w:rPr>
      </w:pPr>
    </w:p>
    <w:p w14:paraId="62408392" w14:textId="77777777" w:rsidR="007F424B" w:rsidRDefault="00AB0ACA">
      <w:pPr>
        <w:pStyle w:val="ListParagraph"/>
        <w:numPr>
          <w:ilvl w:val="0"/>
          <w:numId w:val="2"/>
        </w:numPr>
        <w:tabs>
          <w:tab w:val="left" w:pos="640"/>
          <w:tab w:val="left" w:pos="641"/>
        </w:tabs>
        <w:ind w:hanging="541"/>
        <w:rPr>
          <w:sz w:val="24"/>
        </w:rPr>
      </w:pPr>
      <w:r>
        <w:rPr>
          <w:sz w:val="24"/>
        </w:rPr>
        <w:t>Subordination – the subordination of the instrument</w:t>
      </w:r>
      <w:r>
        <w:rPr>
          <w:sz w:val="24"/>
        </w:rPr>
        <w:t xml:space="preserve"> must meet the following</w:t>
      </w:r>
      <w:r>
        <w:rPr>
          <w:spacing w:val="-16"/>
          <w:sz w:val="24"/>
        </w:rPr>
        <w:t xml:space="preserve"> </w:t>
      </w:r>
      <w:r>
        <w:rPr>
          <w:sz w:val="24"/>
        </w:rPr>
        <w:t>criteria:</w:t>
      </w:r>
    </w:p>
    <w:p w14:paraId="62408393" w14:textId="77777777" w:rsidR="007F424B" w:rsidRDefault="007F424B">
      <w:pPr>
        <w:pStyle w:val="BodyText"/>
      </w:pPr>
    </w:p>
    <w:p w14:paraId="62408394" w14:textId="77777777" w:rsidR="007F424B" w:rsidRDefault="00AB0ACA">
      <w:pPr>
        <w:pStyle w:val="ListParagraph"/>
        <w:numPr>
          <w:ilvl w:val="1"/>
          <w:numId w:val="2"/>
        </w:numPr>
        <w:tabs>
          <w:tab w:val="left" w:pos="1180"/>
          <w:tab w:val="left" w:pos="1181"/>
        </w:tabs>
        <w:ind w:hanging="541"/>
        <w:rPr>
          <w:sz w:val="24"/>
        </w:rPr>
      </w:pPr>
      <w:r>
        <w:rPr>
          <w:sz w:val="24"/>
        </w:rPr>
        <w:t>the instrument may rank ahead of ordinary</w:t>
      </w:r>
      <w:r>
        <w:rPr>
          <w:spacing w:val="-13"/>
          <w:sz w:val="24"/>
        </w:rPr>
        <w:t xml:space="preserve"> </w:t>
      </w:r>
      <w:r>
        <w:rPr>
          <w:sz w:val="24"/>
        </w:rPr>
        <w:t>shares;</w:t>
      </w:r>
    </w:p>
    <w:p w14:paraId="62408395" w14:textId="77777777" w:rsidR="007F424B" w:rsidRDefault="007F424B">
      <w:pPr>
        <w:rPr>
          <w:sz w:val="24"/>
        </w:rPr>
        <w:sectPr w:rsidR="007F424B">
          <w:pgSz w:w="11910" w:h="16840"/>
          <w:pgMar w:top="1580" w:right="880" w:bottom="900" w:left="1340" w:header="0" w:footer="710" w:gutter="0"/>
          <w:cols w:space="720"/>
        </w:sectPr>
      </w:pPr>
    </w:p>
    <w:p w14:paraId="62408396" w14:textId="77777777" w:rsidR="007F424B" w:rsidRDefault="00AB0ACA">
      <w:pPr>
        <w:pStyle w:val="ListParagraph"/>
        <w:numPr>
          <w:ilvl w:val="1"/>
          <w:numId w:val="2"/>
        </w:numPr>
        <w:tabs>
          <w:tab w:val="left" w:pos="1180"/>
          <w:tab w:val="left" w:pos="1181"/>
        </w:tabs>
        <w:spacing w:before="71"/>
        <w:ind w:right="574"/>
        <w:rPr>
          <w:sz w:val="24"/>
        </w:rPr>
      </w:pPr>
      <w:r>
        <w:rPr>
          <w:sz w:val="24"/>
        </w:rPr>
        <w:lastRenderedPageBreak/>
        <w:t xml:space="preserve">the instrument may rank no better that </w:t>
      </w:r>
      <w:proofErr w:type="spellStart"/>
      <w:r>
        <w:rPr>
          <w:sz w:val="24"/>
        </w:rPr>
        <w:t>pari-passu</w:t>
      </w:r>
      <w:proofErr w:type="spellEnd"/>
      <w:r>
        <w:rPr>
          <w:sz w:val="24"/>
        </w:rPr>
        <w:t xml:space="preserve"> with similar deeply subordinated instruments (including preference</w:t>
      </w:r>
      <w:r>
        <w:rPr>
          <w:spacing w:val="-5"/>
          <w:sz w:val="24"/>
        </w:rPr>
        <w:t xml:space="preserve"> </w:t>
      </w:r>
      <w:r>
        <w:rPr>
          <w:sz w:val="24"/>
        </w:rPr>
        <w:t>shares);</w:t>
      </w:r>
    </w:p>
    <w:p w14:paraId="62408397" w14:textId="77777777" w:rsidR="007F424B" w:rsidRDefault="00AB0ACA">
      <w:pPr>
        <w:pStyle w:val="ListParagraph"/>
        <w:numPr>
          <w:ilvl w:val="1"/>
          <w:numId w:val="2"/>
        </w:numPr>
        <w:tabs>
          <w:tab w:val="left" w:pos="1180"/>
          <w:tab w:val="left" w:pos="1181"/>
        </w:tabs>
        <w:spacing w:line="274" w:lineRule="exact"/>
        <w:ind w:hanging="541"/>
        <w:rPr>
          <w:sz w:val="24"/>
        </w:rPr>
      </w:pPr>
      <w:r>
        <w:rPr>
          <w:sz w:val="24"/>
        </w:rPr>
        <w:t>the instrument must rank b</w:t>
      </w:r>
      <w:r>
        <w:rPr>
          <w:sz w:val="24"/>
        </w:rPr>
        <w:t>ehind subordinated debt and unsecured creditors;</w:t>
      </w:r>
      <w:r>
        <w:rPr>
          <w:spacing w:val="-16"/>
          <w:sz w:val="24"/>
        </w:rPr>
        <w:t xml:space="preserve"> </w:t>
      </w:r>
      <w:r>
        <w:rPr>
          <w:sz w:val="24"/>
        </w:rPr>
        <w:t>and</w:t>
      </w:r>
    </w:p>
    <w:p w14:paraId="62408398" w14:textId="77777777" w:rsidR="007F424B" w:rsidRDefault="00AB0ACA">
      <w:pPr>
        <w:pStyle w:val="ListParagraph"/>
        <w:numPr>
          <w:ilvl w:val="1"/>
          <w:numId w:val="2"/>
        </w:numPr>
        <w:tabs>
          <w:tab w:val="left" w:pos="1180"/>
          <w:tab w:val="left" w:pos="1181"/>
        </w:tabs>
        <w:spacing w:before="2" w:line="288" w:lineRule="auto"/>
        <w:ind w:right="1492"/>
        <w:rPr>
          <w:sz w:val="16"/>
        </w:rPr>
      </w:pPr>
      <w:r>
        <w:rPr>
          <w:sz w:val="24"/>
        </w:rPr>
        <w:t>there is no mandatory conversion to preference shares on occurrence of</w:t>
      </w:r>
      <w:r>
        <w:rPr>
          <w:spacing w:val="-26"/>
          <w:sz w:val="24"/>
        </w:rPr>
        <w:t xml:space="preserve"> </w:t>
      </w:r>
      <w:r>
        <w:rPr>
          <w:sz w:val="24"/>
        </w:rPr>
        <w:t>a regulatory event (as that term is commonly</w:t>
      </w:r>
      <w:r>
        <w:rPr>
          <w:spacing w:val="-16"/>
          <w:sz w:val="24"/>
        </w:rPr>
        <w:t xml:space="preserve"> </w:t>
      </w:r>
      <w:r>
        <w:rPr>
          <w:sz w:val="24"/>
        </w:rPr>
        <w:t>defined).</w:t>
      </w:r>
    </w:p>
    <w:sectPr w:rsidR="007F424B">
      <w:pgSz w:w="11910" w:h="16840"/>
      <w:pgMar w:top="1580" w:right="880" w:bottom="900" w:left="134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083A4" w14:textId="77777777" w:rsidR="00000000" w:rsidRDefault="00AB0ACA">
      <w:r>
        <w:separator/>
      </w:r>
    </w:p>
  </w:endnote>
  <w:endnote w:type="continuationSeparator" w:id="0">
    <w:p w14:paraId="624083A6" w14:textId="77777777" w:rsidR="00000000" w:rsidRDefault="00AB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839D" w14:textId="77777777" w:rsidR="007F424B" w:rsidRDefault="00AB0ACA">
    <w:pPr>
      <w:pStyle w:val="BodyText"/>
      <w:spacing w:line="14" w:lineRule="auto"/>
      <w:rPr>
        <w:sz w:val="20"/>
      </w:rPr>
    </w:pPr>
    <w:r>
      <w:pict w14:anchorId="624083A0">
        <v:shapetype id="_x0000_t202" coordsize="21600,21600" o:spt="202" path="m,l,21600r21600,l21600,xe">
          <v:stroke joinstyle="miter"/>
          <v:path gradientshapeok="t" o:connecttype="rect"/>
        </v:shapetype>
        <v:shape id="_x0000_s2050" type="#_x0000_t202" style="position:absolute;margin-left:453.35pt;margin-top:784.5pt;width:53.15pt;height:12.1pt;z-index:-252090368;mso-position-horizontal-relative:page;mso-position-vertical-relative:page" filled="f" stroked="f">
          <v:textbox inset="0,0,0,0">
            <w:txbxContent>
              <w:p w14:paraId="624083A2" w14:textId="77777777" w:rsidR="007F424B" w:rsidRDefault="00AB0ACA">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1</w:t>
                </w:r>
                <w:r>
                  <w:fldChar w:fldCharType="end"/>
                </w:r>
                <w:r>
                  <w:rPr>
                    <w:rFonts w:ascii="Arial"/>
                    <w:sz w:val="18"/>
                  </w:rPr>
                  <w:t xml:space="preserve"> of 15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839E" w14:textId="77777777" w:rsidR="007F424B" w:rsidRDefault="007F424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839F" w14:textId="77777777" w:rsidR="007F424B" w:rsidRDefault="00AB0ACA">
    <w:pPr>
      <w:pStyle w:val="BodyText"/>
      <w:spacing w:line="14" w:lineRule="auto"/>
      <w:rPr>
        <w:sz w:val="20"/>
      </w:rPr>
    </w:pPr>
    <w:r>
      <w:pict w14:anchorId="624083A1">
        <v:shapetype id="_x0000_t202" coordsize="21600,21600" o:spt="202" path="m,l,21600r21600,l21600,xe">
          <v:stroke joinstyle="miter"/>
          <v:path gradientshapeok="t" o:connecttype="rect"/>
        </v:shapetype>
        <v:shape id="_x0000_s2049" type="#_x0000_t202" style="position:absolute;margin-left:466.35pt;margin-top:795.35pt;width:58.15pt;height:12.1pt;z-index:-252089344;mso-position-horizontal-relative:page;mso-position-vertical-relative:page" filled="f" stroked="f">
          <v:textbox inset="0,0,0,0">
            <w:txbxContent>
              <w:p w14:paraId="624083A3" w14:textId="77777777" w:rsidR="007F424B" w:rsidRDefault="00AB0ACA">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11</w:t>
                </w:r>
                <w:r>
                  <w:fldChar w:fldCharType="end"/>
                </w:r>
                <w:r>
                  <w:rPr>
                    <w:rFonts w:ascii="Arial"/>
                    <w:sz w:val="18"/>
                  </w:rPr>
                  <w:t xml:space="preserve"> of 15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083A0" w14:textId="77777777" w:rsidR="00000000" w:rsidRDefault="00AB0ACA">
      <w:r>
        <w:separator/>
      </w:r>
    </w:p>
  </w:footnote>
  <w:footnote w:type="continuationSeparator" w:id="0">
    <w:p w14:paraId="624083A2" w14:textId="77777777" w:rsidR="00000000" w:rsidRDefault="00AB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67BE" w14:textId="15791AA8" w:rsidR="00AB0ACA" w:rsidRDefault="00AB0ACA">
    <w:pPr>
      <w:pStyle w:val="Header"/>
    </w:pPr>
  </w:p>
  <w:p w14:paraId="1FCE0D23" w14:textId="77777777" w:rsidR="00AB0ACA" w:rsidRDefault="00AB0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AB0ACA" w:rsidRPr="00CE796A" w14:paraId="088F7247" w14:textId="77777777" w:rsidTr="001B6C4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DD23445" w14:textId="77777777" w:rsidR="00AB0ACA" w:rsidRPr="00CE796A" w:rsidRDefault="00AB0ACA" w:rsidP="00AB0ACA">
          <w:pPr>
            <w:spacing w:before="60"/>
            <w:ind w:left="-51"/>
            <w:rPr>
              <w:rFonts w:ascii="Arial" w:hAnsi="Arial"/>
              <w:sz w:val="12"/>
            </w:rPr>
          </w:pPr>
          <w:bookmarkStart w:id="1" w:name="OLE_LINK2"/>
          <w:r>
            <w:rPr>
              <w:rFonts w:ascii="Arial" w:hAnsi="Arial"/>
              <w:noProof/>
              <w:sz w:val="12"/>
              <w:lang w:eastAsia="en-AU"/>
            </w:rPr>
            <w:drawing>
              <wp:inline distT="0" distB="0" distL="0" distR="0" wp14:anchorId="16ADDEED" wp14:editId="274DE9A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42C07B9" w14:textId="77777777" w:rsidR="00AB0ACA" w:rsidRPr="00CE796A" w:rsidRDefault="00AB0ACA" w:rsidP="00AB0ACA">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830F0B6" w14:textId="77777777" w:rsidR="00AB0ACA" w:rsidRPr="00CE796A" w:rsidRDefault="00AB0ACA" w:rsidP="00AB0ACA">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AB0ACA" w:rsidRPr="00CE796A" w14:paraId="2F2E1A26" w14:textId="77777777" w:rsidTr="001B6C4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21FC086" w14:textId="77777777" w:rsidR="00AB0ACA" w:rsidRPr="00CE796A" w:rsidRDefault="00AB0ACA" w:rsidP="00AB0ACA">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7298709" w14:textId="77777777" w:rsidR="00AB0ACA" w:rsidRPr="00840A06" w:rsidRDefault="00AB0ACA" w:rsidP="00AB0ACA">
          <w:pPr>
            <w:jc w:val="right"/>
            <w:rPr>
              <w:rFonts w:ascii="Arial" w:hAnsi="Arial" w:cs="Arial"/>
              <w:b/>
              <w:sz w:val="24"/>
              <w:szCs w:val="24"/>
            </w:rPr>
          </w:pPr>
          <w:r w:rsidRPr="00840A06">
            <w:rPr>
              <w:rFonts w:ascii="Arial" w:hAnsi="Arial" w:cs="Arial"/>
              <w:b/>
              <w:sz w:val="24"/>
              <w:szCs w:val="24"/>
            </w:rPr>
            <w:t>GOVERNMENT NOTICES</w:t>
          </w:r>
        </w:p>
      </w:tc>
    </w:tr>
    <w:bookmarkEnd w:id="1"/>
  </w:tbl>
  <w:p w14:paraId="442FCA95" w14:textId="77777777" w:rsidR="00AB0ACA" w:rsidRDefault="00AB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C56"/>
    <w:multiLevelType w:val="hybridMultilevel"/>
    <w:tmpl w:val="D4D6B798"/>
    <w:lvl w:ilvl="0" w:tplc="C64CE254">
      <w:start w:val="1"/>
      <w:numFmt w:val="decimal"/>
      <w:lvlText w:val="%1."/>
      <w:lvlJc w:val="left"/>
      <w:pPr>
        <w:ind w:left="1000" w:hanging="540"/>
        <w:jc w:val="right"/>
      </w:pPr>
      <w:rPr>
        <w:rFonts w:ascii="Times New Roman" w:eastAsia="Times New Roman" w:hAnsi="Times New Roman" w:cs="Times New Roman" w:hint="default"/>
        <w:spacing w:val="-3"/>
        <w:w w:val="99"/>
        <w:sz w:val="24"/>
        <w:szCs w:val="24"/>
        <w:lang w:val="en-US" w:eastAsia="en-US" w:bidi="en-US"/>
      </w:rPr>
    </w:lvl>
    <w:lvl w:ilvl="1" w:tplc="49966112">
      <w:start w:val="1"/>
      <w:numFmt w:val="lowerLetter"/>
      <w:lvlText w:val="(%2)"/>
      <w:lvlJc w:val="left"/>
      <w:pPr>
        <w:ind w:left="1540" w:hanging="720"/>
        <w:jc w:val="left"/>
      </w:pPr>
      <w:rPr>
        <w:rFonts w:ascii="Times New Roman" w:eastAsia="Times New Roman" w:hAnsi="Times New Roman" w:cs="Times New Roman" w:hint="default"/>
        <w:spacing w:val="-3"/>
        <w:w w:val="99"/>
        <w:sz w:val="24"/>
        <w:szCs w:val="24"/>
        <w:lang w:val="en-US" w:eastAsia="en-US" w:bidi="en-US"/>
      </w:rPr>
    </w:lvl>
    <w:lvl w:ilvl="2" w:tplc="8D56819E">
      <w:numFmt w:val="bullet"/>
      <w:lvlText w:val="•"/>
      <w:lvlJc w:val="left"/>
      <w:pPr>
        <w:ind w:left="1540" w:hanging="720"/>
      </w:pPr>
      <w:rPr>
        <w:rFonts w:hint="default"/>
        <w:lang w:val="en-US" w:eastAsia="en-US" w:bidi="en-US"/>
      </w:rPr>
    </w:lvl>
    <w:lvl w:ilvl="3" w:tplc="E9D04E74">
      <w:numFmt w:val="bullet"/>
      <w:lvlText w:val="•"/>
      <w:lvlJc w:val="left"/>
      <w:pPr>
        <w:ind w:left="2558" w:hanging="720"/>
      </w:pPr>
      <w:rPr>
        <w:rFonts w:hint="default"/>
        <w:lang w:val="en-US" w:eastAsia="en-US" w:bidi="en-US"/>
      </w:rPr>
    </w:lvl>
    <w:lvl w:ilvl="4" w:tplc="2C5AFEF4">
      <w:numFmt w:val="bullet"/>
      <w:lvlText w:val="•"/>
      <w:lvlJc w:val="left"/>
      <w:pPr>
        <w:ind w:left="3576" w:hanging="720"/>
      </w:pPr>
      <w:rPr>
        <w:rFonts w:hint="default"/>
        <w:lang w:val="en-US" w:eastAsia="en-US" w:bidi="en-US"/>
      </w:rPr>
    </w:lvl>
    <w:lvl w:ilvl="5" w:tplc="8B140F30">
      <w:numFmt w:val="bullet"/>
      <w:lvlText w:val="•"/>
      <w:lvlJc w:val="left"/>
      <w:pPr>
        <w:ind w:left="4594" w:hanging="720"/>
      </w:pPr>
      <w:rPr>
        <w:rFonts w:hint="default"/>
        <w:lang w:val="en-US" w:eastAsia="en-US" w:bidi="en-US"/>
      </w:rPr>
    </w:lvl>
    <w:lvl w:ilvl="6" w:tplc="1410FC8A">
      <w:numFmt w:val="bullet"/>
      <w:lvlText w:val="•"/>
      <w:lvlJc w:val="left"/>
      <w:pPr>
        <w:ind w:left="5612" w:hanging="720"/>
      </w:pPr>
      <w:rPr>
        <w:rFonts w:hint="default"/>
        <w:lang w:val="en-US" w:eastAsia="en-US" w:bidi="en-US"/>
      </w:rPr>
    </w:lvl>
    <w:lvl w:ilvl="7" w:tplc="FD6845E4">
      <w:numFmt w:val="bullet"/>
      <w:lvlText w:val="•"/>
      <w:lvlJc w:val="left"/>
      <w:pPr>
        <w:ind w:left="6630" w:hanging="720"/>
      </w:pPr>
      <w:rPr>
        <w:rFonts w:hint="default"/>
        <w:lang w:val="en-US" w:eastAsia="en-US" w:bidi="en-US"/>
      </w:rPr>
    </w:lvl>
    <w:lvl w:ilvl="8" w:tplc="AAC6FB1E">
      <w:numFmt w:val="bullet"/>
      <w:lvlText w:val="•"/>
      <w:lvlJc w:val="left"/>
      <w:pPr>
        <w:ind w:left="7648" w:hanging="720"/>
      </w:pPr>
      <w:rPr>
        <w:rFonts w:hint="default"/>
        <w:lang w:val="en-US" w:eastAsia="en-US" w:bidi="en-US"/>
      </w:rPr>
    </w:lvl>
  </w:abstractNum>
  <w:abstractNum w:abstractNumId="1" w15:restartNumberingAfterBreak="0">
    <w:nsid w:val="1FBD5AF0"/>
    <w:multiLevelType w:val="hybridMultilevel"/>
    <w:tmpl w:val="0270C138"/>
    <w:lvl w:ilvl="0" w:tplc="F3AE22C0">
      <w:start w:val="1"/>
      <w:numFmt w:val="lowerLetter"/>
      <w:lvlText w:val="(%1)"/>
      <w:lvlJc w:val="left"/>
      <w:pPr>
        <w:ind w:left="1028" w:hanging="425"/>
        <w:jc w:val="left"/>
      </w:pPr>
      <w:rPr>
        <w:rFonts w:ascii="Times New Roman" w:eastAsia="Times New Roman" w:hAnsi="Times New Roman" w:cs="Times New Roman" w:hint="default"/>
        <w:spacing w:val="-23"/>
        <w:w w:val="99"/>
        <w:sz w:val="24"/>
        <w:szCs w:val="24"/>
        <w:lang w:val="en-US" w:eastAsia="en-US" w:bidi="en-US"/>
      </w:rPr>
    </w:lvl>
    <w:lvl w:ilvl="1" w:tplc="81286E4E">
      <w:start w:val="1"/>
      <w:numFmt w:val="lowerRoman"/>
      <w:lvlText w:val="(%2)"/>
      <w:lvlJc w:val="left"/>
      <w:pPr>
        <w:ind w:left="1595" w:hanging="235"/>
        <w:jc w:val="left"/>
      </w:pPr>
      <w:rPr>
        <w:rFonts w:ascii="Times New Roman" w:eastAsia="Times New Roman" w:hAnsi="Times New Roman" w:cs="Times New Roman" w:hint="default"/>
        <w:w w:val="99"/>
        <w:sz w:val="22"/>
        <w:szCs w:val="22"/>
        <w:lang w:val="en-US" w:eastAsia="en-US" w:bidi="en-US"/>
      </w:rPr>
    </w:lvl>
    <w:lvl w:ilvl="2" w:tplc="1C94B92C">
      <w:numFmt w:val="bullet"/>
      <w:lvlText w:val="•"/>
      <w:lvlJc w:val="left"/>
      <w:pPr>
        <w:ind w:left="2498" w:hanging="235"/>
      </w:pPr>
      <w:rPr>
        <w:rFonts w:hint="default"/>
        <w:lang w:val="en-US" w:eastAsia="en-US" w:bidi="en-US"/>
      </w:rPr>
    </w:lvl>
    <w:lvl w:ilvl="3" w:tplc="7716E69A">
      <w:numFmt w:val="bullet"/>
      <w:lvlText w:val="•"/>
      <w:lvlJc w:val="left"/>
      <w:pPr>
        <w:ind w:left="3396" w:hanging="235"/>
      </w:pPr>
      <w:rPr>
        <w:rFonts w:hint="default"/>
        <w:lang w:val="en-US" w:eastAsia="en-US" w:bidi="en-US"/>
      </w:rPr>
    </w:lvl>
    <w:lvl w:ilvl="4" w:tplc="2C7AD0C0">
      <w:numFmt w:val="bullet"/>
      <w:lvlText w:val="•"/>
      <w:lvlJc w:val="left"/>
      <w:pPr>
        <w:ind w:left="4295" w:hanging="235"/>
      </w:pPr>
      <w:rPr>
        <w:rFonts w:hint="default"/>
        <w:lang w:val="en-US" w:eastAsia="en-US" w:bidi="en-US"/>
      </w:rPr>
    </w:lvl>
    <w:lvl w:ilvl="5" w:tplc="05CE28C6">
      <w:numFmt w:val="bullet"/>
      <w:lvlText w:val="•"/>
      <w:lvlJc w:val="left"/>
      <w:pPr>
        <w:ind w:left="5193" w:hanging="235"/>
      </w:pPr>
      <w:rPr>
        <w:rFonts w:hint="default"/>
        <w:lang w:val="en-US" w:eastAsia="en-US" w:bidi="en-US"/>
      </w:rPr>
    </w:lvl>
    <w:lvl w:ilvl="6" w:tplc="792C2D20">
      <w:numFmt w:val="bullet"/>
      <w:lvlText w:val="•"/>
      <w:lvlJc w:val="left"/>
      <w:pPr>
        <w:ind w:left="6091" w:hanging="235"/>
      </w:pPr>
      <w:rPr>
        <w:rFonts w:hint="default"/>
        <w:lang w:val="en-US" w:eastAsia="en-US" w:bidi="en-US"/>
      </w:rPr>
    </w:lvl>
    <w:lvl w:ilvl="7" w:tplc="A4A02EF0">
      <w:numFmt w:val="bullet"/>
      <w:lvlText w:val="•"/>
      <w:lvlJc w:val="left"/>
      <w:pPr>
        <w:ind w:left="6990" w:hanging="235"/>
      </w:pPr>
      <w:rPr>
        <w:rFonts w:hint="default"/>
        <w:lang w:val="en-US" w:eastAsia="en-US" w:bidi="en-US"/>
      </w:rPr>
    </w:lvl>
    <w:lvl w:ilvl="8" w:tplc="0B620872">
      <w:numFmt w:val="bullet"/>
      <w:lvlText w:val="•"/>
      <w:lvlJc w:val="left"/>
      <w:pPr>
        <w:ind w:left="7888" w:hanging="235"/>
      </w:pPr>
      <w:rPr>
        <w:rFonts w:hint="default"/>
        <w:lang w:val="en-US" w:eastAsia="en-US" w:bidi="en-US"/>
      </w:rPr>
    </w:lvl>
  </w:abstractNum>
  <w:abstractNum w:abstractNumId="2" w15:restartNumberingAfterBreak="0">
    <w:nsid w:val="214D32C5"/>
    <w:multiLevelType w:val="hybridMultilevel"/>
    <w:tmpl w:val="F29E60CE"/>
    <w:lvl w:ilvl="0" w:tplc="364ED138">
      <w:start w:val="1"/>
      <w:numFmt w:val="lowerLetter"/>
      <w:lvlText w:val="(%1)"/>
      <w:lvlJc w:val="left"/>
      <w:pPr>
        <w:ind w:left="1180" w:hanging="360"/>
        <w:jc w:val="left"/>
      </w:pPr>
      <w:rPr>
        <w:rFonts w:ascii="Times New Roman" w:eastAsia="Times New Roman" w:hAnsi="Times New Roman" w:cs="Times New Roman" w:hint="default"/>
        <w:spacing w:val="-28"/>
        <w:w w:val="99"/>
        <w:sz w:val="24"/>
        <w:szCs w:val="24"/>
        <w:lang w:val="en-US" w:eastAsia="en-US" w:bidi="en-US"/>
      </w:rPr>
    </w:lvl>
    <w:lvl w:ilvl="1" w:tplc="F9305710">
      <w:numFmt w:val="bullet"/>
      <w:lvlText w:val="•"/>
      <w:lvlJc w:val="left"/>
      <w:pPr>
        <w:ind w:left="2030" w:hanging="360"/>
      </w:pPr>
      <w:rPr>
        <w:rFonts w:hint="default"/>
        <w:lang w:val="en-US" w:eastAsia="en-US" w:bidi="en-US"/>
      </w:rPr>
    </w:lvl>
    <w:lvl w:ilvl="2" w:tplc="776A8D52">
      <w:numFmt w:val="bullet"/>
      <w:lvlText w:val="•"/>
      <w:lvlJc w:val="left"/>
      <w:pPr>
        <w:ind w:left="2881" w:hanging="360"/>
      </w:pPr>
      <w:rPr>
        <w:rFonts w:hint="default"/>
        <w:lang w:val="en-US" w:eastAsia="en-US" w:bidi="en-US"/>
      </w:rPr>
    </w:lvl>
    <w:lvl w:ilvl="3" w:tplc="05665702">
      <w:numFmt w:val="bullet"/>
      <w:lvlText w:val="•"/>
      <w:lvlJc w:val="left"/>
      <w:pPr>
        <w:ind w:left="3731" w:hanging="360"/>
      </w:pPr>
      <w:rPr>
        <w:rFonts w:hint="default"/>
        <w:lang w:val="en-US" w:eastAsia="en-US" w:bidi="en-US"/>
      </w:rPr>
    </w:lvl>
    <w:lvl w:ilvl="4" w:tplc="6D584BE0">
      <w:numFmt w:val="bullet"/>
      <w:lvlText w:val="•"/>
      <w:lvlJc w:val="left"/>
      <w:pPr>
        <w:ind w:left="4582" w:hanging="360"/>
      </w:pPr>
      <w:rPr>
        <w:rFonts w:hint="default"/>
        <w:lang w:val="en-US" w:eastAsia="en-US" w:bidi="en-US"/>
      </w:rPr>
    </w:lvl>
    <w:lvl w:ilvl="5" w:tplc="436E678C">
      <w:numFmt w:val="bullet"/>
      <w:lvlText w:val="•"/>
      <w:lvlJc w:val="left"/>
      <w:pPr>
        <w:ind w:left="5432" w:hanging="360"/>
      </w:pPr>
      <w:rPr>
        <w:rFonts w:hint="default"/>
        <w:lang w:val="en-US" w:eastAsia="en-US" w:bidi="en-US"/>
      </w:rPr>
    </w:lvl>
    <w:lvl w:ilvl="6" w:tplc="F3F0E33E">
      <w:numFmt w:val="bullet"/>
      <w:lvlText w:val="•"/>
      <w:lvlJc w:val="left"/>
      <w:pPr>
        <w:ind w:left="6283" w:hanging="360"/>
      </w:pPr>
      <w:rPr>
        <w:rFonts w:hint="default"/>
        <w:lang w:val="en-US" w:eastAsia="en-US" w:bidi="en-US"/>
      </w:rPr>
    </w:lvl>
    <w:lvl w:ilvl="7" w:tplc="5C046364">
      <w:numFmt w:val="bullet"/>
      <w:lvlText w:val="•"/>
      <w:lvlJc w:val="left"/>
      <w:pPr>
        <w:ind w:left="7133" w:hanging="360"/>
      </w:pPr>
      <w:rPr>
        <w:rFonts w:hint="default"/>
        <w:lang w:val="en-US" w:eastAsia="en-US" w:bidi="en-US"/>
      </w:rPr>
    </w:lvl>
    <w:lvl w:ilvl="8" w:tplc="708E73B4">
      <w:numFmt w:val="bullet"/>
      <w:lvlText w:val="•"/>
      <w:lvlJc w:val="left"/>
      <w:pPr>
        <w:ind w:left="7984" w:hanging="360"/>
      </w:pPr>
      <w:rPr>
        <w:rFonts w:hint="default"/>
        <w:lang w:val="en-US" w:eastAsia="en-US" w:bidi="en-US"/>
      </w:rPr>
    </w:lvl>
  </w:abstractNum>
  <w:abstractNum w:abstractNumId="3" w15:restartNumberingAfterBreak="0">
    <w:nsid w:val="23617350"/>
    <w:multiLevelType w:val="hybridMultilevel"/>
    <w:tmpl w:val="2A0C8CA8"/>
    <w:lvl w:ilvl="0" w:tplc="A1269D4E">
      <w:start w:val="1"/>
      <w:numFmt w:val="lowerLetter"/>
      <w:lvlText w:val="(%1)"/>
      <w:lvlJc w:val="left"/>
      <w:pPr>
        <w:ind w:left="1028" w:hanging="425"/>
        <w:jc w:val="left"/>
      </w:pPr>
      <w:rPr>
        <w:rFonts w:ascii="Times New Roman" w:eastAsia="Times New Roman" w:hAnsi="Times New Roman" w:cs="Times New Roman" w:hint="default"/>
        <w:spacing w:val="-23"/>
        <w:w w:val="99"/>
        <w:sz w:val="24"/>
        <w:szCs w:val="24"/>
        <w:lang w:val="en-US" w:eastAsia="en-US" w:bidi="en-US"/>
      </w:rPr>
    </w:lvl>
    <w:lvl w:ilvl="1" w:tplc="33165FD8">
      <w:numFmt w:val="bullet"/>
      <w:lvlText w:val="•"/>
      <w:lvlJc w:val="left"/>
      <w:pPr>
        <w:ind w:left="1886" w:hanging="425"/>
      </w:pPr>
      <w:rPr>
        <w:rFonts w:hint="default"/>
        <w:lang w:val="en-US" w:eastAsia="en-US" w:bidi="en-US"/>
      </w:rPr>
    </w:lvl>
    <w:lvl w:ilvl="2" w:tplc="5C127104">
      <w:numFmt w:val="bullet"/>
      <w:lvlText w:val="•"/>
      <w:lvlJc w:val="left"/>
      <w:pPr>
        <w:ind w:left="2753" w:hanging="425"/>
      </w:pPr>
      <w:rPr>
        <w:rFonts w:hint="default"/>
        <w:lang w:val="en-US" w:eastAsia="en-US" w:bidi="en-US"/>
      </w:rPr>
    </w:lvl>
    <w:lvl w:ilvl="3" w:tplc="1BA87582">
      <w:numFmt w:val="bullet"/>
      <w:lvlText w:val="•"/>
      <w:lvlJc w:val="left"/>
      <w:pPr>
        <w:ind w:left="3619" w:hanging="425"/>
      </w:pPr>
      <w:rPr>
        <w:rFonts w:hint="default"/>
        <w:lang w:val="en-US" w:eastAsia="en-US" w:bidi="en-US"/>
      </w:rPr>
    </w:lvl>
    <w:lvl w:ilvl="4" w:tplc="9A80CC6A">
      <w:numFmt w:val="bullet"/>
      <w:lvlText w:val="•"/>
      <w:lvlJc w:val="left"/>
      <w:pPr>
        <w:ind w:left="4486" w:hanging="425"/>
      </w:pPr>
      <w:rPr>
        <w:rFonts w:hint="default"/>
        <w:lang w:val="en-US" w:eastAsia="en-US" w:bidi="en-US"/>
      </w:rPr>
    </w:lvl>
    <w:lvl w:ilvl="5" w:tplc="A13C09E0">
      <w:numFmt w:val="bullet"/>
      <w:lvlText w:val="•"/>
      <w:lvlJc w:val="left"/>
      <w:pPr>
        <w:ind w:left="5352" w:hanging="425"/>
      </w:pPr>
      <w:rPr>
        <w:rFonts w:hint="default"/>
        <w:lang w:val="en-US" w:eastAsia="en-US" w:bidi="en-US"/>
      </w:rPr>
    </w:lvl>
    <w:lvl w:ilvl="6" w:tplc="58FC53EC">
      <w:numFmt w:val="bullet"/>
      <w:lvlText w:val="•"/>
      <w:lvlJc w:val="left"/>
      <w:pPr>
        <w:ind w:left="6219" w:hanging="425"/>
      </w:pPr>
      <w:rPr>
        <w:rFonts w:hint="default"/>
        <w:lang w:val="en-US" w:eastAsia="en-US" w:bidi="en-US"/>
      </w:rPr>
    </w:lvl>
    <w:lvl w:ilvl="7" w:tplc="0F9A02EE">
      <w:numFmt w:val="bullet"/>
      <w:lvlText w:val="•"/>
      <w:lvlJc w:val="left"/>
      <w:pPr>
        <w:ind w:left="7085" w:hanging="425"/>
      </w:pPr>
      <w:rPr>
        <w:rFonts w:hint="default"/>
        <w:lang w:val="en-US" w:eastAsia="en-US" w:bidi="en-US"/>
      </w:rPr>
    </w:lvl>
    <w:lvl w:ilvl="8" w:tplc="A38018EE">
      <w:numFmt w:val="bullet"/>
      <w:lvlText w:val="•"/>
      <w:lvlJc w:val="left"/>
      <w:pPr>
        <w:ind w:left="7952" w:hanging="425"/>
      </w:pPr>
      <w:rPr>
        <w:rFonts w:hint="default"/>
        <w:lang w:val="en-US" w:eastAsia="en-US" w:bidi="en-US"/>
      </w:rPr>
    </w:lvl>
  </w:abstractNum>
  <w:abstractNum w:abstractNumId="4" w15:restartNumberingAfterBreak="0">
    <w:nsid w:val="51433963"/>
    <w:multiLevelType w:val="hybridMultilevel"/>
    <w:tmpl w:val="82D479B0"/>
    <w:lvl w:ilvl="0" w:tplc="E642118E">
      <w:start w:val="1"/>
      <w:numFmt w:val="lowerLetter"/>
      <w:lvlText w:val="(%1)"/>
      <w:lvlJc w:val="left"/>
      <w:pPr>
        <w:ind w:left="1540" w:hanging="720"/>
        <w:jc w:val="left"/>
      </w:pPr>
      <w:rPr>
        <w:rFonts w:ascii="Times New Roman" w:eastAsia="Times New Roman" w:hAnsi="Times New Roman" w:cs="Times New Roman" w:hint="default"/>
        <w:spacing w:val="-3"/>
        <w:w w:val="99"/>
        <w:sz w:val="24"/>
        <w:szCs w:val="24"/>
        <w:lang w:val="en-US" w:eastAsia="en-US" w:bidi="en-US"/>
      </w:rPr>
    </w:lvl>
    <w:lvl w:ilvl="1" w:tplc="D27A4958">
      <w:numFmt w:val="bullet"/>
      <w:lvlText w:val="•"/>
      <w:lvlJc w:val="left"/>
      <w:pPr>
        <w:ind w:left="2354" w:hanging="720"/>
      </w:pPr>
      <w:rPr>
        <w:rFonts w:hint="default"/>
        <w:lang w:val="en-US" w:eastAsia="en-US" w:bidi="en-US"/>
      </w:rPr>
    </w:lvl>
    <w:lvl w:ilvl="2" w:tplc="223017B4">
      <w:numFmt w:val="bullet"/>
      <w:lvlText w:val="•"/>
      <w:lvlJc w:val="left"/>
      <w:pPr>
        <w:ind w:left="3169" w:hanging="720"/>
      </w:pPr>
      <w:rPr>
        <w:rFonts w:hint="default"/>
        <w:lang w:val="en-US" w:eastAsia="en-US" w:bidi="en-US"/>
      </w:rPr>
    </w:lvl>
    <w:lvl w:ilvl="3" w:tplc="D9508B86">
      <w:numFmt w:val="bullet"/>
      <w:lvlText w:val="•"/>
      <w:lvlJc w:val="left"/>
      <w:pPr>
        <w:ind w:left="3983" w:hanging="720"/>
      </w:pPr>
      <w:rPr>
        <w:rFonts w:hint="default"/>
        <w:lang w:val="en-US" w:eastAsia="en-US" w:bidi="en-US"/>
      </w:rPr>
    </w:lvl>
    <w:lvl w:ilvl="4" w:tplc="1D7C7838">
      <w:numFmt w:val="bullet"/>
      <w:lvlText w:val="•"/>
      <w:lvlJc w:val="left"/>
      <w:pPr>
        <w:ind w:left="4798" w:hanging="720"/>
      </w:pPr>
      <w:rPr>
        <w:rFonts w:hint="default"/>
        <w:lang w:val="en-US" w:eastAsia="en-US" w:bidi="en-US"/>
      </w:rPr>
    </w:lvl>
    <w:lvl w:ilvl="5" w:tplc="7E341C64">
      <w:numFmt w:val="bullet"/>
      <w:lvlText w:val="•"/>
      <w:lvlJc w:val="left"/>
      <w:pPr>
        <w:ind w:left="5612" w:hanging="720"/>
      </w:pPr>
      <w:rPr>
        <w:rFonts w:hint="default"/>
        <w:lang w:val="en-US" w:eastAsia="en-US" w:bidi="en-US"/>
      </w:rPr>
    </w:lvl>
    <w:lvl w:ilvl="6" w:tplc="A87883EA">
      <w:numFmt w:val="bullet"/>
      <w:lvlText w:val="•"/>
      <w:lvlJc w:val="left"/>
      <w:pPr>
        <w:ind w:left="6427" w:hanging="720"/>
      </w:pPr>
      <w:rPr>
        <w:rFonts w:hint="default"/>
        <w:lang w:val="en-US" w:eastAsia="en-US" w:bidi="en-US"/>
      </w:rPr>
    </w:lvl>
    <w:lvl w:ilvl="7" w:tplc="12B60DD2">
      <w:numFmt w:val="bullet"/>
      <w:lvlText w:val="•"/>
      <w:lvlJc w:val="left"/>
      <w:pPr>
        <w:ind w:left="7241" w:hanging="720"/>
      </w:pPr>
      <w:rPr>
        <w:rFonts w:hint="default"/>
        <w:lang w:val="en-US" w:eastAsia="en-US" w:bidi="en-US"/>
      </w:rPr>
    </w:lvl>
    <w:lvl w:ilvl="8" w:tplc="6C682CD4">
      <w:numFmt w:val="bullet"/>
      <w:lvlText w:val="•"/>
      <w:lvlJc w:val="left"/>
      <w:pPr>
        <w:ind w:left="8056" w:hanging="720"/>
      </w:pPr>
      <w:rPr>
        <w:rFonts w:hint="default"/>
        <w:lang w:val="en-US" w:eastAsia="en-US" w:bidi="en-US"/>
      </w:rPr>
    </w:lvl>
  </w:abstractNum>
  <w:abstractNum w:abstractNumId="5" w15:restartNumberingAfterBreak="0">
    <w:nsid w:val="57E81E0B"/>
    <w:multiLevelType w:val="hybridMultilevel"/>
    <w:tmpl w:val="9FC4BFF8"/>
    <w:lvl w:ilvl="0" w:tplc="346A0CA6">
      <w:numFmt w:val="bullet"/>
      <w:lvlText w:val=""/>
      <w:lvlJc w:val="left"/>
      <w:pPr>
        <w:ind w:left="640" w:hanging="360"/>
      </w:pPr>
      <w:rPr>
        <w:rFonts w:ascii="Symbol" w:eastAsia="Symbol" w:hAnsi="Symbol" w:cs="Symbol" w:hint="default"/>
        <w:w w:val="100"/>
        <w:sz w:val="24"/>
        <w:szCs w:val="24"/>
        <w:lang w:val="en-US" w:eastAsia="en-US" w:bidi="en-US"/>
      </w:rPr>
    </w:lvl>
    <w:lvl w:ilvl="1" w:tplc="A2924C1E">
      <w:numFmt w:val="bullet"/>
      <w:lvlText w:val="-"/>
      <w:lvlJc w:val="left"/>
      <w:pPr>
        <w:ind w:left="1180" w:hanging="540"/>
      </w:pPr>
      <w:rPr>
        <w:rFonts w:hint="default"/>
        <w:spacing w:val="-6"/>
        <w:w w:val="99"/>
        <w:lang w:val="en-US" w:eastAsia="en-US" w:bidi="en-US"/>
      </w:rPr>
    </w:lvl>
    <w:lvl w:ilvl="2" w:tplc="A1F019A6">
      <w:numFmt w:val="bullet"/>
      <w:lvlText w:val="•"/>
      <w:lvlJc w:val="left"/>
      <w:pPr>
        <w:ind w:left="2125" w:hanging="540"/>
      </w:pPr>
      <w:rPr>
        <w:rFonts w:hint="default"/>
        <w:lang w:val="en-US" w:eastAsia="en-US" w:bidi="en-US"/>
      </w:rPr>
    </w:lvl>
    <w:lvl w:ilvl="3" w:tplc="687E0842">
      <w:numFmt w:val="bullet"/>
      <w:lvlText w:val="•"/>
      <w:lvlJc w:val="left"/>
      <w:pPr>
        <w:ind w:left="3070" w:hanging="540"/>
      </w:pPr>
      <w:rPr>
        <w:rFonts w:hint="default"/>
        <w:lang w:val="en-US" w:eastAsia="en-US" w:bidi="en-US"/>
      </w:rPr>
    </w:lvl>
    <w:lvl w:ilvl="4" w:tplc="46E40A02">
      <w:numFmt w:val="bullet"/>
      <w:lvlText w:val="•"/>
      <w:lvlJc w:val="left"/>
      <w:pPr>
        <w:ind w:left="4015" w:hanging="540"/>
      </w:pPr>
      <w:rPr>
        <w:rFonts w:hint="default"/>
        <w:lang w:val="en-US" w:eastAsia="en-US" w:bidi="en-US"/>
      </w:rPr>
    </w:lvl>
    <w:lvl w:ilvl="5" w:tplc="357C29CE">
      <w:numFmt w:val="bullet"/>
      <w:lvlText w:val="•"/>
      <w:lvlJc w:val="left"/>
      <w:pPr>
        <w:ind w:left="4960" w:hanging="540"/>
      </w:pPr>
      <w:rPr>
        <w:rFonts w:hint="default"/>
        <w:lang w:val="en-US" w:eastAsia="en-US" w:bidi="en-US"/>
      </w:rPr>
    </w:lvl>
    <w:lvl w:ilvl="6" w:tplc="169A920E">
      <w:numFmt w:val="bullet"/>
      <w:lvlText w:val="•"/>
      <w:lvlJc w:val="left"/>
      <w:pPr>
        <w:ind w:left="5905" w:hanging="540"/>
      </w:pPr>
      <w:rPr>
        <w:rFonts w:hint="default"/>
        <w:lang w:val="en-US" w:eastAsia="en-US" w:bidi="en-US"/>
      </w:rPr>
    </w:lvl>
    <w:lvl w:ilvl="7" w:tplc="BAB2F676">
      <w:numFmt w:val="bullet"/>
      <w:lvlText w:val="•"/>
      <w:lvlJc w:val="left"/>
      <w:pPr>
        <w:ind w:left="6850" w:hanging="540"/>
      </w:pPr>
      <w:rPr>
        <w:rFonts w:hint="default"/>
        <w:lang w:val="en-US" w:eastAsia="en-US" w:bidi="en-US"/>
      </w:rPr>
    </w:lvl>
    <w:lvl w:ilvl="8" w:tplc="A684BF24">
      <w:numFmt w:val="bullet"/>
      <w:lvlText w:val="•"/>
      <w:lvlJc w:val="left"/>
      <w:pPr>
        <w:ind w:left="7795" w:hanging="540"/>
      </w:pPr>
      <w:rPr>
        <w:rFonts w:hint="default"/>
        <w:lang w:val="en-US" w:eastAsia="en-US" w:bidi="en-US"/>
      </w:rPr>
    </w:lvl>
  </w:abstractNum>
  <w:abstractNum w:abstractNumId="6" w15:restartNumberingAfterBreak="0">
    <w:nsid w:val="5FD12961"/>
    <w:multiLevelType w:val="hybridMultilevel"/>
    <w:tmpl w:val="2C181A6C"/>
    <w:lvl w:ilvl="0" w:tplc="18467D9E">
      <w:start w:val="1"/>
      <w:numFmt w:val="decimal"/>
      <w:lvlText w:val="%1."/>
      <w:lvlJc w:val="left"/>
      <w:pPr>
        <w:ind w:left="460" w:hanging="360"/>
        <w:jc w:val="left"/>
      </w:pPr>
      <w:rPr>
        <w:rFonts w:ascii="Times New Roman" w:eastAsia="Times New Roman" w:hAnsi="Times New Roman" w:cs="Times New Roman" w:hint="default"/>
        <w:b/>
        <w:bCs/>
        <w:spacing w:val="-3"/>
        <w:w w:val="99"/>
        <w:sz w:val="24"/>
        <w:szCs w:val="24"/>
        <w:lang w:val="en-US" w:eastAsia="en-US" w:bidi="en-US"/>
      </w:rPr>
    </w:lvl>
    <w:lvl w:ilvl="1" w:tplc="7B224150">
      <w:start w:val="1"/>
      <w:numFmt w:val="lowerLetter"/>
      <w:lvlText w:val="%2."/>
      <w:lvlJc w:val="left"/>
      <w:pPr>
        <w:ind w:left="1000" w:hanging="540"/>
        <w:jc w:val="left"/>
      </w:pPr>
      <w:rPr>
        <w:rFonts w:ascii="Times New Roman" w:eastAsia="Times New Roman" w:hAnsi="Times New Roman" w:cs="Times New Roman" w:hint="default"/>
        <w:spacing w:val="-5"/>
        <w:w w:val="99"/>
        <w:sz w:val="24"/>
        <w:szCs w:val="24"/>
        <w:lang w:val="en-US" w:eastAsia="en-US" w:bidi="en-US"/>
      </w:rPr>
    </w:lvl>
    <w:lvl w:ilvl="2" w:tplc="2FB20688">
      <w:numFmt w:val="bullet"/>
      <w:lvlText w:val=""/>
      <w:lvlJc w:val="left"/>
      <w:pPr>
        <w:ind w:left="1540" w:hanging="540"/>
      </w:pPr>
      <w:rPr>
        <w:rFonts w:ascii="Symbol" w:eastAsia="Symbol" w:hAnsi="Symbol" w:cs="Symbol" w:hint="default"/>
        <w:w w:val="100"/>
        <w:sz w:val="22"/>
        <w:szCs w:val="22"/>
        <w:lang w:val="en-US" w:eastAsia="en-US" w:bidi="en-US"/>
      </w:rPr>
    </w:lvl>
    <w:lvl w:ilvl="3" w:tplc="D03E548C">
      <w:numFmt w:val="bullet"/>
      <w:lvlText w:val="•"/>
      <w:lvlJc w:val="left"/>
      <w:pPr>
        <w:ind w:left="2558" w:hanging="540"/>
      </w:pPr>
      <w:rPr>
        <w:rFonts w:hint="default"/>
        <w:lang w:val="en-US" w:eastAsia="en-US" w:bidi="en-US"/>
      </w:rPr>
    </w:lvl>
    <w:lvl w:ilvl="4" w:tplc="EA1233E0">
      <w:numFmt w:val="bullet"/>
      <w:lvlText w:val="•"/>
      <w:lvlJc w:val="left"/>
      <w:pPr>
        <w:ind w:left="3576" w:hanging="540"/>
      </w:pPr>
      <w:rPr>
        <w:rFonts w:hint="default"/>
        <w:lang w:val="en-US" w:eastAsia="en-US" w:bidi="en-US"/>
      </w:rPr>
    </w:lvl>
    <w:lvl w:ilvl="5" w:tplc="A6A22CC8">
      <w:numFmt w:val="bullet"/>
      <w:lvlText w:val="•"/>
      <w:lvlJc w:val="left"/>
      <w:pPr>
        <w:ind w:left="4594" w:hanging="540"/>
      </w:pPr>
      <w:rPr>
        <w:rFonts w:hint="default"/>
        <w:lang w:val="en-US" w:eastAsia="en-US" w:bidi="en-US"/>
      </w:rPr>
    </w:lvl>
    <w:lvl w:ilvl="6" w:tplc="4050B392">
      <w:numFmt w:val="bullet"/>
      <w:lvlText w:val="•"/>
      <w:lvlJc w:val="left"/>
      <w:pPr>
        <w:ind w:left="5612" w:hanging="540"/>
      </w:pPr>
      <w:rPr>
        <w:rFonts w:hint="default"/>
        <w:lang w:val="en-US" w:eastAsia="en-US" w:bidi="en-US"/>
      </w:rPr>
    </w:lvl>
    <w:lvl w:ilvl="7" w:tplc="62A27DE0">
      <w:numFmt w:val="bullet"/>
      <w:lvlText w:val="•"/>
      <w:lvlJc w:val="left"/>
      <w:pPr>
        <w:ind w:left="6630" w:hanging="540"/>
      </w:pPr>
      <w:rPr>
        <w:rFonts w:hint="default"/>
        <w:lang w:val="en-US" w:eastAsia="en-US" w:bidi="en-US"/>
      </w:rPr>
    </w:lvl>
    <w:lvl w:ilvl="8" w:tplc="7CEE2688">
      <w:numFmt w:val="bullet"/>
      <w:lvlText w:val="•"/>
      <w:lvlJc w:val="left"/>
      <w:pPr>
        <w:ind w:left="7648" w:hanging="540"/>
      </w:pPr>
      <w:rPr>
        <w:rFonts w:hint="default"/>
        <w:lang w:val="en-US" w:eastAsia="en-US" w:bidi="en-US"/>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F424B"/>
    <w:rsid w:val="007F424B"/>
    <w:rsid w:val="00AB0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2408245"/>
  <w15:docId w15:val="{68967CA0-9DFF-4D78-B393-B9DEC111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3"/>
      <w:ind w:left="100"/>
      <w:outlineLvl w:val="0"/>
    </w:pPr>
    <w:rPr>
      <w:rFonts w:ascii="Arial" w:eastAsia="Arial" w:hAnsi="Arial" w:cs="Arial"/>
      <w:b/>
      <w:bCs/>
      <w:sz w:val="24"/>
      <w:szCs w:val="24"/>
    </w:rPr>
  </w:style>
  <w:style w:type="paragraph" w:styleId="Heading2">
    <w:name w:val="heading 2"/>
    <w:basedOn w:val="Normal"/>
    <w:uiPriority w:val="9"/>
    <w:unhideWhenUsed/>
    <w:qFormat/>
    <w:pPr>
      <w:ind w:left="46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0ACA"/>
    <w:pPr>
      <w:tabs>
        <w:tab w:val="center" w:pos="4513"/>
        <w:tab w:val="right" w:pos="9026"/>
      </w:tabs>
    </w:pPr>
  </w:style>
  <w:style w:type="character" w:customStyle="1" w:styleId="HeaderChar">
    <w:name w:val="Header Char"/>
    <w:basedOn w:val="DefaultParagraphFont"/>
    <w:link w:val="Header"/>
    <w:uiPriority w:val="99"/>
    <w:rsid w:val="00AB0ACA"/>
    <w:rPr>
      <w:rFonts w:ascii="Times New Roman" w:eastAsia="Times New Roman" w:hAnsi="Times New Roman" w:cs="Times New Roman"/>
      <w:lang w:bidi="en-US"/>
    </w:rPr>
  </w:style>
  <w:style w:type="paragraph" w:styleId="Footer">
    <w:name w:val="footer"/>
    <w:basedOn w:val="Normal"/>
    <w:link w:val="FooterChar"/>
    <w:uiPriority w:val="99"/>
    <w:unhideWhenUsed/>
    <w:rsid w:val="00AB0ACA"/>
    <w:pPr>
      <w:tabs>
        <w:tab w:val="center" w:pos="4513"/>
        <w:tab w:val="right" w:pos="9026"/>
      </w:tabs>
    </w:pPr>
  </w:style>
  <w:style w:type="character" w:customStyle="1" w:styleId="FooterChar">
    <w:name w:val="Footer Char"/>
    <w:basedOn w:val="DefaultParagraphFont"/>
    <w:link w:val="Footer"/>
    <w:uiPriority w:val="99"/>
    <w:rsid w:val="00AB0AC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5JENXJJSCC7A-445999044-11695</_dlc_DocId>
    <TaxCatchAll xmlns="814d62cb-2db6-4c25-ab62-b9075facbc11">
      <Value>24</Value>
      <Value>83</Value>
      <Value>231</Value>
      <Value>134</Value>
      <Value>26</Value>
      <Value>10</Value>
      <Value>109</Value>
      <Value>93</Value>
      <Value>58</Value>
      <Value>19</Value>
    </TaxCatchAll>
    <_dlc_DocIdUrl xmlns="814d62cb-2db6-4c25-ab62-b9075facbc11">
      <Url>https://im/teams/LEGAL/_layouts/15/DocIdRedir.aspx?ID=5JENXJJSCC7A-445999044-11695</Url>
      <Description>5JENXJJSCC7A-445999044-11695</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c15887ee-fc3e-4879-bd3d-5a13724ac42c</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Notice varying the conditions on NOHC authority</APRADescription>
    <APRAActivityID xmlns="814d62cb-2db6-4c25-ab62-b9075facbc11" xsi:nil="true"/>
    <APRADocScanCheck xmlns="814d62cb-2db6-4c25-ab62-b9075facbc11">false</APRADocScanChec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86571B-05D4-437E-8D67-E4CB47067883}">
  <ds:schemaRefs>
    <ds:schemaRef ds:uri="Microsoft.SharePoint.Taxonomy.ContentTypeSync"/>
  </ds:schemaRefs>
</ds:datastoreItem>
</file>

<file path=customXml/itemProps2.xml><?xml version="1.0" encoding="utf-8"?>
<ds:datastoreItem xmlns:ds="http://schemas.openxmlformats.org/officeDocument/2006/customXml" ds:itemID="{79EC17E5-E9CB-4426-BCF2-83C0C65E9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5B2BB-5329-4C8E-ADAF-EF324BF59DBA}">
  <ds:schemaRefs>
    <ds:schemaRef ds:uri="http://purl.org/dc/terms/"/>
    <ds:schemaRef ds:uri="http://purl.org/dc/elements/1.1/"/>
    <ds:schemaRef ds:uri="http://www.w3.org/XML/1998/namespace"/>
    <ds:schemaRef ds:uri="814d62cb-2db6-4c25-ab62-b9075facbc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DF7074D-788B-4E72-97DA-271E0EEDDD19}">
  <ds:schemaRefs>
    <ds:schemaRef ds:uri="http://schemas.microsoft.com/sharepoint/v3/contenttype/forms"/>
  </ds:schemaRefs>
</ds:datastoreItem>
</file>

<file path=customXml/itemProps5.xml><?xml version="1.0" encoding="utf-8"?>
<ds:datastoreItem xmlns:ds="http://schemas.openxmlformats.org/officeDocument/2006/customXml" ds:itemID="{DD00813C-2BA8-4680-9265-EFB20F4130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3361</Words>
  <Characters>17750</Characters>
  <Application>Microsoft Office Word</Application>
  <DocSecurity>0</DocSecurity>
  <Lines>537</Lines>
  <Paragraphs>202</Paragraphs>
  <ScaleCrop>false</ScaleCrop>
  <HeadingPairs>
    <vt:vector size="2" baseType="variant">
      <vt:variant>
        <vt:lpstr>Title</vt:lpstr>
      </vt:variant>
      <vt:variant>
        <vt:i4>1</vt:i4>
      </vt:variant>
    </vt:vector>
  </HeadingPairs>
  <TitlesOfParts>
    <vt:vector size="1" baseType="lpstr">
      <vt:lpstr>s11AAA(1) NOHC authority conditions</vt:lpstr>
    </vt:vector>
  </TitlesOfParts>
  <Company>APRA</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Macquarie Group Limited - 161221</dc:title>
  <dc:creator>Singh, Gurveen</dc:creator>
  <cp:keywords>[SEC=OFFICIAL]</cp:keywords>
  <cp:lastModifiedBy>Toni Michalis</cp:lastModifiedBy>
  <cp:revision>2</cp:revision>
  <dcterms:created xsi:type="dcterms:W3CDTF">2021-12-23T21:15:00Z</dcterms:created>
  <dcterms:modified xsi:type="dcterms:W3CDTF">2021-12-23T21:17:00Z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vt:lpwstr>
  </property>
  <property fmtid="{D5CDD505-2E9C-101B-9397-08002B2CF9AE}" pid="4" name="LastSaved">
    <vt:filetime>2021-12-23T00:00:00Z</vt:filetime>
  </property>
  <property fmtid="{D5CDD505-2E9C-101B-9397-08002B2CF9AE}" pid="5" name="APRAPeriod">
    <vt:lpwstr/>
  </property>
  <property fmtid="{D5CDD505-2E9C-101B-9397-08002B2CF9AE}" pid="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7" name="APRALegislation">
    <vt:lpwstr/>
  </property>
  <property fmtid="{D5CDD505-2E9C-101B-9397-08002B2CF9AE}" pid="8" name="APRAYear">
    <vt:lpwstr>231;#2022|c15887ee-fc3e-4879-bd3d-5a13724ac42c</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8d3839fc-a5e0-4955-a31f-1572666bade0</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83AD0F94E6F944129A1C27FFFF6519BE</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2021-12-23T21:17:34Z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_Hash_Version">
    <vt:lpwstr>2018.0</vt:lpwstr>
  </property>
  <property fmtid="{D5CDD505-2E9C-101B-9397-08002B2CF9AE}" pid="33" name="PM_Hash_Salt_Prev">
    <vt:lpwstr>B7B24055036E7F4B9FFBF7549851CA4A</vt:lpwstr>
  </property>
  <property fmtid="{D5CDD505-2E9C-101B-9397-08002B2CF9AE}" pid="34" name="PM_Hash_Salt">
    <vt:lpwstr>B7B24055036E7F4B9FFBF7549851CA4A</vt:lpwstr>
  </property>
  <property fmtid="{D5CDD505-2E9C-101B-9397-08002B2CF9AE}" pid="35" name="PM_Hash_SHA1">
    <vt:lpwstr>8F3FB0BB1C8ECC77C7C53AEBAD022D8C6B27C795</vt:lpwstr>
  </property>
  <property fmtid="{D5CDD505-2E9C-101B-9397-08002B2CF9AE}" pid="36" name="PM_OriginatorUserAccountName_SHA256">
    <vt:lpwstr>6E3018F28A186D2E5FF5207C041E7A82E907C3008E071057026A53705873B72E</vt:lpwstr>
  </property>
  <property fmtid="{D5CDD505-2E9C-101B-9397-08002B2CF9AE}" pid="37" name="PM_OriginatorDomainName_SHA256">
    <vt:lpwstr>ECBDE2B44A971754412B3FB70606937A119CC0D4B6C1B658A40FBD41C30BE3EC</vt:lpwstr>
  </property>
  <property fmtid="{D5CDD505-2E9C-101B-9397-08002B2CF9AE}" pid="38" name="PM_MinimumSecurityClassification">
    <vt:lpwstr/>
  </property>
  <property fmtid="{D5CDD505-2E9C-101B-9397-08002B2CF9AE}" pid="39" name="IT system type">
    <vt:lpwstr/>
  </property>
  <property fmtid="{D5CDD505-2E9C-101B-9397-08002B2CF9AE}" pid="40" name="APRACategory">
    <vt:lpwstr/>
  </property>
  <property fmtid="{D5CDD505-2E9C-101B-9397-08002B2CF9AE}" pid="41" name="APRADocumentType">
    <vt:lpwstr>58;#Legal instrument|71fd6ed3-d6d6-4975-ba99-bfe45802e734</vt:lpwstr>
  </property>
  <property fmtid="{D5CDD505-2E9C-101B-9397-08002B2CF9AE}" pid="42" name="APRAActivity">
    <vt:lpwstr>10;#Registration|390476ce-d76d-4e8d-905f-28e32d2df127;#109;#Statutory instrument|fe68928c-5a9c-4caf-bc8c-6c18cedcb17f</vt:lpwstr>
  </property>
  <property fmtid="{D5CDD505-2E9C-101B-9397-08002B2CF9AE}" pid="43" name="APRAEntityAdviceSupport">
    <vt:lpwstr/>
  </property>
  <property fmtid="{D5CDD505-2E9C-101B-9397-08002B2CF9AE}" pid="44" name="APRAExternalOrganisation">
    <vt:lpwstr/>
  </property>
  <property fmtid="{D5CDD505-2E9C-101B-9397-08002B2CF9AE}" pid="45" name="APRAIRTR">
    <vt:lpwstr/>
  </property>
  <property fmtid="{D5CDD505-2E9C-101B-9397-08002B2CF9AE}" pid="46" name="RecordPoint_WorkflowType">
    <vt:lpwstr>ActiveSubmitStub</vt:lpwstr>
  </property>
  <property fmtid="{D5CDD505-2E9C-101B-9397-08002B2CF9AE}" pid="47" name="RecordPoint_ActiveItemSiteId">
    <vt:lpwstr>{88691c01-5bbb-4215-adc0-66cb7065b0af}</vt:lpwstr>
  </property>
  <property fmtid="{D5CDD505-2E9C-101B-9397-08002B2CF9AE}" pid="48" name="RecordPoint_ActiveItemListId">
    <vt:lpwstr>{0e59e171-09d8-4401-800a-327154450cb3}</vt:lpwstr>
  </property>
  <property fmtid="{D5CDD505-2E9C-101B-9397-08002B2CF9AE}" pid="49" name="RecordPoint_ActiveItemUniqueId">
    <vt:lpwstr>{8d3839fc-a5e0-4955-a31f-1572666bade0}</vt:lpwstr>
  </property>
  <property fmtid="{D5CDD505-2E9C-101B-9397-08002B2CF9AE}" pid="50" name="RecordPoint_ActiveItemWebId">
    <vt:lpwstr>{75a71c27-8d66-4282-ae60-1bfc22a83be1}</vt:lpwstr>
  </property>
  <property fmtid="{D5CDD505-2E9C-101B-9397-08002B2CF9AE}" pid="51" name="RecordPoint_RecordNumberSubmitted">
    <vt:lpwstr>R0001494789</vt:lpwstr>
  </property>
  <property fmtid="{D5CDD505-2E9C-101B-9397-08002B2CF9AE}" pid="52" name="RecordPoint_SubmissionCompleted">
    <vt:lpwstr>2021-12-24T09:16:06.7260886+11:00</vt:lpwstr>
  </property>
</Properties>
</file>