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57588B" w14:textId="77777777" w:rsidR="00F76605" w:rsidRDefault="00F76605">
      <w:pPr>
        <w:pStyle w:val="BodyText"/>
        <w:spacing w:before="9" w:after="1"/>
        <w:rPr>
          <w:rFonts w:ascii="Times New Roman"/>
          <w:sz w:val="9"/>
        </w:rPr>
      </w:pPr>
    </w:p>
    <w:p w14:paraId="6D57588E" w14:textId="77777777" w:rsidR="00F76605" w:rsidRDefault="00F76605">
      <w:pPr>
        <w:pStyle w:val="BodyText"/>
        <w:rPr>
          <w:rFonts w:ascii="Times New Roman"/>
          <w:sz w:val="16"/>
        </w:rPr>
      </w:pPr>
    </w:p>
    <w:p w14:paraId="6D57588F" w14:textId="77777777" w:rsidR="00F76605" w:rsidRDefault="00A07495">
      <w:pPr>
        <w:tabs>
          <w:tab w:val="left" w:pos="2648"/>
          <w:tab w:val="left" w:pos="3555"/>
          <w:tab w:val="left" w:pos="5506"/>
          <w:tab w:val="left" w:pos="7636"/>
          <w:tab w:val="left" w:pos="8944"/>
        </w:tabs>
        <w:spacing w:before="87"/>
        <w:ind w:left="140" w:right="136"/>
        <w:rPr>
          <w:b/>
          <w:sz w:val="40"/>
        </w:rPr>
      </w:pPr>
      <w:r>
        <w:rPr>
          <w:b/>
          <w:sz w:val="40"/>
        </w:rPr>
        <w:t>Conditions</w:t>
      </w:r>
      <w:r>
        <w:rPr>
          <w:b/>
          <w:sz w:val="40"/>
        </w:rPr>
        <w:tab/>
        <w:t>on</w:t>
      </w:r>
      <w:r>
        <w:rPr>
          <w:b/>
          <w:sz w:val="40"/>
        </w:rPr>
        <w:tab/>
        <w:t>banking</w:t>
      </w:r>
      <w:r>
        <w:rPr>
          <w:b/>
          <w:sz w:val="40"/>
        </w:rPr>
        <w:tab/>
        <w:t>authority</w:t>
      </w:r>
      <w:r>
        <w:rPr>
          <w:b/>
          <w:sz w:val="40"/>
        </w:rPr>
        <w:tab/>
        <w:t>2022</w:t>
      </w:r>
      <w:r>
        <w:rPr>
          <w:b/>
          <w:sz w:val="40"/>
        </w:rPr>
        <w:tab/>
      </w:r>
      <w:r>
        <w:rPr>
          <w:b/>
          <w:spacing w:val="-18"/>
          <w:sz w:val="40"/>
        </w:rPr>
        <w:t xml:space="preserve">– </w:t>
      </w:r>
      <w:proofErr w:type="spellStart"/>
      <w:r>
        <w:rPr>
          <w:b/>
          <w:sz w:val="40"/>
        </w:rPr>
        <w:t>MyLifeMyFinance</w:t>
      </w:r>
      <w:proofErr w:type="spellEnd"/>
      <w:r>
        <w:rPr>
          <w:b/>
          <w:spacing w:val="-1"/>
          <w:sz w:val="40"/>
        </w:rPr>
        <w:t xml:space="preserve"> </w:t>
      </w:r>
      <w:r>
        <w:rPr>
          <w:b/>
          <w:sz w:val="40"/>
        </w:rPr>
        <w:t>Limited</w:t>
      </w:r>
    </w:p>
    <w:p w14:paraId="6D575890" w14:textId="54A4803A" w:rsidR="00F76605" w:rsidRDefault="00A07495">
      <w:pPr>
        <w:pBdr>
          <w:bottom w:val="single" w:sz="6" w:space="1" w:color="auto"/>
        </w:pBdr>
        <w:spacing w:before="361"/>
        <w:ind w:left="140"/>
        <w:rPr>
          <w:i/>
          <w:sz w:val="28"/>
        </w:rPr>
      </w:pPr>
      <w:r>
        <w:rPr>
          <w:i/>
          <w:sz w:val="28"/>
        </w:rPr>
        <w:t>Banking Act 1959</w:t>
      </w:r>
    </w:p>
    <w:p w14:paraId="6D575891" w14:textId="77777777" w:rsidR="00F76605" w:rsidRDefault="00F76605">
      <w:pPr>
        <w:pStyle w:val="BodyText"/>
        <w:spacing w:before="10"/>
        <w:rPr>
          <w:i/>
          <w:sz w:val="9"/>
        </w:rPr>
      </w:pPr>
      <w:bookmarkStart w:id="0" w:name="_GoBack"/>
      <w:bookmarkEnd w:id="0"/>
    </w:p>
    <w:p w14:paraId="6D575892" w14:textId="77777777" w:rsidR="00F76605" w:rsidRDefault="00A07495">
      <w:pPr>
        <w:pStyle w:val="BodyText"/>
        <w:spacing w:before="93"/>
        <w:ind w:left="140"/>
        <w:jc w:val="both"/>
      </w:pPr>
      <w:r>
        <w:t xml:space="preserve">To: </w:t>
      </w:r>
      <w:proofErr w:type="spellStart"/>
      <w:r>
        <w:t>MyLifeMyFinance</w:t>
      </w:r>
      <w:proofErr w:type="spellEnd"/>
      <w:r>
        <w:t xml:space="preserve"> Limited ABN 54 087 651 750 (the ADI)</w:t>
      </w:r>
    </w:p>
    <w:p w14:paraId="6D575893" w14:textId="77777777" w:rsidR="00F76605" w:rsidRDefault="00F76605">
      <w:pPr>
        <w:pStyle w:val="BodyText"/>
        <w:spacing w:before="1"/>
        <w:rPr>
          <w:sz w:val="21"/>
        </w:rPr>
      </w:pPr>
    </w:p>
    <w:p w14:paraId="6D575894" w14:textId="77777777" w:rsidR="00F76605" w:rsidRDefault="00A07495">
      <w:pPr>
        <w:pStyle w:val="BodyText"/>
        <w:ind w:left="140" w:right="138"/>
        <w:jc w:val="both"/>
      </w:pPr>
      <w:r>
        <w:t>SINCE the ADI holds a section 9 authority to carry on banking business in Australia (the authority) that is subject to conditions, as specified in the schedule (the existing conditions),</w:t>
      </w:r>
    </w:p>
    <w:p w14:paraId="6D575895" w14:textId="77777777" w:rsidR="00F76605" w:rsidRDefault="00F76605">
      <w:pPr>
        <w:pStyle w:val="BodyText"/>
        <w:spacing w:before="2"/>
        <w:rPr>
          <w:sz w:val="31"/>
        </w:rPr>
      </w:pPr>
    </w:p>
    <w:p w14:paraId="6D575896" w14:textId="77777777" w:rsidR="00F76605" w:rsidRDefault="00A07495">
      <w:pPr>
        <w:pStyle w:val="BodyText"/>
        <w:ind w:left="140" w:right="134"/>
        <w:jc w:val="both"/>
      </w:pPr>
      <w:r>
        <w:t>I, Clare Gibney, a delegate of APRA, under paragraph 9AA(1)(b) of the Act, VARY the conditions</w:t>
      </w:r>
      <w:r>
        <w:rPr>
          <w:spacing w:val="-6"/>
        </w:rPr>
        <w:t xml:space="preserve"> </w:t>
      </w:r>
      <w:r>
        <w:t>on</w:t>
      </w:r>
      <w:r>
        <w:rPr>
          <w:spacing w:val="-6"/>
        </w:rPr>
        <w:t xml:space="preserve"> </w:t>
      </w:r>
      <w:r>
        <w:t>the</w:t>
      </w:r>
      <w:r>
        <w:rPr>
          <w:spacing w:val="-5"/>
        </w:rPr>
        <w:t xml:space="preserve"> </w:t>
      </w:r>
      <w:r>
        <w:t>authority</w:t>
      </w:r>
      <w:r>
        <w:rPr>
          <w:spacing w:val="-6"/>
        </w:rPr>
        <w:t xml:space="preserve"> </w:t>
      </w:r>
      <w:r>
        <w:t>by</w:t>
      </w:r>
      <w:r>
        <w:rPr>
          <w:spacing w:val="-9"/>
        </w:rPr>
        <w:t xml:space="preserve"> </w:t>
      </w:r>
      <w:r>
        <w:t>replacing</w:t>
      </w:r>
      <w:r>
        <w:rPr>
          <w:spacing w:val="-3"/>
        </w:rPr>
        <w:t xml:space="preserve"> </w:t>
      </w:r>
      <w:r>
        <w:t>the</w:t>
      </w:r>
      <w:r>
        <w:rPr>
          <w:spacing w:val="-6"/>
        </w:rPr>
        <w:t xml:space="preserve"> </w:t>
      </w:r>
      <w:r>
        <w:t>existing</w:t>
      </w:r>
      <w:r>
        <w:rPr>
          <w:spacing w:val="-6"/>
        </w:rPr>
        <w:t xml:space="preserve"> </w:t>
      </w:r>
      <w:r>
        <w:t>conditions</w:t>
      </w:r>
      <w:r>
        <w:rPr>
          <w:spacing w:val="-3"/>
        </w:rPr>
        <w:t xml:space="preserve"> </w:t>
      </w:r>
      <w:r>
        <w:t>with</w:t>
      </w:r>
      <w:r>
        <w:rPr>
          <w:spacing w:val="-6"/>
        </w:rPr>
        <w:t xml:space="preserve"> </w:t>
      </w:r>
      <w:r>
        <w:t>the</w:t>
      </w:r>
      <w:r>
        <w:rPr>
          <w:spacing w:val="-6"/>
        </w:rPr>
        <w:t xml:space="preserve"> </w:t>
      </w:r>
      <w:r>
        <w:t>conditions</w:t>
      </w:r>
      <w:r>
        <w:rPr>
          <w:spacing w:val="-5"/>
        </w:rPr>
        <w:t xml:space="preserve"> </w:t>
      </w:r>
      <w:r>
        <w:t>specified</w:t>
      </w:r>
      <w:r>
        <w:rPr>
          <w:spacing w:val="-6"/>
        </w:rPr>
        <w:t xml:space="preserve"> </w:t>
      </w:r>
      <w:r>
        <w:t>in the schedule (the varied</w:t>
      </w:r>
      <w:r>
        <w:rPr>
          <w:spacing w:val="-1"/>
        </w:rPr>
        <w:t xml:space="preserve"> </w:t>
      </w:r>
      <w:r>
        <w:t>conditions).</w:t>
      </w:r>
    </w:p>
    <w:p w14:paraId="6D575897" w14:textId="77777777" w:rsidR="00F76605" w:rsidRDefault="00F76605">
      <w:pPr>
        <w:pStyle w:val="BodyText"/>
        <w:spacing w:before="1"/>
      </w:pPr>
    </w:p>
    <w:p w14:paraId="6D575898" w14:textId="77777777" w:rsidR="00F76605" w:rsidRDefault="00A07495">
      <w:pPr>
        <w:pStyle w:val="BodyText"/>
        <w:spacing w:line="480" w:lineRule="auto"/>
        <w:ind w:left="140" w:right="4246"/>
      </w:pPr>
      <w:r>
        <w:t>This instrument commences on the day it is made. Dated: 25 January 2022</w:t>
      </w:r>
    </w:p>
    <w:p w14:paraId="6D575899" w14:textId="77777777" w:rsidR="00F76605" w:rsidRDefault="00F76605">
      <w:pPr>
        <w:pStyle w:val="BodyText"/>
        <w:rPr>
          <w:sz w:val="24"/>
        </w:rPr>
      </w:pPr>
    </w:p>
    <w:p w14:paraId="6D57589A" w14:textId="77777777" w:rsidR="00F76605" w:rsidRDefault="00A07495">
      <w:pPr>
        <w:pStyle w:val="BodyText"/>
        <w:ind w:left="140" w:right="7437"/>
      </w:pPr>
      <w:r>
        <w:t>Clare Gibney General Manager Banking Division</w:t>
      </w:r>
    </w:p>
    <w:p w14:paraId="6D57589B" w14:textId="77777777" w:rsidR="00F76605" w:rsidRDefault="00F76605">
      <w:pPr>
        <w:pStyle w:val="BodyText"/>
        <w:rPr>
          <w:sz w:val="24"/>
        </w:rPr>
      </w:pPr>
    </w:p>
    <w:p w14:paraId="6D57589C" w14:textId="77777777" w:rsidR="00F76605" w:rsidRDefault="00A07495">
      <w:pPr>
        <w:pStyle w:val="Heading2"/>
        <w:spacing w:before="203"/>
      </w:pPr>
      <w:r>
        <w:t>Interpretation</w:t>
      </w:r>
    </w:p>
    <w:p w14:paraId="6D57589D" w14:textId="77777777" w:rsidR="00F76605" w:rsidRDefault="00A07495">
      <w:pPr>
        <w:pStyle w:val="BodyText"/>
        <w:spacing w:before="122"/>
        <w:ind w:left="140"/>
      </w:pPr>
      <w:r>
        <w:t>In this instrument:</w:t>
      </w:r>
    </w:p>
    <w:p w14:paraId="6D57589E" w14:textId="77777777" w:rsidR="00F76605" w:rsidRDefault="00A07495">
      <w:pPr>
        <w:pStyle w:val="BodyText"/>
        <w:spacing w:before="119"/>
        <w:ind w:left="140"/>
      </w:pPr>
      <w:r>
        <w:rPr>
          <w:b/>
          <w:i/>
        </w:rPr>
        <w:t xml:space="preserve">APRA </w:t>
      </w:r>
      <w:r>
        <w:t>means the Australian Prudential Regulation Authority.</w:t>
      </w:r>
    </w:p>
    <w:p w14:paraId="6D57589F" w14:textId="77777777" w:rsidR="00F76605" w:rsidRDefault="00A07495">
      <w:pPr>
        <w:spacing w:before="120"/>
        <w:ind w:left="140"/>
      </w:pPr>
      <w:r>
        <w:rPr>
          <w:b/>
          <w:i/>
        </w:rPr>
        <w:t>ADI</w:t>
      </w:r>
      <w:r>
        <w:t xml:space="preserve">, </w:t>
      </w:r>
      <w:r>
        <w:rPr>
          <w:b/>
          <w:i/>
        </w:rPr>
        <w:t xml:space="preserve">banking business </w:t>
      </w:r>
      <w:r>
        <w:t xml:space="preserve">and </w:t>
      </w:r>
      <w:r>
        <w:rPr>
          <w:b/>
          <w:i/>
        </w:rPr>
        <w:t xml:space="preserve">section 9 authority </w:t>
      </w:r>
      <w:r>
        <w:t>have their respective meanings given in subsection 5(1) of the Act.</w:t>
      </w:r>
    </w:p>
    <w:p w14:paraId="6D5758A0" w14:textId="77777777" w:rsidR="00F76605" w:rsidRDefault="00F76605">
      <w:pPr>
        <w:pStyle w:val="BodyText"/>
        <w:spacing w:before="7"/>
        <w:rPr>
          <w:sz w:val="20"/>
        </w:rPr>
      </w:pPr>
    </w:p>
    <w:p w14:paraId="6D5758A1" w14:textId="77777777" w:rsidR="00F76605" w:rsidRDefault="00A07495">
      <w:pPr>
        <w:ind w:left="140"/>
        <w:rPr>
          <w:b/>
          <w:sz w:val="18"/>
        </w:rPr>
      </w:pPr>
      <w:r>
        <w:rPr>
          <w:b/>
          <w:sz w:val="18"/>
        </w:rPr>
        <w:t>Notes</w:t>
      </w:r>
    </w:p>
    <w:p w14:paraId="6D5758A2" w14:textId="77777777" w:rsidR="00F76605" w:rsidRDefault="00A07495">
      <w:pPr>
        <w:spacing w:before="123"/>
        <w:ind w:left="140"/>
        <w:rPr>
          <w:i/>
          <w:sz w:val="18"/>
        </w:rPr>
      </w:pPr>
      <w:r>
        <w:rPr>
          <w:sz w:val="18"/>
        </w:rPr>
        <w:t xml:space="preserve">APRA is required to publish this instrument in the </w:t>
      </w:r>
      <w:r>
        <w:rPr>
          <w:i/>
          <w:sz w:val="18"/>
        </w:rPr>
        <w:t>Gazette.</w:t>
      </w:r>
    </w:p>
    <w:p w14:paraId="6D5758A3" w14:textId="77777777" w:rsidR="00F76605" w:rsidRDefault="00A07495">
      <w:pPr>
        <w:spacing w:before="120"/>
        <w:ind w:left="140" w:right="133"/>
        <w:jc w:val="both"/>
        <w:rPr>
          <w:sz w:val="18"/>
        </w:rPr>
      </w:pPr>
      <w:r>
        <w:rPr>
          <w:sz w:val="18"/>
        </w:rPr>
        <w:t>A</w:t>
      </w:r>
      <w:r>
        <w:rPr>
          <w:spacing w:val="-13"/>
          <w:sz w:val="18"/>
        </w:rPr>
        <w:t xml:space="preserve"> </w:t>
      </w:r>
      <w:r>
        <w:rPr>
          <w:sz w:val="18"/>
        </w:rPr>
        <w:t>decision</w:t>
      </w:r>
      <w:r>
        <w:rPr>
          <w:spacing w:val="-12"/>
          <w:sz w:val="18"/>
        </w:rPr>
        <w:t xml:space="preserve"> </w:t>
      </w:r>
      <w:r>
        <w:rPr>
          <w:sz w:val="18"/>
        </w:rPr>
        <w:t>to</w:t>
      </w:r>
      <w:r>
        <w:rPr>
          <w:spacing w:val="-12"/>
          <w:sz w:val="18"/>
        </w:rPr>
        <w:t xml:space="preserve"> </w:t>
      </w:r>
      <w:r>
        <w:rPr>
          <w:sz w:val="18"/>
        </w:rPr>
        <w:t>impose</w:t>
      </w:r>
      <w:r>
        <w:rPr>
          <w:spacing w:val="-12"/>
          <w:sz w:val="18"/>
        </w:rPr>
        <w:t xml:space="preserve"> </w:t>
      </w:r>
      <w:r>
        <w:rPr>
          <w:sz w:val="18"/>
        </w:rPr>
        <w:t>conditions</w:t>
      </w:r>
      <w:r>
        <w:rPr>
          <w:spacing w:val="-9"/>
          <w:sz w:val="18"/>
        </w:rPr>
        <w:t xml:space="preserve"> </w:t>
      </w:r>
      <w:r>
        <w:rPr>
          <w:sz w:val="18"/>
        </w:rPr>
        <w:t>or</w:t>
      </w:r>
      <w:r>
        <w:rPr>
          <w:spacing w:val="-12"/>
          <w:sz w:val="18"/>
        </w:rPr>
        <w:t xml:space="preserve"> </w:t>
      </w:r>
      <w:r>
        <w:rPr>
          <w:sz w:val="18"/>
        </w:rPr>
        <w:t>additional</w:t>
      </w:r>
      <w:r>
        <w:rPr>
          <w:spacing w:val="-12"/>
          <w:sz w:val="18"/>
        </w:rPr>
        <w:t xml:space="preserve"> </w:t>
      </w:r>
      <w:r>
        <w:rPr>
          <w:sz w:val="18"/>
        </w:rPr>
        <w:t>conditions,</w:t>
      </w:r>
      <w:r>
        <w:rPr>
          <w:spacing w:val="-12"/>
          <w:sz w:val="18"/>
        </w:rPr>
        <w:t xml:space="preserve"> </w:t>
      </w:r>
      <w:r>
        <w:rPr>
          <w:sz w:val="18"/>
        </w:rPr>
        <w:t>or</w:t>
      </w:r>
      <w:r>
        <w:rPr>
          <w:spacing w:val="-12"/>
          <w:sz w:val="18"/>
        </w:rPr>
        <w:t xml:space="preserve"> </w:t>
      </w:r>
      <w:r>
        <w:rPr>
          <w:sz w:val="18"/>
        </w:rPr>
        <w:t>vary</w:t>
      </w:r>
      <w:r>
        <w:rPr>
          <w:spacing w:val="-13"/>
          <w:sz w:val="18"/>
        </w:rPr>
        <w:t xml:space="preserve"> </w:t>
      </w:r>
      <w:r>
        <w:rPr>
          <w:sz w:val="18"/>
        </w:rPr>
        <w:t>the</w:t>
      </w:r>
      <w:r>
        <w:rPr>
          <w:spacing w:val="-12"/>
          <w:sz w:val="18"/>
        </w:rPr>
        <w:t xml:space="preserve"> </w:t>
      </w:r>
      <w:r>
        <w:rPr>
          <w:sz w:val="18"/>
        </w:rPr>
        <w:t>conditions,</w:t>
      </w:r>
      <w:r>
        <w:rPr>
          <w:spacing w:val="-12"/>
          <w:sz w:val="18"/>
        </w:rPr>
        <w:t xml:space="preserve"> </w:t>
      </w:r>
      <w:r>
        <w:rPr>
          <w:sz w:val="18"/>
        </w:rPr>
        <w:t>on</w:t>
      </w:r>
      <w:r>
        <w:rPr>
          <w:spacing w:val="-12"/>
          <w:sz w:val="18"/>
        </w:rPr>
        <w:t xml:space="preserve"> </w:t>
      </w:r>
      <w:r>
        <w:rPr>
          <w:sz w:val="18"/>
        </w:rPr>
        <w:t>a</w:t>
      </w:r>
      <w:r>
        <w:rPr>
          <w:spacing w:val="-13"/>
          <w:sz w:val="18"/>
        </w:rPr>
        <w:t xml:space="preserve"> </w:t>
      </w:r>
      <w:r>
        <w:rPr>
          <w:sz w:val="18"/>
        </w:rPr>
        <w:t>section</w:t>
      </w:r>
      <w:r>
        <w:rPr>
          <w:spacing w:val="-12"/>
          <w:sz w:val="18"/>
        </w:rPr>
        <w:t xml:space="preserve"> </w:t>
      </w:r>
      <w:r>
        <w:rPr>
          <w:sz w:val="18"/>
        </w:rPr>
        <w:t>9</w:t>
      </w:r>
      <w:r>
        <w:rPr>
          <w:spacing w:val="-11"/>
          <w:sz w:val="18"/>
        </w:rPr>
        <w:t xml:space="preserve"> </w:t>
      </w:r>
      <w:r>
        <w:rPr>
          <w:sz w:val="18"/>
        </w:rPr>
        <w:t>authority</w:t>
      </w:r>
      <w:r>
        <w:rPr>
          <w:spacing w:val="-14"/>
          <w:sz w:val="18"/>
        </w:rPr>
        <w:t xml:space="preserve"> </w:t>
      </w:r>
      <w:r>
        <w:rPr>
          <w:sz w:val="18"/>
        </w:rPr>
        <w:t>is</w:t>
      </w:r>
      <w:r>
        <w:rPr>
          <w:spacing w:val="-11"/>
          <w:sz w:val="18"/>
        </w:rPr>
        <w:t xml:space="preserve"> </w:t>
      </w:r>
      <w:r>
        <w:rPr>
          <w:sz w:val="18"/>
        </w:rPr>
        <w:t>a</w:t>
      </w:r>
      <w:r>
        <w:rPr>
          <w:spacing w:val="-12"/>
          <w:sz w:val="18"/>
        </w:rPr>
        <w:t xml:space="preserve"> </w:t>
      </w:r>
      <w:r>
        <w:rPr>
          <w:sz w:val="18"/>
        </w:rPr>
        <w:t>decision to</w:t>
      </w:r>
      <w:r>
        <w:rPr>
          <w:spacing w:val="-3"/>
          <w:sz w:val="18"/>
        </w:rPr>
        <w:t xml:space="preserve"> </w:t>
      </w:r>
      <w:r>
        <w:rPr>
          <w:sz w:val="18"/>
        </w:rPr>
        <w:t>which</w:t>
      </w:r>
      <w:r>
        <w:rPr>
          <w:spacing w:val="-2"/>
          <w:sz w:val="18"/>
        </w:rPr>
        <w:t xml:space="preserve"> </w:t>
      </w:r>
      <w:r>
        <w:rPr>
          <w:sz w:val="18"/>
        </w:rPr>
        <w:t>Part</w:t>
      </w:r>
      <w:r>
        <w:rPr>
          <w:spacing w:val="-2"/>
          <w:sz w:val="18"/>
        </w:rPr>
        <w:t xml:space="preserve"> </w:t>
      </w:r>
      <w:r>
        <w:rPr>
          <w:sz w:val="18"/>
        </w:rPr>
        <w:t>VI</w:t>
      </w:r>
      <w:r>
        <w:rPr>
          <w:spacing w:val="-2"/>
          <w:sz w:val="18"/>
        </w:rPr>
        <w:t xml:space="preserve"> </w:t>
      </w:r>
      <w:r>
        <w:rPr>
          <w:sz w:val="18"/>
        </w:rPr>
        <w:t>of</w:t>
      </w:r>
      <w:r>
        <w:rPr>
          <w:spacing w:val="-3"/>
          <w:sz w:val="18"/>
        </w:rPr>
        <w:t xml:space="preserve"> </w:t>
      </w:r>
      <w:r>
        <w:rPr>
          <w:sz w:val="18"/>
        </w:rPr>
        <w:t>the</w:t>
      </w:r>
      <w:r>
        <w:rPr>
          <w:spacing w:val="-2"/>
          <w:sz w:val="18"/>
        </w:rPr>
        <w:t xml:space="preserve"> </w:t>
      </w:r>
      <w:r>
        <w:rPr>
          <w:sz w:val="18"/>
        </w:rPr>
        <w:t>Act</w:t>
      </w:r>
      <w:r>
        <w:rPr>
          <w:spacing w:val="-5"/>
          <w:sz w:val="18"/>
        </w:rPr>
        <w:t xml:space="preserve"> </w:t>
      </w:r>
      <w:r>
        <w:rPr>
          <w:sz w:val="18"/>
        </w:rPr>
        <w:t>applies.</w:t>
      </w:r>
      <w:r>
        <w:rPr>
          <w:spacing w:val="-3"/>
          <w:sz w:val="18"/>
        </w:rPr>
        <w:t xml:space="preserve"> </w:t>
      </w:r>
      <w:r>
        <w:rPr>
          <w:sz w:val="18"/>
        </w:rPr>
        <w:t>You</w:t>
      </w:r>
      <w:r>
        <w:rPr>
          <w:spacing w:val="-2"/>
          <w:sz w:val="18"/>
        </w:rPr>
        <w:t xml:space="preserve"> </w:t>
      </w:r>
      <w:r>
        <w:rPr>
          <w:sz w:val="18"/>
        </w:rPr>
        <w:t>may</w:t>
      </w:r>
      <w:r>
        <w:rPr>
          <w:spacing w:val="-5"/>
          <w:sz w:val="18"/>
        </w:rPr>
        <w:t xml:space="preserve"> </w:t>
      </w:r>
      <w:r>
        <w:rPr>
          <w:sz w:val="18"/>
        </w:rPr>
        <w:t>request</w:t>
      </w:r>
      <w:r>
        <w:rPr>
          <w:spacing w:val="-2"/>
          <w:sz w:val="18"/>
        </w:rPr>
        <w:t xml:space="preserve"> </w:t>
      </w:r>
      <w:r>
        <w:rPr>
          <w:sz w:val="18"/>
        </w:rPr>
        <w:t>APRA</w:t>
      </w:r>
      <w:r>
        <w:rPr>
          <w:spacing w:val="-3"/>
          <w:sz w:val="18"/>
        </w:rPr>
        <w:t xml:space="preserve"> </w:t>
      </w:r>
      <w:r>
        <w:rPr>
          <w:sz w:val="18"/>
        </w:rPr>
        <w:t>reconsider</w:t>
      </w:r>
      <w:r>
        <w:rPr>
          <w:spacing w:val="-2"/>
          <w:sz w:val="18"/>
        </w:rPr>
        <w:t xml:space="preserve"> </w:t>
      </w:r>
      <w:r>
        <w:rPr>
          <w:sz w:val="18"/>
        </w:rPr>
        <w:t>the</w:t>
      </w:r>
      <w:r>
        <w:rPr>
          <w:spacing w:val="-2"/>
          <w:sz w:val="18"/>
        </w:rPr>
        <w:t xml:space="preserve"> </w:t>
      </w:r>
      <w:r>
        <w:rPr>
          <w:sz w:val="18"/>
        </w:rPr>
        <w:t>decision</w:t>
      </w:r>
      <w:r>
        <w:rPr>
          <w:spacing w:val="-3"/>
          <w:sz w:val="18"/>
        </w:rPr>
        <w:t xml:space="preserve"> </w:t>
      </w:r>
      <w:r>
        <w:rPr>
          <w:sz w:val="18"/>
        </w:rPr>
        <w:t>in</w:t>
      </w:r>
      <w:r>
        <w:rPr>
          <w:spacing w:val="-3"/>
          <w:sz w:val="18"/>
        </w:rPr>
        <w:t xml:space="preserve"> </w:t>
      </w:r>
      <w:r>
        <w:rPr>
          <w:sz w:val="18"/>
        </w:rPr>
        <w:t>accordance</w:t>
      </w:r>
      <w:r>
        <w:rPr>
          <w:spacing w:val="-4"/>
          <w:sz w:val="18"/>
        </w:rPr>
        <w:t xml:space="preserve"> </w:t>
      </w:r>
      <w:r>
        <w:rPr>
          <w:sz w:val="18"/>
        </w:rPr>
        <w:t>with</w:t>
      </w:r>
      <w:r>
        <w:rPr>
          <w:spacing w:val="-3"/>
          <w:sz w:val="18"/>
        </w:rPr>
        <w:t xml:space="preserve"> </w:t>
      </w:r>
      <w:r>
        <w:rPr>
          <w:sz w:val="18"/>
        </w:rPr>
        <w:t>subsection 51</w:t>
      </w:r>
      <w:proofErr w:type="gramStart"/>
      <w:r>
        <w:rPr>
          <w:sz w:val="18"/>
        </w:rPr>
        <w:t>B(</w:t>
      </w:r>
      <w:proofErr w:type="gramEnd"/>
      <w:r>
        <w:rPr>
          <w:sz w:val="18"/>
        </w:rPr>
        <w:t>1)</w:t>
      </w:r>
      <w:r>
        <w:rPr>
          <w:spacing w:val="-4"/>
          <w:sz w:val="18"/>
        </w:rPr>
        <w:t xml:space="preserve"> </w:t>
      </w:r>
      <w:r>
        <w:rPr>
          <w:sz w:val="18"/>
        </w:rPr>
        <w:t>of</w:t>
      </w:r>
      <w:r>
        <w:rPr>
          <w:spacing w:val="-1"/>
          <w:sz w:val="18"/>
        </w:rPr>
        <w:t xml:space="preserve"> </w:t>
      </w:r>
      <w:r>
        <w:rPr>
          <w:sz w:val="18"/>
        </w:rPr>
        <w:t>the</w:t>
      </w:r>
      <w:r>
        <w:rPr>
          <w:spacing w:val="-3"/>
          <w:sz w:val="18"/>
        </w:rPr>
        <w:t xml:space="preserve"> </w:t>
      </w:r>
      <w:r>
        <w:rPr>
          <w:sz w:val="18"/>
        </w:rPr>
        <w:t>Act.</w:t>
      </w:r>
      <w:r>
        <w:rPr>
          <w:spacing w:val="-8"/>
          <w:sz w:val="18"/>
        </w:rPr>
        <w:t xml:space="preserve"> </w:t>
      </w:r>
      <w:r>
        <w:rPr>
          <w:sz w:val="18"/>
        </w:rPr>
        <w:t>The</w:t>
      </w:r>
      <w:r>
        <w:rPr>
          <w:spacing w:val="-3"/>
          <w:sz w:val="18"/>
        </w:rPr>
        <w:t xml:space="preserve"> </w:t>
      </w:r>
      <w:r>
        <w:rPr>
          <w:sz w:val="18"/>
        </w:rPr>
        <w:t>request</w:t>
      </w:r>
      <w:r>
        <w:rPr>
          <w:spacing w:val="-6"/>
          <w:sz w:val="18"/>
        </w:rPr>
        <w:t xml:space="preserve"> </w:t>
      </w:r>
      <w:r>
        <w:rPr>
          <w:sz w:val="18"/>
        </w:rPr>
        <w:t>for</w:t>
      </w:r>
      <w:r>
        <w:rPr>
          <w:spacing w:val="-3"/>
          <w:sz w:val="18"/>
        </w:rPr>
        <w:t xml:space="preserve"> </w:t>
      </w:r>
      <w:r>
        <w:rPr>
          <w:sz w:val="18"/>
        </w:rPr>
        <w:t>reconsideration</w:t>
      </w:r>
      <w:r>
        <w:rPr>
          <w:spacing w:val="-4"/>
          <w:sz w:val="18"/>
        </w:rPr>
        <w:t xml:space="preserve"> </w:t>
      </w:r>
      <w:r>
        <w:rPr>
          <w:sz w:val="18"/>
        </w:rPr>
        <w:t>must</w:t>
      </w:r>
      <w:r>
        <w:rPr>
          <w:spacing w:val="-3"/>
          <w:sz w:val="18"/>
        </w:rPr>
        <w:t xml:space="preserve"> </w:t>
      </w:r>
      <w:r>
        <w:rPr>
          <w:sz w:val="18"/>
        </w:rPr>
        <w:t>be</w:t>
      </w:r>
      <w:r>
        <w:rPr>
          <w:spacing w:val="-3"/>
          <w:sz w:val="18"/>
        </w:rPr>
        <w:t xml:space="preserve"> </w:t>
      </w:r>
      <w:r>
        <w:rPr>
          <w:sz w:val="18"/>
        </w:rPr>
        <w:t>made</w:t>
      </w:r>
      <w:r>
        <w:rPr>
          <w:spacing w:val="-3"/>
          <w:sz w:val="18"/>
        </w:rPr>
        <w:t xml:space="preserve"> </w:t>
      </w:r>
      <w:r>
        <w:rPr>
          <w:sz w:val="18"/>
        </w:rPr>
        <w:t>in</w:t>
      </w:r>
      <w:r>
        <w:rPr>
          <w:spacing w:val="-4"/>
          <w:sz w:val="18"/>
        </w:rPr>
        <w:t xml:space="preserve"> </w:t>
      </w:r>
      <w:r>
        <w:rPr>
          <w:sz w:val="18"/>
        </w:rPr>
        <w:t>writing,</w:t>
      </w:r>
      <w:r>
        <w:rPr>
          <w:spacing w:val="-3"/>
          <w:sz w:val="18"/>
        </w:rPr>
        <w:t xml:space="preserve"> </w:t>
      </w:r>
      <w:r>
        <w:rPr>
          <w:sz w:val="18"/>
        </w:rPr>
        <w:t>must</w:t>
      </w:r>
      <w:r>
        <w:rPr>
          <w:spacing w:val="-3"/>
          <w:sz w:val="18"/>
        </w:rPr>
        <w:t xml:space="preserve"> </w:t>
      </w:r>
      <w:r>
        <w:rPr>
          <w:sz w:val="18"/>
        </w:rPr>
        <w:t>state</w:t>
      </w:r>
      <w:r>
        <w:rPr>
          <w:spacing w:val="-3"/>
          <w:sz w:val="18"/>
        </w:rPr>
        <w:t xml:space="preserve"> </w:t>
      </w:r>
      <w:r>
        <w:rPr>
          <w:sz w:val="18"/>
        </w:rPr>
        <w:t>the</w:t>
      </w:r>
      <w:r>
        <w:rPr>
          <w:spacing w:val="-3"/>
          <w:sz w:val="18"/>
        </w:rPr>
        <w:t xml:space="preserve"> </w:t>
      </w:r>
      <w:r>
        <w:rPr>
          <w:sz w:val="18"/>
        </w:rPr>
        <w:t>reasons</w:t>
      </w:r>
      <w:r>
        <w:rPr>
          <w:spacing w:val="-3"/>
          <w:sz w:val="18"/>
        </w:rPr>
        <w:t xml:space="preserve"> </w:t>
      </w:r>
      <w:r>
        <w:rPr>
          <w:sz w:val="18"/>
        </w:rPr>
        <w:t>for</w:t>
      </w:r>
      <w:r>
        <w:rPr>
          <w:spacing w:val="-3"/>
          <w:sz w:val="18"/>
        </w:rPr>
        <w:t xml:space="preserve"> </w:t>
      </w:r>
      <w:r>
        <w:rPr>
          <w:sz w:val="18"/>
        </w:rPr>
        <w:t>the</w:t>
      </w:r>
      <w:r>
        <w:rPr>
          <w:spacing w:val="-6"/>
          <w:sz w:val="18"/>
        </w:rPr>
        <w:t xml:space="preserve"> </w:t>
      </w:r>
      <w:r>
        <w:rPr>
          <w:sz w:val="18"/>
        </w:rPr>
        <w:t>request, and</w:t>
      </w:r>
      <w:r>
        <w:rPr>
          <w:spacing w:val="-6"/>
          <w:sz w:val="18"/>
        </w:rPr>
        <w:t xml:space="preserve"> </w:t>
      </w:r>
      <w:r>
        <w:rPr>
          <w:sz w:val="18"/>
        </w:rPr>
        <w:t>must</w:t>
      </w:r>
      <w:r>
        <w:rPr>
          <w:spacing w:val="-9"/>
          <w:sz w:val="18"/>
        </w:rPr>
        <w:t xml:space="preserve"> </w:t>
      </w:r>
      <w:r>
        <w:rPr>
          <w:sz w:val="18"/>
        </w:rPr>
        <w:t>be</w:t>
      </w:r>
      <w:r>
        <w:rPr>
          <w:spacing w:val="-6"/>
          <w:sz w:val="18"/>
        </w:rPr>
        <w:t xml:space="preserve"> </w:t>
      </w:r>
      <w:r>
        <w:rPr>
          <w:sz w:val="18"/>
        </w:rPr>
        <w:t>given</w:t>
      </w:r>
      <w:r>
        <w:rPr>
          <w:spacing w:val="-8"/>
          <w:sz w:val="18"/>
        </w:rPr>
        <w:t xml:space="preserve"> </w:t>
      </w:r>
      <w:r>
        <w:rPr>
          <w:sz w:val="18"/>
        </w:rPr>
        <w:t>to</w:t>
      </w:r>
      <w:r>
        <w:rPr>
          <w:spacing w:val="-8"/>
          <w:sz w:val="18"/>
        </w:rPr>
        <w:t xml:space="preserve"> </w:t>
      </w:r>
      <w:r>
        <w:rPr>
          <w:sz w:val="18"/>
        </w:rPr>
        <w:t>APRA</w:t>
      </w:r>
      <w:r>
        <w:rPr>
          <w:spacing w:val="-6"/>
          <w:sz w:val="18"/>
        </w:rPr>
        <w:t xml:space="preserve"> </w:t>
      </w:r>
      <w:r>
        <w:rPr>
          <w:sz w:val="18"/>
        </w:rPr>
        <w:t>within</w:t>
      </w:r>
      <w:r>
        <w:rPr>
          <w:spacing w:val="-8"/>
          <w:sz w:val="18"/>
        </w:rPr>
        <w:t xml:space="preserve"> </w:t>
      </w:r>
      <w:r>
        <w:rPr>
          <w:sz w:val="18"/>
        </w:rPr>
        <w:t>21</w:t>
      </w:r>
      <w:r>
        <w:rPr>
          <w:spacing w:val="-8"/>
          <w:sz w:val="18"/>
        </w:rPr>
        <w:t xml:space="preserve"> </w:t>
      </w:r>
      <w:r>
        <w:rPr>
          <w:sz w:val="18"/>
        </w:rPr>
        <w:t>days</w:t>
      </w:r>
      <w:r>
        <w:rPr>
          <w:spacing w:val="-6"/>
          <w:sz w:val="18"/>
        </w:rPr>
        <w:t xml:space="preserve"> </w:t>
      </w:r>
      <w:r>
        <w:rPr>
          <w:sz w:val="18"/>
        </w:rPr>
        <w:t>after</w:t>
      </w:r>
      <w:r>
        <w:rPr>
          <w:spacing w:val="-8"/>
          <w:sz w:val="18"/>
        </w:rPr>
        <w:t xml:space="preserve"> </w:t>
      </w:r>
      <w:r>
        <w:rPr>
          <w:sz w:val="18"/>
        </w:rPr>
        <w:t>the</w:t>
      </w:r>
      <w:r>
        <w:rPr>
          <w:spacing w:val="-8"/>
          <w:sz w:val="18"/>
        </w:rPr>
        <w:t xml:space="preserve"> </w:t>
      </w:r>
      <w:r>
        <w:rPr>
          <w:sz w:val="18"/>
        </w:rPr>
        <w:t>day</w:t>
      </w:r>
      <w:r>
        <w:rPr>
          <w:spacing w:val="-11"/>
          <w:sz w:val="18"/>
        </w:rPr>
        <w:t xml:space="preserve"> </w:t>
      </w:r>
      <w:r>
        <w:rPr>
          <w:sz w:val="18"/>
        </w:rPr>
        <w:t>on</w:t>
      </w:r>
      <w:r>
        <w:rPr>
          <w:spacing w:val="-3"/>
          <w:sz w:val="18"/>
        </w:rPr>
        <w:t xml:space="preserve"> </w:t>
      </w:r>
      <w:r>
        <w:rPr>
          <w:sz w:val="18"/>
        </w:rPr>
        <w:t>which</w:t>
      </w:r>
      <w:r>
        <w:rPr>
          <w:spacing w:val="-5"/>
          <w:sz w:val="18"/>
        </w:rPr>
        <w:t xml:space="preserve"> </w:t>
      </w:r>
      <w:r>
        <w:rPr>
          <w:sz w:val="18"/>
        </w:rPr>
        <w:t>you</w:t>
      </w:r>
      <w:r>
        <w:rPr>
          <w:spacing w:val="-8"/>
          <w:sz w:val="18"/>
        </w:rPr>
        <w:t xml:space="preserve"> </w:t>
      </w:r>
      <w:r>
        <w:rPr>
          <w:sz w:val="18"/>
        </w:rPr>
        <w:t>first</w:t>
      </w:r>
      <w:r>
        <w:rPr>
          <w:spacing w:val="-8"/>
          <w:sz w:val="18"/>
        </w:rPr>
        <w:t xml:space="preserve"> </w:t>
      </w:r>
      <w:r>
        <w:rPr>
          <w:sz w:val="18"/>
        </w:rPr>
        <w:t>received</w:t>
      </w:r>
      <w:r>
        <w:rPr>
          <w:spacing w:val="-8"/>
          <w:sz w:val="18"/>
        </w:rPr>
        <w:t xml:space="preserve"> </w:t>
      </w:r>
      <w:r>
        <w:rPr>
          <w:sz w:val="18"/>
        </w:rPr>
        <w:t>notice</w:t>
      </w:r>
      <w:r>
        <w:rPr>
          <w:spacing w:val="-8"/>
          <w:sz w:val="18"/>
        </w:rPr>
        <w:t xml:space="preserve"> </w:t>
      </w:r>
      <w:r>
        <w:rPr>
          <w:sz w:val="18"/>
        </w:rPr>
        <w:t>of</w:t>
      </w:r>
      <w:r>
        <w:rPr>
          <w:spacing w:val="-6"/>
          <w:sz w:val="18"/>
        </w:rPr>
        <w:t xml:space="preserve"> </w:t>
      </w:r>
      <w:r>
        <w:rPr>
          <w:sz w:val="18"/>
        </w:rPr>
        <w:t>this</w:t>
      </w:r>
      <w:r>
        <w:rPr>
          <w:spacing w:val="-8"/>
          <w:sz w:val="18"/>
        </w:rPr>
        <w:t xml:space="preserve"> </w:t>
      </w:r>
      <w:r>
        <w:rPr>
          <w:sz w:val="18"/>
        </w:rPr>
        <w:t>decision,</w:t>
      </w:r>
      <w:r>
        <w:rPr>
          <w:spacing w:val="-8"/>
          <w:sz w:val="18"/>
        </w:rPr>
        <w:t xml:space="preserve"> </w:t>
      </w:r>
      <w:r>
        <w:rPr>
          <w:sz w:val="18"/>
        </w:rPr>
        <w:t>or</w:t>
      </w:r>
      <w:r>
        <w:rPr>
          <w:spacing w:val="-3"/>
          <w:sz w:val="18"/>
        </w:rPr>
        <w:t xml:space="preserve"> </w:t>
      </w:r>
      <w:r>
        <w:rPr>
          <w:sz w:val="18"/>
        </w:rPr>
        <w:t xml:space="preserve">within such further period as APRA allows. If you are dissatisfied with the outcome of APRA’s reconsideration of the decision, you may, subject to the </w:t>
      </w:r>
      <w:r>
        <w:rPr>
          <w:i/>
          <w:sz w:val="18"/>
        </w:rPr>
        <w:t>Administrative Appeals Tribunal Act 1975</w:t>
      </w:r>
      <w:r>
        <w:rPr>
          <w:sz w:val="18"/>
        </w:rPr>
        <w:t>, apply to the Administrative Appeals Tribunal</w:t>
      </w:r>
      <w:r>
        <w:rPr>
          <w:spacing w:val="-6"/>
          <w:sz w:val="18"/>
        </w:rPr>
        <w:t xml:space="preserve"> </w:t>
      </w:r>
      <w:r>
        <w:rPr>
          <w:sz w:val="18"/>
        </w:rPr>
        <w:t>for</w:t>
      </w:r>
      <w:r>
        <w:rPr>
          <w:spacing w:val="-3"/>
          <w:sz w:val="18"/>
        </w:rPr>
        <w:t xml:space="preserve"> </w:t>
      </w:r>
      <w:r>
        <w:rPr>
          <w:sz w:val="18"/>
        </w:rPr>
        <w:t>review</w:t>
      </w:r>
      <w:r>
        <w:rPr>
          <w:spacing w:val="-5"/>
          <w:sz w:val="18"/>
        </w:rPr>
        <w:t xml:space="preserve"> </w:t>
      </w:r>
      <w:r>
        <w:rPr>
          <w:sz w:val="18"/>
        </w:rPr>
        <w:t>of the</w:t>
      </w:r>
      <w:r>
        <w:rPr>
          <w:spacing w:val="-3"/>
          <w:sz w:val="18"/>
        </w:rPr>
        <w:t xml:space="preserve"> </w:t>
      </w:r>
      <w:r>
        <w:rPr>
          <w:sz w:val="18"/>
        </w:rPr>
        <w:t>reconsidered</w:t>
      </w:r>
      <w:r>
        <w:rPr>
          <w:spacing w:val="-3"/>
          <w:sz w:val="18"/>
        </w:rPr>
        <w:t xml:space="preserve"> </w:t>
      </w:r>
      <w:r>
        <w:rPr>
          <w:sz w:val="18"/>
        </w:rPr>
        <w:t>decision.</w:t>
      </w:r>
      <w:r>
        <w:rPr>
          <w:spacing w:val="-2"/>
          <w:sz w:val="18"/>
        </w:rPr>
        <w:t xml:space="preserve"> </w:t>
      </w:r>
      <w:r>
        <w:rPr>
          <w:sz w:val="18"/>
        </w:rPr>
        <w:t>The</w:t>
      </w:r>
      <w:r>
        <w:rPr>
          <w:spacing w:val="-3"/>
          <w:sz w:val="18"/>
        </w:rPr>
        <w:t xml:space="preserve"> </w:t>
      </w:r>
      <w:r>
        <w:rPr>
          <w:sz w:val="18"/>
        </w:rPr>
        <w:t>address where</w:t>
      </w:r>
      <w:r>
        <w:rPr>
          <w:spacing w:val="1"/>
          <w:sz w:val="18"/>
        </w:rPr>
        <w:t xml:space="preserve"> </w:t>
      </w:r>
      <w:r>
        <w:rPr>
          <w:sz w:val="18"/>
        </w:rPr>
        <w:t>written</w:t>
      </w:r>
      <w:r>
        <w:rPr>
          <w:spacing w:val="-3"/>
          <w:sz w:val="18"/>
        </w:rPr>
        <w:t xml:space="preserve"> </w:t>
      </w:r>
      <w:r>
        <w:rPr>
          <w:sz w:val="18"/>
        </w:rPr>
        <w:t>notice may</w:t>
      </w:r>
      <w:r>
        <w:rPr>
          <w:spacing w:val="-3"/>
          <w:sz w:val="18"/>
        </w:rPr>
        <w:t xml:space="preserve"> </w:t>
      </w:r>
      <w:r>
        <w:rPr>
          <w:sz w:val="18"/>
        </w:rPr>
        <w:t>be</w:t>
      </w:r>
      <w:r>
        <w:rPr>
          <w:spacing w:val="-2"/>
          <w:sz w:val="18"/>
        </w:rPr>
        <w:t xml:space="preserve"> </w:t>
      </w:r>
      <w:r>
        <w:rPr>
          <w:sz w:val="18"/>
        </w:rPr>
        <w:t>given</w:t>
      </w:r>
      <w:r>
        <w:rPr>
          <w:spacing w:val="-3"/>
          <w:sz w:val="18"/>
        </w:rPr>
        <w:t xml:space="preserve"> </w:t>
      </w:r>
      <w:r>
        <w:rPr>
          <w:sz w:val="18"/>
        </w:rPr>
        <w:t>to</w:t>
      </w:r>
      <w:r>
        <w:rPr>
          <w:spacing w:val="-3"/>
          <w:sz w:val="18"/>
        </w:rPr>
        <w:t xml:space="preserve"> </w:t>
      </w:r>
      <w:r>
        <w:rPr>
          <w:sz w:val="18"/>
        </w:rPr>
        <w:t>APRA</w:t>
      </w:r>
      <w:r>
        <w:rPr>
          <w:spacing w:val="-2"/>
          <w:sz w:val="18"/>
        </w:rPr>
        <w:t xml:space="preserve"> </w:t>
      </w:r>
      <w:r>
        <w:rPr>
          <w:sz w:val="18"/>
        </w:rPr>
        <w:t>is</w:t>
      </w:r>
      <w:r>
        <w:rPr>
          <w:spacing w:val="-1"/>
          <w:sz w:val="18"/>
        </w:rPr>
        <w:t xml:space="preserve"> </w:t>
      </w:r>
      <w:r>
        <w:rPr>
          <w:sz w:val="18"/>
        </w:rPr>
        <w:t>Level 12, 1 Martin Place, Sydney NSW</w:t>
      </w:r>
      <w:r>
        <w:rPr>
          <w:spacing w:val="-3"/>
          <w:sz w:val="18"/>
        </w:rPr>
        <w:t xml:space="preserve"> </w:t>
      </w:r>
      <w:r>
        <w:rPr>
          <w:sz w:val="18"/>
        </w:rPr>
        <w:t>2000.</w:t>
      </w:r>
    </w:p>
    <w:p w14:paraId="6D5758A4" w14:textId="77777777" w:rsidR="00F76605" w:rsidRDefault="00F76605">
      <w:pPr>
        <w:jc w:val="both"/>
        <w:rPr>
          <w:sz w:val="18"/>
        </w:rPr>
        <w:sectPr w:rsidR="00F76605" w:rsidSect="00A07495">
          <w:headerReference w:type="default" r:id="rId12"/>
          <w:headerReference w:type="first" r:id="rId13"/>
          <w:type w:val="continuous"/>
          <w:pgSz w:w="11910" w:h="16840"/>
          <w:pgMar w:top="1580" w:right="1300" w:bottom="280" w:left="1300" w:header="720" w:footer="720" w:gutter="0"/>
          <w:cols w:space="720"/>
          <w:titlePg/>
          <w:docGrid w:linePitch="299"/>
        </w:sectPr>
      </w:pPr>
    </w:p>
    <w:p w14:paraId="6D5758A5" w14:textId="77777777" w:rsidR="00F76605" w:rsidRDefault="00A07495">
      <w:pPr>
        <w:pStyle w:val="Heading1"/>
      </w:pPr>
      <w:r>
        <w:lastRenderedPageBreak/>
        <w:t>Schedule – the existing conditions</w:t>
      </w:r>
    </w:p>
    <w:p w14:paraId="6D5758A6" w14:textId="77777777" w:rsidR="00F76605" w:rsidRDefault="00A07495">
      <w:pPr>
        <w:pStyle w:val="ListParagraph"/>
        <w:numPr>
          <w:ilvl w:val="0"/>
          <w:numId w:val="2"/>
        </w:numPr>
        <w:tabs>
          <w:tab w:val="left" w:pos="708"/>
        </w:tabs>
        <w:spacing w:before="240"/>
        <w:ind w:right="133"/>
        <w:jc w:val="both"/>
      </w:pPr>
      <w:r>
        <w:t>The ADI must consult with APRA prior to commencing any new line of business (on- or off-balance</w:t>
      </w:r>
      <w:r>
        <w:rPr>
          <w:spacing w:val="-2"/>
        </w:rPr>
        <w:t xml:space="preserve"> </w:t>
      </w:r>
      <w:r>
        <w:t>sheet).</w:t>
      </w:r>
    </w:p>
    <w:p w14:paraId="6D5758A7" w14:textId="77777777" w:rsidR="00F76605" w:rsidRDefault="00F76605">
      <w:pPr>
        <w:pStyle w:val="BodyText"/>
        <w:spacing w:before="10"/>
        <w:rPr>
          <w:sz w:val="21"/>
        </w:rPr>
      </w:pPr>
    </w:p>
    <w:p w14:paraId="6D5758A8" w14:textId="77777777" w:rsidR="00F76605" w:rsidRDefault="00A07495">
      <w:pPr>
        <w:pStyle w:val="ListParagraph"/>
        <w:numPr>
          <w:ilvl w:val="0"/>
          <w:numId w:val="2"/>
        </w:numPr>
        <w:tabs>
          <w:tab w:val="left" w:pos="708"/>
        </w:tabs>
        <w:spacing w:before="1" w:line="242" w:lineRule="auto"/>
        <w:ind w:right="135"/>
        <w:jc w:val="both"/>
      </w:pPr>
      <w:r>
        <w:t>From 1 February 2022, the Board of the ADI must have at least two independent directors who are not also directors of any other company in the Challenger</w:t>
      </w:r>
      <w:r>
        <w:rPr>
          <w:spacing w:val="-18"/>
        </w:rPr>
        <w:t xml:space="preserve"> </w:t>
      </w:r>
      <w:r>
        <w:t>group.</w:t>
      </w:r>
    </w:p>
    <w:p w14:paraId="6D5758A9" w14:textId="77777777" w:rsidR="00F76605" w:rsidRDefault="00F76605">
      <w:pPr>
        <w:pStyle w:val="BodyText"/>
        <w:spacing w:before="7"/>
        <w:rPr>
          <w:sz w:val="21"/>
        </w:rPr>
      </w:pPr>
    </w:p>
    <w:p w14:paraId="6D5758AA" w14:textId="77777777" w:rsidR="00F76605" w:rsidRDefault="00A07495">
      <w:pPr>
        <w:pStyle w:val="ListParagraph"/>
        <w:numPr>
          <w:ilvl w:val="0"/>
          <w:numId w:val="2"/>
        </w:numPr>
        <w:tabs>
          <w:tab w:val="left" w:pos="708"/>
        </w:tabs>
        <w:ind w:right="137"/>
        <w:jc w:val="both"/>
      </w:pPr>
      <w:r>
        <w:t>From 1 February 2022, the Board Risk Committee and the Board Audit Committee of the ADI must each have at least one independent director who is not also a director of any other company in the Challenger</w:t>
      </w:r>
      <w:r>
        <w:rPr>
          <w:spacing w:val="-7"/>
        </w:rPr>
        <w:t xml:space="preserve"> </w:t>
      </w:r>
      <w:r>
        <w:t>group.</w:t>
      </w:r>
    </w:p>
    <w:p w14:paraId="6D5758AB" w14:textId="77777777" w:rsidR="00F76605" w:rsidRDefault="00F76605">
      <w:pPr>
        <w:pStyle w:val="BodyText"/>
      </w:pPr>
    </w:p>
    <w:p w14:paraId="6D5758AC" w14:textId="77777777" w:rsidR="00F76605" w:rsidRDefault="00A07495">
      <w:pPr>
        <w:pStyle w:val="ListParagraph"/>
        <w:numPr>
          <w:ilvl w:val="0"/>
          <w:numId w:val="2"/>
        </w:numPr>
        <w:tabs>
          <w:tab w:val="left" w:pos="708"/>
        </w:tabs>
        <w:spacing w:before="1"/>
        <w:ind w:right="144"/>
        <w:jc w:val="both"/>
      </w:pPr>
      <w:r>
        <w:t>The ADI must maintain a first line credit underwriting function located within the ADI at all</w:t>
      </w:r>
      <w:r>
        <w:rPr>
          <w:spacing w:val="-1"/>
        </w:rPr>
        <w:t xml:space="preserve"> </w:t>
      </w:r>
      <w:r>
        <w:t>times.</w:t>
      </w:r>
    </w:p>
    <w:p w14:paraId="6D5758AD" w14:textId="77777777" w:rsidR="00F76605" w:rsidRDefault="00F76605">
      <w:pPr>
        <w:pStyle w:val="BodyText"/>
        <w:spacing w:before="10"/>
        <w:rPr>
          <w:sz w:val="21"/>
        </w:rPr>
      </w:pPr>
    </w:p>
    <w:p w14:paraId="6D5758AE" w14:textId="77777777" w:rsidR="00F76605" w:rsidRDefault="00A07495">
      <w:pPr>
        <w:pStyle w:val="ListParagraph"/>
        <w:numPr>
          <w:ilvl w:val="0"/>
          <w:numId w:val="2"/>
        </w:numPr>
        <w:tabs>
          <w:tab w:val="left" w:pos="708"/>
        </w:tabs>
        <w:jc w:val="both"/>
      </w:pPr>
      <w:r>
        <w:t>From</w:t>
      </w:r>
      <w:r>
        <w:rPr>
          <w:spacing w:val="-8"/>
        </w:rPr>
        <w:t xml:space="preserve"> </w:t>
      </w:r>
      <w:r>
        <w:t>1</w:t>
      </w:r>
      <w:r>
        <w:rPr>
          <w:spacing w:val="-9"/>
        </w:rPr>
        <w:t xml:space="preserve"> </w:t>
      </w:r>
      <w:r>
        <w:t>November</w:t>
      </w:r>
      <w:r>
        <w:rPr>
          <w:spacing w:val="-11"/>
        </w:rPr>
        <w:t xml:space="preserve"> </w:t>
      </w:r>
      <w:r>
        <w:t>2021,</w:t>
      </w:r>
      <w:r>
        <w:rPr>
          <w:spacing w:val="-10"/>
        </w:rPr>
        <w:t xml:space="preserve"> </w:t>
      </w:r>
      <w:r>
        <w:t>the</w:t>
      </w:r>
      <w:r>
        <w:rPr>
          <w:spacing w:val="-9"/>
        </w:rPr>
        <w:t xml:space="preserve"> </w:t>
      </w:r>
      <w:r>
        <w:t>ADI</w:t>
      </w:r>
      <w:r>
        <w:rPr>
          <w:spacing w:val="-11"/>
        </w:rPr>
        <w:t xml:space="preserve"> </w:t>
      </w:r>
      <w:r>
        <w:t>must</w:t>
      </w:r>
      <w:r>
        <w:rPr>
          <w:spacing w:val="-10"/>
        </w:rPr>
        <w:t xml:space="preserve"> </w:t>
      </w:r>
      <w:r>
        <w:t>maintain</w:t>
      </w:r>
      <w:r>
        <w:rPr>
          <w:spacing w:val="-9"/>
        </w:rPr>
        <w:t xml:space="preserve"> </w:t>
      </w:r>
      <w:r>
        <w:t>a</w:t>
      </w:r>
      <w:r>
        <w:rPr>
          <w:spacing w:val="-8"/>
        </w:rPr>
        <w:t xml:space="preserve"> </w:t>
      </w:r>
      <w:r>
        <w:t>second</w:t>
      </w:r>
      <w:r>
        <w:rPr>
          <w:spacing w:val="-9"/>
        </w:rPr>
        <w:t xml:space="preserve"> </w:t>
      </w:r>
      <w:r>
        <w:t>line</w:t>
      </w:r>
      <w:r>
        <w:rPr>
          <w:spacing w:val="-9"/>
        </w:rPr>
        <w:t xml:space="preserve"> </w:t>
      </w:r>
      <w:r>
        <w:t>credit</w:t>
      </w:r>
      <w:r>
        <w:rPr>
          <w:spacing w:val="-11"/>
        </w:rPr>
        <w:t xml:space="preserve"> </w:t>
      </w:r>
      <w:r>
        <w:t>risk</w:t>
      </w:r>
      <w:r>
        <w:rPr>
          <w:spacing w:val="-9"/>
        </w:rPr>
        <w:t xml:space="preserve"> </w:t>
      </w:r>
      <w:r>
        <w:t>function</w:t>
      </w:r>
      <w:r>
        <w:rPr>
          <w:spacing w:val="-7"/>
        </w:rPr>
        <w:t xml:space="preserve"> </w:t>
      </w:r>
      <w:r>
        <w:t>located within the ADI at all</w:t>
      </w:r>
      <w:r>
        <w:rPr>
          <w:spacing w:val="-10"/>
        </w:rPr>
        <w:t xml:space="preserve"> </w:t>
      </w:r>
      <w:r>
        <w:t>times.</w:t>
      </w:r>
    </w:p>
    <w:p w14:paraId="6D5758AF" w14:textId="77777777" w:rsidR="00F76605" w:rsidRDefault="00F76605">
      <w:pPr>
        <w:pStyle w:val="BodyText"/>
        <w:spacing w:before="1"/>
      </w:pPr>
    </w:p>
    <w:p w14:paraId="6D5758B0" w14:textId="77777777" w:rsidR="00F76605" w:rsidRDefault="00A07495">
      <w:pPr>
        <w:pStyle w:val="ListParagraph"/>
        <w:numPr>
          <w:ilvl w:val="0"/>
          <w:numId w:val="2"/>
        </w:numPr>
        <w:tabs>
          <w:tab w:val="left" w:pos="708"/>
        </w:tabs>
        <w:ind w:right="137"/>
        <w:jc w:val="both"/>
      </w:pPr>
      <w:r>
        <w:t>The funds and other assets of the ADI and its subsidiaries must not be used to directly or indirectly fund, or provide security for, the purchase of financial products issued or underwritten by a member of the Challenger group that is not a subsidiary of the ADI except with the written agreement of</w:t>
      </w:r>
      <w:r>
        <w:rPr>
          <w:spacing w:val="-4"/>
        </w:rPr>
        <w:t xml:space="preserve"> </w:t>
      </w:r>
      <w:r>
        <w:t>APRA.</w:t>
      </w:r>
    </w:p>
    <w:p w14:paraId="6D5758B1" w14:textId="77777777" w:rsidR="00F76605" w:rsidRDefault="00F76605">
      <w:pPr>
        <w:pStyle w:val="BodyText"/>
      </w:pPr>
    </w:p>
    <w:p w14:paraId="6D5758B2" w14:textId="77777777" w:rsidR="00F76605" w:rsidRDefault="00A07495">
      <w:pPr>
        <w:pStyle w:val="ListParagraph"/>
        <w:numPr>
          <w:ilvl w:val="0"/>
          <w:numId w:val="2"/>
        </w:numPr>
        <w:tabs>
          <w:tab w:val="left" w:pos="708"/>
        </w:tabs>
        <w:jc w:val="both"/>
      </w:pPr>
      <w:r>
        <w:t>The ADI may outsource its treasury management functions to CIP Asset Management (part of Challenger Limited) only to the extent that the functions are already outsourced as at the commencement of this instrument and provided that the value of the total assets of the ADI does not exceed $1</w:t>
      </w:r>
      <w:r>
        <w:rPr>
          <w:spacing w:val="-6"/>
        </w:rPr>
        <w:t xml:space="preserve"> </w:t>
      </w:r>
      <w:r>
        <w:t>billion.</w:t>
      </w:r>
    </w:p>
    <w:p w14:paraId="6D5758B3" w14:textId="77777777" w:rsidR="00F76605" w:rsidRDefault="00F76605">
      <w:pPr>
        <w:pStyle w:val="BodyText"/>
        <w:rPr>
          <w:sz w:val="24"/>
        </w:rPr>
      </w:pPr>
    </w:p>
    <w:p w14:paraId="6D5758B4" w14:textId="77777777" w:rsidR="00F76605" w:rsidRDefault="00A07495">
      <w:pPr>
        <w:pStyle w:val="Heading2"/>
      </w:pPr>
      <w:r>
        <w:t>Interpretation</w:t>
      </w:r>
    </w:p>
    <w:p w14:paraId="6D5758B5" w14:textId="77777777" w:rsidR="00F76605" w:rsidRDefault="00A07495">
      <w:pPr>
        <w:pStyle w:val="BodyText"/>
        <w:spacing w:before="120"/>
        <w:ind w:left="140"/>
      </w:pPr>
      <w:r>
        <w:t>In this schedule:</w:t>
      </w:r>
    </w:p>
    <w:p w14:paraId="6D5758B6" w14:textId="77777777" w:rsidR="00F76605" w:rsidRDefault="00A07495">
      <w:pPr>
        <w:spacing w:before="119"/>
        <w:ind w:left="140"/>
      </w:pPr>
      <w:r>
        <w:rPr>
          <w:b/>
          <w:i/>
        </w:rPr>
        <w:t>Challenger</w:t>
      </w:r>
      <w:r>
        <w:rPr>
          <w:b/>
          <w:i/>
          <w:spacing w:val="-13"/>
        </w:rPr>
        <w:t xml:space="preserve"> </w:t>
      </w:r>
      <w:r>
        <w:rPr>
          <w:b/>
          <w:i/>
        </w:rPr>
        <w:t>group</w:t>
      </w:r>
      <w:r>
        <w:rPr>
          <w:b/>
          <w:i/>
          <w:spacing w:val="-15"/>
        </w:rPr>
        <w:t xml:space="preserve"> </w:t>
      </w:r>
      <w:r>
        <w:t>means</w:t>
      </w:r>
      <w:r>
        <w:rPr>
          <w:spacing w:val="-15"/>
        </w:rPr>
        <w:t xml:space="preserve"> </w:t>
      </w:r>
      <w:r>
        <w:t>Challenger</w:t>
      </w:r>
      <w:r>
        <w:rPr>
          <w:spacing w:val="-14"/>
        </w:rPr>
        <w:t xml:space="preserve"> </w:t>
      </w:r>
      <w:r>
        <w:t>Limited</w:t>
      </w:r>
      <w:r>
        <w:rPr>
          <w:spacing w:val="-12"/>
        </w:rPr>
        <w:t xml:space="preserve"> </w:t>
      </w:r>
      <w:r>
        <w:t>ABN</w:t>
      </w:r>
      <w:r>
        <w:rPr>
          <w:spacing w:val="-13"/>
        </w:rPr>
        <w:t xml:space="preserve"> </w:t>
      </w:r>
      <w:r>
        <w:t>85</w:t>
      </w:r>
      <w:r>
        <w:rPr>
          <w:spacing w:val="-12"/>
        </w:rPr>
        <w:t xml:space="preserve"> </w:t>
      </w:r>
      <w:r>
        <w:t>106</w:t>
      </w:r>
      <w:r>
        <w:rPr>
          <w:spacing w:val="-13"/>
        </w:rPr>
        <w:t xml:space="preserve"> </w:t>
      </w:r>
      <w:r>
        <w:t>842</w:t>
      </w:r>
      <w:r>
        <w:rPr>
          <w:spacing w:val="-13"/>
        </w:rPr>
        <w:t xml:space="preserve"> </w:t>
      </w:r>
      <w:r>
        <w:t>371</w:t>
      </w:r>
      <w:r>
        <w:rPr>
          <w:spacing w:val="-12"/>
        </w:rPr>
        <w:t xml:space="preserve"> </w:t>
      </w:r>
      <w:r>
        <w:t>and</w:t>
      </w:r>
      <w:r>
        <w:rPr>
          <w:spacing w:val="-13"/>
        </w:rPr>
        <w:t xml:space="preserve"> </w:t>
      </w:r>
      <w:r>
        <w:t>its</w:t>
      </w:r>
      <w:r>
        <w:rPr>
          <w:spacing w:val="-13"/>
        </w:rPr>
        <w:t xml:space="preserve"> </w:t>
      </w:r>
      <w:r>
        <w:t>subsidiaries</w:t>
      </w:r>
      <w:r>
        <w:rPr>
          <w:spacing w:val="-14"/>
        </w:rPr>
        <w:t xml:space="preserve"> </w:t>
      </w:r>
      <w:r>
        <w:t xml:space="preserve">(within the meaning of section 50 of the </w:t>
      </w:r>
      <w:r>
        <w:rPr>
          <w:i/>
        </w:rPr>
        <w:t>Corporations Act</w:t>
      </w:r>
      <w:r>
        <w:rPr>
          <w:i/>
          <w:spacing w:val="-6"/>
        </w:rPr>
        <w:t xml:space="preserve"> </w:t>
      </w:r>
      <w:r>
        <w:rPr>
          <w:i/>
        </w:rPr>
        <w:t>2001</w:t>
      </w:r>
      <w:r>
        <w:t>).</w:t>
      </w:r>
    </w:p>
    <w:p w14:paraId="6D5758B7" w14:textId="77777777" w:rsidR="00F76605" w:rsidRDefault="00A07495">
      <w:pPr>
        <w:spacing w:before="119"/>
        <w:ind w:left="140" w:right="137"/>
        <w:jc w:val="both"/>
      </w:pPr>
      <w:r>
        <w:rPr>
          <w:b/>
          <w:i/>
        </w:rPr>
        <w:t>total</w:t>
      </w:r>
      <w:r>
        <w:rPr>
          <w:b/>
          <w:i/>
          <w:spacing w:val="-6"/>
        </w:rPr>
        <w:t xml:space="preserve"> </w:t>
      </w:r>
      <w:r>
        <w:rPr>
          <w:b/>
          <w:i/>
        </w:rPr>
        <w:t>assets</w:t>
      </w:r>
      <w:r>
        <w:rPr>
          <w:b/>
          <w:i/>
          <w:spacing w:val="-5"/>
        </w:rPr>
        <w:t xml:space="preserve"> </w:t>
      </w:r>
      <w:proofErr w:type="gramStart"/>
      <w:r>
        <w:t>means</w:t>
      </w:r>
      <w:proofErr w:type="gramEnd"/>
      <w:r>
        <w:rPr>
          <w:spacing w:val="-5"/>
        </w:rPr>
        <w:t xml:space="preserve"> </w:t>
      </w:r>
      <w:r>
        <w:t>the</w:t>
      </w:r>
      <w:r>
        <w:rPr>
          <w:spacing w:val="-5"/>
        </w:rPr>
        <w:t xml:space="preserve"> </w:t>
      </w:r>
      <w:r>
        <w:t>total</w:t>
      </w:r>
      <w:r>
        <w:rPr>
          <w:spacing w:val="-4"/>
        </w:rPr>
        <w:t xml:space="preserve"> </w:t>
      </w:r>
      <w:r>
        <w:t>assets</w:t>
      </w:r>
      <w:r>
        <w:rPr>
          <w:spacing w:val="-5"/>
        </w:rPr>
        <w:t xml:space="preserve"> </w:t>
      </w:r>
      <w:r>
        <w:t>worked</w:t>
      </w:r>
      <w:r>
        <w:rPr>
          <w:spacing w:val="-5"/>
        </w:rPr>
        <w:t xml:space="preserve"> </w:t>
      </w:r>
      <w:r>
        <w:t>out</w:t>
      </w:r>
      <w:r>
        <w:rPr>
          <w:spacing w:val="-6"/>
        </w:rPr>
        <w:t xml:space="preserve"> </w:t>
      </w:r>
      <w:r>
        <w:t>in</w:t>
      </w:r>
      <w:r>
        <w:rPr>
          <w:spacing w:val="-5"/>
        </w:rPr>
        <w:t xml:space="preserve"> </w:t>
      </w:r>
      <w:r>
        <w:t>accordance</w:t>
      </w:r>
      <w:r>
        <w:rPr>
          <w:spacing w:val="-5"/>
        </w:rPr>
        <w:t xml:space="preserve"> </w:t>
      </w:r>
      <w:r>
        <w:t>with</w:t>
      </w:r>
      <w:r>
        <w:rPr>
          <w:spacing w:val="-4"/>
        </w:rPr>
        <w:t xml:space="preserve"> </w:t>
      </w:r>
      <w:r>
        <w:t>the</w:t>
      </w:r>
      <w:r>
        <w:rPr>
          <w:spacing w:val="-5"/>
        </w:rPr>
        <w:t xml:space="preserve"> </w:t>
      </w:r>
      <w:r>
        <w:t>method</w:t>
      </w:r>
      <w:r>
        <w:rPr>
          <w:spacing w:val="-5"/>
        </w:rPr>
        <w:t xml:space="preserve"> </w:t>
      </w:r>
      <w:r>
        <w:t>for</w:t>
      </w:r>
      <w:r>
        <w:rPr>
          <w:spacing w:val="-6"/>
        </w:rPr>
        <w:t xml:space="preserve"> </w:t>
      </w:r>
      <w:r>
        <w:t xml:space="preserve">calculating total assets under </w:t>
      </w:r>
      <w:r>
        <w:rPr>
          <w:i/>
        </w:rPr>
        <w:t xml:space="preserve">Reporting Standard ARS 320.0 </w:t>
      </w:r>
      <w:r>
        <w:t xml:space="preserve">as in force from time to time and, if </w:t>
      </w:r>
      <w:r>
        <w:rPr>
          <w:i/>
        </w:rPr>
        <w:t xml:space="preserve">Reporting Standard ARS 320.0 </w:t>
      </w:r>
      <w:r>
        <w:t>is replaced by a different Reporting Standard, that Reporting Standard as in force from time to</w:t>
      </w:r>
      <w:r>
        <w:rPr>
          <w:spacing w:val="-8"/>
        </w:rPr>
        <w:t xml:space="preserve"> </w:t>
      </w:r>
      <w:r>
        <w:t>time.</w:t>
      </w:r>
    </w:p>
    <w:p w14:paraId="6D5758B8" w14:textId="77777777" w:rsidR="00F76605" w:rsidRDefault="00F76605">
      <w:pPr>
        <w:jc w:val="both"/>
        <w:sectPr w:rsidR="00F76605">
          <w:footerReference w:type="default" r:id="rId14"/>
          <w:pgSz w:w="11910" w:h="16840"/>
          <w:pgMar w:top="1580" w:right="1300" w:bottom="900" w:left="1300" w:header="0" w:footer="710" w:gutter="0"/>
          <w:pgNumType w:start="2"/>
          <w:cols w:space="720"/>
        </w:sectPr>
      </w:pPr>
    </w:p>
    <w:p w14:paraId="6D5758B9" w14:textId="77777777" w:rsidR="00F76605" w:rsidRDefault="00A07495">
      <w:pPr>
        <w:pStyle w:val="Heading1"/>
      </w:pPr>
      <w:r>
        <w:lastRenderedPageBreak/>
        <w:t>Schedule – the varied conditions</w:t>
      </w:r>
    </w:p>
    <w:p w14:paraId="6D5758BA" w14:textId="77777777" w:rsidR="00F76605" w:rsidRDefault="00A07495">
      <w:pPr>
        <w:pStyle w:val="ListParagraph"/>
        <w:numPr>
          <w:ilvl w:val="0"/>
          <w:numId w:val="1"/>
        </w:numPr>
        <w:tabs>
          <w:tab w:val="left" w:pos="708"/>
        </w:tabs>
        <w:spacing w:before="240"/>
        <w:ind w:right="133"/>
        <w:jc w:val="both"/>
      </w:pPr>
      <w:r>
        <w:t>The ADI must consult with APRA prior to commencing any new line of business (on- or off-balance</w:t>
      </w:r>
      <w:r>
        <w:rPr>
          <w:spacing w:val="-2"/>
        </w:rPr>
        <w:t xml:space="preserve"> </w:t>
      </w:r>
      <w:r>
        <w:t>sheet).</w:t>
      </w:r>
    </w:p>
    <w:p w14:paraId="6D5758BB" w14:textId="77777777" w:rsidR="00F76605" w:rsidRDefault="00F76605">
      <w:pPr>
        <w:pStyle w:val="BodyText"/>
        <w:spacing w:before="10"/>
        <w:rPr>
          <w:sz w:val="21"/>
        </w:rPr>
      </w:pPr>
    </w:p>
    <w:p w14:paraId="6D5758BC" w14:textId="77777777" w:rsidR="00F76605" w:rsidRDefault="00A07495">
      <w:pPr>
        <w:pStyle w:val="ListParagraph"/>
        <w:numPr>
          <w:ilvl w:val="0"/>
          <w:numId w:val="1"/>
        </w:numPr>
        <w:tabs>
          <w:tab w:val="left" w:pos="708"/>
        </w:tabs>
        <w:spacing w:before="1" w:line="242" w:lineRule="auto"/>
        <w:ind w:right="139"/>
        <w:jc w:val="both"/>
      </w:pPr>
      <w:r>
        <w:t>From 1 March 2022, the Board of the ADI must have at least two independent</w:t>
      </w:r>
      <w:r>
        <w:rPr>
          <w:spacing w:val="-22"/>
        </w:rPr>
        <w:t xml:space="preserve"> </w:t>
      </w:r>
      <w:r>
        <w:t>directors who are not also directors of any other company in the Challenger</w:t>
      </w:r>
      <w:r>
        <w:rPr>
          <w:spacing w:val="-11"/>
        </w:rPr>
        <w:t xml:space="preserve"> </w:t>
      </w:r>
      <w:r>
        <w:t>group.</w:t>
      </w:r>
    </w:p>
    <w:p w14:paraId="6D5758BD" w14:textId="77777777" w:rsidR="00F76605" w:rsidRDefault="00F76605">
      <w:pPr>
        <w:pStyle w:val="BodyText"/>
        <w:spacing w:before="7"/>
        <w:rPr>
          <w:sz w:val="21"/>
        </w:rPr>
      </w:pPr>
    </w:p>
    <w:p w14:paraId="6D5758BE" w14:textId="77777777" w:rsidR="00F76605" w:rsidRDefault="00A07495">
      <w:pPr>
        <w:pStyle w:val="ListParagraph"/>
        <w:numPr>
          <w:ilvl w:val="0"/>
          <w:numId w:val="1"/>
        </w:numPr>
        <w:tabs>
          <w:tab w:val="left" w:pos="708"/>
        </w:tabs>
        <w:ind w:right="142"/>
        <w:jc w:val="both"/>
      </w:pPr>
      <w:r>
        <w:t>From 1 March 2022, the Board Risk Committee and the Board Audit Committee of the ADI must each have at least one independent director who is not also a director of any other company in the Challenger</w:t>
      </w:r>
      <w:r>
        <w:rPr>
          <w:spacing w:val="-7"/>
        </w:rPr>
        <w:t xml:space="preserve"> </w:t>
      </w:r>
      <w:r>
        <w:t>group.</w:t>
      </w:r>
    </w:p>
    <w:p w14:paraId="6D5758BF" w14:textId="77777777" w:rsidR="00F76605" w:rsidRDefault="00F76605">
      <w:pPr>
        <w:pStyle w:val="BodyText"/>
      </w:pPr>
    </w:p>
    <w:p w14:paraId="6D5758C0" w14:textId="77777777" w:rsidR="00F76605" w:rsidRDefault="00A07495">
      <w:pPr>
        <w:pStyle w:val="ListParagraph"/>
        <w:numPr>
          <w:ilvl w:val="0"/>
          <w:numId w:val="1"/>
        </w:numPr>
        <w:tabs>
          <w:tab w:val="left" w:pos="708"/>
        </w:tabs>
        <w:spacing w:before="1"/>
        <w:ind w:right="144"/>
        <w:jc w:val="both"/>
      </w:pPr>
      <w:r>
        <w:t>The ADI must maintain a first line credit underwriting function located within the ADI at all</w:t>
      </w:r>
      <w:r>
        <w:rPr>
          <w:spacing w:val="-1"/>
        </w:rPr>
        <w:t xml:space="preserve"> </w:t>
      </w:r>
      <w:r>
        <w:t>times.</w:t>
      </w:r>
    </w:p>
    <w:p w14:paraId="6D5758C1" w14:textId="77777777" w:rsidR="00F76605" w:rsidRDefault="00F76605">
      <w:pPr>
        <w:pStyle w:val="BodyText"/>
        <w:spacing w:before="10"/>
        <w:rPr>
          <w:sz w:val="21"/>
        </w:rPr>
      </w:pPr>
    </w:p>
    <w:p w14:paraId="6D5758C2" w14:textId="77777777" w:rsidR="00F76605" w:rsidRDefault="00A07495">
      <w:pPr>
        <w:pStyle w:val="ListParagraph"/>
        <w:numPr>
          <w:ilvl w:val="0"/>
          <w:numId w:val="1"/>
        </w:numPr>
        <w:tabs>
          <w:tab w:val="left" w:pos="708"/>
        </w:tabs>
        <w:jc w:val="both"/>
      </w:pPr>
      <w:r>
        <w:t>From</w:t>
      </w:r>
      <w:r>
        <w:rPr>
          <w:spacing w:val="-8"/>
        </w:rPr>
        <w:t xml:space="preserve"> </w:t>
      </w:r>
      <w:r>
        <w:t>1</w:t>
      </w:r>
      <w:r>
        <w:rPr>
          <w:spacing w:val="-9"/>
        </w:rPr>
        <w:t xml:space="preserve"> </w:t>
      </w:r>
      <w:r>
        <w:t>November</w:t>
      </w:r>
      <w:r>
        <w:rPr>
          <w:spacing w:val="-9"/>
        </w:rPr>
        <w:t xml:space="preserve"> </w:t>
      </w:r>
      <w:r>
        <w:t>2021,</w:t>
      </w:r>
      <w:r>
        <w:rPr>
          <w:spacing w:val="-11"/>
        </w:rPr>
        <w:t xml:space="preserve"> </w:t>
      </w:r>
      <w:r>
        <w:t>the</w:t>
      </w:r>
      <w:r>
        <w:rPr>
          <w:spacing w:val="-9"/>
        </w:rPr>
        <w:t xml:space="preserve"> </w:t>
      </w:r>
      <w:r>
        <w:t>ADI</w:t>
      </w:r>
      <w:r>
        <w:rPr>
          <w:spacing w:val="-10"/>
        </w:rPr>
        <w:t xml:space="preserve"> </w:t>
      </w:r>
      <w:r>
        <w:t>must</w:t>
      </w:r>
      <w:r>
        <w:rPr>
          <w:spacing w:val="-10"/>
        </w:rPr>
        <w:t xml:space="preserve"> </w:t>
      </w:r>
      <w:r>
        <w:t>maintain</w:t>
      </w:r>
      <w:r>
        <w:rPr>
          <w:spacing w:val="-10"/>
        </w:rPr>
        <w:t xml:space="preserve"> </w:t>
      </w:r>
      <w:r>
        <w:t>a</w:t>
      </w:r>
      <w:r>
        <w:rPr>
          <w:spacing w:val="-7"/>
        </w:rPr>
        <w:t xml:space="preserve"> </w:t>
      </w:r>
      <w:r>
        <w:t>second</w:t>
      </w:r>
      <w:r>
        <w:rPr>
          <w:spacing w:val="-9"/>
        </w:rPr>
        <w:t xml:space="preserve"> </w:t>
      </w:r>
      <w:r>
        <w:t>line</w:t>
      </w:r>
      <w:r>
        <w:rPr>
          <w:spacing w:val="-10"/>
        </w:rPr>
        <w:t xml:space="preserve"> </w:t>
      </w:r>
      <w:r>
        <w:t>credit</w:t>
      </w:r>
      <w:r>
        <w:rPr>
          <w:spacing w:val="-10"/>
        </w:rPr>
        <w:t xml:space="preserve"> </w:t>
      </w:r>
      <w:r>
        <w:t>risk</w:t>
      </w:r>
      <w:r>
        <w:rPr>
          <w:spacing w:val="-9"/>
        </w:rPr>
        <w:t xml:space="preserve"> </w:t>
      </w:r>
      <w:r>
        <w:t>function</w:t>
      </w:r>
      <w:r>
        <w:rPr>
          <w:spacing w:val="-7"/>
        </w:rPr>
        <w:t xml:space="preserve"> </w:t>
      </w:r>
      <w:r>
        <w:t>located within the ADI at all</w:t>
      </w:r>
      <w:r>
        <w:rPr>
          <w:spacing w:val="-10"/>
        </w:rPr>
        <w:t xml:space="preserve"> </w:t>
      </w:r>
      <w:r>
        <w:t>times.</w:t>
      </w:r>
    </w:p>
    <w:p w14:paraId="6D5758C3" w14:textId="77777777" w:rsidR="00F76605" w:rsidRDefault="00F76605">
      <w:pPr>
        <w:pStyle w:val="BodyText"/>
        <w:spacing w:before="1"/>
      </w:pPr>
    </w:p>
    <w:p w14:paraId="6D5758C4" w14:textId="77777777" w:rsidR="00F76605" w:rsidRDefault="00A07495">
      <w:pPr>
        <w:pStyle w:val="ListParagraph"/>
        <w:numPr>
          <w:ilvl w:val="0"/>
          <w:numId w:val="1"/>
        </w:numPr>
        <w:tabs>
          <w:tab w:val="left" w:pos="708"/>
        </w:tabs>
        <w:ind w:right="140"/>
        <w:jc w:val="both"/>
      </w:pPr>
      <w:r>
        <w:t>The funds and other assets of the ADI and its subsidiaries must not be used to directly or indirectly fund, or provide security for, the purchase of financial products issued or underwritten by a member of the Challenger group that is not a subsidiary of the ADI except with the written agreement of</w:t>
      </w:r>
      <w:r>
        <w:rPr>
          <w:spacing w:val="-4"/>
        </w:rPr>
        <w:t xml:space="preserve"> </w:t>
      </w:r>
      <w:r>
        <w:t>APRA.</w:t>
      </w:r>
    </w:p>
    <w:p w14:paraId="6D5758C5" w14:textId="77777777" w:rsidR="00F76605" w:rsidRDefault="00F76605">
      <w:pPr>
        <w:pStyle w:val="BodyText"/>
      </w:pPr>
    </w:p>
    <w:p w14:paraId="6D5758C6" w14:textId="77777777" w:rsidR="00F76605" w:rsidRDefault="00A07495">
      <w:pPr>
        <w:pStyle w:val="ListParagraph"/>
        <w:numPr>
          <w:ilvl w:val="0"/>
          <w:numId w:val="1"/>
        </w:numPr>
        <w:tabs>
          <w:tab w:val="left" w:pos="708"/>
        </w:tabs>
        <w:jc w:val="both"/>
      </w:pPr>
      <w:r>
        <w:t>The ADI may outsource its treasury management functions to CIP Asset Management (part of Challenger Limited) only to the extent that the functions are already outsourced as at the commencement of this instrument and provided that the value of the total assets of the ADI does not exceed $1</w:t>
      </w:r>
      <w:r>
        <w:rPr>
          <w:spacing w:val="-6"/>
        </w:rPr>
        <w:t xml:space="preserve"> </w:t>
      </w:r>
      <w:r>
        <w:t>billion.</w:t>
      </w:r>
    </w:p>
    <w:p w14:paraId="6D5758C7" w14:textId="77777777" w:rsidR="00F76605" w:rsidRDefault="00F76605">
      <w:pPr>
        <w:pStyle w:val="BodyText"/>
        <w:rPr>
          <w:sz w:val="24"/>
        </w:rPr>
      </w:pPr>
    </w:p>
    <w:p w14:paraId="6D5758C8" w14:textId="77777777" w:rsidR="00F76605" w:rsidRDefault="00A07495">
      <w:pPr>
        <w:pStyle w:val="Heading2"/>
      </w:pPr>
      <w:r>
        <w:t>Interpretation</w:t>
      </w:r>
    </w:p>
    <w:p w14:paraId="6D5758C9" w14:textId="77777777" w:rsidR="00F76605" w:rsidRDefault="00A07495">
      <w:pPr>
        <w:pStyle w:val="BodyText"/>
        <w:spacing w:before="120"/>
        <w:ind w:left="140"/>
      </w:pPr>
      <w:r>
        <w:t>In this schedule:</w:t>
      </w:r>
    </w:p>
    <w:p w14:paraId="6D5758CA" w14:textId="77777777" w:rsidR="00F76605" w:rsidRDefault="00A07495">
      <w:pPr>
        <w:spacing w:before="119"/>
        <w:ind w:left="140"/>
      </w:pPr>
      <w:r>
        <w:rPr>
          <w:b/>
          <w:i/>
        </w:rPr>
        <w:t>Challenger</w:t>
      </w:r>
      <w:r>
        <w:rPr>
          <w:b/>
          <w:i/>
          <w:spacing w:val="-13"/>
        </w:rPr>
        <w:t xml:space="preserve"> </w:t>
      </w:r>
      <w:r>
        <w:rPr>
          <w:b/>
          <w:i/>
        </w:rPr>
        <w:t>group</w:t>
      </w:r>
      <w:r>
        <w:rPr>
          <w:b/>
          <w:i/>
          <w:spacing w:val="-15"/>
        </w:rPr>
        <w:t xml:space="preserve"> </w:t>
      </w:r>
      <w:r>
        <w:t>means</w:t>
      </w:r>
      <w:r>
        <w:rPr>
          <w:spacing w:val="-15"/>
        </w:rPr>
        <w:t xml:space="preserve"> </w:t>
      </w:r>
      <w:r>
        <w:t>Challenger</w:t>
      </w:r>
      <w:r>
        <w:rPr>
          <w:spacing w:val="-14"/>
        </w:rPr>
        <w:t xml:space="preserve"> </w:t>
      </w:r>
      <w:r>
        <w:t>Limited</w:t>
      </w:r>
      <w:r>
        <w:rPr>
          <w:spacing w:val="-12"/>
        </w:rPr>
        <w:t xml:space="preserve"> </w:t>
      </w:r>
      <w:r>
        <w:t>ABN</w:t>
      </w:r>
      <w:r>
        <w:rPr>
          <w:spacing w:val="-13"/>
        </w:rPr>
        <w:t xml:space="preserve"> </w:t>
      </w:r>
      <w:r>
        <w:t>85</w:t>
      </w:r>
      <w:r>
        <w:rPr>
          <w:spacing w:val="-12"/>
        </w:rPr>
        <w:t xml:space="preserve"> </w:t>
      </w:r>
      <w:r>
        <w:t>106</w:t>
      </w:r>
      <w:r>
        <w:rPr>
          <w:spacing w:val="-13"/>
        </w:rPr>
        <w:t xml:space="preserve"> </w:t>
      </w:r>
      <w:r>
        <w:t>842</w:t>
      </w:r>
      <w:r>
        <w:rPr>
          <w:spacing w:val="-13"/>
        </w:rPr>
        <w:t xml:space="preserve"> </w:t>
      </w:r>
      <w:r>
        <w:t>371</w:t>
      </w:r>
      <w:r>
        <w:rPr>
          <w:spacing w:val="-12"/>
        </w:rPr>
        <w:t xml:space="preserve"> </w:t>
      </w:r>
      <w:r>
        <w:t>and</w:t>
      </w:r>
      <w:r>
        <w:rPr>
          <w:spacing w:val="-13"/>
        </w:rPr>
        <w:t xml:space="preserve"> </w:t>
      </w:r>
      <w:r>
        <w:t>its</w:t>
      </w:r>
      <w:r>
        <w:rPr>
          <w:spacing w:val="-13"/>
        </w:rPr>
        <w:t xml:space="preserve"> </w:t>
      </w:r>
      <w:r>
        <w:t>subsidiaries</w:t>
      </w:r>
      <w:r>
        <w:rPr>
          <w:spacing w:val="-14"/>
        </w:rPr>
        <w:t xml:space="preserve"> </w:t>
      </w:r>
      <w:r>
        <w:t xml:space="preserve">(within the meaning of section 50 of the </w:t>
      </w:r>
      <w:r>
        <w:rPr>
          <w:i/>
        </w:rPr>
        <w:t>Corporations Act</w:t>
      </w:r>
      <w:r>
        <w:rPr>
          <w:i/>
          <w:spacing w:val="-6"/>
        </w:rPr>
        <w:t xml:space="preserve"> </w:t>
      </w:r>
      <w:r>
        <w:rPr>
          <w:i/>
        </w:rPr>
        <w:t>2001</w:t>
      </w:r>
      <w:r>
        <w:t>).</w:t>
      </w:r>
    </w:p>
    <w:p w14:paraId="6D5758CB" w14:textId="77777777" w:rsidR="00F76605" w:rsidRDefault="00A07495">
      <w:pPr>
        <w:spacing w:before="119"/>
        <w:ind w:left="140" w:right="137"/>
        <w:jc w:val="both"/>
      </w:pPr>
      <w:r>
        <w:rPr>
          <w:b/>
          <w:i/>
        </w:rPr>
        <w:t>total</w:t>
      </w:r>
      <w:r>
        <w:rPr>
          <w:b/>
          <w:i/>
          <w:spacing w:val="-6"/>
        </w:rPr>
        <w:t xml:space="preserve"> </w:t>
      </w:r>
      <w:r>
        <w:rPr>
          <w:b/>
          <w:i/>
        </w:rPr>
        <w:t>assets</w:t>
      </w:r>
      <w:r>
        <w:rPr>
          <w:b/>
          <w:i/>
          <w:spacing w:val="-5"/>
        </w:rPr>
        <w:t xml:space="preserve"> </w:t>
      </w:r>
      <w:proofErr w:type="gramStart"/>
      <w:r>
        <w:t>means</w:t>
      </w:r>
      <w:proofErr w:type="gramEnd"/>
      <w:r>
        <w:rPr>
          <w:spacing w:val="-5"/>
        </w:rPr>
        <w:t xml:space="preserve"> </w:t>
      </w:r>
      <w:r>
        <w:t>the</w:t>
      </w:r>
      <w:r>
        <w:rPr>
          <w:spacing w:val="-5"/>
        </w:rPr>
        <w:t xml:space="preserve"> </w:t>
      </w:r>
      <w:r>
        <w:t>total</w:t>
      </w:r>
      <w:r>
        <w:rPr>
          <w:spacing w:val="-4"/>
        </w:rPr>
        <w:t xml:space="preserve"> </w:t>
      </w:r>
      <w:r>
        <w:t>assets</w:t>
      </w:r>
      <w:r>
        <w:rPr>
          <w:spacing w:val="-5"/>
        </w:rPr>
        <w:t xml:space="preserve"> </w:t>
      </w:r>
      <w:r>
        <w:t>worked</w:t>
      </w:r>
      <w:r>
        <w:rPr>
          <w:spacing w:val="-5"/>
        </w:rPr>
        <w:t xml:space="preserve"> </w:t>
      </w:r>
      <w:r>
        <w:t>out</w:t>
      </w:r>
      <w:r>
        <w:rPr>
          <w:spacing w:val="-6"/>
        </w:rPr>
        <w:t xml:space="preserve"> </w:t>
      </w:r>
      <w:r>
        <w:t>in</w:t>
      </w:r>
      <w:r>
        <w:rPr>
          <w:spacing w:val="-5"/>
        </w:rPr>
        <w:t xml:space="preserve"> </w:t>
      </w:r>
      <w:r>
        <w:t>accordance</w:t>
      </w:r>
      <w:r>
        <w:rPr>
          <w:spacing w:val="-5"/>
        </w:rPr>
        <w:t xml:space="preserve"> </w:t>
      </w:r>
      <w:r>
        <w:t>with</w:t>
      </w:r>
      <w:r>
        <w:rPr>
          <w:spacing w:val="-4"/>
        </w:rPr>
        <w:t xml:space="preserve"> </w:t>
      </w:r>
      <w:r>
        <w:t>the</w:t>
      </w:r>
      <w:r>
        <w:rPr>
          <w:spacing w:val="-5"/>
        </w:rPr>
        <w:t xml:space="preserve"> </w:t>
      </w:r>
      <w:r>
        <w:t>method</w:t>
      </w:r>
      <w:r>
        <w:rPr>
          <w:spacing w:val="-5"/>
        </w:rPr>
        <w:t xml:space="preserve"> </w:t>
      </w:r>
      <w:r>
        <w:t>for</w:t>
      </w:r>
      <w:r>
        <w:rPr>
          <w:spacing w:val="-6"/>
        </w:rPr>
        <w:t xml:space="preserve"> </w:t>
      </w:r>
      <w:r>
        <w:t xml:space="preserve">calculating total assets under </w:t>
      </w:r>
      <w:r>
        <w:rPr>
          <w:i/>
        </w:rPr>
        <w:t xml:space="preserve">Reporting Standard ARS 320.0 </w:t>
      </w:r>
      <w:r>
        <w:t xml:space="preserve">as in force from time to time and, if </w:t>
      </w:r>
      <w:r>
        <w:rPr>
          <w:i/>
        </w:rPr>
        <w:t xml:space="preserve">Reporting Standard ARS 320.0 </w:t>
      </w:r>
      <w:r>
        <w:t>is replaced by a different Reporting Standard, that Reporting Standard as in force from time to</w:t>
      </w:r>
      <w:r>
        <w:rPr>
          <w:spacing w:val="-8"/>
        </w:rPr>
        <w:t xml:space="preserve"> </w:t>
      </w:r>
      <w:r>
        <w:t>time.</w:t>
      </w:r>
    </w:p>
    <w:sectPr w:rsidR="00F76605">
      <w:pgSz w:w="11910" w:h="16840"/>
      <w:pgMar w:top="1580" w:right="1300" w:bottom="900" w:left="1300" w:header="0" w:footer="7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5758D4" w14:textId="77777777" w:rsidR="00673C73" w:rsidRDefault="00A07495">
      <w:r>
        <w:separator/>
      </w:r>
    </w:p>
  </w:endnote>
  <w:endnote w:type="continuationSeparator" w:id="0">
    <w:p w14:paraId="6D5758D6" w14:textId="77777777" w:rsidR="00673C73" w:rsidRDefault="00A07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5758CF" w14:textId="77777777" w:rsidR="00F76605" w:rsidRDefault="00136710">
    <w:pPr>
      <w:pStyle w:val="BodyText"/>
      <w:spacing w:line="14" w:lineRule="auto"/>
      <w:rPr>
        <w:sz w:val="20"/>
      </w:rPr>
    </w:pPr>
    <w:r>
      <w:pict w14:anchorId="6D5758D0">
        <v:shapetype id="_x0000_t202" coordsize="21600,21600" o:spt="202" path="m,l,21600r21600,l21600,xe">
          <v:stroke joinstyle="miter"/>
          <v:path gradientshapeok="t" o:connecttype="rect"/>
        </v:shapetype>
        <v:shape id="_x0000_s2049" type="#_x0000_t202" style="position:absolute;margin-left:476.35pt;margin-top:795.35pt;width:48.15pt;height:12.1pt;z-index:-251658752;mso-position-horizontal-relative:page;mso-position-vertical-relative:page" filled="f" stroked="f">
          <v:textbox inset="0,0,0,0">
            <w:txbxContent>
              <w:p w14:paraId="6D5758D1" w14:textId="77777777" w:rsidR="00F76605" w:rsidRDefault="00A07495">
                <w:pPr>
                  <w:spacing w:before="14"/>
                  <w:ind w:left="20"/>
                  <w:rPr>
                    <w:sz w:val="18"/>
                  </w:rPr>
                </w:pPr>
                <w:r>
                  <w:rPr>
                    <w:sz w:val="18"/>
                  </w:rPr>
                  <w:t xml:space="preserve">Page </w:t>
                </w:r>
                <w:r>
                  <w:fldChar w:fldCharType="begin"/>
                </w:r>
                <w:r>
                  <w:rPr>
                    <w:sz w:val="18"/>
                  </w:rPr>
                  <w:instrText xml:space="preserve"> PAGE </w:instrText>
                </w:r>
                <w:r>
                  <w:fldChar w:fldCharType="separate"/>
                </w:r>
                <w:r>
                  <w:t>2</w:t>
                </w:r>
                <w:r>
                  <w:fldChar w:fldCharType="end"/>
                </w:r>
                <w:r>
                  <w:rPr>
                    <w:sz w:val="18"/>
                  </w:rPr>
                  <w:t xml:space="preserve"> of 3</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758D0" w14:textId="77777777" w:rsidR="00673C73" w:rsidRDefault="00A07495">
      <w:r>
        <w:separator/>
      </w:r>
    </w:p>
  </w:footnote>
  <w:footnote w:type="continuationSeparator" w:id="0">
    <w:p w14:paraId="6D5758D2" w14:textId="77777777" w:rsidR="00673C73" w:rsidRDefault="00A074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8E390D" w14:textId="4CC36E52" w:rsidR="00A07495" w:rsidRDefault="00A07495">
    <w:pPr>
      <w:pStyle w:val="Header"/>
    </w:pPr>
  </w:p>
  <w:p w14:paraId="6C8E7D2B" w14:textId="77777777" w:rsidR="00A07495" w:rsidRDefault="00A074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77" w:type="dxa"/>
      <w:tblInd w:w="80" w:type="dxa"/>
      <w:tblLayout w:type="fixed"/>
      <w:tblLook w:val="01E0" w:firstRow="1" w:lastRow="1" w:firstColumn="1" w:lastColumn="1" w:noHBand="0" w:noVBand="0"/>
    </w:tblPr>
    <w:tblGrid>
      <w:gridCol w:w="1263"/>
      <w:gridCol w:w="4435"/>
      <w:gridCol w:w="3979"/>
    </w:tblGrid>
    <w:tr w:rsidR="00A07495" w:rsidRPr="00CE796A" w14:paraId="40D50C2A" w14:textId="77777777" w:rsidTr="00EC7957">
      <w:trPr>
        <w:trHeight w:val="984"/>
      </w:trPr>
      <w:tc>
        <w:tcPr>
          <w:tcW w:w="1263" w:type="dxa"/>
          <w:tcBorders>
            <w:top w:val="single" w:sz="4" w:space="0" w:color="auto"/>
            <w:left w:val="nil"/>
            <w:bottom w:val="single" w:sz="4" w:space="0" w:color="auto"/>
            <w:right w:val="nil"/>
            <w:tl2br w:val="nil"/>
            <w:tr2bl w:val="nil"/>
          </w:tcBorders>
          <w:shd w:val="clear" w:color="auto" w:fill="auto"/>
        </w:tcPr>
        <w:p w14:paraId="50958AD6" w14:textId="77777777" w:rsidR="00A07495" w:rsidRPr="00CE796A" w:rsidRDefault="00A07495" w:rsidP="00A07495">
          <w:pPr>
            <w:spacing w:before="60"/>
            <w:ind w:left="-51"/>
            <w:rPr>
              <w:sz w:val="12"/>
            </w:rPr>
          </w:pPr>
          <w:bookmarkStart w:id="1" w:name="OLE_LINK2"/>
          <w:r>
            <w:rPr>
              <w:noProof/>
              <w:sz w:val="12"/>
              <w:lang w:eastAsia="en-AU"/>
            </w:rPr>
            <w:drawing>
              <wp:inline distT="0" distB="0" distL="0" distR="0" wp14:anchorId="6C364D16" wp14:editId="7A383408">
                <wp:extent cx="702945" cy="544195"/>
                <wp:effectExtent l="0" t="0" r="0" b="8255"/>
                <wp:docPr id="1" name="Picture 1" title="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13FC1F58" w14:textId="77777777" w:rsidR="00A07495" w:rsidRPr="00CE796A" w:rsidRDefault="00A07495" w:rsidP="00A07495">
          <w:pPr>
            <w:spacing w:before="60" w:line="460" w:lineRule="exact"/>
            <w:rPr>
              <w:b/>
              <w:spacing w:val="-2"/>
              <w:sz w:val="44"/>
              <w:szCs w:val="44"/>
            </w:rPr>
          </w:pPr>
          <w:r w:rsidRPr="00CE796A">
            <w:rPr>
              <w:b/>
              <w:spacing w:val="-2"/>
              <w:sz w:val="44"/>
              <w:szCs w:val="44"/>
            </w:rPr>
            <w:t>Commonwealth</w:t>
          </w:r>
          <w:r w:rsidRPr="00CE796A">
            <w:rPr>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14:paraId="4A4B2B9D" w14:textId="77777777" w:rsidR="00A07495" w:rsidRPr="00CE796A" w:rsidRDefault="00A07495" w:rsidP="00A07495">
          <w:pPr>
            <w:spacing w:before="180" w:line="800" w:lineRule="exact"/>
            <w:jc w:val="right"/>
            <w:rPr>
              <w:b/>
              <w:sz w:val="100"/>
              <w:szCs w:val="100"/>
            </w:rPr>
          </w:pPr>
          <w:r w:rsidRPr="00CE796A">
            <w:rPr>
              <w:b/>
              <w:sz w:val="100"/>
              <w:szCs w:val="100"/>
            </w:rPr>
            <w:t>Gazette</w:t>
          </w:r>
        </w:p>
      </w:tc>
    </w:tr>
    <w:tr w:rsidR="00A07495" w:rsidRPr="00CE796A" w14:paraId="04C09C3C" w14:textId="77777777" w:rsidTr="00EC7957">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484070D6" w14:textId="77777777" w:rsidR="00A07495" w:rsidRPr="00CE796A" w:rsidRDefault="00A07495" w:rsidP="00A07495">
          <w:pPr>
            <w:ind w:left="-51"/>
            <w:rPr>
              <w:sz w:val="14"/>
              <w:szCs w:val="14"/>
            </w:rPr>
          </w:pPr>
          <w:bookmarkStart w:id="2" w:name="GazNo"/>
          <w:bookmarkEnd w:id="2"/>
          <w:r w:rsidRPr="00CE796A">
            <w:rPr>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6B35A9D1" w14:textId="77777777" w:rsidR="00A07495" w:rsidRPr="00840A06" w:rsidRDefault="00A07495" w:rsidP="00A07495">
          <w:pPr>
            <w:jc w:val="right"/>
            <w:rPr>
              <w:b/>
              <w:sz w:val="24"/>
              <w:szCs w:val="24"/>
            </w:rPr>
          </w:pPr>
          <w:r w:rsidRPr="00840A06">
            <w:rPr>
              <w:b/>
              <w:sz w:val="24"/>
              <w:szCs w:val="24"/>
            </w:rPr>
            <w:t>GOVERNMENT NOTICES</w:t>
          </w:r>
        </w:p>
      </w:tc>
    </w:tr>
    <w:bookmarkEnd w:id="1"/>
  </w:tbl>
  <w:p w14:paraId="78D76303" w14:textId="77777777" w:rsidR="00A07495" w:rsidRDefault="00A074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CB45B0"/>
    <w:multiLevelType w:val="hybridMultilevel"/>
    <w:tmpl w:val="5EBA5D54"/>
    <w:lvl w:ilvl="0" w:tplc="C4F46AC0">
      <w:start w:val="1"/>
      <w:numFmt w:val="decimal"/>
      <w:lvlText w:val="%1."/>
      <w:lvlJc w:val="left"/>
      <w:pPr>
        <w:ind w:left="708" w:hanging="568"/>
        <w:jc w:val="left"/>
      </w:pPr>
      <w:rPr>
        <w:rFonts w:ascii="Arial" w:eastAsia="Arial" w:hAnsi="Arial" w:cs="Arial" w:hint="default"/>
        <w:spacing w:val="-4"/>
        <w:w w:val="99"/>
        <w:sz w:val="22"/>
        <w:szCs w:val="22"/>
        <w:lang w:val="en-US" w:eastAsia="en-US" w:bidi="en-US"/>
      </w:rPr>
    </w:lvl>
    <w:lvl w:ilvl="1" w:tplc="EA348F6A">
      <w:numFmt w:val="bullet"/>
      <w:lvlText w:val="•"/>
      <w:lvlJc w:val="left"/>
      <w:pPr>
        <w:ind w:left="1560" w:hanging="568"/>
      </w:pPr>
      <w:rPr>
        <w:rFonts w:hint="default"/>
        <w:lang w:val="en-US" w:eastAsia="en-US" w:bidi="en-US"/>
      </w:rPr>
    </w:lvl>
    <w:lvl w:ilvl="2" w:tplc="7EAC0E24">
      <w:numFmt w:val="bullet"/>
      <w:lvlText w:val="•"/>
      <w:lvlJc w:val="left"/>
      <w:pPr>
        <w:ind w:left="2421" w:hanging="568"/>
      </w:pPr>
      <w:rPr>
        <w:rFonts w:hint="default"/>
        <w:lang w:val="en-US" w:eastAsia="en-US" w:bidi="en-US"/>
      </w:rPr>
    </w:lvl>
    <w:lvl w:ilvl="3" w:tplc="FA60B6F6">
      <w:numFmt w:val="bullet"/>
      <w:lvlText w:val="•"/>
      <w:lvlJc w:val="left"/>
      <w:pPr>
        <w:ind w:left="3281" w:hanging="568"/>
      </w:pPr>
      <w:rPr>
        <w:rFonts w:hint="default"/>
        <w:lang w:val="en-US" w:eastAsia="en-US" w:bidi="en-US"/>
      </w:rPr>
    </w:lvl>
    <w:lvl w:ilvl="4" w:tplc="957415EE">
      <w:numFmt w:val="bullet"/>
      <w:lvlText w:val="•"/>
      <w:lvlJc w:val="left"/>
      <w:pPr>
        <w:ind w:left="4142" w:hanging="568"/>
      </w:pPr>
      <w:rPr>
        <w:rFonts w:hint="default"/>
        <w:lang w:val="en-US" w:eastAsia="en-US" w:bidi="en-US"/>
      </w:rPr>
    </w:lvl>
    <w:lvl w:ilvl="5" w:tplc="93F45CF8">
      <w:numFmt w:val="bullet"/>
      <w:lvlText w:val="•"/>
      <w:lvlJc w:val="left"/>
      <w:pPr>
        <w:ind w:left="5002" w:hanging="568"/>
      </w:pPr>
      <w:rPr>
        <w:rFonts w:hint="default"/>
        <w:lang w:val="en-US" w:eastAsia="en-US" w:bidi="en-US"/>
      </w:rPr>
    </w:lvl>
    <w:lvl w:ilvl="6" w:tplc="307EDB7C">
      <w:numFmt w:val="bullet"/>
      <w:lvlText w:val="•"/>
      <w:lvlJc w:val="left"/>
      <w:pPr>
        <w:ind w:left="5863" w:hanging="568"/>
      </w:pPr>
      <w:rPr>
        <w:rFonts w:hint="default"/>
        <w:lang w:val="en-US" w:eastAsia="en-US" w:bidi="en-US"/>
      </w:rPr>
    </w:lvl>
    <w:lvl w:ilvl="7" w:tplc="9F80A07C">
      <w:numFmt w:val="bullet"/>
      <w:lvlText w:val="•"/>
      <w:lvlJc w:val="left"/>
      <w:pPr>
        <w:ind w:left="6723" w:hanging="568"/>
      </w:pPr>
      <w:rPr>
        <w:rFonts w:hint="default"/>
        <w:lang w:val="en-US" w:eastAsia="en-US" w:bidi="en-US"/>
      </w:rPr>
    </w:lvl>
    <w:lvl w:ilvl="8" w:tplc="5CF20AA4">
      <w:numFmt w:val="bullet"/>
      <w:lvlText w:val="•"/>
      <w:lvlJc w:val="left"/>
      <w:pPr>
        <w:ind w:left="7584" w:hanging="568"/>
      </w:pPr>
      <w:rPr>
        <w:rFonts w:hint="default"/>
        <w:lang w:val="en-US" w:eastAsia="en-US" w:bidi="en-US"/>
      </w:rPr>
    </w:lvl>
  </w:abstractNum>
  <w:abstractNum w:abstractNumId="1" w15:restartNumberingAfterBreak="0">
    <w:nsid w:val="4AEC764F"/>
    <w:multiLevelType w:val="hybridMultilevel"/>
    <w:tmpl w:val="30DA7620"/>
    <w:lvl w:ilvl="0" w:tplc="1A92D1CC">
      <w:start w:val="1"/>
      <w:numFmt w:val="decimal"/>
      <w:lvlText w:val="%1."/>
      <w:lvlJc w:val="left"/>
      <w:pPr>
        <w:ind w:left="708" w:hanging="568"/>
        <w:jc w:val="left"/>
      </w:pPr>
      <w:rPr>
        <w:rFonts w:ascii="Arial" w:eastAsia="Arial" w:hAnsi="Arial" w:cs="Arial" w:hint="default"/>
        <w:spacing w:val="-4"/>
        <w:w w:val="99"/>
        <w:sz w:val="22"/>
        <w:szCs w:val="22"/>
        <w:lang w:val="en-US" w:eastAsia="en-US" w:bidi="en-US"/>
      </w:rPr>
    </w:lvl>
    <w:lvl w:ilvl="1" w:tplc="21200C72">
      <w:numFmt w:val="bullet"/>
      <w:lvlText w:val="•"/>
      <w:lvlJc w:val="left"/>
      <w:pPr>
        <w:ind w:left="1560" w:hanging="568"/>
      </w:pPr>
      <w:rPr>
        <w:rFonts w:hint="default"/>
        <w:lang w:val="en-US" w:eastAsia="en-US" w:bidi="en-US"/>
      </w:rPr>
    </w:lvl>
    <w:lvl w:ilvl="2" w:tplc="CE52C0AE">
      <w:numFmt w:val="bullet"/>
      <w:lvlText w:val="•"/>
      <w:lvlJc w:val="left"/>
      <w:pPr>
        <w:ind w:left="2421" w:hanging="568"/>
      </w:pPr>
      <w:rPr>
        <w:rFonts w:hint="default"/>
        <w:lang w:val="en-US" w:eastAsia="en-US" w:bidi="en-US"/>
      </w:rPr>
    </w:lvl>
    <w:lvl w:ilvl="3" w:tplc="6E540C4C">
      <w:numFmt w:val="bullet"/>
      <w:lvlText w:val="•"/>
      <w:lvlJc w:val="left"/>
      <w:pPr>
        <w:ind w:left="3281" w:hanging="568"/>
      </w:pPr>
      <w:rPr>
        <w:rFonts w:hint="default"/>
        <w:lang w:val="en-US" w:eastAsia="en-US" w:bidi="en-US"/>
      </w:rPr>
    </w:lvl>
    <w:lvl w:ilvl="4" w:tplc="2C40F18E">
      <w:numFmt w:val="bullet"/>
      <w:lvlText w:val="•"/>
      <w:lvlJc w:val="left"/>
      <w:pPr>
        <w:ind w:left="4142" w:hanging="568"/>
      </w:pPr>
      <w:rPr>
        <w:rFonts w:hint="default"/>
        <w:lang w:val="en-US" w:eastAsia="en-US" w:bidi="en-US"/>
      </w:rPr>
    </w:lvl>
    <w:lvl w:ilvl="5" w:tplc="63AEAADE">
      <w:numFmt w:val="bullet"/>
      <w:lvlText w:val="•"/>
      <w:lvlJc w:val="left"/>
      <w:pPr>
        <w:ind w:left="5002" w:hanging="568"/>
      </w:pPr>
      <w:rPr>
        <w:rFonts w:hint="default"/>
        <w:lang w:val="en-US" w:eastAsia="en-US" w:bidi="en-US"/>
      </w:rPr>
    </w:lvl>
    <w:lvl w:ilvl="6" w:tplc="78722A14">
      <w:numFmt w:val="bullet"/>
      <w:lvlText w:val="•"/>
      <w:lvlJc w:val="left"/>
      <w:pPr>
        <w:ind w:left="5863" w:hanging="568"/>
      </w:pPr>
      <w:rPr>
        <w:rFonts w:hint="default"/>
        <w:lang w:val="en-US" w:eastAsia="en-US" w:bidi="en-US"/>
      </w:rPr>
    </w:lvl>
    <w:lvl w:ilvl="7" w:tplc="B64ACB76">
      <w:numFmt w:val="bullet"/>
      <w:lvlText w:val="•"/>
      <w:lvlJc w:val="left"/>
      <w:pPr>
        <w:ind w:left="6723" w:hanging="568"/>
      </w:pPr>
      <w:rPr>
        <w:rFonts w:hint="default"/>
        <w:lang w:val="en-US" w:eastAsia="en-US" w:bidi="en-US"/>
      </w:rPr>
    </w:lvl>
    <w:lvl w:ilvl="8" w:tplc="FC48F0C0">
      <w:numFmt w:val="bullet"/>
      <w:lvlText w:val="•"/>
      <w:lvlJc w:val="left"/>
      <w:pPr>
        <w:ind w:left="7584" w:hanging="568"/>
      </w:pPr>
      <w:rPr>
        <w:rFonts w:hint="default"/>
        <w:lang w:val="en-US" w:eastAsia="en-US" w:bidi="en-U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F76605"/>
    <w:rsid w:val="00136710"/>
    <w:rsid w:val="00673C73"/>
    <w:rsid w:val="00A07495"/>
    <w:rsid w:val="00F766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D57588B"/>
  <w15:docId w15:val="{D3EE9F81-D2A6-4BA7-9752-21585FC54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spacing w:before="73"/>
      <w:ind w:left="140"/>
      <w:outlineLvl w:val="0"/>
    </w:pPr>
    <w:rPr>
      <w:b/>
      <w:bCs/>
      <w:sz w:val="32"/>
      <w:szCs w:val="32"/>
    </w:rPr>
  </w:style>
  <w:style w:type="paragraph" w:styleId="Heading2">
    <w:name w:val="heading 2"/>
    <w:basedOn w:val="Normal"/>
    <w:uiPriority w:val="9"/>
    <w:unhideWhenUsed/>
    <w:qFormat/>
    <w:pPr>
      <w:spacing w:before="205"/>
      <w:ind w:left="14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708" w:right="134" w:hanging="568"/>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07495"/>
    <w:pPr>
      <w:tabs>
        <w:tab w:val="center" w:pos="4513"/>
        <w:tab w:val="right" w:pos="9026"/>
      </w:tabs>
    </w:pPr>
  </w:style>
  <w:style w:type="character" w:customStyle="1" w:styleId="HeaderChar">
    <w:name w:val="Header Char"/>
    <w:basedOn w:val="DefaultParagraphFont"/>
    <w:link w:val="Header"/>
    <w:uiPriority w:val="99"/>
    <w:rsid w:val="00A07495"/>
    <w:rPr>
      <w:rFonts w:ascii="Arial" w:eastAsia="Arial" w:hAnsi="Arial" w:cs="Arial"/>
      <w:lang w:bidi="en-US"/>
    </w:rPr>
  </w:style>
  <w:style w:type="paragraph" w:styleId="Footer">
    <w:name w:val="footer"/>
    <w:basedOn w:val="Normal"/>
    <w:link w:val="FooterChar"/>
    <w:uiPriority w:val="99"/>
    <w:unhideWhenUsed/>
    <w:rsid w:val="00A07495"/>
    <w:pPr>
      <w:tabs>
        <w:tab w:val="center" w:pos="4513"/>
        <w:tab w:val="right" w:pos="9026"/>
      </w:tabs>
    </w:pPr>
  </w:style>
  <w:style w:type="character" w:customStyle="1" w:styleId="FooterChar">
    <w:name w:val="Footer Char"/>
    <w:basedOn w:val="DefaultParagraphFont"/>
    <w:link w:val="Footer"/>
    <w:uiPriority w:val="99"/>
    <w:rsid w:val="00A07495"/>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aa36a5a650d54f768f171f4d17b8b238 xmlns="814d62cb-2db6-4c25-ab62-b9075facbc11">
      <Terms xmlns="http://schemas.microsoft.com/office/infopath/2007/PartnerControls"/>
    </aa36a5a650d54f768f171f4d17b8b238>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l003ee8eff60461aa1bd0027aba92ea4 xmlns="814d62cb-2db6-4c25-ab62-b9075facbc11">
      <Terms xmlns="http://schemas.microsoft.com/office/infopath/2007/PartnerControls"/>
    </l003ee8eff60461aa1bd0027aba92ea4>
    <b37d8d7e823543f58f89056343a9035c xmlns="814d62cb-2db6-4c25-ab62-b9075facbc11">
      <Terms xmlns="http://schemas.microsoft.com/office/infopath/2007/PartnerControls"/>
    </b37d8d7e823543f58f89056343a9035c>
    <p10c80fc2da942ae8f2ea9b33b6ea0ba xmlns="814d62cb-2db6-4c25-ab62-b9075facbc11">
      <Terms xmlns="http://schemas.microsoft.com/office/infopath/2007/PartnerControls">
        <TermInfo xmlns="http://schemas.microsoft.com/office/infopath/2007/PartnerControls">
          <TermName xmlns="http://schemas.microsoft.com/office/infopath/2007/PartnerControls">Legal - ADI</TermName>
          <TermId xmlns="http://schemas.microsoft.com/office/infopath/2007/PartnerControls">652d8d2a-ab45-47b4-ac6e-fe6ac9299b39</TermId>
        </TermInfo>
        <TermInfo xmlns="http://schemas.microsoft.com/office/infopath/2007/PartnerControls">
          <TermName xmlns="http://schemas.microsoft.com/office/infopath/2007/PartnerControls">Legal - Insurance: General</TermName>
          <TermId xmlns="http://schemas.microsoft.com/office/infopath/2007/PartnerControls">8229dc1a-d7f2-47b2-844a-b026fed0c13d</TermId>
        </TermInfo>
        <TermInfo xmlns="http://schemas.microsoft.com/office/infopath/2007/PartnerControls">
          <TermName xmlns="http://schemas.microsoft.com/office/infopath/2007/PartnerControls">Legal - Insurance: Health</TermName>
          <TermId xmlns="http://schemas.microsoft.com/office/infopath/2007/PartnerControls">21611e62-d688-4f0d-8807-02701cc43699</TermId>
        </TermInfo>
        <TermInfo xmlns="http://schemas.microsoft.com/office/infopath/2007/PartnerControls">
          <TermName xmlns="http://schemas.microsoft.com/office/infopath/2007/PartnerControls">Legal - Insurance: Life</TermName>
          <TermId xmlns="http://schemas.microsoft.com/office/infopath/2007/PartnerControls">56f18b50-6605-4f3f-97e3-cad1cb5394e0</TermId>
        </TermInfo>
        <TermInfo xmlns="http://schemas.microsoft.com/office/infopath/2007/PartnerControls">
          <TermName xmlns="http://schemas.microsoft.com/office/infopath/2007/PartnerControls">Legal - Superannuation</TermName>
          <TermId xmlns="http://schemas.microsoft.com/office/infopath/2007/PartnerControls">cce3181d-fd23-4eee-94d3-c66abc2350cf</TermId>
        </TermInfo>
      </Terms>
    </p10c80fc2da942ae8f2ea9b33b6ea0ba>
    <_dlc_DocId xmlns="814d62cb-2db6-4c25-ab62-b9075facbc11">5JENXJJSCC7A-445999044-11706</_dlc_DocId>
    <TaxCatchAll xmlns="814d62cb-2db6-4c25-ab62-b9075facbc11">
      <Value>24</Value>
      <Value>83</Value>
      <Value>231</Value>
      <Value>134</Value>
      <Value>26</Value>
      <Value>10</Value>
      <Value>109</Value>
      <Value>93</Value>
      <Value>58</Value>
      <Value>19</Value>
    </TaxCatchAll>
    <_dlc_DocIdUrl xmlns="814d62cb-2db6-4c25-ab62-b9075facbc11">
      <Url>https://im/teams/LEGAL/_layouts/15/DocIdRedir.aspx?ID=5JENXJJSCC7A-445999044-11706</Url>
      <Description>5JENXJJSCC7A-445999044-11706</Description>
    </_dlc_DocIdUrl>
    <ka2715b9eb154114a4f57d7fbf82ec75 xmlns="814d62cb-2db6-4c25-ab62-b9075facbc11">
      <Terms xmlns="http://schemas.microsoft.com/office/infopath/2007/PartnerControls"/>
    </ka2715b9eb154114a4f57d7fbf82ec75>
    <i08e72d8ce2b4ffa9361f9f4e0a63abc xmlns="814d62cb-2db6-4c25-ab62-b9075facbc11">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c15887ee-fc3e-4879-bd3d-5a13724ac42c</TermId>
        </TermInfo>
      </Terms>
    </i08e72d8ce2b4ffa9361f9f4e0a63abc>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Registration</TermName>
          <TermId xmlns="http://schemas.microsoft.com/office/infopath/2007/PartnerControls">390476ce-d76d-4e8d-905f-28e32d2df127</TermId>
        </TermInfo>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s>
    </i05115a133414b4dabee2531e4b46b67>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Legal instrument</TermName>
          <TermId xmlns="http://schemas.microsoft.com/office/infopath/2007/PartnerControls">71fd6ed3-d6d6-4975-ba99-bfe45802e734</TermId>
        </TermInfo>
      </Terms>
    </h67caa35a4114acd8e15fe89b3f29f9e>
    <d9a849fd1b8e46ada0321eb0681a10ee xmlns="814d62cb-2db6-4c25-ab62-b9075facbc11">
      <Terms xmlns="http://schemas.microsoft.com/office/infopath/2007/PartnerControls"/>
    </d9a849fd1b8e46ada0321eb0681a10ee>
    <APRAOwner xmlns="814d62cb-2db6-4c25-ab62-b9075facbc11">
      <UserInfo>
        <DisplayName/>
        <AccountId xsi:nil="true"/>
        <AccountType/>
      </UserInfo>
    </APRAOwner>
    <ic4067bd02f14cf3a95ad35878404a71 xmlns="814d62cb-2db6-4c25-ab62-b9075facbc11">
      <Terms xmlns="http://schemas.microsoft.com/office/infopath/2007/PartnerControls"/>
    </ic4067bd02f14cf3a95ad35878404a71>
    <APRASecurityClassification xmlns="814d62cb-2db6-4c25-ab62-b9075facbc11">OFFICIAL</APRASecurityClassification>
    <j724204a644741eb9f777fcb03fe8840 xmlns="814d62cb-2db6-4c25-ab62-b9075facbc11">
      <Terms xmlns="http://schemas.microsoft.com/office/infopath/2007/PartnerControls"/>
    </j724204a644741eb9f777fcb03fe8840>
    <APRAApprovalDate xmlns="814d62cb-2db6-4c25-ab62-b9075facbc11" xsi:nil="true"/>
    <k4bcc0d734474fea9fb713d9c415b4b0 xmlns="814d62cb-2db6-4c25-ab62-b9075facbc11">
      <Terms xmlns="http://schemas.microsoft.com/office/infopath/2007/PartnerControls"/>
    </k4bcc0d734474fea9fb713d9c415b4b0>
    <APRAKeywords xmlns="814d62cb-2db6-4c25-ab62-b9075facbc11" xsi:nil="true"/>
    <APRAApprovedBy xmlns="814d62cb-2db6-4c25-ab62-b9075facbc11">
      <UserInfo>
        <DisplayName/>
        <AccountId xsi:nil="true"/>
        <AccountType/>
      </UserInfo>
    </APRAApprovedBy>
    <APRAMeetingDate xmlns="814d62cb-2db6-4c25-ab62-b9075facbc11" xsi:nil="true"/>
    <APRAMeetingNumber xmlns="814d62cb-2db6-4c25-ab62-b9075facbc11" xsi:nil="true"/>
    <APRADate xmlns="814d62cb-2db6-4c25-ab62-b9075facbc11" xsi:nil="true"/>
    <pa005173035e41c3986b37b8e650f3ef xmlns="814d62cb-2db6-4c25-ab62-b9075facbc11">
      <Terms xmlns="http://schemas.microsoft.com/office/infopath/2007/PartnerControls"/>
    </pa005173035e41c3986b37b8e650f3ef>
    <APRADescription xmlns="814d62cb-2db6-4c25-ab62-b9075facbc11">Conditions on banking authority 2022 – MyLifeMyFinance Limited</APRADescription>
    <APRAActivityID xmlns="814d62cb-2db6-4c25-ab62-b9075facbc11" xsi:nil="true"/>
    <APRADocScanCheck xmlns="814d62cb-2db6-4c25-ab62-b9075facbc11">false</APRADocScanCheck>
  </documentManagement>
</p:properties>
</file>

<file path=customXml/item2.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577EC0F5A1FBFC498F9A8436B963F8A6" ma:contentTypeVersion="73" ma:contentTypeDescription="Create a new document." ma:contentTypeScope="" ma:versionID="73e2e2cfc32a2691ee31d7af9bd362de">
  <xsd:schema xmlns:xsd="http://www.w3.org/2001/XMLSchema" xmlns:xs="http://www.w3.org/2001/XMLSchema" xmlns:p="http://schemas.microsoft.com/office/2006/metadata/properties" xmlns:ns1="814d62cb-2db6-4c25-ab62-b9075facbc11" targetNamespace="http://schemas.microsoft.com/office/2006/metadata/properties" ma:root="true" ma:fieldsID="7be0268868a1afd65d01f44ca09bb39c"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OFFICIAL: Sensitive" ma:hidden="true" ma:internalName="APRASecurityClassification" ma:readOnly="false">
      <xsd:simpleType>
        <xsd:restriction base="dms:Choice">
          <xsd:enumeration value="OFFICIAL"/>
          <xsd:enumeration value="OFFICIAL: Sensitive"/>
          <xsd:enumeration value="OFFICIAL: Sensitive (APRA Act s56)"/>
          <xsd:enumeration value="OFFICIAL: Sensitive (Personal privacy)"/>
          <xsd:enumeration value="OFFICIAL: Sensitive (Legal privilege)"/>
          <xsd:enumeration value="OFFICIAL: Sensitive: NATIONAL CABINET"/>
          <xsd:enumeration value="OFFICIAL: Sensitive: NATIONAL CABINET (APRA Act s56)"/>
          <xsd:enumeration value="OFFICIAL: Sensitive: NATIONAL CABINET (Personal privacy)"/>
          <xsd:enumeration value="OFFICIAL: Sensitive: NATIONAL CABINET (Legal privilege)"/>
          <xsd:enumeration value="PROTECTED"/>
          <xsd:enumeration value="PROTECTED (APRA Act s56)"/>
          <xsd:enumeration value="PROTECTED (Personal privacy)"/>
          <xsd:enumeration value="PROTECTED (Legal privilege)"/>
          <xsd:enumeration value="PROTECTED: CABINET"/>
          <xsd:enumeration value="PROTECTED: CABINET (APRA Act s56)"/>
          <xsd:enumeration value="PROTECTED: CABINET (Personal privacy)"/>
          <xsd:enumeration value="PROTECTED: CABINET (Legal privilege)"/>
          <xsd:enumeration value="PROTECTED: NATIONAL CABINET"/>
          <xsd:enumeration value="PROTECTED: NATIONAL CABINET (APRA Act s56)"/>
          <xsd:enumeration value="PROTECTED: NATIONAL CABINET (Personal privacy)"/>
          <xsd:enumeration value="PROTECTED: NATIONAL CABINET (Legal privilege)"/>
          <xsd:enumeration value="UNCLASSIFIED"/>
          <xsd:enumeration value="DLM: For Official Use Only"/>
          <xsd:enumeration value="DLM: Sensitive"/>
          <xsd:enumeration value="DLM: Sensitive: Legal"/>
          <xsd:enumeration value="DLM: Sensitive: Personal"/>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84347c30-9e0d-4c46-b2d7-e19e22f5828c}" ma:internalName="TaxCatchAll" ma:showField="CatchAllData"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84347c30-9e0d-4c46-b2d7-e19e22f5828c}" ma:internalName="TaxCatchAllLabel" ma:readOnly="true" ma:showField="CatchAllDataLabel"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8aef97a4-ded2-4e4a-9fbc-e666dae3ecd2" ContentTypeId="0x0101008CA7A4F8331B45C7B0D3158B4994D0CA02"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EB5537-B3AF-4DAB-89EF-BAD9B544A0E2}">
  <ds:schemaRefs>
    <ds:schemaRef ds:uri="http://schemas.microsoft.com/office/2006/documentManagement/types"/>
    <ds:schemaRef ds:uri="http://purl.org/dc/dcmitype/"/>
    <ds:schemaRef ds:uri="http://schemas.microsoft.com/office/infopath/2007/PartnerControls"/>
    <ds:schemaRef ds:uri="http://schemas.microsoft.com/office/2006/metadata/properties"/>
    <ds:schemaRef ds:uri="http://purl.org/dc/terms/"/>
    <ds:schemaRef ds:uri="814d62cb-2db6-4c25-ab62-b9075facbc11"/>
    <ds:schemaRef ds:uri="http://www.w3.org/XML/1998/namespace"/>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D89E6F03-BD4B-4EC5-8AFF-C926CFDEE3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d62cb-2db6-4c25-ab62-b9075facb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F0E63F-9B1E-4535-B49E-979B84A81488}">
  <ds:schemaRefs>
    <ds:schemaRef ds:uri="Microsoft.SharePoint.Taxonomy.ContentTypeSync"/>
  </ds:schemaRefs>
</ds:datastoreItem>
</file>

<file path=customXml/itemProps4.xml><?xml version="1.0" encoding="utf-8"?>
<ds:datastoreItem xmlns:ds="http://schemas.openxmlformats.org/officeDocument/2006/customXml" ds:itemID="{DA5AF205-D320-485D-99C4-522EA0AFBB7E}">
  <ds:schemaRefs>
    <ds:schemaRef ds:uri="http://schemas.microsoft.com/sharepoint/events"/>
  </ds:schemaRefs>
</ds:datastoreItem>
</file>

<file path=customXml/itemProps5.xml><?xml version="1.0" encoding="utf-8"?>
<ds:datastoreItem xmlns:ds="http://schemas.openxmlformats.org/officeDocument/2006/customXml" ds:itemID="{30DF8EE9-EC80-4410-BCA4-BBE401A1E6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919</Words>
  <Characters>4517</Characters>
  <Application>Microsoft Office Word</Application>
  <DocSecurity>0</DocSecurity>
  <Lines>110</Lines>
  <Paragraphs>45</Paragraphs>
  <ScaleCrop>false</ScaleCrop>
  <HeadingPairs>
    <vt:vector size="2" baseType="variant">
      <vt:variant>
        <vt:lpstr>Title</vt:lpstr>
      </vt:variant>
      <vt:variant>
        <vt:i4>1</vt:i4>
      </vt:variant>
    </vt:vector>
  </HeadingPairs>
  <TitlesOfParts>
    <vt:vector size="1" baseType="lpstr">
      <vt:lpstr>MyLifeMyFinance s9AA(1) variation of conditions</vt:lpstr>
    </vt:vector>
  </TitlesOfParts>
  <Company>APRA</Company>
  <LinksUpToDate>false</LinksUpToDate>
  <CharactersWithSpaces>5391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MyLifeMyFinance Limited - 250122</dc:title>
  <dc:creator>Shum, Letitia</dc:creator>
  <cp:keywords>[SEC=OFFICIAL]</cp:keywords>
  <cp:lastModifiedBy>Toni Michalis</cp:lastModifiedBy>
  <cp:revision>3</cp:revision>
  <dcterms:created xsi:type="dcterms:W3CDTF">2022-01-26T21:44:00Z</dcterms:created>
  <dcterms:modified xsi:type="dcterms:W3CDTF">2022-01-26T21:47:00Z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2022-01-25T00:00:00Z</vt:filetime>
  </property>
  <property fmtid="{D5CDD505-2E9C-101B-9397-08002B2CF9AE}" pid="3" name="Creator">
    <vt:lpwstr>Microsoft Word</vt:lpwstr>
  </property>
  <property fmtid="{D5CDD505-2E9C-101B-9397-08002B2CF9AE}" pid="4" name="LastSaved">
    <vt:filetime>2022-01-26T00:00:00Z</vt:filetime>
  </property>
  <property fmtid="{D5CDD505-2E9C-101B-9397-08002B2CF9AE}" pid="5" name="APRAPeriod">
    <vt:lpwstr/>
  </property>
  <property fmtid="{D5CDD505-2E9C-101B-9397-08002B2CF9AE}" pid="6" name="APRACostCentre">
    <vt:lpwstr>24;#Legal - ADI|652d8d2a-ab45-47b4-ac6e-fe6ac9299b39;#26;#Legal - Insurance: General|8229dc1a-d7f2-47b2-844a-b026fed0c13d;#93;#Legal - Insurance: Health|21611e62-d688-4f0d-8807-02701cc43699;#83;#Legal - Insurance: Life|56f18b50-6605-4f3f-97e3-cad1cb5394e0;#134;#Legal - Superannuation|cce3181d-fd23-4eee-94d3-c66abc2350cf</vt:lpwstr>
  </property>
  <property fmtid="{D5CDD505-2E9C-101B-9397-08002B2CF9AE}" pid="7" name="APRALegislation">
    <vt:lpwstr/>
  </property>
  <property fmtid="{D5CDD505-2E9C-101B-9397-08002B2CF9AE}" pid="8" name="APRAYear">
    <vt:lpwstr>231;#2022|c15887ee-fc3e-4879-bd3d-5a13724ac42c</vt:lpwstr>
  </property>
  <property fmtid="{D5CDD505-2E9C-101B-9397-08002B2CF9AE}" pid="9" name="APRAIndustry">
    <vt:lpwstr/>
  </property>
  <property fmtid="{D5CDD505-2E9C-101B-9397-08002B2CF9AE}" pid="10" name="ContentTypeId">
    <vt:lpwstr>0x0101008CA7A4F8331B45C7B0D3158B4994D0CA0200577EC0F5A1FBFC498F9A8436B963F8A6</vt:lpwstr>
  </property>
  <property fmtid="{D5CDD505-2E9C-101B-9397-08002B2CF9AE}" pid="11" name="_dlc_DocIdItemGuid">
    <vt:lpwstr>81f9366d-182b-4b13-a97a-fbd898eceeb3</vt:lpwstr>
  </property>
  <property fmtid="{D5CDD505-2E9C-101B-9397-08002B2CF9AE}" pid="12" name="APRAPRSG">
    <vt:lpwstr/>
  </property>
  <property fmtid="{D5CDD505-2E9C-101B-9397-08002B2CF9AE}" pid="13" name="IsLocked">
    <vt:lpwstr>False</vt:lpwstr>
  </property>
  <property fmtid="{D5CDD505-2E9C-101B-9397-08002B2CF9AE}" pid="14" name="APRAStatus">
    <vt:lpwstr>19;#Final|84d6b2d0-8498-4d62-bf46-bab38babbe9e</vt:lpwstr>
  </property>
  <property fmtid="{D5CDD505-2E9C-101B-9397-08002B2CF9AE}" pid="15" name="PM_ProtectiveMarkingImage_Header">
    <vt:lpwstr>C:\Program Files\Common Files\janusNET Shared\janusSEAL\Images\DocumentSlashBlue.png</vt:lpwstr>
  </property>
  <property fmtid="{D5CDD505-2E9C-101B-9397-08002B2CF9AE}" pid="16" name="PM_Caveats_Count">
    <vt:lpwstr>0</vt:lpwstr>
  </property>
  <property fmtid="{D5CDD505-2E9C-101B-9397-08002B2CF9AE}" pid="17" name="PM_DisplayValueSecClassificationWithQualifier">
    <vt:lpwstr>OFFICIAL</vt:lpwstr>
  </property>
  <property fmtid="{D5CDD505-2E9C-101B-9397-08002B2CF9AE}" pid="18" name="PM_Qualifier">
    <vt:lpwstr/>
  </property>
  <property fmtid="{D5CDD505-2E9C-101B-9397-08002B2CF9AE}" pid="19" name="PM_SecurityClassification">
    <vt:lpwstr>OFFICIAL</vt:lpwstr>
  </property>
  <property fmtid="{D5CDD505-2E9C-101B-9397-08002B2CF9AE}" pid="20" name="PM_InsertionValue">
    <vt:lpwstr>OFFICIAL</vt:lpwstr>
  </property>
  <property fmtid="{D5CDD505-2E9C-101B-9397-08002B2CF9AE}" pid="21" name="PM_Originating_FileId">
    <vt:lpwstr>3C5D0AC2100246BFABBB395A7D75C3C2</vt:lpwstr>
  </property>
  <property fmtid="{D5CDD505-2E9C-101B-9397-08002B2CF9AE}" pid="22" name="PM_ProtectiveMarkingValue_Footer">
    <vt:lpwstr>OFFICIAL</vt:lpwstr>
  </property>
  <property fmtid="{D5CDD505-2E9C-101B-9397-08002B2CF9AE}" pid="23" name="PM_Originator_Hash_SHA1">
    <vt:lpwstr>C3AD57350F36D8E1BD75F8F67CB06D435C9C43CA</vt:lpwstr>
  </property>
  <property fmtid="{D5CDD505-2E9C-101B-9397-08002B2CF9AE}" pid="24" name="PM_OriginationTimeStamp">
    <vt:lpwstr>2022-01-26T21:47:36Z</vt:lpwstr>
  </property>
  <property fmtid="{D5CDD505-2E9C-101B-9397-08002B2CF9AE}" pid="25" name="PM_ProtectiveMarkingValue_Header">
    <vt:lpwstr>OFFICIAL</vt:lpwstr>
  </property>
  <property fmtid="{D5CDD505-2E9C-101B-9397-08002B2CF9AE}" pid="26" name="PM_ProtectiveMarkingImage_Footer">
    <vt:lpwstr>C:\Program Files\Common Files\janusNET Shared\janusSEAL\Images\DocumentSlashBlue.png</vt:lpwstr>
  </property>
  <property fmtid="{D5CDD505-2E9C-101B-9397-08002B2CF9AE}" pid="27" name="PM_Namespace">
    <vt:lpwstr>gov.au</vt:lpwstr>
  </property>
  <property fmtid="{D5CDD505-2E9C-101B-9397-08002B2CF9AE}" pid="28" name="PM_Version">
    <vt:lpwstr>2018.4</vt:lpwstr>
  </property>
  <property fmtid="{D5CDD505-2E9C-101B-9397-08002B2CF9AE}" pid="29" name="PM_Note">
    <vt:lpwstr/>
  </property>
  <property fmtid="{D5CDD505-2E9C-101B-9397-08002B2CF9AE}" pid="30" name="PM_Markers">
    <vt:lpwstr/>
  </property>
  <property fmtid="{D5CDD505-2E9C-101B-9397-08002B2CF9AE}" pid="31" name="PM_Display">
    <vt:lpwstr>OFFICIAL</vt:lpwstr>
  </property>
  <property fmtid="{D5CDD505-2E9C-101B-9397-08002B2CF9AE}" pid="32" name="PM_Hash_Version">
    <vt:lpwstr>2018.0</vt:lpwstr>
  </property>
  <property fmtid="{D5CDD505-2E9C-101B-9397-08002B2CF9AE}" pid="33" name="PM_Hash_Salt_Prev">
    <vt:lpwstr>20AEAD1EB89CE40D333089CA5418DE41</vt:lpwstr>
  </property>
  <property fmtid="{D5CDD505-2E9C-101B-9397-08002B2CF9AE}" pid="34" name="PM_Hash_Salt">
    <vt:lpwstr>88E017B4F6B0670AE9DC12F9F7292284</vt:lpwstr>
  </property>
  <property fmtid="{D5CDD505-2E9C-101B-9397-08002B2CF9AE}" pid="35" name="PM_Hash_SHA1">
    <vt:lpwstr>7E84572502912E9598EA9EA1BE22F1968D0A053E</vt:lpwstr>
  </property>
  <property fmtid="{D5CDD505-2E9C-101B-9397-08002B2CF9AE}" pid="36" name="PM_OriginatorUserAccountName_SHA256">
    <vt:lpwstr>6E3018F28A186D2E5FF5207C041E7A82E907C3008E071057026A53705873B72E</vt:lpwstr>
  </property>
  <property fmtid="{D5CDD505-2E9C-101B-9397-08002B2CF9AE}" pid="37" name="PM_OriginatorDomainName_SHA256">
    <vt:lpwstr>ECBDE2B44A971754412B3FB70606937A119CC0D4B6C1B658A40FBD41C30BE3EC</vt:lpwstr>
  </property>
  <property fmtid="{D5CDD505-2E9C-101B-9397-08002B2CF9AE}" pid="38" name="PM_MinimumSecurityClassification">
    <vt:lpwstr/>
  </property>
  <property fmtid="{D5CDD505-2E9C-101B-9397-08002B2CF9AE}" pid="39" name="IT system type">
    <vt:lpwstr/>
  </property>
  <property fmtid="{D5CDD505-2E9C-101B-9397-08002B2CF9AE}" pid="40" name="APRACategory">
    <vt:lpwstr/>
  </property>
  <property fmtid="{D5CDD505-2E9C-101B-9397-08002B2CF9AE}" pid="41" name="APRADocumentType">
    <vt:lpwstr>58;#Legal instrument|71fd6ed3-d6d6-4975-ba99-bfe45802e734</vt:lpwstr>
  </property>
  <property fmtid="{D5CDD505-2E9C-101B-9397-08002B2CF9AE}" pid="42" name="APRAActivity">
    <vt:lpwstr>10;#Registration|390476ce-d76d-4e8d-905f-28e32d2df127;#109;#Statutory instrument|fe68928c-5a9c-4caf-bc8c-6c18cedcb17f</vt:lpwstr>
  </property>
  <property fmtid="{D5CDD505-2E9C-101B-9397-08002B2CF9AE}" pid="43" name="APRAEntityAdviceSupport">
    <vt:lpwstr/>
  </property>
  <property fmtid="{D5CDD505-2E9C-101B-9397-08002B2CF9AE}" pid="44" name="APRAExternalOrganisation">
    <vt:lpwstr/>
  </property>
  <property fmtid="{D5CDD505-2E9C-101B-9397-08002B2CF9AE}" pid="45" name="APRAIRTR">
    <vt:lpwstr/>
  </property>
  <property fmtid="{D5CDD505-2E9C-101B-9397-08002B2CF9AE}" pid="46" name="RecordPoint_WorkflowType">
    <vt:lpwstr>ActiveSubmitStub</vt:lpwstr>
  </property>
  <property fmtid="{D5CDD505-2E9C-101B-9397-08002B2CF9AE}" pid="47" name="RecordPoint_ActiveItemSiteId">
    <vt:lpwstr>{88691c01-5bbb-4215-adc0-66cb7065b0af}</vt:lpwstr>
  </property>
  <property fmtid="{D5CDD505-2E9C-101B-9397-08002B2CF9AE}" pid="48" name="RecordPoint_ActiveItemListId">
    <vt:lpwstr>{0e59e171-09d8-4401-800a-327154450cb3}</vt:lpwstr>
  </property>
  <property fmtid="{D5CDD505-2E9C-101B-9397-08002B2CF9AE}" pid="49" name="RecordPoint_ActiveItemUniqueId">
    <vt:lpwstr>{81f9366d-182b-4b13-a97a-fbd898eceeb3}</vt:lpwstr>
  </property>
  <property fmtid="{D5CDD505-2E9C-101B-9397-08002B2CF9AE}" pid="50" name="RecordPoint_ActiveItemWebId">
    <vt:lpwstr>{75a71c27-8d66-4282-ae60-1bfc22a83be1}</vt:lpwstr>
  </property>
  <property fmtid="{D5CDD505-2E9C-101B-9397-08002B2CF9AE}" pid="51" name="PM_SecurityClassification_Prev">
    <vt:lpwstr>OFFICIAL</vt:lpwstr>
  </property>
  <property fmtid="{D5CDD505-2E9C-101B-9397-08002B2CF9AE}" pid="52" name="PM_Qualifier_Prev">
    <vt:lpwstr/>
  </property>
</Properties>
</file>