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2528D" w14:textId="77777777" w:rsidR="002127CE" w:rsidRDefault="002127CE">
      <w:pPr>
        <w:pStyle w:val="BodyText"/>
        <w:spacing w:before="9" w:after="1"/>
        <w:rPr>
          <w:rFonts w:ascii="Times New Roman"/>
          <w:sz w:val="9"/>
        </w:rPr>
      </w:pPr>
    </w:p>
    <w:p w14:paraId="2BE25291" w14:textId="77777777" w:rsidR="002127CE" w:rsidRDefault="002A3A21">
      <w:pPr>
        <w:spacing w:before="87"/>
        <w:ind w:left="140"/>
        <w:rPr>
          <w:b/>
          <w:sz w:val="40"/>
        </w:rPr>
      </w:pPr>
      <w:r>
        <w:rPr>
          <w:b/>
          <w:sz w:val="40"/>
        </w:rPr>
        <w:t>Banking NOHC Authority 2022 – AMP Limited</w:t>
      </w:r>
    </w:p>
    <w:p w14:paraId="2BE25292" w14:textId="73F6FC8D" w:rsidR="002127CE" w:rsidRDefault="002A3A21">
      <w:pPr>
        <w:pBdr>
          <w:bottom w:val="single" w:sz="6" w:space="1" w:color="auto"/>
        </w:pBdr>
        <w:spacing w:before="360"/>
        <w:ind w:left="140"/>
        <w:rPr>
          <w:sz w:val="28"/>
        </w:rPr>
      </w:pPr>
      <w:r>
        <w:rPr>
          <w:i/>
          <w:sz w:val="28"/>
        </w:rPr>
        <w:t xml:space="preserve">Banking Act </w:t>
      </w:r>
      <w:r>
        <w:rPr>
          <w:sz w:val="28"/>
        </w:rPr>
        <w:t>1959</w:t>
      </w:r>
    </w:p>
    <w:p w14:paraId="2BE25293" w14:textId="77777777" w:rsidR="002127CE" w:rsidRDefault="002127CE">
      <w:pPr>
        <w:pStyle w:val="BodyText"/>
        <w:spacing w:before="11"/>
        <w:rPr>
          <w:sz w:val="9"/>
        </w:rPr>
      </w:pPr>
      <w:bookmarkStart w:id="0" w:name="_GoBack"/>
      <w:bookmarkEnd w:id="0"/>
    </w:p>
    <w:p w14:paraId="2BE25294" w14:textId="77777777" w:rsidR="002127CE" w:rsidRDefault="002A3A21">
      <w:pPr>
        <w:pStyle w:val="BodyText"/>
        <w:spacing w:before="93"/>
        <w:ind w:left="140"/>
      </w:pPr>
      <w:r>
        <w:t>To: AMP Limited ABN 49 079 354 519 (the NOHC)</w:t>
      </w:r>
    </w:p>
    <w:p w14:paraId="2BE25295" w14:textId="77777777" w:rsidR="002127CE" w:rsidRDefault="002127CE">
      <w:pPr>
        <w:pStyle w:val="BodyText"/>
        <w:spacing w:before="1"/>
      </w:pPr>
    </w:p>
    <w:p w14:paraId="2BE25296" w14:textId="77777777" w:rsidR="002127CE" w:rsidRDefault="002A3A21">
      <w:pPr>
        <w:pStyle w:val="BodyText"/>
        <w:ind w:left="140"/>
      </w:pPr>
      <w:r>
        <w:t>I, Therese McCarthy Hockey, a delegate of APRA, under subsection 11</w:t>
      </w:r>
      <w:proofErr w:type="gramStart"/>
      <w:r>
        <w:t>AA(</w:t>
      </w:r>
      <w:proofErr w:type="gramEnd"/>
      <w:r>
        <w:t xml:space="preserve">2) of the </w:t>
      </w:r>
      <w:r>
        <w:rPr>
          <w:i/>
        </w:rPr>
        <w:t xml:space="preserve">Banking Act 1959 </w:t>
      </w:r>
      <w:r>
        <w:t>(the Act), GRANT the NOHC an authority to be a NOHC of an ADI.</w:t>
      </w:r>
    </w:p>
    <w:p w14:paraId="2BE25297" w14:textId="77777777" w:rsidR="002127CE" w:rsidRDefault="002127CE">
      <w:pPr>
        <w:pStyle w:val="BodyText"/>
        <w:spacing w:before="10"/>
        <w:rPr>
          <w:sz w:val="21"/>
        </w:rPr>
      </w:pPr>
    </w:p>
    <w:p w14:paraId="2BE25298" w14:textId="77777777" w:rsidR="002127CE" w:rsidRDefault="002A3A21">
      <w:pPr>
        <w:pStyle w:val="BodyText"/>
        <w:spacing w:line="242" w:lineRule="auto"/>
        <w:ind w:left="140"/>
      </w:pPr>
      <w:r>
        <w:t>Under subsection 11</w:t>
      </w:r>
      <w:proofErr w:type="gramStart"/>
      <w:r>
        <w:t>AAA(</w:t>
      </w:r>
      <w:proofErr w:type="gramEnd"/>
      <w:r>
        <w:t>1) of the Act, I IMPOSE on this NOHC authority the conditions specified in the schedule.</w:t>
      </w:r>
    </w:p>
    <w:p w14:paraId="2BE25299" w14:textId="77777777" w:rsidR="002127CE" w:rsidRDefault="002127CE">
      <w:pPr>
        <w:pStyle w:val="BodyText"/>
        <w:spacing w:before="8"/>
        <w:rPr>
          <w:sz w:val="21"/>
        </w:rPr>
      </w:pPr>
    </w:p>
    <w:p w14:paraId="2BE2529A" w14:textId="77777777" w:rsidR="002127CE" w:rsidRDefault="002A3A21">
      <w:pPr>
        <w:pStyle w:val="BodyText"/>
        <w:spacing w:line="480" w:lineRule="auto"/>
        <w:ind w:left="140" w:right="4246"/>
      </w:pPr>
      <w:r>
        <w:t>This instrument commences on the day it is made. Dated: 1 April 2022</w:t>
      </w:r>
    </w:p>
    <w:p w14:paraId="2BE2529B" w14:textId="77777777" w:rsidR="002127CE" w:rsidRDefault="002127CE">
      <w:pPr>
        <w:pStyle w:val="BodyText"/>
        <w:rPr>
          <w:sz w:val="24"/>
        </w:rPr>
      </w:pPr>
    </w:p>
    <w:p w14:paraId="2BE2529C" w14:textId="77777777" w:rsidR="002127CE" w:rsidRDefault="002127CE">
      <w:pPr>
        <w:pStyle w:val="BodyText"/>
        <w:spacing w:before="11"/>
        <w:rPr>
          <w:sz w:val="21"/>
        </w:rPr>
      </w:pPr>
    </w:p>
    <w:p w14:paraId="2BE2529D" w14:textId="77777777" w:rsidR="002127CE" w:rsidRDefault="002A3A21">
      <w:pPr>
        <w:pStyle w:val="BodyText"/>
        <w:ind w:left="140" w:right="6558"/>
      </w:pPr>
      <w:r>
        <w:t xml:space="preserve">Therese </w:t>
      </w:r>
      <w:r>
        <w:t>McCarthy Hockey Executive Director Banking</w:t>
      </w:r>
      <w:r>
        <w:rPr>
          <w:spacing w:val="-2"/>
        </w:rPr>
        <w:t xml:space="preserve"> </w:t>
      </w:r>
      <w:r>
        <w:t>Division</w:t>
      </w:r>
    </w:p>
    <w:p w14:paraId="2BE2529E" w14:textId="77777777" w:rsidR="002127CE" w:rsidRDefault="002127CE">
      <w:pPr>
        <w:pStyle w:val="BodyText"/>
        <w:rPr>
          <w:sz w:val="24"/>
        </w:rPr>
      </w:pPr>
    </w:p>
    <w:p w14:paraId="2BE2529F" w14:textId="77777777" w:rsidR="002127CE" w:rsidRDefault="002A3A21">
      <w:pPr>
        <w:pStyle w:val="Heading1"/>
        <w:spacing w:before="205"/>
      </w:pPr>
      <w:r>
        <w:t>Interpretation</w:t>
      </w:r>
    </w:p>
    <w:p w14:paraId="2BE252A0" w14:textId="77777777" w:rsidR="002127CE" w:rsidRDefault="002A3A21">
      <w:pPr>
        <w:pStyle w:val="BodyText"/>
        <w:spacing w:before="120"/>
        <w:ind w:left="140"/>
      </w:pPr>
      <w:r>
        <w:t>In this instrument:</w:t>
      </w:r>
    </w:p>
    <w:p w14:paraId="2BE252A1" w14:textId="77777777" w:rsidR="002127CE" w:rsidRDefault="002A3A21">
      <w:pPr>
        <w:pStyle w:val="BodyText"/>
        <w:spacing w:before="119"/>
        <w:ind w:left="14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2BE252A2" w14:textId="77777777" w:rsidR="002127CE" w:rsidRDefault="002A3A21">
      <w:pPr>
        <w:spacing w:before="120" w:line="242" w:lineRule="auto"/>
        <w:ind w:left="140" w:right="126"/>
      </w:pPr>
      <w:r>
        <w:rPr>
          <w:b/>
          <w:i/>
        </w:rPr>
        <w:t>ADI</w:t>
      </w:r>
      <w:r>
        <w:t xml:space="preserve">, </w:t>
      </w:r>
      <w:r>
        <w:rPr>
          <w:b/>
          <w:i/>
        </w:rPr>
        <w:t xml:space="preserve">NOHC </w:t>
      </w:r>
      <w:r>
        <w:t xml:space="preserve">and </w:t>
      </w:r>
      <w:r>
        <w:rPr>
          <w:b/>
          <w:i/>
        </w:rPr>
        <w:t xml:space="preserve">NOHC authority </w:t>
      </w:r>
      <w:r>
        <w:t>have their respective meanings given in subsection 5(1) of the Act.</w:t>
      </w:r>
    </w:p>
    <w:p w14:paraId="2BE252A3" w14:textId="77777777" w:rsidR="002127CE" w:rsidRDefault="002127CE">
      <w:pPr>
        <w:pStyle w:val="BodyText"/>
        <w:spacing w:before="4"/>
        <w:rPr>
          <w:sz w:val="20"/>
        </w:rPr>
      </w:pPr>
    </w:p>
    <w:p w14:paraId="2BE252A4" w14:textId="77777777" w:rsidR="002127CE" w:rsidRDefault="002A3A21">
      <w:pPr>
        <w:ind w:left="140"/>
        <w:rPr>
          <w:b/>
          <w:sz w:val="18"/>
        </w:rPr>
      </w:pPr>
      <w:r>
        <w:rPr>
          <w:b/>
          <w:sz w:val="18"/>
        </w:rPr>
        <w:t>Notes</w:t>
      </w:r>
    </w:p>
    <w:p w14:paraId="2BE252A5" w14:textId="77777777" w:rsidR="002127CE" w:rsidRDefault="002A3A21">
      <w:pPr>
        <w:spacing w:before="123"/>
        <w:ind w:left="140"/>
        <w:rPr>
          <w:sz w:val="18"/>
        </w:rPr>
      </w:pPr>
      <w:r>
        <w:rPr>
          <w:sz w:val="18"/>
        </w:rPr>
        <w:t xml:space="preserve">APRA is required to publish this instrument in the </w:t>
      </w:r>
      <w:r>
        <w:rPr>
          <w:i/>
          <w:sz w:val="18"/>
        </w:rPr>
        <w:t>Gazette</w:t>
      </w:r>
      <w:r>
        <w:rPr>
          <w:sz w:val="18"/>
        </w:rPr>
        <w:t>, and may also publish this instrument in any other way that APRA considers appropriate.</w:t>
      </w:r>
    </w:p>
    <w:p w14:paraId="2BE252A6" w14:textId="77777777" w:rsidR="002127CE" w:rsidRDefault="002A3A21">
      <w:pPr>
        <w:spacing w:before="119"/>
        <w:ind w:left="140"/>
        <w:rPr>
          <w:sz w:val="18"/>
        </w:rPr>
      </w:pPr>
      <w:r>
        <w:rPr>
          <w:sz w:val="18"/>
        </w:rPr>
        <w:t>This NOHC authority operates as an authority in relation to the NOHC and any ADIs that are subsidiaries of th</w:t>
      </w:r>
      <w:r>
        <w:rPr>
          <w:sz w:val="18"/>
        </w:rPr>
        <w:t>e NOHC from time to time.</w:t>
      </w:r>
    </w:p>
    <w:p w14:paraId="2BE252A7" w14:textId="77777777" w:rsidR="002127CE" w:rsidRDefault="002A3A21">
      <w:pPr>
        <w:spacing w:before="121"/>
        <w:ind w:left="140" w:right="134"/>
        <w:jc w:val="both"/>
        <w:rPr>
          <w:sz w:val="18"/>
        </w:rPr>
      </w:pPr>
      <w:r>
        <w:rPr>
          <w:sz w:val="18"/>
        </w:rPr>
        <w:t>A decision to impose conditions on a NOHC authority is a decision to which Part VI of the Act applies. You may request APRA reconsider the decision in accordance with subsection 51</w:t>
      </w:r>
      <w:proofErr w:type="gramStart"/>
      <w:r>
        <w:rPr>
          <w:sz w:val="18"/>
        </w:rPr>
        <w:t>B(</w:t>
      </w:r>
      <w:proofErr w:type="gramEnd"/>
      <w:r>
        <w:rPr>
          <w:sz w:val="18"/>
        </w:rPr>
        <w:t>1) of the Act. The request for reconsideration</w:t>
      </w:r>
      <w:r>
        <w:rPr>
          <w:spacing w:val="-7"/>
          <w:sz w:val="18"/>
        </w:rPr>
        <w:t xml:space="preserve"> </w:t>
      </w:r>
      <w:r>
        <w:rPr>
          <w:sz w:val="18"/>
        </w:rPr>
        <w:t>m</w:t>
      </w:r>
      <w:r>
        <w:rPr>
          <w:sz w:val="18"/>
        </w:rPr>
        <w:t>ust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made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7"/>
          <w:sz w:val="18"/>
        </w:rPr>
        <w:t xml:space="preserve"> </w:t>
      </w:r>
      <w:r>
        <w:rPr>
          <w:sz w:val="18"/>
        </w:rPr>
        <w:t>state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reasons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request,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must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given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APRA</w:t>
      </w:r>
      <w:r>
        <w:rPr>
          <w:spacing w:val="-9"/>
          <w:sz w:val="18"/>
        </w:rPr>
        <w:t xml:space="preserve"> </w:t>
      </w:r>
      <w:r>
        <w:rPr>
          <w:sz w:val="18"/>
        </w:rPr>
        <w:t>within 21 days after the day on which you first received notice of this decision, or within such further period as APRA allows. If you are dissatisfied with the outco</w:t>
      </w:r>
      <w:r>
        <w:rPr>
          <w:sz w:val="18"/>
        </w:rPr>
        <w:t xml:space="preserve">me of APRA’s reconsideration of the decision, you may, subject to the </w:t>
      </w:r>
      <w:r>
        <w:rPr>
          <w:i/>
          <w:sz w:val="18"/>
        </w:rPr>
        <w:t>Administrative Appeals Tribunal Act 1975</w:t>
      </w:r>
      <w:r>
        <w:rPr>
          <w:sz w:val="18"/>
        </w:rPr>
        <w:t>, apply to the Administrative Appeals Tribunal for review of the reconsidered</w:t>
      </w:r>
      <w:r>
        <w:rPr>
          <w:spacing w:val="-12"/>
          <w:sz w:val="18"/>
        </w:rPr>
        <w:t xml:space="preserve"> </w:t>
      </w:r>
      <w:r>
        <w:rPr>
          <w:sz w:val="18"/>
        </w:rPr>
        <w:t>decision.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address</w:t>
      </w:r>
      <w:r>
        <w:rPr>
          <w:spacing w:val="-12"/>
          <w:sz w:val="18"/>
        </w:rPr>
        <w:t xml:space="preserve"> </w:t>
      </w:r>
      <w:r>
        <w:rPr>
          <w:sz w:val="18"/>
        </w:rPr>
        <w:t>where</w:t>
      </w:r>
      <w:r>
        <w:rPr>
          <w:spacing w:val="-12"/>
          <w:sz w:val="18"/>
        </w:rPr>
        <w:t xml:space="preserve"> </w:t>
      </w:r>
      <w:r>
        <w:rPr>
          <w:sz w:val="18"/>
        </w:rPr>
        <w:t>written</w:t>
      </w:r>
      <w:r>
        <w:rPr>
          <w:spacing w:val="-12"/>
          <w:sz w:val="18"/>
        </w:rPr>
        <w:t xml:space="preserve"> </w:t>
      </w:r>
      <w:r>
        <w:rPr>
          <w:sz w:val="18"/>
        </w:rPr>
        <w:t>notice</w:t>
      </w:r>
      <w:r>
        <w:rPr>
          <w:spacing w:val="-9"/>
          <w:sz w:val="18"/>
        </w:rPr>
        <w:t xml:space="preserve"> </w:t>
      </w:r>
      <w:r>
        <w:rPr>
          <w:sz w:val="18"/>
        </w:rPr>
        <w:t>may</w:t>
      </w:r>
      <w:r>
        <w:rPr>
          <w:spacing w:val="-14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given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4"/>
          <w:sz w:val="18"/>
        </w:rPr>
        <w:t xml:space="preserve"> </w:t>
      </w:r>
      <w:r>
        <w:rPr>
          <w:sz w:val="18"/>
        </w:rPr>
        <w:t>APRA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L</w:t>
      </w:r>
      <w:r>
        <w:rPr>
          <w:sz w:val="18"/>
        </w:rPr>
        <w:t>evel</w:t>
      </w:r>
      <w:r>
        <w:rPr>
          <w:spacing w:val="-14"/>
          <w:sz w:val="18"/>
        </w:rPr>
        <w:t xml:space="preserve"> </w:t>
      </w:r>
      <w:r>
        <w:rPr>
          <w:sz w:val="18"/>
        </w:rPr>
        <w:t>12,</w:t>
      </w:r>
      <w:r>
        <w:rPr>
          <w:spacing w:val="-12"/>
          <w:sz w:val="18"/>
        </w:rPr>
        <w:t xml:space="preserve"> </w:t>
      </w:r>
      <w:r>
        <w:rPr>
          <w:sz w:val="18"/>
        </w:rPr>
        <w:t>1</w:t>
      </w:r>
      <w:r>
        <w:rPr>
          <w:spacing w:val="-12"/>
          <w:sz w:val="18"/>
        </w:rPr>
        <w:t xml:space="preserve"> </w:t>
      </w:r>
      <w:r>
        <w:rPr>
          <w:sz w:val="18"/>
        </w:rPr>
        <w:t>Martin</w:t>
      </w:r>
      <w:r>
        <w:rPr>
          <w:spacing w:val="-12"/>
          <w:sz w:val="18"/>
        </w:rPr>
        <w:t xml:space="preserve"> </w:t>
      </w:r>
      <w:r>
        <w:rPr>
          <w:sz w:val="18"/>
        </w:rPr>
        <w:t>Place,</w:t>
      </w:r>
      <w:r>
        <w:rPr>
          <w:spacing w:val="-12"/>
          <w:sz w:val="18"/>
        </w:rPr>
        <w:t xml:space="preserve"> </w:t>
      </w:r>
      <w:r>
        <w:rPr>
          <w:sz w:val="18"/>
        </w:rPr>
        <w:t>Sydney NSW</w:t>
      </w:r>
      <w:r>
        <w:rPr>
          <w:spacing w:val="6"/>
          <w:sz w:val="18"/>
        </w:rPr>
        <w:t xml:space="preserve"> </w:t>
      </w:r>
      <w:r>
        <w:rPr>
          <w:sz w:val="18"/>
        </w:rPr>
        <w:t>2000.</w:t>
      </w:r>
    </w:p>
    <w:p w14:paraId="2BE252A8" w14:textId="77777777" w:rsidR="002127CE" w:rsidRDefault="002A3A21">
      <w:pPr>
        <w:spacing w:line="366" w:lineRule="exact"/>
        <w:ind w:left="140"/>
        <w:jc w:val="both"/>
        <w:rPr>
          <w:b/>
          <w:sz w:val="32"/>
        </w:rPr>
      </w:pPr>
      <w:r>
        <w:rPr>
          <w:b/>
          <w:sz w:val="32"/>
        </w:rPr>
        <w:t>Schedule – conditions on the NOHC authority</w:t>
      </w:r>
    </w:p>
    <w:p w14:paraId="2BE252A9" w14:textId="77777777" w:rsidR="002127CE" w:rsidRDefault="002127CE">
      <w:pPr>
        <w:spacing w:line="366" w:lineRule="exact"/>
        <w:jc w:val="both"/>
        <w:rPr>
          <w:sz w:val="32"/>
        </w:rPr>
        <w:sectPr w:rsidR="002127CE" w:rsidSect="002A3A21">
          <w:headerReference w:type="default" r:id="rId12"/>
          <w:headerReference w:type="first" r:id="rId13"/>
          <w:type w:val="continuous"/>
          <w:pgSz w:w="11910" w:h="16840"/>
          <w:pgMar w:top="1580" w:right="1300" w:bottom="280" w:left="1300" w:header="720" w:footer="720" w:gutter="0"/>
          <w:cols w:space="720"/>
          <w:titlePg/>
          <w:docGrid w:linePitch="299"/>
        </w:sectPr>
      </w:pPr>
    </w:p>
    <w:p w14:paraId="2BE252AA" w14:textId="77777777" w:rsidR="002127CE" w:rsidRDefault="002A3A21">
      <w:pPr>
        <w:pStyle w:val="ListParagraph"/>
        <w:numPr>
          <w:ilvl w:val="0"/>
          <w:numId w:val="2"/>
        </w:numPr>
        <w:tabs>
          <w:tab w:val="left" w:pos="708"/>
        </w:tabs>
        <w:spacing w:before="74"/>
        <w:ind w:right="133"/>
        <w:jc w:val="both"/>
      </w:pPr>
      <w:r>
        <w:lastRenderedPageBreak/>
        <w:t>Where a related body corporate of the NOHC provides services to a related regulated entity that are necessary or significant to maintain the entity’s operations, the related body corporate must be a subsidiary of the</w:t>
      </w:r>
      <w:r>
        <w:rPr>
          <w:spacing w:val="-12"/>
        </w:rPr>
        <w:t xml:space="preserve"> </w:t>
      </w:r>
      <w:r>
        <w:t>NOHC.</w:t>
      </w:r>
    </w:p>
    <w:p w14:paraId="2BE252AB" w14:textId="77777777" w:rsidR="002127CE" w:rsidRDefault="002127CE">
      <w:pPr>
        <w:pStyle w:val="BodyText"/>
        <w:spacing w:before="9"/>
        <w:rPr>
          <w:sz w:val="21"/>
        </w:rPr>
      </w:pPr>
    </w:p>
    <w:p w14:paraId="2BE252AC" w14:textId="77777777" w:rsidR="002127CE" w:rsidRDefault="002A3A21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spacing w:before="1" w:line="242" w:lineRule="auto"/>
        <w:ind w:right="146"/>
      </w:pPr>
      <w:r>
        <w:t>The NOHC must consult with APRA prior to the NOHC, or a related body corporate of the NOHC, entering into any arrangement that relates to or may result</w:t>
      </w:r>
      <w:r>
        <w:rPr>
          <w:spacing w:val="-21"/>
        </w:rPr>
        <w:t xml:space="preserve"> </w:t>
      </w:r>
      <w:r>
        <w:t>in:</w:t>
      </w:r>
    </w:p>
    <w:p w14:paraId="2BE252AD" w14:textId="77777777" w:rsidR="002127CE" w:rsidRDefault="002A3A21">
      <w:pPr>
        <w:pStyle w:val="ListParagraph"/>
        <w:numPr>
          <w:ilvl w:val="1"/>
          <w:numId w:val="2"/>
        </w:numPr>
        <w:tabs>
          <w:tab w:val="left" w:pos="1275"/>
          <w:tab w:val="left" w:pos="1276"/>
        </w:tabs>
        <w:spacing w:before="116" w:line="253" w:lineRule="exact"/>
      </w:pPr>
      <w:r>
        <w:t>the disposal of any shares in a specified subsidiary;</w:t>
      </w:r>
      <w:r>
        <w:rPr>
          <w:spacing w:val="-7"/>
        </w:rPr>
        <w:t xml:space="preserve"> </w:t>
      </w:r>
      <w:r>
        <w:t>or</w:t>
      </w:r>
    </w:p>
    <w:p w14:paraId="2BE252AE" w14:textId="77777777" w:rsidR="002127CE" w:rsidRDefault="002A3A21">
      <w:pPr>
        <w:pStyle w:val="ListParagraph"/>
        <w:numPr>
          <w:ilvl w:val="1"/>
          <w:numId w:val="2"/>
        </w:numPr>
        <w:tabs>
          <w:tab w:val="left" w:pos="1275"/>
          <w:tab w:val="left" w:pos="1276"/>
        </w:tabs>
        <w:ind w:right="132"/>
      </w:pPr>
      <w:r>
        <w:t>a related body corporate of the NOHC provid</w:t>
      </w:r>
      <w:r>
        <w:t>ing, or ceasing to provide, services 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regulated</w:t>
      </w:r>
      <w:r>
        <w:rPr>
          <w:spacing w:val="-6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entity’s</w:t>
      </w:r>
      <w:r>
        <w:rPr>
          <w:spacing w:val="-7"/>
        </w:rPr>
        <w:t xml:space="preserve"> </w:t>
      </w:r>
      <w:r>
        <w:t>operations.</w:t>
      </w:r>
    </w:p>
    <w:p w14:paraId="2BE252AF" w14:textId="77777777" w:rsidR="002127CE" w:rsidRDefault="002127CE">
      <w:pPr>
        <w:pStyle w:val="BodyText"/>
        <w:rPr>
          <w:sz w:val="24"/>
        </w:rPr>
      </w:pPr>
    </w:p>
    <w:p w14:paraId="2BE252B0" w14:textId="77777777" w:rsidR="002127CE" w:rsidRDefault="002A3A21">
      <w:pPr>
        <w:pStyle w:val="Heading1"/>
      </w:pPr>
      <w:r>
        <w:t>Interpretation</w:t>
      </w:r>
    </w:p>
    <w:p w14:paraId="2BE252B1" w14:textId="77777777" w:rsidR="002127CE" w:rsidRDefault="002A3A21">
      <w:pPr>
        <w:pStyle w:val="BodyText"/>
        <w:spacing w:before="122"/>
        <w:ind w:left="140"/>
      </w:pPr>
      <w:r>
        <w:t>In this schedule:</w:t>
      </w:r>
    </w:p>
    <w:p w14:paraId="2BE252B2" w14:textId="77777777" w:rsidR="002127CE" w:rsidRDefault="002A3A21">
      <w:pPr>
        <w:spacing w:before="120"/>
        <w:ind w:left="140" w:right="125"/>
      </w:pPr>
      <w:r>
        <w:rPr>
          <w:b/>
          <w:i/>
        </w:rPr>
        <w:t xml:space="preserve">related body corporate </w:t>
      </w:r>
      <w:r>
        <w:t>means a related body corporate within the meaning given in section 50 of the</w:t>
      </w:r>
      <w:r>
        <w:t xml:space="preserve"> </w:t>
      </w:r>
      <w:r>
        <w:rPr>
          <w:i/>
        </w:rPr>
        <w:t>Corporations Act 2001</w:t>
      </w:r>
      <w:r>
        <w:t>.</w:t>
      </w:r>
    </w:p>
    <w:p w14:paraId="2BE252B3" w14:textId="77777777" w:rsidR="002127CE" w:rsidRDefault="002A3A21">
      <w:pPr>
        <w:spacing w:before="119"/>
        <w:ind w:left="140" w:right="136"/>
        <w:jc w:val="both"/>
      </w:pPr>
      <w:r>
        <w:rPr>
          <w:b/>
          <w:i/>
        </w:rPr>
        <w:t xml:space="preserve">related regulated entity </w:t>
      </w:r>
      <w:r>
        <w:t xml:space="preserve">means a related body corporate of the NOHC that is a body regulated by APRA within the meaning given in subsection 3(2) of the </w:t>
      </w:r>
      <w:r>
        <w:rPr>
          <w:i/>
        </w:rPr>
        <w:t>Australian Prudential Regulation Authority Act 1998</w:t>
      </w:r>
      <w:r>
        <w:t>.</w:t>
      </w:r>
    </w:p>
    <w:p w14:paraId="2BE252B4" w14:textId="77777777" w:rsidR="002127CE" w:rsidRDefault="002A3A21">
      <w:pPr>
        <w:spacing w:before="121"/>
        <w:ind w:left="140"/>
        <w:jc w:val="both"/>
      </w:pPr>
      <w:r>
        <w:rPr>
          <w:b/>
          <w:i/>
        </w:rPr>
        <w:t xml:space="preserve">specified subsidiary </w:t>
      </w:r>
      <w:r>
        <w:t>means:</w:t>
      </w:r>
    </w:p>
    <w:p w14:paraId="2BE252B5" w14:textId="77777777" w:rsidR="002127CE" w:rsidRDefault="002A3A21">
      <w:pPr>
        <w:pStyle w:val="ListParagraph"/>
        <w:numPr>
          <w:ilvl w:val="0"/>
          <w:numId w:val="1"/>
        </w:numPr>
        <w:tabs>
          <w:tab w:val="left" w:pos="708"/>
        </w:tabs>
        <w:spacing w:before="119" w:line="252" w:lineRule="exact"/>
        <w:jc w:val="both"/>
      </w:pPr>
      <w:r>
        <w:t>a related regulated entity;</w:t>
      </w:r>
      <w:r>
        <w:rPr>
          <w:spacing w:val="-3"/>
        </w:rPr>
        <w:t xml:space="preserve"> </w:t>
      </w:r>
      <w:r>
        <w:t>or</w:t>
      </w:r>
    </w:p>
    <w:p w14:paraId="2BE252B6" w14:textId="77777777" w:rsidR="002127CE" w:rsidRDefault="002A3A21">
      <w:pPr>
        <w:pStyle w:val="ListParagraph"/>
        <w:numPr>
          <w:ilvl w:val="0"/>
          <w:numId w:val="1"/>
        </w:numPr>
        <w:tabs>
          <w:tab w:val="left" w:pos="708"/>
        </w:tabs>
        <w:spacing w:before="2" w:line="237" w:lineRule="auto"/>
        <w:ind w:right="136"/>
        <w:jc w:val="both"/>
        <w:rPr>
          <w:sz w:val="24"/>
        </w:rPr>
      </w:pPr>
      <w:r>
        <w:t>a related body corporate of the NOHC that provides services to a related regulated entity.</w:t>
      </w:r>
    </w:p>
    <w:p w14:paraId="2BE252B7" w14:textId="77777777" w:rsidR="002127CE" w:rsidRDefault="002127CE">
      <w:pPr>
        <w:pStyle w:val="BodyText"/>
        <w:rPr>
          <w:sz w:val="20"/>
        </w:rPr>
      </w:pPr>
    </w:p>
    <w:p w14:paraId="2BE252B8" w14:textId="77777777" w:rsidR="002127CE" w:rsidRDefault="002127CE">
      <w:pPr>
        <w:pStyle w:val="BodyText"/>
        <w:rPr>
          <w:sz w:val="20"/>
        </w:rPr>
      </w:pPr>
    </w:p>
    <w:p w14:paraId="2BE252B9" w14:textId="77777777" w:rsidR="002127CE" w:rsidRDefault="002127CE">
      <w:pPr>
        <w:pStyle w:val="BodyText"/>
        <w:rPr>
          <w:sz w:val="20"/>
        </w:rPr>
      </w:pPr>
    </w:p>
    <w:p w14:paraId="2BE252BA" w14:textId="77777777" w:rsidR="002127CE" w:rsidRDefault="002127CE">
      <w:pPr>
        <w:pStyle w:val="BodyText"/>
        <w:rPr>
          <w:sz w:val="20"/>
        </w:rPr>
      </w:pPr>
    </w:p>
    <w:p w14:paraId="2BE252BB" w14:textId="77777777" w:rsidR="002127CE" w:rsidRDefault="002127CE">
      <w:pPr>
        <w:pStyle w:val="BodyText"/>
        <w:rPr>
          <w:sz w:val="20"/>
        </w:rPr>
      </w:pPr>
    </w:p>
    <w:p w14:paraId="2BE252BC" w14:textId="77777777" w:rsidR="002127CE" w:rsidRDefault="002127CE">
      <w:pPr>
        <w:pStyle w:val="BodyText"/>
        <w:rPr>
          <w:sz w:val="20"/>
        </w:rPr>
      </w:pPr>
    </w:p>
    <w:p w14:paraId="2BE252BD" w14:textId="77777777" w:rsidR="002127CE" w:rsidRDefault="002127CE">
      <w:pPr>
        <w:pStyle w:val="BodyText"/>
        <w:rPr>
          <w:sz w:val="20"/>
        </w:rPr>
      </w:pPr>
    </w:p>
    <w:p w14:paraId="2BE252BE" w14:textId="77777777" w:rsidR="002127CE" w:rsidRDefault="002127CE">
      <w:pPr>
        <w:pStyle w:val="BodyText"/>
        <w:rPr>
          <w:sz w:val="20"/>
        </w:rPr>
      </w:pPr>
    </w:p>
    <w:p w14:paraId="2BE252BF" w14:textId="77777777" w:rsidR="002127CE" w:rsidRDefault="002127CE">
      <w:pPr>
        <w:pStyle w:val="BodyText"/>
        <w:rPr>
          <w:sz w:val="20"/>
        </w:rPr>
      </w:pPr>
    </w:p>
    <w:p w14:paraId="2BE252C0" w14:textId="77777777" w:rsidR="002127CE" w:rsidRDefault="002127CE">
      <w:pPr>
        <w:pStyle w:val="BodyText"/>
        <w:rPr>
          <w:sz w:val="20"/>
        </w:rPr>
      </w:pPr>
    </w:p>
    <w:p w14:paraId="2BE252C1" w14:textId="77777777" w:rsidR="002127CE" w:rsidRDefault="002127CE">
      <w:pPr>
        <w:pStyle w:val="BodyText"/>
        <w:rPr>
          <w:sz w:val="20"/>
        </w:rPr>
      </w:pPr>
    </w:p>
    <w:p w14:paraId="2BE252C2" w14:textId="77777777" w:rsidR="002127CE" w:rsidRDefault="002127CE">
      <w:pPr>
        <w:pStyle w:val="BodyText"/>
        <w:rPr>
          <w:sz w:val="20"/>
        </w:rPr>
      </w:pPr>
    </w:p>
    <w:p w14:paraId="2BE252C3" w14:textId="77777777" w:rsidR="002127CE" w:rsidRDefault="002127CE">
      <w:pPr>
        <w:pStyle w:val="BodyText"/>
        <w:rPr>
          <w:sz w:val="20"/>
        </w:rPr>
      </w:pPr>
    </w:p>
    <w:p w14:paraId="2BE252C4" w14:textId="77777777" w:rsidR="002127CE" w:rsidRDefault="002127CE">
      <w:pPr>
        <w:pStyle w:val="BodyText"/>
        <w:rPr>
          <w:sz w:val="20"/>
        </w:rPr>
      </w:pPr>
    </w:p>
    <w:p w14:paraId="2BE252C5" w14:textId="77777777" w:rsidR="002127CE" w:rsidRDefault="002127CE">
      <w:pPr>
        <w:pStyle w:val="BodyText"/>
        <w:rPr>
          <w:sz w:val="20"/>
        </w:rPr>
      </w:pPr>
    </w:p>
    <w:p w14:paraId="2BE252C6" w14:textId="77777777" w:rsidR="002127CE" w:rsidRDefault="002127CE">
      <w:pPr>
        <w:pStyle w:val="BodyText"/>
        <w:rPr>
          <w:sz w:val="20"/>
        </w:rPr>
      </w:pPr>
    </w:p>
    <w:p w14:paraId="2BE252C7" w14:textId="77777777" w:rsidR="002127CE" w:rsidRDefault="002127CE">
      <w:pPr>
        <w:pStyle w:val="BodyText"/>
        <w:rPr>
          <w:sz w:val="20"/>
        </w:rPr>
      </w:pPr>
    </w:p>
    <w:p w14:paraId="2BE252C8" w14:textId="77777777" w:rsidR="002127CE" w:rsidRDefault="002127CE">
      <w:pPr>
        <w:pStyle w:val="BodyText"/>
        <w:rPr>
          <w:sz w:val="20"/>
        </w:rPr>
      </w:pPr>
    </w:p>
    <w:p w14:paraId="2BE252C9" w14:textId="77777777" w:rsidR="002127CE" w:rsidRDefault="002127CE">
      <w:pPr>
        <w:pStyle w:val="BodyText"/>
        <w:rPr>
          <w:sz w:val="20"/>
        </w:rPr>
      </w:pPr>
    </w:p>
    <w:p w14:paraId="2BE252CA" w14:textId="77777777" w:rsidR="002127CE" w:rsidRDefault="002127CE">
      <w:pPr>
        <w:pStyle w:val="BodyText"/>
        <w:rPr>
          <w:sz w:val="20"/>
        </w:rPr>
      </w:pPr>
    </w:p>
    <w:p w14:paraId="2BE252CB" w14:textId="77777777" w:rsidR="002127CE" w:rsidRDefault="002127CE">
      <w:pPr>
        <w:pStyle w:val="BodyText"/>
        <w:rPr>
          <w:sz w:val="20"/>
        </w:rPr>
      </w:pPr>
    </w:p>
    <w:p w14:paraId="2BE252CC" w14:textId="77777777" w:rsidR="002127CE" w:rsidRDefault="002127CE">
      <w:pPr>
        <w:pStyle w:val="BodyText"/>
        <w:rPr>
          <w:sz w:val="20"/>
        </w:rPr>
      </w:pPr>
    </w:p>
    <w:p w14:paraId="2BE252CD" w14:textId="77777777" w:rsidR="002127CE" w:rsidRDefault="002127CE">
      <w:pPr>
        <w:pStyle w:val="BodyText"/>
        <w:rPr>
          <w:sz w:val="20"/>
        </w:rPr>
      </w:pPr>
    </w:p>
    <w:p w14:paraId="2BE252CE" w14:textId="77777777" w:rsidR="002127CE" w:rsidRDefault="002127CE">
      <w:pPr>
        <w:pStyle w:val="BodyText"/>
        <w:rPr>
          <w:sz w:val="20"/>
        </w:rPr>
      </w:pPr>
    </w:p>
    <w:p w14:paraId="2BE252CF" w14:textId="77777777" w:rsidR="002127CE" w:rsidRDefault="002127CE">
      <w:pPr>
        <w:pStyle w:val="BodyText"/>
        <w:rPr>
          <w:sz w:val="20"/>
        </w:rPr>
      </w:pPr>
    </w:p>
    <w:p w14:paraId="2BE252D0" w14:textId="77777777" w:rsidR="002127CE" w:rsidRDefault="002127CE">
      <w:pPr>
        <w:pStyle w:val="BodyText"/>
        <w:rPr>
          <w:sz w:val="20"/>
        </w:rPr>
      </w:pPr>
    </w:p>
    <w:p w14:paraId="2BE252D1" w14:textId="77777777" w:rsidR="002127CE" w:rsidRDefault="002127CE">
      <w:pPr>
        <w:pStyle w:val="BodyText"/>
        <w:rPr>
          <w:sz w:val="20"/>
        </w:rPr>
      </w:pPr>
    </w:p>
    <w:p w14:paraId="2BE252D2" w14:textId="77777777" w:rsidR="002127CE" w:rsidRDefault="002127CE">
      <w:pPr>
        <w:pStyle w:val="BodyText"/>
        <w:rPr>
          <w:sz w:val="20"/>
        </w:rPr>
      </w:pPr>
    </w:p>
    <w:p w14:paraId="2BE252D3" w14:textId="77777777" w:rsidR="002127CE" w:rsidRDefault="002127CE">
      <w:pPr>
        <w:pStyle w:val="BodyText"/>
        <w:rPr>
          <w:sz w:val="20"/>
        </w:rPr>
      </w:pPr>
    </w:p>
    <w:p w14:paraId="2BE252D4" w14:textId="77777777" w:rsidR="002127CE" w:rsidRDefault="002127CE">
      <w:pPr>
        <w:pStyle w:val="BodyText"/>
        <w:rPr>
          <w:sz w:val="20"/>
        </w:rPr>
      </w:pPr>
    </w:p>
    <w:p w14:paraId="2BE252D5" w14:textId="77777777" w:rsidR="002127CE" w:rsidRDefault="002127CE">
      <w:pPr>
        <w:pStyle w:val="BodyText"/>
        <w:rPr>
          <w:sz w:val="20"/>
        </w:rPr>
      </w:pPr>
    </w:p>
    <w:p w14:paraId="2BE252D6" w14:textId="77777777" w:rsidR="002127CE" w:rsidRDefault="002127CE">
      <w:pPr>
        <w:pStyle w:val="BodyText"/>
        <w:rPr>
          <w:sz w:val="20"/>
        </w:rPr>
      </w:pPr>
    </w:p>
    <w:p w14:paraId="2BE252D7" w14:textId="77777777" w:rsidR="002127CE" w:rsidRDefault="002127CE">
      <w:pPr>
        <w:pStyle w:val="BodyText"/>
        <w:rPr>
          <w:sz w:val="20"/>
        </w:rPr>
      </w:pPr>
    </w:p>
    <w:p w14:paraId="2BE252D8" w14:textId="77777777" w:rsidR="002127CE" w:rsidRDefault="002127CE">
      <w:pPr>
        <w:pStyle w:val="BodyText"/>
        <w:rPr>
          <w:sz w:val="25"/>
        </w:rPr>
      </w:pPr>
    </w:p>
    <w:p w14:paraId="2BE252D9" w14:textId="77777777" w:rsidR="002127CE" w:rsidRDefault="002A3A21">
      <w:pPr>
        <w:spacing w:before="95"/>
        <w:ind w:right="133"/>
        <w:jc w:val="right"/>
        <w:rPr>
          <w:sz w:val="18"/>
        </w:rPr>
      </w:pPr>
      <w:r>
        <w:rPr>
          <w:sz w:val="18"/>
        </w:rPr>
        <w:t>Page 2 of 2</w:t>
      </w:r>
    </w:p>
    <w:sectPr w:rsidR="002127CE"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B0AC9" w14:textId="77777777" w:rsidR="002A3A21" w:rsidRDefault="002A3A21" w:rsidP="002A3A21">
      <w:r>
        <w:separator/>
      </w:r>
    </w:p>
  </w:endnote>
  <w:endnote w:type="continuationSeparator" w:id="0">
    <w:p w14:paraId="71D58F76" w14:textId="77777777" w:rsidR="002A3A21" w:rsidRDefault="002A3A21" w:rsidP="002A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7AE78" w14:textId="77777777" w:rsidR="002A3A21" w:rsidRDefault="002A3A21" w:rsidP="002A3A21">
      <w:r>
        <w:separator/>
      </w:r>
    </w:p>
  </w:footnote>
  <w:footnote w:type="continuationSeparator" w:id="0">
    <w:p w14:paraId="53AB1C1B" w14:textId="77777777" w:rsidR="002A3A21" w:rsidRDefault="002A3A21" w:rsidP="002A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01C86" w14:textId="1C852675" w:rsidR="002A3A21" w:rsidRDefault="002A3A21">
    <w:pPr>
      <w:pStyle w:val="Header"/>
    </w:pPr>
  </w:p>
  <w:p w14:paraId="7AB1450A" w14:textId="77777777" w:rsidR="002A3A21" w:rsidRDefault="002A3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A3A21" w:rsidRPr="00CE796A" w14:paraId="4EE010AC" w14:textId="77777777" w:rsidTr="00786A4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E1E2D21" w14:textId="77777777" w:rsidR="002A3A21" w:rsidRPr="00CE796A" w:rsidRDefault="002A3A21" w:rsidP="002A3A21">
          <w:pPr>
            <w:spacing w:before="6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16C5C3AD" wp14:editId="3BF09093">
                <wp:extent cx="702945" cy="544195"/>
                <wp:effectExtent l="0" t="0" r="0" b="8255"/>
                <wp:docPr id="2" name="Picture 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6B63443" w14:textId="77777777" w:rsidR="002A3A21" w:rsidRPr="00CE796A" w:rsidRDefault="002A3A21" w:rsidP="002A3A21">
          <w:pPr>
            <w:spacing w:before="60" w:line="460" w:lineRule="exact"/>
            <w:rPr>
              <w:b/>
              <w:spacing w:val="-2"/>
              <w:sz w:val="44"/>
              <w:szCs w:val="44"/>
            </w:rPr>
          </w:pPr>
          <w:r w:rsidRPr="00CE796A">
            <w:rPr>
              <w:b/>
              <w:spacing w:val="-2"/>
              <w:sz w:val="44"/>
              <w:szCs w:val="44"/>
            </w:rPr>
            <w:t>Commonwealth</w:t>
          </w:r>
          <w:r w:rsidRPr="00CE796A">
            <w:rPr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6FFD01E" w14:textId="77777777" w:rsidR="002A3A21" w:rsidRPr="00CE796A" w:rsidRDefault="002A3A21" w:rsidP="002A3A21">
          <w:pPr>
            <w:spacing w:before="180" w:line="800" w:lineRule="exact"/>
            <w:jc w:val="right"/>
            <w:rPr>
              <w:b/>
              <w:sz w:val="100"/>
              <w:szCs w:val="100"/>
            </w:rPr>
          </w:pPr>
          <w:r w:rsidRPr="00CE796A">
            <w:rPr>
              <w:b/>
              <w:sz w:val="100"/>
              <w:szCs w:val="100"/>
            </w:rPr>
            <w:t>Gazette</w:t>
          </w:r>
        </w:p>
      </w:tc>
    </w:tr>
    <w:tr w:rsidR="002A3A21" w:rsidRPr="00CE796A" w14:paraId="5C0A6B5D" w14:textId="77777777" w:rsidTr="00786A4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4EC8768" w14:textId="77777777" w:rsidR="002A3A21" w:rsidRPr="00CE796A" w:rsidRDefault="002A3A21" w:rsidP="002A3A21">
          <w:pPr>
            <w:ind w:left="-51"/>
            <w:rPr>
              <w:sz w:val="14"/>
              <w:szCs w:val="14"/>
            </w:rPr>
          </w:pPr>
          <w:bookmarkStart w:id="2" w:name="GazNo"/>
          <w:bookmarkEnd w:id="2"/>
          <w:r w:rsidRPr="00CE796A">
            <w:rPr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11349FF" w14:textId="77777777" w:rsidR="002A3A21" w:rsidRPr="00840A06" w:rsidRDefault="002A3A21" w:rsidP="002A3A21">
          <w:pPr>
            <w:jc w:val="right"/>
            <w:rPr>
              <w:b/>
              <w:sz w:val="24"/>
              <w:szCs w:val="24"/>
            </w:rPr>
          </w:pPr>
          <w:r w:rsidRPr="00840A06">
            <w:rPr>
              <w:b/>
              <w:sz w:val="24"/>
              <w:szCs w:val="24"/>
            </w:rPr>
            <w:t>GOVERNMENT NOTICES</w:t>
          </w:r>
        </w:p>
      </w:tc>
    </w:tr>
    <w:bookmarkEnd w:id="1"/>
  </w:tbl>
  <w:p w14:paraId="425F6ECE" w14:textId="77777777" w:rsidR="002A3A21" w:rsidRDefault="002A3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53705"/>
    <w:multiLevelType w:val="hybridMultilevel"/>
    <w:tmpl w:val="FEC6922A"/>
    <w:lvl w:ilvl="0" w:tplc="FE20B1FA">
      <w:start w:val="1"/>
      <w:numFmt w:val="lowerRoman"/>
      <w:lvlText w:val="(%1)"/>
      <w:lvlJc w:val="left"/>
      <w:pPr>
        <w:ind w:left="708" w:hanging="563"/>
        <w:jc w:val="left"/>
      </w:pPr>
      <w:rPr>
        <w:rFonts w:hint="default"/>
        <w:spacing w:val="-2"/>
        <w:w w:val="99"/>
        <w:lang w:val="en-US" w:eastAsia="en-US" w:bidi="en-US"/>
      </w:rPr>
    </w:lvl>
    <w:lvl w:ilvl="1" w:tplc="3B3E27D6">
      <w:numFmt w:val="bullet"/>
      <w:lvlText w:val="•"/>
      <w:lvlJc w:val="left"/>
      <w:pPr>
        <w:ind w:left="1560" w:hanging="563"/>
      </w:pPr>
      <w:rPr>
        <w:rFonts w:hint="default"/>
        <w:lang w:val="en-US" w:eastAsia="en-US" w:bidi="en-US"/>
      </w:rPr>
    </w:lvl>
    <w:lvl w:ilvl="2" w:tplc="89F87FD0">
      <w:numFmt w:val="bullet"/>
      <w:lvlText w:val="•"/>
      <w:lvlJc w:val="left"/>
      <w:pPr>
        <w:ind w:left="2421" w:hanging="563"/>
      </w:pPr>
      <w:rPr>
        <w:rFonts w:hint="default"/>
        <w:lang w:val="en-US" w:eastAsia="en-US" w:bidi="en-US"/>
      </w:rPr>
    </w:lvl>
    <w:lvl w:ilvl="3" w:tplc="EE62E502">
      <w:numFmt w:val="bullet"/>
      <w:lvlText w:val="•"/>
      <w:lvlJc w:val="left"/>
      <w:pPr>
        <w:ind w:left="3281" w:hanging="563"/>
      </w:pPr>
      <w:rPr>
        <w:rFonts w:hint="default"/>
        <w:lang w:val="en-US" w:eastAsia="en-US" w:bidi="en-US"/>
      </w:rPr>
    </w:lvl>
    <w:lvl w:ilvl="4" w:tplc="422AD504">
      <w:numFmt w:val="bullet"/>
      <w:lvlText w:val="•"/>
      <w:lvlJc w:val="left"/>
      <w:pPr>
        <w:ind w:left="4142" w:hanging="563"/>
      </w:pPr>
      <w:rPr>
        <w:rFonts w:hint="default"/>
        <w:lang w:val="en-US" w:eastAsia="en-US" w:bidi="en-US"/>
      </w:rPr>
    </w:lvl>
    <w:lvl w:ilvl="5" w:tplc="B202AD96">
      <w:numFmt w:val="bullet"/>
      <w:lvlText w:val="•"/>
      <w:lvlJc w:val="left"/>
      <w:pPr>
        <w:ind w:left="5002" w:hanging="563"/>
      </w:pPr>
      <w:rPr>
        <w:rFonts w:hint="default"/>
        <w:lang w:val="en-US" w:eastAsia="en-US" w:bidi="en-US"/>
      </w:rPr>
    </w:lvl>
    <w:lvl w:ilvl="6" w:tplc="DDE436E8">
      <w:numFmt w:val="bullet"/>
      <w:lvlText w:val="•"/>
      <w:lvlJc w:val="left"/>
      <w:pPr>
        <w:ind w:left="5863" w:hanging="563"/>
      </w:pPr>
      <w:rPr>
        <w:rFonts w:hint="default"/>
        <w:lang w:val="en-US" w:eastAsia="en-US" w:bidi="en-US"/>
      </w:rPr>
    </w:lvl>
    <w:lvl w:ilvl="7" w:tplc="D7D2442E">
      <w:numFmt w:val="bullet"/>
      <w:lvlText w:val="•"/>
      <w:lvlJc w:val="left"/>
      <w:pPr>
        <w:ind w:left="6723" w:hanging="563"/>
      </w:pPr>
      <w:rPr>
        <w:rFonts w:hint="default"/>
        <w:lang w:val="en-US" w:eastAsia="en-US" w:bidi="en-US"/>
      </w:rPr>
    </w:lvl>
    <w:lvl w:ilvl="8" w:tplc="E36A1A32">
      <w:numFmt w:val="bullet"/>
      <w:lvlText w:val="•"/>
      <w:lvlJc w:val="left"/>
      <w:pPr>
        <w:ind w:left="7584" w:hanging="563"/>
      </w:pPr>
      <w:rPr>
        <w:rFonts w:hint="default"/>
        <w:lang w:val="en-US" w:eastAsia="en-US" w:bidi="en-US"/>
      </w:rPr>
    </w:lvl>
  </w:abstractNum>
  <w:abstractNum w:abstractNumId="1" w15:restartNumberingAfterBreak="0">
    <w:nsid w:val="3B3D54AF"/>
    <w:multiLevelType w:val="hybridMultilevel"/>
    <w:tmpl w:val="2B12BB00"/>
    <w:lvl w:ilvl="0" w:tplc="85F446FE">
      <w:start w:val="1"/>
      <w:numFmt w:val="decimal"/>
      <w:lvlText w:val="%1."/>
      <w:lvlJc w:val="left"/>
      <w:pPr>
        <w:ind w:left="708" w:hanging="568"/>
        <w:jc w:val="left"/>
      </w:pPr>
      <w:rPr>
        <w:rFonts w:ascii="Arial" w:eastAsia="Arial" w:hAnsi="Arial" w:cs="Arial" w:hint="default"/>
        <w:spacing w:val="-5"/>
        <w:w w:val="99"/>
        <w:sz w:val="22"/>
        <w:szCs w:val="22"/>
        <w:lang w:val="en-US" w:eastAsia="en-US" w:bidi="en-US"/>
      </w:rPr>
    </w:lvl>
    <w:lvl w:ilvl="1" w:tplc="D1FA2058">
      <w:start w:val="1"/>
      <w:numFmt w:val="lowerLetter"/>
      <w:lvlText w:val="(%2)"/>
      <w:lvlJc w:val="left"/>
      <w:pPr>
        <w:ind w:left="1275" w:hanging="568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  <w:lang w:val="en-US" w:eastAsia="en-US" w:bidi="en-US"/>
      </w:rPr>
    </w:lvl>
    <w:lvl w:ilvl="2" w:tplc="2FB46EAA">
      <w:numFmt w:val="bullet"/>
      <w:lvlText w:val="•"/>
      <w:lvlJc w:val="left"/>
      <w:pPr>
        <w:ind w:left="2171" w:hanging="568"/>
      </w:pPr>
      <w:rPr>
        <w:rFonts w:hint="default"/>
        <w:lang w:val="en-US" w:eastAsia="en-US" w:bidi="en-US"/>
      </w:rPr>
    </w:lvl>
    <w:lvl w:ilvl="3" w:tplc="08D41B6C">
      <w:numFmt w:val="bullet"/>
      <w:lvlText w:val="•"/>
      <w:lvlJc w:val="left"/>
      <w:pPr>
        <w:ind w:left="3063" w:hanging="568"/>
      </w:pPr>
      <w:rPr>
        <w:rFonts w:hint="default"/>
        <w:lang w:val="en-US" w:eastAsia="en-US" w:bidi="en-US"/>
      </w:rPr>
    </w:lvl>
    <w:lvl w:ilvl="4" w:tplc="6914AB26">
      <w:numFmt w:val="bullet"/>
      <w:lvlText w:val="•"/>
      <w:lvlJc w:val="left"/>
      <w:pPr>
        <w:ind w:left="3955" w:hanging="568"/>
      </w:pPr>
      <w:rPr>
        <w:rFonts w:hint="default"/>
        <w:lang w:val="en-US" w:eastAsia="en-US" w:bidi="en-US"/>
      </w:rPr>
    </w:lvl>
    <w:lvl w:ilvl="5" w:tplc="81BEC084">
      <w:numFmt w:val="bullet"/>
      <w:lvlText w:val="•"/>
      <w:lvlJc w:val="left"/>
      <w:pPr>
        <w:ind w:left="4846" w:hanging="568"/>
      </w:pPr>
      <w:rPr>
        <w:rFonts w:hint="default"/>
        <w:lang w:val="en-US" w:eastAsia="en-US" w:bidi="en-US"/>
      </w:rPr>
    </w:lvl>
    <w:lvl w:ilvl="6" w:tplc="2660BCA0">
      <w:numFmt w:val="bullet"/>
      <w:lvlText w:val="•"/>
      <w:lvlJc w:val="left"/>
      <w:pPr>
        <w:ind w:left="5738" w:hanging="568"/>
      </w:pPr>
      <w:rPr>
        <w:rFonts w:hint="default"/>
        <w:lang w:val="en-US" w:eastAsia="en-US" w:bidi="en-US"/>
      </w:rPr>
    </w:lvl>
    <w:lvl w:ilvl="7" w:tplc="C6B0CEEA">
      <w:numFmt w:val="bullet"/>
      <w:lvlText w:val="•"/>
      <w:lvlJc w:val="left"/>
      <w:pPr>
        <w:ind w:left="6630" w:hanging="568"/>
      </w:pPr>
      <w:rPr>
        <w:rFonts w:hint="default"/>
        <w:lang w:val="en-US" w:eastAsia="en-US" w:bidi="en-US"/>
      </w:rPr>
    </w:lvl>
    <w:lvl w:ilvl="8" w:tplc="A0D494C2">
      <w:numFmt w:val="bullet"/>
      <w:lvlText w:val="•"/>
      <w:lvlJc w:val="left"/>
      <w:pPr>
        <w:ind w:left="7521" w:hanging="56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7CE"/>
    <w:rsid w:val="002127CE"/>
    <w:rsid w:val="002A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2528D"/>
  <w15:docId w15:val="{B59C0505-3A68-4BCD-9BFD-F91CF288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03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8" w:hanging="5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3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A2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A3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A21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_dlc_DocId xmlns="814d62cb-2db6-4c25-ab62-b9075facbc11">5JENXJJSCC7A-445999044-11740</_dlc_DocId>
    <TaxCatchAll xmlns="814d62cb-2db6-4c25-ab62-b9075facbc11">
      <Value>24</Value>
      <Value>83</Value>
      <Value>231</Value>
      <Value>134</Value>
      <Value>26</Value>
      <Value>10</Value>
      <Value>109</Value>
      <Value>93</Value>
      <Value>58</Value>
      <Value>19</Value>
    </TaxCatchAll>
    <_dlc_DocIdUrl xmlns="814d62cb-2db6-4c25-ab62-b9075facbc11">
      <Url>https://im/teams/LEGAL/_layouts/15/DocIdRedir.aspx?ID=5JENXJJSCC7A-445999044-11740</Url>
      <Description>5JENXJJSCC7A-445999044-11740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c15887ee-fc3e-4879-bd3d-5a13724ac42c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Banking NOHC Authority 2022 – AMP Limited</APRADescription>
    <APRAActivityID xmlns="814d62cb-2db6-4c25-ab62-b9075facbc11" xsi:nil="true"/>
    <APRADocScanCheck xmlns="814d62cb-2db6-4c25-ab62-b9075facbc11">false</APRADocScanCheck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9B908-F610-41EF-B1FF-5808B5A275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BECF74-9140-4BD8-9F3D-519A060DA15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C1F96D5-6632-4C1A-9C49-E35F8AE16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BEE988-7B0E-4912-9DF6-9F2CA9A677FB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814d62cb-2db6-4c25-ab62-b9075facbc11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6D7D86E-09EC-4BED-BAC0-4027C773E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2485</Characters>
  <Application>Microsoft Office Word</Application>
  <DocSecurity>0</DocSecurity>
  <Lines>99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 Ltd s11AA grant of ADI NOHC authority</vt:lpstr>
    </vt:vector>
  </TitlesOfParts>
  <Company>APRA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 Limited - 010422</dc:title>
  <dc:creator>Shum, Letitia</dc:creator>
  <cp:keywords>[SEC=OFFICIAL]</cp:keywords>
  <cp:lastModifiedBy>Toni Michalis</cp:lastModifiedBy>
  <cp:revision>2</cp:revision>
  <dcterms:created xsi:type="dcterms:W3CDTF">2022-04-05T07:23:00Z</dcterms:created>
  <dcterms:modified xsi:type="dcterms:W3CDTF">2022-04-05T07:24:00Z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2022-04-05T00:00:00Z</vt:filetime>
  </property>
  <property fmtid="{D5CDD505-2E9C-101B-9397-08002B2CF9AE}" pid="5" name="APRAPeriod">
    <vt:lpwstr/>
  </property>
  <property fmtid="{D5CDD505-2E9C-101B-9397-08002B2CF9AE}" pid="6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7" name="APRALegislation">
    <vt:lpwstr/>
  </property>
  <property fmtid="{D5CDD505-2E9C-101B-9397-08002B2CF9AE}" pid="8" name="APRAYear">
    <vt:lpwstr>231;#2022|c15887ee-fc3e-4879-bd3d-5a13724ac42c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b34b0c31-7d53-4006-a39b-f391117e1276</vt:lpwstr>
  </property>
  <property fmtid="{D5CDD505-2E9C-101B-9397-08002B2CF9AE}" pid="12" name="APRAPRSG">
    <vt:lpwstr/>
  </property>
  <property fmtid="{D5CDD505-2E9C-101B-9397-08002B2CF9AE}" pid="13" name="IsLocked">
    <vt:lpwstr>False</vt:lpwstr>
  </property>
  <property fmtid="{D5CDD505-2E9C-101B-9397-08002B2CF9AE}" pid="14" name="APRAStatus">
    <vt:lpwstr>19;#Final|84d6b2d0-8498-4d62-bf46-bab38babbe9e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D3F074D54A0B44479B6A5EC265A4E251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OriginationTimeStamp">
    <vt:lpwstr>2022-04-05T07:24:55Z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Display">
    <vt:lpwstr>OFFICIAL</vt:lpwstr>
  </property>
  <property fmtid="{D5CDD505-2E9C-101B-9397-08002B2CF9AE}" pid="32" name="PMUuid">
    <vt:lpwstr>ABBFF5E2-9674-55C9-B08D-C9980002FD58</vt:lpwstr>
  </property>
  <property fmtid="{D5CDD505-2E9C-101B-9397-08002B2CF9AE}" pid="33" name="PMUuidVer">
    <vt:lpwstr>2022.1</vt:lpwstr>
  </property>
  <property fmtid="{D5CDD505-2E9C-101B-9397-08002B2CF9AE}" pid="34" name="PM_Hash_Version">
    <vt:lpwstr>2018.0</vt:lpwstr>
  </property>
  <property fmtid="{D5CDD505-2E9C-101B-9397-08002B2CF9AE}" pid="35" name="PM_Hash_Salt_Prev">
    <vt:lpwstr>AD56ACBD1218C5ED377891D0FABD22ED</vt:lpwstr>
  </property>
  <property fmtid="{D5CDD505-2E9C-101B-9397-08002B2CF9AE}" pid="36" name="PM_Hash_Salt">
    <vt:lpwstr>AD56ACBD1218C5ED377891D0FABD22ED</vt:lpwstr>
  </property>
  <property fmtid="{D5CDD505-2E9C-101B-9397-08002B2CF9AE}" pid="37" name="PM_Hash_SHA1">
    <vt:lpwstr>4FF132C33B966EF6CAD4EAAA63763ED8C667ECB8</vt:lpwstr>
  </property>
  <property fmtid="{D5CDD505-2E9C-101B-9397-08002B2CF9AE}" pid="38" name="PM_OriginatorUserAccountName_SHA256">
    <vt:lpwstr>6E3018F28A186D2E5FF5207C041E7A82E907C3008E071057026A53705873B72E</vt:lpwstr>
  </property>
  <property fmtid="{D5CDD505-2E9C-101B-9397-08002B2CF9AE}" pid="39" name="PM_OriginatorDomainName_SHA256">
    <vt:lpwstr>ECBDE2B44A971754412B3FB70606937A119CC0D4B6C1B658A40FBD41C30BE3EC</vt:lpwstr>
  </property>
  <property fmtid="{D5CDD505-2E9C-101B-9397-08002B2CF9AE}" pid="40" name="PM_MinimumSecurityClassification">
    <vt:lpwstr/>
  </property>
  <property fmtid="{D5CDD505-2E9C-101B-9397-08002B2CF9AE}" pid="41" name="IT system type">
    <vt:lpwstr/>
  </property>
  <property fmtid="{D5CDD505-2E9C-101B-9397-08002B2CF9AE}" pid="42" name="APRACategory">
    <vt:lpwstr/>
  </property>
  <property fmtid="{D5CDD505-2E9C-101B-9397-08002B2CF9AE}" pid="43" name="APRADocumentType">
    <vt:lpwstr>58;#Legal instrument|71fd6ed3-d6d6-4975-ba99-bfe45802e734</vt:lpwstr>
  </property>
  <property fmtid="{D5CDD505-2E9C-101B-9397-08002B2CF9AE}" pid="44" name="APRAActivity">
    <vt:lpwstr>10;#Registration|390476ce-d76d-4e8d-905f-28e32d2df127;#109;#Statutory instrument|fe68928c-5a9c-4caf-bc8c-6c18cedcb17f</vt:lpwstr>
  </property>
  <property fmtid="{D5CDD505-2E9C-101B-9397-08002B2CF9AE}" pid="45" name="APRAEntityAdviceSupport">
    <vt:lpwstr/>
  </property>
  <property fmtid="{D5CDD505-2E9C-101B-9397-08002B2CF9AE}" pid="46" name="APRAExternalOrganisation">
    <vt:lpwstr/>
  </property>
  <property fmtid="{D5CDD505-2E9C-101B-9397-08002B2CF9AE}" pid="47" name="APRAIRTR">
    <vt:lpwstr/>
  </property>
  <property fmtid="{D5CDD505-2E9C-101B-9397-08002B2CF9AE}" pid="48" name="RecordPoint_WorkflowType">
    <vt:lpwstr>ActiveSubmitStub</vt:lpwstr>
  </property>
  <property fmtid="{D5CDD505-2E9C-101B-9397-08002B2CF9AE}" pid="49" name="RecordPoint_ActiveItemSiteId">
    <vt:lpwstr>{88691c01-5bbb-4215-adc0-66cb7065b0af}</vt:lpwstr>
  </property>
  <property fmtid="{D5CDD505-2E9C-101B-9397-08002B2CF9AE}" pid="50" name="RecordPoint_ActiveItemListId">
    <vt:lpwstr>{0e59e171-09d8-4401-800a-327154450cb3}</vt:lpwstr>
  </property>
  <property fmtid="{D5CDD505-2E9C-101B-9397-08002B2CF9AE}" pid="51" name="RecordPoint_ActiveItemUniqueId">
    <vt:lpwstr>{b34b0c31-7d53-4006-a39b-f391117e1276}</vt:lpwstr>
  </property>
  <property fmtid="{D5CDD505-2E9C-101B-9397-08002B2CF9AE}" pid="52" name="RecordPoint_ActiveItemWebId">
    <vt:lpwstr>{75a71c27-8d66-4282-ae60-1bfc22a83be1}</vt:lpwstr>
  </property>
</Properties>
</file>