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E8C6" w14:textId="44D13D4D" w:rsidR="00090601" w:rsidRPr="004A28DB" w:rsidRDefault="006832A5" w:rsidP="0092015D">
      <w:pPr>
        <w:contextualSpacing/>
        <w:jc w:val="both"/>
        <w:rPr>
          <w:b/>
          <w:bCs/>
          <w:sz w:val="28"/>
          <w:szCs w:val="28"/>
        </w:rPr>
      </w:pPr>
      <w:r w:rsidRPr="004A28DB">
        <w:rPr>
          <w:b/>
          <w:bCs/>
          <w:sz w:val="28"/>
          <w:szCs w:val="28"/>
        </w:rPr>
        <w:t>HEAVY VEHICLE NATIONAL LAW</w:t>
      </w:r>
    </w:p>
    <w:p w14:paraId="1F175F28" w14:textId="00BB4BD6" w:rsidR="004A28DB" w:rsidRPr="004A28DB" w:rsidRDefault="00090601" w:rsidP="0092015D">
      <w:pPr>
        <w:contextualSpacing/>
        <w:jc w:val="both"/>
        <w:rPr>
          <w:b/>
          <w:bCs/>
          <w:sz w:val="28"/>
          <w:szCs w:val="28"/>
        </w:rPr>
      </w:pPr>
      <w:r w:rsidRPr="004A28DB">
        <w:rPr>
          <w:b/>
          <w:bCs/>
          <w:sz w:val="28"/>
          <w:szCs w:val="28"/>
        </w:rPr>
        <w:t>Heavy Vehicle Stated Maps – Amendment Notice 2022 (No.1)</w:t>
      </w:r>
    </w:p>
    <w:p w14:paraId="748C2229" w14:textId="1B7F532D" w:rsidR="004A28DB" w:rsidRDefault="004A28DB" w:rsidP="0092015D">
      <w:pPr>
        <w:pStyle w:val="ListParagraph"/>
        <w:numPr>
          <w:ilvl w:val="0"/>
          <w:numId w:val="1"/>
        </w:numPr>
        <w:jc w:val="both"/>
        <w:rPr>
          <w:b/>
          <w:bCs/>
        </w:rPr>
      </w:pPr>
      <w:r w:rsidRPr="004A28DB">
        <w:rPr>
          <w:b/>
          <w:bCs/>
        </w:rPr>
        <w:t>Purpose</w:t>
      </w:r>
    </w:p>
    <w:p w14:paraId="7EA6B165" w14:textId="77777777" w:rsidR="002056BB" w:rsidRPr="004A28DB" w:rsidRDefault="002056BB" w:rsidP="002056BB">
      <w:pPr>
        <w:pStyle w:val="ListParagraph"/>
        <w:jc w:val="both"/>
        <w:rPr>
          <w:b/>
          <w:bCs/>
        </w:rPr>
      </w:pPr>
    </w:p>
    <w:p w14:paraId="3F078757" w14:textId="37BFF553" w:rsidR="004A28DB" w:rsidRDefault="004A28DB" w:rsidP="0092015D">
      <w:pPr>
        <w:pStyle w:val="ListParagraph"/>
        <w:ind w:left="1080"/>
        <w:jc w:val="both"/>
      </w:pPr>
      <w:r>
        <w:t>The purpose of this Notice is to amend stated maps</w:t>
      </w:r>
      <w:r w:rsidR="00502284">
        <w:t>, routes, and areas</w:t>
      </w:r>
      <w:r>
        <w:t xml:space="preserve"> for </w:t>
      </w:r>
      <w:r w:rsidR="00502284">
        <w:t xml:space="preserve">heavy </w:t>
      </w:r>
      <w:r>
        <w:t xml:space="preserve">vehicles at the request of road managers.   </w:t>
      </w:r>
    </w:p>
    <w:p w14:paraId="73EA09F0" w14:textId="77777777" w:rsidR="004A28DB" w:rsidRDefault="004A28DB" w:rsidP="0092015D">
      <w:pPr>
        <w:pStyle w:val="ListParagraph"/>
        <w:jc w:val="both"/>
        <w:rPr>
          <w:b/>
          <w:bCs/>
        </w:rPr>
      </w:pPr>
    </w:p>
    <w:p w14:paraId="0044D3C9" w14:textId="5BF07DE7" w:rsidR="00090601" w:rsidRDefault="00090601" w:rsidP="002056BB">
      <w:pPr>
        <w:pStyle w:val="ListParagraph"/>
        <w:numPr>
          <w:ilvl w:val="0"/>
          <w:numId w:val="1"/>
        </w:numPr>
        <w:jc w:val="both"/>
        <w:rPr>
          <w:b/>
          <w:bCs/>
        </w:rPr>
      </w:pPr>
      <w:r w:rsidRPr="00090601">
        <w:rPr>
          <w:b/>
          <w:bCs/>
        </w:rPr>
        <w:t>Authorising provision</w:t>
      </w:r>
    </w:p>
    <w:p w14:paraId="341AFDD5" w14:textId="77777777" w:rsidR="002056BB" w:rsidRPr="002056BB" w:rsidRDefault="002056BB" w:rsidP="002056BB">
      <w:pPr>
        <w:pStyle w:val="ListParagraph"/>
        <w:jc w:val="both"/>
        <w:rPr>
          <w:b/>
          <w:bCs/>
        </w:rPr>
      </w:pPr>
    </w:p>
    <w:p w14:paraId="1E151465" w14:textId="10CB56AB" w:rsidR="00090601" w:rsidRDefault="00090601" w:rsidP="0092015D">
      <w:pPr>
        <w:pStyle w:val="ListParagraph"/>
        <w:numPr>
          <w:ilvl w:val="0"/>
          <w:numId w:val="2"/>
        </w:numPr>
        <w:jc w:val="both"/>
      </w:pPr>
      <w:r>
        <w:t xml:space="preserve">This Notice is made under: </w:t>
      </w:r>
    </w:p>
    <w:p w14:paraId="63C8A5C0" w14:textId="77777777" w:rsidR="00090601" w:rsidRDefault="00090601" w:rsidP="0092015D">
      <w:pPr>
        <w:pStyle w:val="ListParagraph"/>
        <w:ind w:left="1080"/>
        <w:jc w:val="both"/>
      </w:pPr>
    </w:p>
    <w:p w14:paraId="29BC24CF" w14:textId="7E5A4839" w:rsidR="00090601" w:rsidRDefault="00090601" w:rsidP="0092015D">
      <w:pPr>
        <w:pStyle w:val="ListParagraph"/>
        <w:numPr>
          <w:ilvl w:val="0"/>
          <w:numId w:val="3"/>
        </w:numPr>
        <w:jc w:val="both"/>
      </w:pPr>
      <w:r>
        <w:t xml:space="preserve">Section 174 of the </w:t>
      </w:r>
      <w:r w:rsidRPr="00D15E80">
        <w:rPr>
          <w:i/>
          <w:iCs/>
        </w:rPr>
        <w:t xml:space="preserve">Heavy Vehicle National Law </w:t>
      </w:r>
      <w:r w:rsidR="00D15E80" w:rsidRPr="00D15E80">
        <w:rPr>
          <w:i/>
          <w:iCs/>
        </w:rPr>
        <w:t>(HVNL)</w:t>
      </w:r>
      <w:r w:rsidR="00D15E80">
        <w:t xml:space="preserve"> </w:t>
      </w:r>
      <w:r>
        <w:t xml:space="preserve">as applied in each participating jurisdiction. </w:t>
      </w:r>
    </w:p>
    <w:p w14:paraId="46CB2788" w14:textId="2E9AA429" w:rsidR="00090601" w:rsidRDefault="00090601" w:rsidP="0092015D">
      <w:pPr>
        <w:pStyle w:val="ListParagraph"/>
        <w:numPr>
          <w:ilvl w:val="0"/>
          <w:numId w:val="3"/>
        </w:numPr>
        <w:jc w:val="both"/>
      </w:pPr>
      <w:r>
        <w:t xml:space="preserve">Section 18 of the </w:t>
      </w:r>
      <w:r w:rsidRPr="00D15E80">
        <w:rPr>
          <w:i/>
          <w:iCs/>
        </w:rPr>
        <w:t>Heavy Vehicle National (Mass, Dimension and Loading) National Regulation</w:t>
      </w:r>
      <w:r w:rsidR="00A84BBD">
        <w:rPr>
          <w:i/>
          <w:iCs/>
        </w:rPr>
        <w:t xml:space="preserve"> (HV(MDLR)NR)</w:t>
      </w:r>
      <w:r w:rsidR="00D15E80" w:rsidRPr="00D15E80">
        <w:rPr>
          <w:i/>
          <w:iCs/>
        </w:rPr>
        <w:t>.</w:t>
      </w:r>
      <w:r>
        <w:t xml:space="preserve"> </w:t>
      </w:r>
    </w:p>
    <w:p w14:paraId="1CC91E95" w14:textId="77777777" w:rsidR="0092015D" w:rsidRDefault="0092015D" w:rsidP="0092015D">
      <w:pPr>
        <w:pStyle w:val="ListParagraph"/>
        <w:ind w:left="1440"/>
        <w:jc w:val="both"/>
      </w:pPr>
    </w:p>
    <w:p w14:paraId="71846F33" w14:textId="3F5B96C9" w:rsidR="00090601" w:rsidRDefault="00090601" w:rsidP="0092015D">
      <w:pPr>
        <w:pStyle w:val="ListParagraph"/>
        <w:numPr>
          <w:ilvl w:val="0"/>
          <w:numId w:val="1"/>
        </w:numPr>
        <w:jc w:val="both"/>
        <w:rPr>
          <w:b/>
          <w:bCs/>
        </w:rPr>
      </w:pPr>
      <w:r w:rsidRPr="004A28DB">
        <w:rPr>
          <w:b/>
          <w:bCs/>
        </w:rPr>
        <w:t>Commencement date</w:t>
      </w:r>
    </w:p>
    <w:p w14:paraId="37B48579" w14:textId="77777777" w:rsidR="002056BB" w:rsidRPr="004A28DB" w:rsidRDefault="002056BB" w:rsidP="002056BB">
      <w:pPr>
        <w:pStyle w:val="ListParagraph"/>
        <w:jc w:val="both"/>
        <w:rPr>
          <w:b/>
          <w:bCs/>
        </w:rPr>
      </w:pPr>
    </w:p>
    <w:p w14:paraId="20FBE4B9" w14:textId="00F7D965" w:rsidR="0092015D" w:rsidRDefault="00090601" w:rsidP="0092015D">
      <w:pPr>
        <w:pStyle w:val="ListParagraph"/>
        <w:ind w:left="1080"/>
        <w:jc w:val="both"/>
      </w:pPr>
      <w:r>
        <w:t xml:space="preserve">The amendments take effect 28 days after publication of </w:t>
      </w:r>
      <w:r w:rsidR="007E3765">
        <w:t>this Notice</w:t>
      </w:r>
      <w:r w:rsidR="002056BB">
        <w:t>.</w:t>
      </w:r>
    </w:p>
    <w:p w14:paraId="70181BB3" w14:textId="77777777" w:rsidR="0092015D" w:rsidRDefault="0092015D" w:rsidP="0092015D">
      <w:pPr>
        <w:pStyle w:val="ListParagraph"/>
        <w:ind w:left="1080"/>
        <w:jc w:val="both"/>
      </w:pPr>
    </w:p>
    <w:p w14:paraId="39C038BD" w14:textId="0A8891F9" w:rsidR="00090601" w:rsidRDefault="00090601" w:rsidP="0092015D">
      <w:pPr>
        <w:pStyle w:val="ListParagraph"/>
        <w:numPr>
          <w:ilvl w:val="0"/>
          <w:numId w:val="1"/>
        </w:numPr>
        <w:jc w:val="both"/>
        <w:rPr>
          <w:b/>
          <w:bCs/>
        </w:rPr>
      </w:pPr>
      <w:r w:rsidRPr="004A28DB">
        <w:rPr>
          <w:b/>
          <w:bCs/>
        </w:rPr>
        <w:t>Title</w:t>
      </w:r>
    </w:p>
    <w:p w14:paraId="3454BCC6" w14:textId="77777777" w:rsidR="002056BB" w:rsidRPr="004A28DB" w:rsidRDefault="002056BB" w:rsidP="002056BB">
      <w:pPr>
        <w:pStyle w:val="ListParagraph"/>
        <w:jc w:val="both"/>
        <w:rPr>
          <w:b/>
          <w:bCs/>
        </w:rPr>
      </w:pPr>
    </w:p>
    <w:p w14:paraId="1E4D7E22" w14:textId="67EB8575" w:rsidR="00090601" w:rsidRDefault="00090601" w:rsidP="0092015D">
      <w:pPr>
        <w:pStyle w:val="ListParagraph"/>
        <w:ind w:left="1080"/>
        <w:jc w:val="both"/>
        <w:rPr>
          <w:i/>
          <w:iCs/>
        </w:rPr>
      </w:pPr>
      <w:r>
        <w:t xml:space="preserve">This Notice may be cited as the </w:t>
      </w:r>
      <w:r w:rsidRPr="000200C1">
        <w:rPr>
          <w:i/>
          <w:iCs/>
        </w:rPr>
        <w:t>Heavy Vehicle Stated Maps – Amendment Notice 2022 (No.1)</w:t>
      </w:r>
      <w:r w:rsidR="000200C1">
        <w:rPr>
          <w:i/>
          <w:iCs/>
        </w:rPr>
        <w:t>.</w:t>
      </w:r>
    </w:p>
    <w:p w14:paraId="516BB4D7" w14:textId="77777777" w:rsidR="0092015D" w:rsidRDefault="0092015D" w:rsidP="0092015D">
      <w:pPr>
        <w:pStyle w:val="ListParagraph"/>
        <w:ind w:left="1080"/>
        <w:jc w:val="both"/>
      </w:pPr>
    </w:p>
    <w:p w14:paraId="1DECAAA2" w14:textId="31DABE10" w:rsidR="00090601" w:rsidRDefault="00090601" w:rsidP="0092015D">
      <w:pPr>
        <w:pStyle w:val="ListParagraph"/>
        <w:numPr>
          <w:ilvl w:val="0"/>
          <w:numId w:val="1"/>
        </w:numPr>
        <w:jc w:val="both"/>
        <w:rPr>
          <w:b/>
          <w:bCs/>
        </w:rPr>
      </w:pPr>
      <w:r w:rsidRPr="000200C1">
        <w:rPr>
          <w:b/>
          <w:bCs/>
        </w:rPr>
        <w:t>Application</w:t>
      </w:r>
    </w:p>
    <w:p w14:paraId="2FBA4641" w14:textId="77777777" w:rsidR="002056BB" w:rsidRPr="000200C1" w:rsidRDefault="002056BB" w:rsidP="002056BB">
      <w:pPr>
        <w:pStyle w:val="ListParagraph"/>
        <w:jc w:val="both"/>
        <w:rPr>
          <w:b/>
          <w:bCs/>
        </w:rPr>
      </w:pPr>
    </w:p>
    <w:p w14:paraId="1B5AB8E2" w14:textId="2C05860E" w:rsidR="00090601" w:rsidRDefault="00090601" w:rsidP="0092015D">
      <w:pPr>
        <w:pStyle w:val="ListParagraph"/>
        <w:ind w:left="1080"/>
        <w:jc w:val="both"/>
      </w:pPr>
      <w:r>
        <w:t xml:space="preserve">This Notice applies </w:t>
      </w:r>
      <w:r w:rsidR="000200C1">
        <w:t>to the amended networks</w:t>
      </w:r>
      <w:r w:rsidR="005A58E1">
        <w:t xml:space="preserve"> routes or areas</w:t>
      </w:r>
      <w:r w:rsidR="000200C1">
        <w:t xml:space="preserve"> set out in Schedule 1.</w:t>
      </w:r>
      <w:r>
        <w:t xml:space="preserve">  </w:t>
      </w:r>
    </w:p>
    <w:p w14:paraId="6AF49AC7" w14:textId="77777777" w:rsidR="0092015D" w:rsidRDefault="0092015D" w:rsidP="0092015D">
      <w:pPr>
        <w:pStyle w:val="ListParagraph"/>
        <w:ind w:left="1080"/>
        <w:jc w:val="both"/>
      </w:pPr>
    </w:p>
    <w:p w14:paraId="02737A24" w14:textId="1825E84F" w:rsidR="00090601" w:rsidRDefault="00090601" w:rsidP="0092015D">
      <w:pPr>
        <w:pStyle w:val="ListParagraph"/>
        <w:numPr>
          <w:ilvl w:val="0"/>
          <w:numId w:val="1"/>
        </w:numPr>
        <w:jc w:val="both"/>
        <w:rPr>
          <w:b/>
          <w:bCs/>
        </w:rPr>
      </w:pPr>
      <w:r w:rsidRPr="004F7A6F">
        <w:rPr>
          <w:b/>
          <w:bCs/>
        </w:rPr>
        <w:t>Amendments</w:t>
      </w:r>
    </w:p>
    <w:p w14:paraId="014DD720" w14:textId="77777777" w:rsidR="002056BB" w:rsidRPr="004F7A6F" w:rsidRDefault="002056BB" w:rsidP="002056BB">
      <w:pPr>
        <w:pStyle w:val="ListParagraph"/>
        <w:jc w:val="both"/>
        <w:rPr>
          <w:b/>
          <w:bCs/>
        </w:rPr>
      </w:pPr>
    </w:p>
    <w:p w14:paraId="232167DC" w14:textId="2403CA81" w:rsidR="00090601" w:rsidRDefault="00F17E24" w:rsidP="0092015D">
      <w:pPr>
        <w:pStyle w:val="ListParagraph"/>
        <w:ind w:left="1080"/>
        <w:jc w:val="both"/>
      </w:pPr>
      <w:r>
        <w:t>A</w:t>
      </w:r>
      <w:r w:rsidR="00090601">
        <w:t xml:space="preserve"> network</w:t>
      </w:r>
      <w:r w:rsidR="005A58E1">
        <w:t xml:space="preserve"> route or area</w:t>
      </w:r>
      <w:r w:rsidR="00090601">
        <w:t xml:space="preserve"> </w:t>
      </w:r>
      <w:r>
        <w:t xml:space="preserve">stated </w:t>
      </w:r>
      <w:r w:rsidR="00090601">
        <w:t xml:space="preserve">in Column 2 of Schedule 1 to this Notice </w:t>
      </w:r>
      <w:r>
        <w:t>is</w:t>
      </w:r>
      <w:r w:rsidR="00090601">
        <w:t xml:space="preserve"> amended as specified in Column 4 for the Road Manager’s reasons </w:t>
      </w:r>
      <w:r>
        <w:t>given</w:t>
      </w:r>
      <w:r w:rsidR="00090601">
        <w:t xml:space="preserve"> in Column 5.</w:t>
      </w:r>
    </w:p>
    <w:p w14:paraId="539A1FEA" w14:textId="77777777" w:rsidR="00090601" w:rsidRDefault="00090601" w:rsidP="0092015D">
      <w:pPr>
        <w:contextualSpacing/>
        <w:jc w:val="both"/>
      </w:pPr>
    </w:p>
    <w:p w14:paraId="05103ED3" w14:textId="77777777" w:rsidR="004F7A6F" w:rsidRDefault="004F7A6F" w:rsidP="0092015D">
      <w:pPr>
        <w:contextualSpacing/>
        <w:jc w:val="both"/>
        <w:rPr>
          <w:b/>
          <w:bCs/>
        </w:rPr>
      </w:pPr>
    </w:p>
    <w:p w14:paraId="5AC73F4E" w14:textId="7DB432DD" w:rsidR="00090601" w:rsidRPr="004F7A6F" w:rsidRDefault="00090601" w:rsidP="00426F39">
      <w:pPr>
        <w:ind w:left="720"/>
        <w:contextualSpacing/>
        <w:jc w:val="both"/>
        <w:rPr>
          <w:b/>
          <w:bCs/>
        </w:rPr>
      </w:pPr>
      <w:r w:rsidRPr="004F7A6F">
        <w:rPr>
          <w:b/>
          <w:bCs/>
        </w:rPr>
        <w:t>Dated: 28 April 2022</w:t>
      </w:r>
    </w:p>
    <w:p w14:paraId="28D4715F" w14:textId="77777777" w:rsidR="00090601" w:rsidRDefault="00090601" w:rsidP="00426F39">
      <w:pPr>
        <w:ind w:left="720"/>
        <w:contextualSpacing/>
        <w:jc w:val="both"/>
      </w:pPr>
    </w:p>
    <w:p w14:paraId="790E21C6" w14:textId="77777777" w:rsidR="00090601" w:rsidRDefault="00090601" w:rsidP="00426F39">
      <w:pPr>
        <w:ind w:left="720"/>
        <w:contextualSpacing/>
        <w:jc w:val="both"/>
      </w:pPr>
      <w:r>
        <w:t>Jose Arredondo</w:t>
      </w:r>
    </w:p>
    <w:p w14:paraId="2E32A816" w14:textId="77777777" w:rsidR="00090601" w:rsidRPr="004F7A6F" w:rsidRDefault="00090601" w:rsidP="00426F39">
      <w:pPr>
        <w:ind w:left="720"/>
        <w:contextualSpacing/>
        <w:jc w:val="both"/>
        <w:rPr>
          <w:i/>
          <w:iCs/>
        </w:rPr>
      </w:pPr>
      <w:r w:rsidRPr="004F7A6F">
        <w:rPr>
          <w:i/>
          <w:iCs/>
        </w:rPr>
        <w:t>Manager Network Access Policy</w:t>
      </w:r>
    </w:p>
    <w:p w14:paraId="4E11C93F" w14:textId="5B46E5EA" w:rsidR="00784520" w:rsidRDefault="00090601" w:rsidP="00426F39">
      <w:pPr>
        <w:ind w:left="720"/>
        <w:contextualSpacing/>
        <w:jc w:val="both"/>
        <w:rPr>
          <w:b/>
          <w:bCs/>
        </w:rPr>
      </w:pPr>
      <w:r w:rsidRPr="004F7A6F">
        <w:rPr>
          <w:b/>
          <w:bCs/>
        </w:rPr>
        <w:t>National Heavy Vehicle Regulator</w:t>
      </w:r>
    </w:p>
    <w:p w14:paraId="49EF23DD" w14:textId="763FB7AA" w:rsidR="004F7A6F" w:rsidRDefault="004F7A6F" w:rsidP="00090601">
      <w:pPr>
        <w:contextualSpacing/>
        <w:rPr>
          <w:b/>
          <w:bCs/>
        </w:rPr>
      </w:pPr>
    </w:p>
    <w:p w14:paraId="0575E18F" w14:textId="165AD48A" w:rsidR="004F7A6F" w:rsidRDefault="004F7A6F">
      <w:pPr>
        <w:rPr>
          <w:b/>
          <w:bCs/>
        </w:rPr>
      </w:pPr>
      <w:r>
        <w:rPr>
          <w:b/>
          <w:bCs/>
        </w:rPr>
        <w:br w:type="page"/>
      </w:r>
    </w:p>
    <w:p w14:paraId="09A74479" w14:textId="4E28AB11" w:rsidR="00E81737" w:rsidRDefault="004F7A6F" w:rsidP="00090601">
      <w:pPr>
        <w:contextualSpacing/>
        <w:rPr>
          <w:b/>
          <w:bCs/>
        </w:rPr>
      </w:pPr>
      <w:r>
        <w:rPr>
          <w:b/>
          <w:bCs/>
        </w:rPr>
        <w:lastRenderedPageBreak/>
        <w:t>Schedule 1: Table of am</w:t>
      </w:r>
      <w:r w:rsidR="00E81737">
        <w:rPr>
          <w:b/>
          <w:bCs/>
        </w:rPr>
        <w:t>ended networks</w:t>
      </w:r>
      <w:r w:rsidR="005A58E1">
        <w:rPr>
          <w:b/>
          <w:bCs/>
        </w:rPr>
        <w:t xml:space="preserve">, </w:t>
      </w:r>
      <w:r w:rsidR="0092015D">
        <w:rPr>
          <w:b/>
          <w:bCs/>
        </w:rPr>
        <w:t>routes,</w:t>
      </w:r>
      <w:r w:rsidR="005A58E1">
        <w:rPr>
          <w:b/>
          <w:bCs/>
        </w:rPr>
        <w:t xml:space="preserve"> or areas</w:t>
      </w:r>
    </w:p>
    <w:tbl>
      <w:tblPr>
        <w:tblStyle w:val="TableGrid"/>
        <w:tblW w:w="0" w:type="auto"/>
        <w:tblLook w:val="04A0" w:firstRow="1" w:lastRow="0" w:firstColumn="1" w:lastColumn="0" w:noHBand="0" w:noVBand="1"/>
        <w:tblCaption w:val="Schedule 1: Table of amended networks, routes, or areas"/>
        <w:tblDescription w:val="This table contains details of the network, route and area amendments made under this Notice."/>
      </w:tblPr>
      <w:tblGrid>
        <w:gridCol w:w="1413"/>
        <w:gridCol w:w="1984"/>
        <w:gridCol w:w="1134"/>
        <w:gridCol w:w="2242"/>
        <w:gridCol w:w="2243"/>
      </w:tblGrid>
      <w:tr w:rsidR="00D3145A" w:rsidRPr="00D3145A" w14:paraId="792621E8" w14:textId="77777777" w:rsidTr="00003A4F">
        <w:trPr>
          <w:trHeight w:val="806"/>
          <w:tblHeader/>
        </w:trPr>
        <w:tc>
          <w:tcPr>
            <w:tcW w:w="1413" w:type="dxa"/>
            <w:vAlign w:val="center"/>
          </w:tcPr>
          <w:p w14:paraId="48F42F93" w14:textId="77777777" w:rsidR="00D3145A" w:rsidRPr="00D3145A" w:rsidRDefault="00D3145A" w:rsidP="00FD445F">
            <w:pPr>
              <w:contextualSpacing/>
              <w:jc w:val="center"/>
              <w:rPr>
                <w:b/>
                <w:bCs/>
                <w:sz w:val="18"/>
                <w:szCs w:val="18"/>
              </w:rPr>
            </w:pPr>
            <w:r w:rsidRPr="00D3145A">
              <w:rPr>
                <w:b/>
                <w:bCs/>
                <w:sz w:val="18"/>
                <w:szCs w:val="18"/>
              </w:rPr>
              <w:t>Column 1</w:t>
            </w:r>
          </w:p>
          <w:p w14:paraId="0206EF96" w14:textId="5AD201A7" w:rsidR="00D3145A" w:rsidRPr="00D3145A" w:rsidRDefault="00D3145A" w:rsidP="00A84BBD">
            <w:pPr>
              <w:contextualSpacing/>
              <w:jc w:val="center"/>
              <w:rPr>
                <w:b/>
                <w:bCs/>
                <w:sz w:val="18"/>
                <w:szCs w:val="18"/>
              </w:rPr>
            </w:pPr>
            <w:r w:rsidRPr="00D3145A">
              <w:rPr>
                <w:b/>
                <w:bCs/>
                <w:sz w:val="18"/>
                <w:szCs w:val="18"/>
              </w:rPr>
              <w:t>Authorising Provision</w:t>
            </w:r>
          </w:p>
        </w:tc>
        <w:tc>
          <w:tcPr>
            <w:tcW w:w="1984" w:type="dxa"/>
            <w:vAlign w:val="center"/>
          </w:tcPr>
          <w:p w14:paraId="0ADC3CC0" w14:textId="77777777" w:rsidR="00D3145A" w:rsidRPr="00D3145A" w:rsidRDefault="00D3145A" w:rsidP="00FD445F">
            <w:pPr>
              <w:contextualSpacing/>
              <w:jc w:val="center"/>
              <w:rPr>
                <w:b/>
                <w:bCs/>
                <w:sz w:val="18"/>
                <w:szCs w:val="18"/>
              </w:rPr>
            </w:pPr>
            <w:r w:rsidRPr="00D3145A">
              <w:rPr>
                <w:b/>
                <w:bCs/>
                <w:sz w:val="18"/>
                <w:szCs w:val="18"/>
              </w:rPr>
              <w:t>Column 2</w:t>
            </w:r>
          </w:p>
          <w:p w14:paraId="5F21F235" w14:textId="3E1335DE" w:rsidR="00D3145A" w:rsidRPr="00D3145A" w:rsidRDefault="00D3145A" w:rsidP="00FD445F">
            <w:pPr>
              <w:contextualSpacing/>
              <w:jc w:val="center"/>
              <w:rPr>
                <w:b/>
                <w:bCs/>
                <w:sz w:val="18"/>
                <w:szCs w:val="18"/>
              </w:rPr>
            </w:pPr>
            <w:r w:rsidRPr="00D3145A">
              <w:rPr>
                <w:b/>
                <w:bCs/>
                <w:sz w:val="18"/>
                <w:szCs w:val="18"/>
              </w:rPr>
              <w:t>Network, Route, or Area</w:t>
            </w:r>
          </w:p>
        </w:tc>
        <w:tc>
          <w:tcPr>
            <w:tcW w:w="1134" w:type="dxa"/>
            <w:vAlign w:val="center"/>
          </w:tcPr>
          <w:p w14:paraId="4097E45E" w14:textId="77777777" w:rsidR="00D3145A" w:rsidRPr="00D3145A" w:rsidRDefault="00D3145A" w:rsidP="00FD445F">
            <w:pPr>
              <w:contextualSpacing/>
              <w:jc w:val="center"/>
              <w:rPr>
                <w:b/>
                <w:bCs/>
                <w:sz w:val="18"/>
                <w:szCs w:val="18"/>
              </w:rPr>
            </w:pPr>
            <w:r w:rsidRPr="00D3145A">
              <w:rPr>
                <w:b/>
                <w:bCs/>
                <w:sz w:val="18"/>
                <w:szCs w:val="18"/>
              </w:rPr>
              <w:t>Column 3</w:t>
            </w:r>
          </w:p>
          <w:p w14:paraId="3455B53F" w14:textId="1E20BAD9" w:rsidR="00D3145A" w:rsidRPr="00D3145A" w:rsidRDefault="00D3145A" w:rsidP="00FD445F">
            <w:pPr>
              <w:contextualSpacing/>
              <w:jc w:val="center"/>
              <w:rPr>
                <w:b/>
                <w:bCs/>
                <w:sz w:val="18"/>
                <w:szCs w:val="18"/>
              </w:rPr>
            </w:pPr>
            <w:r w:rsidRPr="00D3145A">
              <w:rPr>
                <w:b/>
                <w:bCs/>
                <w:sz w:val="18"/>
                <w:szCs w:val="18"/>
              </w:rPr>
              <w:t>Road Manager</w:t>
            </w:r>
          </w:p>
        </w:tc>
        <w:tc>
          <w:tcPr>
            <w:tcW w:w="2242" w:type="dxa"/>
            <w:vAlign w:val="center"/>
          </w:tcPr>
          <w:p w14:paraId="32187140" w14:textId="77777777" w:rsidR="00D3145A" w:rsidRPr="00D3145A" w:rsidRDefault="00D3145A" w:rsidP="00FD445F">
            <w:pPr>
              <w:contextualSpacing/>
              <w:jc w:val="center"/>
              <w:rPr>
                <w:b/>
                <w:bCs/>
                <w:sz w:val="18"/>
                <w:szCs w:val="18"/>
              </w:rPr>
            </w:pPr>
            <w:r w:rsidRPr="00D3145A">
              <w:rPr>
                <w:b/>
                <w:bCs/>
                <w:sz w:val="18"/>
                <w:szCs w:val="18"/>
              </w:rPr>
              <w:t>Column 4</w:t>
            </w:r>
          </w:p>
          <w:p w14:paraId="57170222" w14:textId="6EBD63B6" w:rsidR="00D3145A" w:rsidRPr="00D3145A" w:rsidRDefault="00D3145A" w:rsidP="00FD445F">
            <w:pPr>
              <w:contextualSpacing/>
              <w:jc w:val="center"/>
              <w:rPr>
                <w:b/>
                <w:bCs/>
                <w:sz w:val="18"/>
                <w:szCs w:val="18"/>
              </w:rPr>
            </w:pPr>
            <w:r w:rsidRPr="00D3145A">
              <w:rPr>
                <w:b/>
                <w:bCs/>
                <w:sz w:val="18"/>
                <w:szCs w:val="18"/>
              </w:rPr>
              <w:t>Amendment</w:t>
            </w:r>
          </w:p>
        </w:tc>
        <w:tc>
          <w:tcPr>
            <w:tcW w:w="2243" w:type="dxa"/>
            <w:vAlign w:val="center"/>
          </w:tcPr>
          <w:p w14:paraId="3C492196" w14:textId="77777777" w:rsidR="00D3145A" w:rsidRPr="00D3145A" w:rsidRDefault="00D3145A" w:rsidP="00FD445F">
            <w:pPr>
              <w:contextualSpacing/>
              <w:jc w:val="center"/>
              <w:rPr>
                <w:b/>
                <w:bCs/>
                <w:sz w:val="18"/>
                <w:szCs w:val="18"/>
              </w:rPr>
            </w:pPr>
            <w:r w:rsidRPr="00D3145A">
              <w:rPr>
                <w:b/>
                <w:bCs/>
                <w:sz w:val="18"/>
                <w:szCs w:val="18"/>
              </w:rPr>
              <w:t>Column 5</w:t>
            </w:r>
          </w:p>
          <w:p w14:paraId="28B9C0CC" w14:textId="5C9A53FD" w:rsidR="00D3145A" w:rsidRPr="00D3145A" w:rsidRDefault="00D3145A" w:rsidP="00FD445F">
            <w:pPr>
              <w:contextualSpacing/>
              <w:jc w:val="center"/>
              <w:rPr>
                <w:b/>
                <w:bCs/>
                <w:sz w:val="18"/>
                <w:szCs w:val="18"/>
              </w:rPr>
            </w:pPr>
            <w:r w:rsidRPr="00D3145A">
              <w:rPr>
                <w:b/>
                <w:bCs/>
                <w:sz w:val="18"/>
                <w:szCs w:val="18"/>
              </w:rPr>
              <w:t>Reason</w:t>
            </w:r>
          </w:p>
        </w:tc>
      </w:tr>
      <w:tr w:rsidR="00E90C52" w:rsidRPr="00064ED7" w14:paraId="07686516" w14:textId="77777777" w:rsidTr="00E90C52">
        <w:tc>
          <w:tcPr>
            <w:tcW w:w="1413" w:type="dxa"/>
            <w:vAlign w:val="center"/>
          </w:tcPr>
          <w:p w14:paraId="3285E20D" w14:textId="1D507A84" w:rsidR="00064ED7" w:rsidRPr="00064ED7" w:rsidRDefault="00064ED7" w:rsidP="0069400B">
            <w:pPr>
              <w:contextualSpacing/>
              <w:jc w:val="center"/>
              <w:rPr>
                <w:rFonts w:cstheme="minorHAnsi"/>
                <w:sz w:val="18"/>
                <w:szCs w:val="18"/>
              </w:rPr>
            </w:pPr>
            <w:r>
              <w:rPr>
                <w:rFonts w:cstheme="minorHAnsi"/>
                <w:sz w:val="18"/>
                <w:szCs w:val="18"/>
              </w:rPr>
              <w:t>s</w:t>
            </w:r>
            <w:r w:rsidRPr="00064ED7">
              <w:rPr>
                <w:rFonts w:cstheme="minorHAnsi"/>
                <w:sz w:val="18"/>
                <w:szCs w:val="18"/>
              </w:rPr>
              <w:t>174 HVNL</w:t>
            </w:r>
          </w:p>
        </w:tc>
        <w:tc>
          <w:tcPr>
            <w:tcW w:w="1984" w:type="dxa"/>
            <w:vAlign w:val="center"/>
          </w:tcPr>
          <w:p w14:paraId="259FB8A8" w14:textId="77777777" w:rsidR="00DF6F42" w:rsidRPr="00DF6F42" w:rsidRDefault="00DF6F42" w:rsidP="002247D5">
            <w:pPr>
              <w:contextualSpacing/>
              <w:rPr>
                <w:rFonts w:cstheme="minorHAnsi"/>
                <w:sz w:val="18"/>
                <w:szCs w:val="18"/>
              </w:rPr>
            </w:pPr>
            <w:r w:rsidRPr="00DF6F42">
              <w:rPr>
                <w:rFonts w:cstheme="minorHAnsi"/>
                <w:sz w:val="18"/>
                <w:szCs w:val="18"/>
              </w:rPr>
              <w:t>New South Wales</w:t>
            </w:r>
          </w:p>
          <w:p w14:paraId="553DD614" w14:textId="7B7BC7B7" w:rsidR="00E81737" w:rsidRPr="00064ED7" w:rsidRDefault="00DF6F42" w:rsidP="002247D5">
            <w:pPr>
              <w:contextualSpacing/>
              <w:rPr>
                <w:rFonts w:cstheme="minorHAnsi"/>
                <w:sz w:val="18"/>
                <w:szCs w:val="18"/>
              </w:rPr>
            </w:pPr>
            <w:r w:rsidRPr="00DF6F42">
              <w:rPr>
                <w:rFonts w:cstheme="minorHAnsi"/>
                <w:sz w:val="18"/>
                <w:szCs w:val="18"/>
              </w:rPr>
              <w:t>PBS Level 1 Network</w:t>
            </w:r>
          </w:p>
        </w:tc>
        <w:tc>
          <w:tcPr>
            <w:tcW w:w="1134" w:type="dxa"/>
            <w:vAlign w:val="center"/>
          </w:tcPr>
          <w:p w14:paraId="404A9070" w14:textId="0F53751B" w:rsidR="00E81737" w:rsidRPr="00064ED7" w:rsidRDefault="00BC799E" w:rsidP="002247D5">
            <w:pPr>
              <w:contextualSpacing/>
              <w:jc w:val="center"/>
              <w:rPr>
                <w:rFonts w:cstheme="minorHAnsi"/>
                <w:sz w:val="18"/>
                <w:szCs w:val="18"/>
              </w:rPr>
            </w:pPr>
            <w:r w:rsidRPr="002247D5">
              <w:rPr>
                <w:rFonts w:cstheme="minorHAnsi"/>
                <w:sz w:val="18"/>
                <w:szCs w:val="18"/>
              </w:rPr>
              <w:t>Leppington</w:t>
            </w:r>
          </w:p>
        </w:tc>
        <w:tc>
          <w:tcPr>
            <w:tcW w:w="2242" w:type="dxa"/>
          </w:tcPr>
          <w:p w14:paraId="4AA97502" w14:textId="77777777" w:rsidR="00E90C52" w:rsidRPr="00E90C52" w:rsidRDefault="00E90C52" w:rsidP="00E90C52">
            <w:pPr>
              <w:contextualSpacing/>
              <w:rPr>
                <w:rFonts w:cstheme="minorHAnsi"/>
                <w:sz w:val="18"/>
                <w:szCs w:val="18"/>
              </w:rPr>
            </w:pPr>
            <w:r w:rsidRPr="00E90C52">
              <w:rPr>
                <w:rFonts w:cstheme="minorHAnsi"/>
                <w:sz w:val="18"/>
                <w:szCs w:val="18"/>
              </w:rPr>
              <w:t>Remove the following road:</w:t>
            </w:r>
          </w:p>
          <w:p w14:paraId="69956D2D" w14:textId="77777777" w:rsidR="00E90C52" w:rsidRDefault="00E90C52" w:rsidP="00E90C52">
            <w:pPr>
              <w:contextualSpacing/>
              <w:rPr>
                <w:rFonts w:cstheme="minorHAnsi"/>
                <w:sz w:val="18"/>
                <w:szCs w:val="18"/>
              </w:rPr>
            </w:pPr>
          </w:p>
          <w:p w14:paraId="0793E3FF" w14:textId="3A9B0ED9" w:rsidR="00E81737" w:rsidRPr="00064ED7" w:rsidRDefault="00E90C52" w:rsidP="00E90C52">
            <w:pPr>
              <w:contextualSpacing/>
              <w:rPr>
                <w:rFonts w:cstheme="minorHAnsi"/>
                <w:sz w:val="18"/>
                <w:szCs w:val="18"/>
              </w:rPr>
            </w:pPr>
            <w:r w:rsidRPr="00E90C52">
              <w:rPr>
                <w:rFonts w:cstheme="minorHAnsi"/>
                <w:sz w:val="18"/>
                <w:szCs w:val="18"/>
              </w:rPr>
              <w:t>Raby Road, Leppington (from Camden Valley Way to Camden Council Boundary)</w:t>
            </w:r>
          </w:p>
        </w:tc>
        <w:tc>
          <w:tcPr>
            <w:tcW w:w="2243" w:type="dxa"/>
          </w:tcPr>
          <w:p w14:paraId="015248E2" w14:textId="77777777" w:rsidR="006318B6" w:rsidRPr="006318B6" w:rsidRDefault="006318B6" w:rsidP="006318B6">
            <w:pPr>
              <w:contextualSpacing/>
              <w:rPr>
                <w:rFonts w:cstheme="minorHAnsi"/>
                <w:sz w:val="18"/>
                <w:szCs w:val="18"/>
              </w:rPr>
            </w:pPr>
            <w:r w:rsidRPr="006318B6">
              <w:rPr>
                <w:rFonts w:cstheme="minorHAnsi"/>
                <w:sz w:val="18"/>
                <w:szCs w:val="18"/>
              </w:rPr>
              <w:t xml:space="preserve">Desktop assessments have indicated that the existing bridge on Raby Road (-34.000854, 150.793362) over the Sydney canal is in poor conditions and will require a detailed structural assessment. </w:t>
            </w:r>
          </w:p>
          <w:p w14:paraId="4CC2B1EF" w14:textId="77777777" w:rsidR="006318B6" w:rsidRPr="006318B6" w:rsidRDefault="006318B6" w:rsidP="006318B6">
            <w:pPr>
              <w:contextualSpacing/>
              <w:rPr>
                <w:rFonts w:cstheme="minorHAnsi"/>
                <w:sz w:val="18"/>
                <w:szCs w:val="18"/>
              </w:rPr>
            </w:pPr>
          </w:p>
          <w:p w14:paraId="4F9E4FCE" w14:textId="643101A1" w:rsidR="00E81737" w:rsidRPr="00064ED7" w:rsidRDefault="006318B6" w:rsidP="006318B6">
            <w:pPr>
              <w:contextualSpacing/>
              <w:rPr>
                <w:rFonts w:cstheme="minorHAnsi"/>
                <w:sz w:val="18"/>
                <w:szCs w:val="18"/>
              </w:rPr>
            </w:pPr>
            <w:r w:rsidRPr="006318B6">
              <w:rPr>
                <w:rFonts w:cstheme="minorHAnsi"/>
                <w:sz w:val="18"/>
                <w:szCs w:val="18"/>
              </w:rPr>
              <w:t xml:space="preserve">Until, the assessment is complete and appropriate upgrades are carried out, Council considers that giving access to restricted vehicles is likely to result in significant damage to road infrastructure, presenting an unacceptable risk to the public with regards to road safety.  </w:t>
            </w:r>
          </w:p>
        </w:tc>
      </w:tr>
      <w:tr w:rsidR="00E90C52" w:rsidRPr="00064ED7" w14:paraId="3A410EB3" w14:textId="77777777" w:rsidTr="00E90C52">
        <w:tc>
          <w:tcPr>
            <w:tcW w:w="1413" w:type="dxa"/>
            <w:vAlign w:val="center"/>
          </w:tcPr>
          <w:p w14:paraId="709F1C6A" w14:textId="77777777" w:rsidR="005D7A26" w:rsidRDefault="005D7A26" w:rsidP="00271348">
            <w:pPr>
              <w:contextualSpacing/>
              <w:jc w:val="center"/>
              <w:rPr>
                <w:rFonts w:cstheme="minorHAnsi"/>
                <w:sz w:val="18"/>
                <w:szCs w:val="18"/>
              </w:rPr>
            </w:pPr>
            <w:r>
              <w:rPr>
                <w:rFonts w:cstheme="minorHAnsi"/>
                <w:sz w:val="18"/>
                <w:szCs w:val="18"/>
              </w:rPr>
              <w:t>s</w:t>
            </w:r>
            <w:r w:rsidRPr="00064ED7">
              <w:rPr>
                <w:rFonts w:cstheme="minorHAnsi"/>
                <w:sz w:val="18"/>
                <w:szCs w:val="18"/>
              </w:rPr>
              <w:t>174 HVNL</w:t>
            </w:r>
          </w:p>
          <w:p w14:paraId="4AFAA8E6" w14:textId="2311F2B0" w:rsidR="00E81737" w:rsidRPr="00064ED7" w:rsidRDefault="005D7A26" w:rsidP="00271348">
            <w:pPr>
              <w:contextualSpacing/>
              <w:jc w:val="center"/>
              <w:rPr>
                <w:rFonts w:cstheme="minorHAnsi"/>
                <w:sz w:val="18"/>
                <w:szCs w:val="18"/>
              </w:rPr>
            </w:pPr>
            <w:r>
              <w:rPr>
                <w:rFonts w:cstheme="minorHAnsi"/>
                <w:sz w:val="18"/>
                <w:szCs w:val="18"/>
              </w:rPr>
              <w:t>s18 HV(MDL)NR</w:t>
            </w:r>
          </w:p>
        </w:tc>
        <w:tc>
          <w:tcPr>
            <w:tcW w:w="1984" w:type="dxa"/>
            <w:vAlign w:val="center"/>
          </w:tcPr>
          <w:p w14:paraId="590AF18D" w14:textId="77777777" w:rsidR="004C78BC" w:rsidRPr="004C78BC" w:rsidRDefault="004C78BC" w:rsidP="002247D5">
            <w:pPr>
              <w:contextualSpacing/>
              <w:rPr>
                <w:rFonts w:cstheme="minorHAnsi"/>
                <w:sz w:val="18"/>
                <w:szCs w:val="18"/>
              </w:rPr>
            </w:pPr>
            <w:r w:rsidRPr="004C78BC">
              <w:rPr>
                <w:rFonts w:cstheme="minorHAnsi"/>
                <w:sz w:val="18"/>
                <w:szCs w:val="18"/>
              </w:rPr>
              <w:t>South Australia</w:t>
            </w:r>
          </w:p>
          <w:p w14:paraId="13E1855E" w14:textId="77777777" w:rsidR="004C78BC" w:rsidRPr="004C78BC" w:rsidRDefault="004C78BC" w:rsidP="002247D5">
            <w:pPr>
              <w:contextualSpacing/>
              <w:rPr>
                <w:rFonts w:cstheme="minorHAnsi"/>
                <w:sz w:val="18"/>
                <w:szCs w:val="18"/>
              </w:rPr>
            </w:pPr>
            <w:r w:rsidRPr="004C78BC">
              <w:rPr>
                <w:rFonts w:cstheme="minorHAnsi"/>
                <w:sz w:val="18"/>
                <w:szCs w:val="18"/>
              </w:rPr>
              <w:t>19m Network (HML)</w:t>
            </w:r>
          </w:p>
          <w:p w14:paraId="0D2E6A55" w14:textId="4DC62424" w:rsidR="00E81737" w:rsidRPr="00064ED7" w:rsidRDefault="004C78BC" w:rsidP="002247D5">
            <w:pPr>
              <w:contextualSpacing/>
              <w:rPr>
                <w:rFonts w:cstheme="minorHAnsi"/>
                <w:sz w:val="18"/>
                <w:szCs w:val="18"/>
              </w:rPr>
            </w:pPr>
            <w:r w:rsidRPr="004C78BC">
              <w:rPr>
                <w:rFonts w:cstheme="minorHAnsi"/>
                <w:sz w:val="18"/>
                <w:szCs w:val="18"/>
              </w:rPr>
              <w:t>PBS Level 1 Network</w:t>
            </w:r>
          </w:p>
        </w:tc>
        <w:tc>
          <w:tcPr>
            <w:tcW w:w="1134" w:type="dxa"/>
            <w:vAlign w:val="center"/>
          </w:tcPr>
          <w:p w14:paraId="48B1EC23" w14:textId="068FC336" w:rsidR="00E81737" w:rsidRPr="00064ED7" w:rsidRDefault="00823C7A" w:rsidP="002247D5">
            <w:pPr>
              <w:contextualSpacing/>
              <w:jc w:val="center"/>
              <w:rPr>
                <w:rFonts w:cstheme="minorHAnsi"/>
                <w:sz w:val="18"/>
                <w:szCs w:val="18"/>
              </w:rPr>
            </w:pPr>
            <w:r w:rsidRPr="002247D5">
              <w:rPr>
                <w:rFonts w:cstheme="minorHAnsi"/>
                <w:sz w:val="18"/>
                <w:szCs w:val="18"/>
              </w:rPr>
              <w:t>Coffin Bay</w:t>
            </w:r>
          </w:p>
        </w:tc>
        <w:tc>
          <w:tcPr>
            <w:tcW w:w="2242" w:type="dxa"/>
          </w:tcPr>
          <w:p w14:paraId="4EFC80D0" w14:textId="2BE404E0" w:rsidR="003369F4" w:rsidRPr="008D2628" w:rsidRDefault="003369F4" w:rsidP="008D2628">
            <w:pPr>
              <w:contextualSpacing/>
              <w:rPr>
                <w:rFonts w:cstheme="minorHAnsi"/>
                <w:sz w:val="18"/>
                <w:szCs w:val="18"/>
              </w:rPr>
            </w:pPr>
            <w:r w:rsidRPr="008D2628">
              <w:rPr>
                <w:rFonts w:cstheme="minorHAnsi"/>
                <w:sz w:val="18"/>
                <w:szCs w:val="18"/>
              </w:rPr>
              <w:t>Remove the following road:</w:t>
            </w:r>
          </w:p>
          <w:p w14:paraId="659BCEF4" w14:textId="77777777" w:rsidR="003369F4" w:rsidRPr="008D2628" w:rsidRDefault="003369F4" w:rsidP="008D2628">
            <w:pPr>
              <w:contextualSpacing/>
              <w:rPr>
                <w:rFonts w:cstheme="minorHAnsi"/>
                <w:sz w:val="18"/>
                <w:szCs w:val="18"/>
              </w:rPr>
            </w:pPr>
          </w:p>
          <w:p w14:paraId="6CBCC976" w14:textId="77777777" w:rsidR="00E81737" w:rsidRPr="00064ED7" w:rsidRDefault="003369F4" w:rsidP="008D2628">
            <w:pPr>
              <w:contextualSpacing/>
              <w:rPr>
                <w:rFonts w:cstheme="minorHAnsi"/>
                <w:sz w:val="18"/>
                <w:szCs w:val="18"/>
              </w:rPr>
            </w:pPr>
            <w:r w:rsidRPr="008D2628">
              <w:rPr>
                <w:rFonts w:cstheme="minorHAnsi"/>
                <w:sz w:val="18"/>
                <w:szCs w:val="18"/>
              </w:rPr>
              <w:t>Esplanade, Coffin Bay (from Lear Street to Jubilee Drive)</w:t>
            </w:r>
          </w:p>
        </w:tc>
        <w:tc>
          <w:tcPr>
            <w:tcW w:w="2243" w:type="dxa"/>
          </w:tcPr>
          <w:p w14:paraId="2189B066" w14:textId="6168A904" w:rsidR="00E81737" w:rsidRPr="00064ED7" w:rsidRDefault="005F180C" w:rsidP="00090601">
            <w:pPr>
              <w:contextualSpacing/>
              <w:rPr>
                <w:rFonts w:cstheme="minorHAnsi"/>
                <w:sz w:val="18"/>
                <w:szCs w:val="18"/>
              </w:rPr>
            </w:pPr>
            <w:r w:rsidRPr="005F180C">
              <w:rPr>
                <w:rFonts w:cstheme="minorHAnsi"/>
                <w:sz w:val="18"/>
                <w:szCs w:val="18"/>
              </w:rPr>
              <w:t>The section of the road is not an industrial area. No requirement for heavy vehicles to travel beyond the industrial area.</w:t>
            </w:r>
          </w:p>
        </w:tc>
      </w:tr>
      <w:tr w:rsidR="00E90C52" w:rsidRPr="00064ED7" w14:paraId="1F43382A" w14:textId="77777777" w:rsidTr="00E90C52">
        <w:tc>
          <w:tcPr>
            <w:tcW w:w="1413" w:type="dxa"/>
            <w:vAlign w:val="center"/>
          </w:tcPr>
          <w:p w14:paraId="6CDDB41A" w14:textId="41F37B16" w:rsidR="00E81737" w:rsidRPr="00064ED7" w:rsidRDefault="005D7A26" w:rsidP="0069400B">
            <w:pPr>
              <w:contextualSpacing/>
              <w:jc w:val="center"/>
              <w:rPr>
                <w:rFonts w:cstheme="minorHAnsi"/>
                <w:sz w:val="18"/>
                <w:szCs w:val="18"/>
              </w:rPr>
            </w:pPr>
            <w:r>
              <w:rPr>
                <w:rFonts w:cstheme="minorHAnsi"/>
                <w:sz w:val="18"/>
                <w:szCs w:val="18"/>
              </w:rPr>
              <w:t>s</w:t>
            </w:r>
            <w:r w:rsidRPr="00064ED7">
              <w:rPr>
                <w:rFonts w:cstheme="minorHAnsi"/>
                <w:sz w:val="18"/>
                <w:szCs w:val="18"/>
              </w:rPr>
              <w:t>174 HVNL</w:t>
            </w:r>
          </w:p>
        </w:tc>
        <w:tc>
          <w:tcPr>
            <w:tcW w:w="1984" w:type="dxa"/>
            <w:vAlign w:val="center"/>
          </w:tcPr>
          <w:p w14:paraId="7767CA13" w14:textId="77777777" w:rsidR="00CA1E38" w:rsidRPr="00CA1E38" w:rsidRDefault="00CA1E38" w:rsidP="002247D5">
            <w:pPr>
              <w:contextualSpacing/>
              <w:rPr>
                <w:rFonts w:cstheme="minorHAnsi"/>
                <w:sz w:val="18"/>
                <w:szCs w:val="18"/>
              </w:rPr>
            </w:pPr>
            <w:r w:rsidRPr="00CA1E38">
              <w:rPr>
                <w:rFonts w:cstheme="minorHAnsi"/>
                <w:sz w:val="18"/>
                <w:szCs w:val="18"/>
              </w:rPr>
              <w:t>New South Wales</w:t>
            </w:r>
          </w:p>
          <w:p w14:paraId="105349CD" w14:textId="63C0321D" w:rsidR="00E81737" w:rsidRPr="00064ED7" w:rsidRDefault="00CA1E38" w:rsidP="002247D5">
            <w:pPr>
              <w:contextualSpacing/>
              <w:rPr>
                <w:rFonts w:cstheme="minorHAnsi"/>
                <w:sz w:val="18"/>
                <w:szCs w:val="18"/>
              </w:rPr>
            </w:pPr>
            <w:r w:rsidRPr="00CA1E38">
              <w:rPr>
                <w:rFonts w:cstheme="minorHAnsi"/>
                <w:sz w:val="18"/>
                <w:szCs w:val="18"/>
              </w:rPr>
              <w:t>Up to 25/26m B-double Network (GML/CML)</w:t>
            </w:r>
          </w:p>
        </w:tc>
        <w:tc>
          <w:tcPr>
            <w:tcW w:w="1134" w:type="dxa"/>
            <w:vAlign w:val="center"/>
          </w:tcPr>
          <w:p w14:paraId="6642F6CA" w14:textId="0607FA8F" w:rsidR="00E81737" w:rsidRPr="00064ED7" w:rsidRDefault="00327609" w:rsidP="002247D5">
            <w:pPr>
              <w:contextualSpacing/>
              <w:jc w:val="center"/>
              <w:rPr>
                <w:rFonts w:cstheme="minorHAnsi"/>
                <w:sz w:val="18"/>
                <w:szCs w:val="18"/>
              </w:rPr>
            </w:pPr>
            <w:r w:rsidRPr="002247D5">
              <w:rPr>
                <w:rFonts w:cstheme="minorHAnsi"/>
                <w:sz w:val="18"/>
                <w:szCs w:val="18"/>
              </w:rPr>
              <w:t>Griffith</w:t>
            </w:r>
          </w:p>
        </w:tc>
        <w:tc>
          <w:tcPr>
            <w:tcW w:w="2242" w:type="dxa"/>
          </w:tcPr>
          <w:p w14:paraId="4F6B538D" w14:textId="77821859" w:rsidR="008364DD" w:rsidRPr="008D2628" w:rsidRDefault="008364DD" w:rsidP="008D2628">
            <w:pPr>
              <w:contextualSpacing/>
              <w:rPr>
                <w:rFonts w:cstheme="minorHAnsi"/>
                <w:sz w:val="18"/>
                <w:szCs w:val="18"/>
              </w:rPr>
            </w:pPr>
            <w:r w:rsidRPr="008D2628">
              <w:rPr>
                <w:rFonts w:cstheme="minorHAnsi"/>
                <w:sz w:val="18"/>
                <w:szCs w:val="18"/>
              </w:rPr>
              <w:t>Remove the following roads:</w:t>
            </w:r>
          </w:p>
          <w:p w14:paraId="54ECFD86" w14:textId="77777777" w:rsidR="008364DD" w:rsidRPr="008D2628" w:rsidRDefault="008364DD" w:rsidP="008D2628">
            <w:pPr>
              <w:contextualSpacing/>
              <w:rPr>
                <w:rFonts w:cstheme="minorHAnsi"/>
                <w:sz w:val="18"/>
                <w:szCs w:val="18"/>
              </w:rPr>
            </w:pPr>
          </w:p>
          <w:p w14:paraId="63712A4D" w14:textId="0BFF9B6A" w:rsidR="008364DD" w:rsidRPr="008D2628" w:rsidRDefault="008364DD" w:rsidP="008D2628">
            <w:pPr>
              <w:contextualSpacing/>
              <w:rPr>
                <w:rFonts w:cstheme="minorHAnsi"/>
                <w:sz w:val="18"/>
                <w:szCs w:val="18"/>
              </w:rPr>
            </w:pPr>
            <w:r w:rsidRPr="008D2628">
              <w:rPr>
                <w:rFonts w:cstheme="minorHAnsi"/>
                <w:sz w:val="18"/>
                <w:szCs w:val="18"/>
              </w:rPr>
              <w:t>Railway Street, Griffith (from Tranter Place to Bonegilla Road)</w:t>
            </w:r>
          </w:p>
          <w:p w14:paraId="67F9DC37" w14:textId="77777777" w:rsidR="008364DD" w:rsidRPr="008D2628" w:rsidRDefault="008364DD" w:rsidP="008D2628">
            <w:pPr>
              <w:contextualSpacing/>
              <w:rPr>
                <w:rFonts w:cstheme="minorHAnsi"/>
                <w:sz w:val="18"/>
                <w:szCs w:val="18"/>
              </w:rPr>
            </w:pPr>
          </w:p>
          <w:p w14:paraId="3202A1DD" w14:textId="0770C343" w:rsidR="00E81737" w:rsidRPr="00064ED7" w:rsidRDefault="008364DD" w:rsidP="008D2628">
            <w:pPr>
              <w:contextualSpacing/>
              <w:rPr>
                <w:rFonts w:cstheme="minorHAnsi"/>
                <w:sz w:val="18"/>
                <w:szCs w:val="18"/>
              </w:rPr>
            </w:pPr>
            <w:r w:rsidRPr="008D2628">
              <w:rPr>
                <w:rFonts w:cstheme="minorHAnsi"/>
                <w:sz w:val="18"/>
                <w:szCs w:val="18"/>
              </w:rPr>
              <w:t xml:space="preserve">Bonegilla Road, Griffith (from Railway Street to </w:t>
            </w:r>
            <w:proofErr w:type="spellStart"/>
            <w:r w:rsidRPr="008D2628">
              <w:rPr>
                <w:rFonts w:cstheme="minorHAnsi"/>
                <w:sz w:val="18"/>
                <w:szCs w:val="18"/>
              </w:rPr>
              <w:t>Banna</w:t>
            </w:r>
            <w:proofErr w:type="spellEnd"/>
            <w:r w:rsidRPr="008D2628">
              <w:rPr>
                <w:rFonts w:cstheme="minorHAnsi"/>
                <w:sz w:val="18"/>
                <w:szCs w:val="18"/>
              </w:rPr>
              <w:t xml:space="preserve"> Avenue)</w:t>
            </w:r>
          </w:p>
        </w:tc>
        <w:tc>
          <w:tcPr>
            <w:tcW w:w="2243" w:type="dxa"/>
          </w:tcPr>
          <w:p w14:paraId="6EF6AECB" w14:textId="77777777" w:rsidR="007A5B65" w:rsidRPr="007A5B65" w:rsidRDefault="007A5B65" w:rsidP="007A5B65">
            <w:pPr>
              <w:contextualSpacing/>
              <w:rPr>
                <w:rFonts w:cstheme="minorHAnsi"/>
                <w:sz w:val="18"/>
                <w:szCs w:val="18"/>
              </w:rPr>
            </w:pPr>
            <w:r w:rsidRPr="007A5B65">
              <w:rPr>
                <w:rFonts w:cstheme="minorHAnsi"/>
                <w:sz w:val="18"/>
                <w:szCs w:val="18"/>
              </w:rPr>
              <w:t>B-double vehicles turning left from Tranter Place into Railway Street significantly encroach onto the incorrect side of the roadway therefore posing a safety risk to road users.</w:t>
            </w:r>
          </w:p>
          <w:p w14:paraId="089C9AC2" w14:textId="77777777" w:rsidR="007A5B65" w:rsidRPr="007A5B65" w:rsidRDefault="007A5B65" w:rsidP="007A5B65">
            <w:pPr>
              <w:contextualSpacing/>
              <w:rPr>
                <w:rFonts w:cstheme="minorHAnsi"/>
                <w:sz w:val="18"/>
                <w:szCs w:val="18"/>
              </w:rPr>
            </w:pPr>
          </w:p>
          <w:p w14:paraId="7AE9C570" w14:textId="77777777" w:rsidR="007A5B65" w:rsidRPr="007A5B65" w:rsidRDefault="007A5B65" w:rsidP="007A5B65">
            <w:pPr>
              <w:contextualSpacing/>
              <w:rPr>
                <w:rFonts w:cstheme="minorHAnsi"/>
                <w:sz w:val="18"/>
                <w:szCs w:val="18"/>
              </w:rPr>
            </w:pPr>
            <w:r w:rsidRPr="007A5B65">
              <w:rPr>
                <w:rFonts w:cstheme="minorHAnsi"/>
                <w:sz w:val="18"/>
                <w:szCs w:val="18"/>
              </w:rPr>
              <w:t xml:space="preserve">The use of Railway Street by B-doubles was due to the existence of an NSW Ambulance Station on Tranter Place which was in close proximity to an intersection. There was insufficient stacking on Tranter Place for B-double vehicles which would block the exit of ambulance vehicles on urgent duty from the station. </w:t>
            </w:r>
          </w:p>
          <w:p w14:paraId="75484608" w14:textId="77777777" w:rsidR="007A5B65" w:rsidRPr="007A5B65" w:rsidRDefault="007A5B65" w:rsidP="007A5B65">
            <w:pPr>
              <w:contextualSpacing/>
              <w:rPr>
                <w:rFonts w:cstheme="minorHAnsi"/>
                <w:sz w:val="18"/>
                <w:szCs w:val="18"/>
              </w:rPr>
            </w:pPr>
          </w:p>
          <w:p w14:paraId="2A086624" w14:textId="70B393EB" w:rsidR="00E81737" w:rsidRPr="00064ED7" w:rsidRDefault="007A5B65" w:rsidP="007A5B65">
            <w:pPr>
              <w:contextualSpacing/>
              <w:rPr>
                <w:rFonts w:cstheme="minorHAnsi"/>
                <w:sz w:val="18"/>
                <w:szCs w:val="18"/>
              </w:rPr>
            </w:pPr>
            <w:r w:rsidRPr="007A5B65">
              <w:rPr>
                <w:rFonts w:cstheme="minorHAnsi"/>
                <w:sz w:val="18"/>
                <w:szCs w:val="18"/>
              </w:rPr>
              <w:t>NSW Ambulance have now relocated therefore the site no longer requires emergency access and B-doubles can return to Tranter Place.</w:t>
            </w:r>
          </w:p>
        </w:tc>
      </w:tr>
      <w:tr w:rsidR="00E90C52" w:rsidRPr="00064ED7" w14:paraId="74879068" w14:textId="77777777" w:rsidTr="00E90C52">
        <w:tc>
          <w:tcPr>
            <w:tcW w:w="1413" w:type="dxa"/>
            <w:vAlign w:val="center"/>
          </w:tcPr>
          <w:p w14:paraId="70CE68DD" w14:textId="6EB417AB" w:rsidR="00E81737" w:rsidRPr="00064ED7" w:rsidRDefault="005D7A26" w:rsidP="0069400B">
            <w:pPr>
              <w:contextualSpacing/>
              <w:jc w:val="center"/>
              <w:rPr>
                <w:rFonts w:cstheme="minorHAnsi"/>
                <w:sz w:val="18"/>
                <w:szCs w:val="18"/>
              </w:rPr>
            </w:pPr>
            <w:r>
              <w:rPr>
                <w:rFonts w:cstheme="minorHAnsi"/>
                <w:sz w:val="18"/>
                <w:szCs w:val="18"/>
              </w:rPr>
              <w:t>s</w:t>
            </w:r>
            <w:r w:rsidRPr="00064ED7">
              <w:rPr>
                <w:rFonts w:cstheme="minorHAnsi"/>
                <w:sz w:val="18"/>
                <w:szCs w:val="18"/>
              </w:rPr>
              <w:t>174 HVNL</w:t>
            </w:r>
          </w:p>
        </w:tc>
        <w:tc>
          <w:tcPr>
            <w:tcW w:w="1984" w:type="dxa"/>
            <w:vAlign w:val="center"/>
          </w:tcPr>
          <w:p w14:paraId="05A9F168" w14:textId="77777777" w:rsidR="009E013C" w:rsidRPr="009E013C" w:rsidRDefault="009E013C" w:rsidP="002247D5">
            <w:pPr>
              <w:contextualSpacing/>
              <w:rPr>
                <w:rFonts w:cstheme="minorHAnsi"/>
                <w:sz w:val="18"/>
                <w:szCs w:val="18"/>
              </w:rPr>
            </w:pPr>
            <w:r w:rsidRPr="009E013C">
              <w:rPr>
                <w:rFonts w:cstheme="minorHAnsi"/>
                <w:sz w:val="18"/>
                <w:szCs w:val="18"/>
              </w:rPr>
              <w:t>South Australia</w:t>
            </w:r>
          </w:p>
          <w:p w14:paraId="639ECC71" w14:textId="77777777" w:rsidR="009E013C" w:rsidRPr="009E013C" w:rsidRDefault="009E013C" w:rsidP="002247D5">
            <w:pPr>
              <w:contextualSpacing/>
              <w:rPr>
                <w:rFonts w:cstheme="minorHAnsi"/>
                <w:sz w:val="18"/>
                <w:szCs w:val="18"/>
              </w:rPr>
            </w:pPr>
            <w:r w:rsidRPr="009E013C">
              <w:rPr>
                <w:rFonts w:cstheme="minorHAnsi"/>
                <w:sz w:val="18"/>
                <w:szCs w:val="18"/>
              </w:rPr>
              <w:t>23m B-Double (GML) Network</w:t>
            </w:r>
          </w:p>
          <w:p w14:paraId="3999DCAC" w14:textId="5E15E497" w:rsidR="00E81737" w:rsidRPr="00064ED7" w:rsidRDefault="009E013C" w:rsidP="002247D5">
            <w:pPr>
              <w:contextualSpacing/>
              <w:rPr>
                <w:rFonts w:cstheme="minorHAnsi"/>
                <w:sz w:val="18"/>
                <w:szCs w:val="18"/>
              </w:rPr>
            </w:pPr>
            <w:r w:rsidRPr="009E013C">
              <w:rPr>
                <w:rFonts w:cstheme="minorHAnsi"/>
                <w:sz w:val="18"/>
                <w:szCs w:val="18"/>
              </w:rPr>
              <w:lastRenderedPageBreak/>
              <w:t>26m B-Double (GML) Network</w:t>
            </w:r>
          </w:p>
        </w:tc>
        <w:tc>
          <w:tcPr>
            <w:tcW w:w="1134" w:type="dxa"/>
            <w:vAlign w:val="center"/>
          </w:tcPr>
          <w:p w14:paraId="5EB38C06" w14:textId="0D8BFE6C" w:rsidR="00E81737" w:rsidRPr="00064ED7" w:rsidRDefault="007D6756" w:rsidP="002247D5">
            <w:pPr>
              <w:contextualSpacing/>
              <w:jc w:val="center"/>
              <w:rPr>
                <w:rFonts w:cstheme="minorHAnsi"/>
                <w:sz w:val="18"/>
                <w:szCs w:val="18"/>
              </w:rPr>
            </w:pPr>
            <w:r w:rsidRPr="002247D5">
              <w:rPr>
                <w:rFonts w:cstheme="minorHAnsi"/>
                <w:sz w:val="18"/>
                <w:szCs w:val="18"/>
              </w:rPr>
              <w:lastRenderedPageBreak/>
              <w:t>Loxton</w:t>
            </w:r>
          </w:p>
        </w:tc>
        <w:tc>
          <w:tcPr>
            <w:tcW w:w="2242" w:type="dxa"/>
          </w:tcPr>
          <w:p w14:paraId="65A5BC7A" w14:textId="047A5FA3" w:rsidR="006963B6" w:rsidRPr="008D2628" w:rsidRDefault="006963B6" w:rsidP="008D2628">
            <w:pPr>
              <w:contextualSpacing/>
              <w:rPr>
                <w:rFonts w:cstheme="minorHAnsi"/>
                <w:sz w:val="18"/>
                <w:szCs w:val="18"/>
              </w:rPr>
            </w:pPr>
            <w:r w:rsidRPr="008D2628">
              <w:rPr>
                <w:rFonts w:cstheme="minorHAnsi"/>
                <w:sz w:val="18"/>
                <w:szCs w:val="18"/>
              </w:rPr>
              <w:t>Remove the following road:</w:t>
            </w:r>
          </w:p>
          <w:p w14:paraId="65B3AD21" w14:textId="77777777" w:rsidR="006963B6" w:rsidRPr="008D2628" w:rsidRDefault="006963B6" w:rsidP="008D2628">
            <w:pPr>
              <w:contextualSpacing/>
              <w:rPr>
                <w:rFonts w:cstheme="minorHAnsi"/>
                <w:sz w:val="18"/>
                <w:szCs w:val="18"/>
              </w:rPr>
            </w:pPr>
          </w:p>
          <w:p w14:paraId="290F9E58" w14:textId="223C75A8" w:rsidR="00E81737" w:rsidRPr="00064ED7" w:rsidRDefault="006963B6" w:rsidP="008D2628">
            <w:pPr>
              <w:contextualSpacing/>
              <w:rPr>
                <w:rFonts w:cstheme="minorHAnsi"/>
                <w:sz w:val="18"/>
                <w:szCs w:val="18"/>
              </w:rPr>
            </w:pPr>
            <w:proofErr w:type="spellStart"/>
            <w:r w:rsidRPr="008D2628">
              <w:rPr>
                <w:rFonts w:cstheme="minorHAnsi"/>
                <w:sz w:val="18"/>
                <w:szCs w:val="18"/>
              </w:rPr>
              <w:lastRenderedPageBreak/>
              <w:t>Dorsch</w:t>
            </w:r>
            <w:proofErr w:type="spellEnd"/>
            <w:r w:rsidRPr="008D2628">
              <w:rPr>
                <w:rFonts w:cstheme="minorHAnsi"/>
                <w:sz w:val="18"/>
                <w:szCs w:val="18"/>
              </w:rPr>
              <w:t xml:space="preserve"> Avenue, Loxton (from </w:t>
            </w:r>
            <w:proofErr w:type="spellStart"/>
            <w:r w:rsidRPr="008D2628">
              <w:rPr>
                <w:rFonts w:cstheme="minorHAnsi"/>
                <w:sz w:val="18"/>
                <w:szCs w:val="18"/>
              </w:rPr>
              <w:t>Bookpurnong</w:t>
            </w:r>
            <w:proofErr w:type="spellEnd"/>
            <w:r w:rsidRPr="008D2628">
              <w:rPr>
                <w:rFonts w:cstheme="minorHAnsi"/>
                <w:sz w:val="18"/>
                <w:szCs w:val="18"/>
              </w:rPr>
              <w:t xml:space="preserve"> to 13 </w:t>
            </w:r>
            <w:proofErr w:type="spellStart"/>
            <w:r w:rsidRPr="008D2628">
              <w:rPr>
                <w:rFonts w:cstheme="minorHAnsi"/>
                <w:sz w:val="18"/>
                <w:szCs w:val="18"/>
              </w:rPr>
              <w:t>Dorsch</w:t>
            </w:r>
            <w:proofErr w:type="spellEnd"/>
            <w:r w:rsidRPr="008D2628">
              <w:rPr>
                <w:rFonts w:cstheme="minorHAnsi"/>
                <w:sz w:val="18"/>
                <w:szCs w:val="18"/>
              </w:rPr>
              <w:t xml:space="preserve"> Avenue - entrance to PIRSA Research and Development Institute)</w:t>
            </w:r>
          </w:p>
        </w:tc>
        <w:tc>
          <w:tcPr>
            <w:tcW w:w="2243" w:type="dxa"/>
          </w:tcPr>
          <w:p w14:paraId="59742ED5" w14:textId="77777777" w:rsidR="00731D4B" w:rsidRPr="00731D4B" w:rsidRDefault="00731D4B" w:rsidP="00731D4B">
            <w:pPr>
              <w:contextualSpacing/>
              <w:rPr>
                <w:rFonts w:cstheme="minorHAnsi"/>
                <w:sz w:val="18"/>
                <w:szCs w:val="18"/>
              </w:rPr>
            </w:pPr>
            <w:r w:rsidRPr="00731D4B">
              <w:rPr>
                <w:rFonts w:cstheme="minorHAnsi"/>
                <w:sz w:val="18"/>
                <w:szCs w:val="18"/>
              </w:rPr>
              <w:lastRenderedPageBreak/>
              <w:t xml:space="preserve">Road Manager advises that it pose significant risk to public safety arising from heavy vehicle use that is </w:t>
            </w:r>
            <w:r w:rsidRPr="00731D4B">
              <w:rPr>
                <w:rFonts w:cstheme="minorHAnsi"/>
                <w:sz w:val="18"/>
                <w:szCs w:val="18"/>
              </w:rPr>
              <w:lastRenderedPageBreak/>
              <w:t xml:space="preserve">incompatible with road infrastructure or traffic conditions and the risk cannot be mitigated by applying conditions. </w:t>
            </w:r>
          </w:p>
          <w:p w14:paraId="5935961E" w14:textId="77777777" w:rsidR="00731D4B" w:rsidRPr="00731D4B" w:rsidRDefault="00731D4B" w:rsidP="00731D4B">
            <w:pPr>
              <w:contextualSpacing/>
              <w:rPr>
                <w:rFonts w:cstheme="minorHAnsi"/>
                <w:sz w:val="18"/>
                <w:szCs w:val="18"/>
              </w:rPr>
            </w:pPr>
          </w:p>
          <w:p w14:paraId="77CCD696" w14:textId="77777777" w:rsidR="00731D4B" w:rsidRPr="00731D4B" w:rsidRDefault="00731D4B" w:rsidP="00731D4B">
            <w:pPr>
              <w:contextualSpacing/>
              <w:rPr>
                <w:rFonts w:cstheme="minorHAnsi"/>
                <w:sz w:val="18"/>
                <w:szCs w:val="18"/>
              </w:rPr>
            </w:pPr>
            <w:r w:rsidRPr="00731D4B">
              <w:rPr>
                <w:rFonts w:cstheme="minorHAnsi"/>
                <w:sz w:val="18"/>
                <w:szCs w:val="18"/>
              </w:rPr>
              <w:t xml:space="preserve">The approach to </w:t>
            </w:r>
            <w:proofErr w:type="spellStart"/>
            <w:r w:rsidRPr="00731D4B">
              <w:rPr>
                <w:rFonts w:cstheme="minorHAnsi"/>
                <w:sz w:val="18"/>
                <w:szCs w:val="18"/>
              </w:rPr>
              <w:t>Bookpurnong</w:t>
            </w:r>
            <w:proofErr w:type="spellEnd"/>
            <w:r w:rsidRPr="00731D4B">
              <w:rPr>
                <w:rFonts w:cstheme="minorHAnsi"/>
                <w:sz w:val="18"/>
                <w:szCs w:val="18"/>
              </w:rPr>
              <w:t xml:space="preserve"> Road via </w:t>
            </w:r>
            <w:proofErr w:type="spellStart"/>
            <w:r w:rsidRPr="00731D4B">
              <w:rPr>
                <w:rFonts w:cstheme="minorHAnsi"/>
                <w:sz w:val="18"/>
                <w:szCs w:val="18"/>
              </w:rPr>
              <w:t>Dorsch</w:t>
            </w:r>
            <w:proofErr w:type="spellEnd"/>
            <w:r w:rsidRPr="00731D4B">
              <w:rPr>
                <w:rFonts w:cstheme="minorHAnsi"/>
                <w:sz w:val="18"/>
                <w:szCs w:val="18"/>
              </w:rPr>
              <w:t xml:space="preserve"> Avenue is on a reverse camber, approaching a hill with the intersection sight lines being restricted. Access is still maintained to residents and the research facility via </w:t>
            </w:r>
            <w:proofErr w:type="spellStart"/>
            <w:r w:rsidRPr="00731D4B">
              <w:rPr>
                <w:rFonts w:cstheme="minorHAnsi"/>
                <w:sz w:val="18"/>
                <w:szCs w:val="18"/>
              </w:rPr>
              <w:t>Gratwick</w:t>
            </w:r>
            <w:proofErr w:type="spellEnd"/>
            <w:r w:rsidRPr="00731D4B">
              <w:rPr>
                <w:rFonts w:cstheme="minorHAnsi"/>
                <w:sz w:val="18"/>
                <w:szCs w:val="18"/>
              </w:rPr>
              <w:t xml:space="preserve"> Road.  </w:t>
            </w:r>
          </w:p>
          <w:p w14:paraId="573A597A" w14:textId="08512298" w:rsidR="00E81737" w:rsidRPr="00064ED7" w:rsidRDefault="00731D4B" w:rsidP="00731D4B">
            <w:pPr>
              <w:contextualSpacing/>
              <w:rPr>
                <w:rFonts w:cstheme="minorHAnsi"/>
                <w:sz w:val="18"/>
                <w:szCs w:val="18"/>
              </w:rPr>
            </w:pPr>
            <w:r w:rsidRPr="00731D4B">
              <w:rPr>
                <w:rFonts w:cstheme="minorHAnsi"/>
                <w:sz w:val="18"/>
                <w:szCs w:val="18"/>
              </w:rPr>
              <w:t xml:space="preserve">Local operators do not utilise this segment due to these issues.  </w:t>
            </w:r>
          </w:p>
        </w:tc>
      </w:tr>
      <w:tr w:rsidR="00E90C52" w:rsidRPr="00064ED7" w14:paraId="3F20A68B" w14:textId="77777777" w:rsidTr="00E90C52">
        <w:tc>
          <w:tcPr>
            <w:tcW w:w="1413" w:type="dxa"/>
            <w:vAlign w:val="center"/>
          </w:tcPr>
          <w:p w14:paraId="0FBBE5FD" w14:textId="469CBBCF" w:rsidR="00E81737" w:rsidRPr="00064ED7" w:rsidRDefault="005D7A26" w:rsidP="0069400B">
            <w:pPr>
              <w:contextualSpacing/>
              <w:jc w:val="center"/>
              <w:rPr>
                <w:rFonts w:cstheme="minorHAnsi"/>
                <w:sz w:val="18"/>
                <w:szCs w:val="18"/>
              </w:rPr>
            </w:pPr>
            <w:r>
              <w:rPr>
                <w:rFonts w:cstheme="minorHAnsi"/>
                <w:sz w:val="18"/>
                <w:szCs w:val="18"/>
              </w:rPr>
              <w:lastRenderedPageBreak/>
              <w:t>s</w:t>
            </w:r>
            <w:r w:rsidRPr="00064ED7">
              <w:rPr>
                <w:rFonts w:cstheme="minorHAnsi"/>
                <w:sz w:val="18"/>
                <w:szCs w:val="18"/>
              </w:rPr>
              <w:t>174 HVNL</w:t>
            </w:r>
          </w:p>
        </w:tc>
        <w:tc>
          <w:tcPr>
            <w:tcW w:w="1984" w:type="dxa"/>
            <w:vAlign w:val="center"/>
          </w:tcPr>
          <w:p w14:paraId="384F9EFC" w14:textId="77777777" w:rsidR="00271348" w:rsidRPr="00271348" w:rsidRDefault="00271348" w:rsidP="002247D5">
            <w:pPr>
              <w:contextualSpacing/>
              <w:rPr>
                <w:rFonts w:cstheme="minorHAnsi"/>
                <w:sz w:val="18"/>
                <w:szCs w:val="18"/>
              </w:rPr>
            </w:pPr>
            <w:r w:rsidRPr="00271348">
              <w:rPr>
                <w:rFonts w:cstheme="minorHAnsi"/>
                <w:sz w:val="18"/>
                <w:szCs w:val="18"/>
              </w:rPr>
              <w:t>South Australia</w:t>
            </w:r>
          </w:p>
          <w:p w14:paraId="3672C64B" w14:textId="6192ED6E" w:rsidR="00E81737" w:rsidRPr="00064ED7" w:rsidRDefault="00271348" w:rsidP="002247D5">
            <w:pPr>
              <w:contextualSpacing/>
              <w:rPr>
                <w:rFonts w:cstheme="minorHAnsi"/>
                <w:sz w:val="18"/>
                <w:szCs w:val="18"/>
              </w:rPr>
            </w:pPr>
            <w:r w:rsidRPr="00271348">
              <w:rPr>
                <w:rFonts w:cstheme="minorHAnsi"/>
                <w:sz w:val="18"/>
                <w:szCs w:val="18"/>
              </w:rPr>
              <w:t>B-Double Commodity Networks</w:t>
            </w:r>
          </w:p>
        </w:tc>
        <w:tc>
          <w:tcPr>
            <w:tcW w:w="1134" w:type="dxa"/>
            <w:vAlign w:val="center"/>
          </w:tcPr>
          <w:p w14:paraId="13887030" w14:textId="77777777" w:rsidR="002247D5" w:rsidRPr="002247D5" w:rsidRDefault="002247D5" w:rsidP="002247D5">
            <w:pPr>
              <w:contextualSpacing/>
              <w:jc w:val="center"/>
              <w:rPr>
                <w:rFonts w:cstheme="minorHAnsi"/>
                <w:sz w:val="18"/>
                <w:szCs w:val="18"/>
              </w:rPr>
            </w:pPr>
            <w:proofErr w:type="spellStart"/>
            <w:r w:rsidRPr="002247D5">
              <w:rPr>
                <w:rFonts w:cstheme="minorHAnsi"/>
                <w:sz w:val="18"/>
                <w:szCs w:val="18"/>
              </w:rPr>
              <w:t>Conmurra</w:t>
            </w:r>
            <w:proofErr w:type="spellEnd"/>
            <w:r w:rsidRPr="002247D5">
              <w:rPr>
                <w:rFonts w:cstheme="minorHAnsi"/>
                <w:sz w:val="18"/>
                <w:szCs w:val="18"/>
              </w:rPr>
              <w:t>/</w:t>
            </w:r>
          </w:p>
          <w:p w14:paraId="6C2E0B9A" w14:textId="7444A88B" w:rsidR="00E81737" w:rsidRPr="00064ED7" w:rsidRDefault="002247D5" w:rsidP="002247D5">
            <w:pPr>
              <w:contextualSpacing/>
              <w:jc w:val="center"/>
              <w:rPr>
                <w:rFonts w:cstheme="minorHAnsi"/>
                <w:sz w:val="18"/>
                <w:szCs w:val="18"/>
              </w:rPr>
            </w:pPr>
            <w:r w:rsidRPr="002247D5">
              <w:rPr>
                <w:rFonts w:cstheme="minorHAnsi"/>
                <w:sz w:val="18"/>
                <w:szCs w:val="18"/>
              </w:rPr>
              <w:t>Lochaber</w:t>
            </w:r>
          </w:p>
        </w:tc>
        <w:tc>
          <w:tcPr>
            <w:tcW w:w="2242" w:type="dxa"/>
          </w:tcPr>
          <w:p w14:paraId="4DF54A13" w14:textId="77777777" w:rsidR="000418A2" w:rsidRPr="008D2628" w:rsidRDefault="000418A2" w:rsidP="008D2628">
            <w:pPr>
              <w:contextualSpacing/>
              <w:rPr>
                <w:rFonts w:cstheme="minorHAnsi"/>
                <w:sz w:val="18"/>
                <w:szCs w:val="18"/>
              </w:rPr>
            </w:pPr>
            <w:r w:rsidRPr="008D2628">
              <w:rPr>
                <w:rFonts w:cstheme="minorHAnsi"/>
                <w:sz w:val="18"/>
                <w:szCs w:val="18"/>
              </w:rPr>
              <w:t>Remove the following roads:</w:t>
            </w:r>
          </w:p>
          <w:p w14:paraId="58CABA2B" w14:textId="77777777" w:rsidR="000418A2" w:rsidRPr="008D2628" w:rsidRDefault="000418A2" w:rsidP="008D2628">
            <w:pPr>
              <w:contextualSpacing/>
              <w:rPr>
                <w:rFonts w:cstheme="minorHAnsi"/>
                <w:sz w:val="18"/>
                <w:szCs w:val="18"/>
              </w:rPr>
            </w:pPr>
          </w:p>
          <w:p w14:paraId="56278B73" w14:textId="7454DE0F" w:rsidR="000418A2" w:rsidRPr="008D2628" w:rsidRDefault="000418A2" w:rsidP="008D2628">
            <w:pPr>
              <w:contextualSpacing/>
              <w:rPr>
                <w:rFonts w:cstheme="minorHAnsi"/>
                <w:sz w:val="18"/>
                <w:szCs w:val="18"/>
              </w:rPr>
            </w:pPr>
            <w:proofErr w:type="spellStart"/>
            <w:r w:rsidRPr="008D2628">
              <w:rPr>
                <w:rFonts w:cstheme="minorHAnsi"/>
                <w:sz w:val="18"/>
                <w:szCs w:val="18"/>
              </w:rPr>
              <w:t>Monfries</w:t>
            </w:r>
            <w:proofErr w:type="spellEnd"/>
            <w:r w:rsidRPr="008D2628">
              <w:rPr>
                <w:rFonts w:cstheme="minorHAnsi"/>
                <w:sz w:val="18"/>
                <w:szCs w:val="18"/>
              </w:rPr>
              <w:t xml:space="preserve"> Road, </w:t>
            </w:r>
            <w:proofErr w:type="spellStart"/>
            <w:r w:rsidRPr="008D2628">
              <w:rPr>
                <w:rFonts w:cstheme="minorHAnsi"/>
                <w:sz w:val="18"/>
                <w:szCs w:val="18"/>
              </w:rPr>
              <w:t>Conmurra</w:t>
            </w:r>
            <w:proofErr w:type="spellEnd"/>
            <w:r w:rsidRPr="008D2628">
              <w:rPr>
                <w:rFonts w:cstheme="minorHAnsi"/>
                <w:sz w:val="18"/>
                <w:szCs w:val="18"/>
              </w:rPr>
              <w:t xml:space="preserve"> (from Old Robe Road to </w:t>
            </w:r>
            <w:proofErr w:type="spellStart"/>
            <w:r w:rsidRPr="008D2628">
              <w:rPr>
                <w:rFonts w:cstheme="minorHAnsi"/>
                <w:sz w:val="18"/>
                <w:szCs w:val="18"/>
              </w:rPr>
              <w:t>Beggs</w:t>
            </w:r>
            <w:proofErr w:type="spellEnd"/>
            <w:r w:rsidRPr="008D2628">
              <w:rPr>
                <w:rFonts w:cstheme="minorHAnsi"/>
                <w:sz w:val="18"/>
                <w:szCs w:val="18"/>
              </w:rPr>
              <w:t xml:space="preserve"> Road)</w:t>
            </w:r>
          </w:p>
          <w:p w14:paraId="76D7C880" w14:textId="77777777" w:rsidR="000418A2" w:rsidRPr="008D2628" w:rsidRDefault="000418A2" w:rsidP="008D2628">
            <w:pPr>
              <w:contextualSpacing/>
              <w:rPr>
                <w:rFonts w:cstheme="minorHAnsi"/>
                <w:sz w:val="18"/>
                <w:szCs w:val="18"/>
              </w:rPr>
            </w:pPr>
          </w:p>
          <w:p w14:paraId="3D80036A" w14:textId="461D9EBB" w:rsidR="00E81737" w:rsidRPr="00064ED7" w:rsidRDefault="000418A2" w:rsidP="008D2628">
            <w:pPr>
              <w:contextualSpacing/>
              <w:rPr>
                <w:rFonts w:cstheme="minorHAnsi"/>
                <w:sz w:val="18"/>
                <w:szCs w:val="18"/>
              </w:rPr>
            </w:pPr>
            <w:r w:rsidRPr="008D2628">
              <w:rPr>
                <w:rFonts w:cstheme="minorHAnsi"/>
                <w:sz w:val="18"/>
                <w:szCs w:val="18"/>
              </w:rPr>
              <w:t xml:space="preserve">Lochaber South Road, Lochaber (from </w:t>
            </w:r>
            <w:proofErr w:type="spellStart"/>
            <w:r w:rsidRPr="008D2628">
              <w:rPr>
                <w:rFonts w:cstheme="minorHAnsi"/>
                <w:sz w:val="18"/>
                <w:szCs w:val="18"/>
              </w:rPr>
              <w:t>Tresant</w:t>
            </w:r>
            <w:proofErr w:type="spellEnd"/>
            <w:r w:rsidRPr="008D2628">
              <w:rPr>
                <w:rFonts w:cstheme="minorHAnsi"/>
                <w:sz w:val="18"/>
                <w:szCs w:val="18"/>
              </w:rPr>
              <w:t xml:space="preserve"> Rd to Lochaber Lane)</w:t>
            </w:r>
          </w:p>
        </w:tc>
        <w:tc>
          <w:tcPr>
            <w:tcW w:w="2243" w:type="dxa"/>
          </w:tcPr>
          <w:p w14:paraId="422FF4EB" w14:textId="77777777" w:rsidR="00D3145A" w:rsidRPr="00D3145A" w:rsidRDefault="00D3145A" w:rsidP="00D3145A">
            <w:pPr>
              <w:contextualSpacing/>
              <w:rPr>
                <w:rFonts w:cstheme="minorHAnsi"/>
                <w:sz w:val="18"/>
                <w:szCs w:val="18"/>
              </w:rPr>
            </w:pPr>
            <w:r w:rsidRPr="00D3145A">
              <w:rPr>
                <w:rFonts w:cstheme="minorHAnsi"/>
                <w:sz w:val="18"/>
                <w:szCs w:val="18"/>
              </w:rPr>
              <w:t xml:space="preserve">Lochaber South Road - Southeast Water Conservation Drainage Board – From the recent assessment done by the council, it is determined that the vehicle loading exceeds the load capacity and are too heavy for Lochaber South Road Drain E. </w:t>
            </w:r>
          </w:p>
          <w:p w14:paraId="44D3B37D" w14:textId="77777777" w:rsidR="00D3145A" w:rsidRPr="00D3145A" w:rsidRDefault="00D3145A" w:rsidP="00D3145A">
            <w:pPr>
              <w:contextualSpacing/>
              <w:rPr>
                <w:rFonts w:cstheme="minorHAnsi"/>
                <w:sz w:val="18"/>
                <w:szCs w:val="18"/>
              </w:rPr>
            </w:pPr>
          </w:p>
          <w:p w14:paraId="08998D44" w14:textId="77777777" w:rsidR="00D3145A" w:rsidRPr="00D3145A" w:rsidRDefault="00D3145A" w:rsidP="00D3145A">
            <w:pPr>
              <w:contextualSpacing/>
              <w:rPr>
                <w:rFonts w:cstheme="minorHAnsi"/>
                <w:sz w:val="18"/>
                <w:szCs w:val="18"/>
              </w:rPr>
            </w:pPr>
            <w:proofErr w:type="spellStart"/>
            <w:r w:rsidRPr="00D3145A">
              <w:rPr>
                <w:rFonts w:cstheme="minorHAnsi"/>
                <w:sz w:val="18"/>
                <w:szCs w:val="18"/>
              </w:rPr>
              <w:t>Monfries</w:t>
            </w:r>
            <w:proofErr w:type="spellEnd"/>
            <w:r w:rsidRPr="00D3145A">
              <w:rPr>
                <w:rFonts w:cstheme="minorHAnsi"/>
                <w:sz w:val="18"/>
                <w:szCs w:val="18"/>
              </w:rPr>
              <w:t xml:space="preserve"> Road, </w:t>
            </w:r>
            <w:proofErr w:type="spellStart"/>
            <w:r w:rsidRPr="00D3145A">
              <w:rPr>
                <w:rFonts w:cstheme="minorHAnsi"/>
                <w:sz w:val="18"/>
                <w:szCs w:val="18"/>
              </w:rPr>
              <w:t>Conmurra</w:t>
            </w:r>
            <w:proofErr w:type="spellEnd"/>
            <w:r w:rsidRPr="00D3145A">
              <w:rPr>
                <w:rFonts w:cstheme="minorHAnsi"/>
                <w:sz w:val="18"/>
                <w:szCs w:val="18"/>
              </w:rPr>
              <w:t xml:space="preserve"> is classed as a Rural Access Road within Naracoorte Lucindale Council. It is Unsealed, the length is 6.937km, approx. 3kms and is only 5m wide. According to the LG Heavy Vehicle Assessment Guidelines the minimum width of 6.1m is required for B doubles. </w:t>
            </w:r>
          </w:p>
          <w:p w14:paraId="05CD2ECA" w14:textId="77777777" w:rsidR="00D3145A" w:rsidRPr="00D3145A" w:rsidRDefault="00D3145A" w:rsidP="00D3145A">
            <w:pPr>
              <w:contextualSpacing/>
              <w:rPr>
                <w:rFonts w:cstheme="minorHAnsi"/>
                <w:sz w:val="18"/>
                <w:szCs w:val="18"/>
              </w:rPr>
            </w:pPr>
          </w:p>
          <w:p w14:paraId="2B88C0FE" w14:textId="77777777" w:rsidR="00D3145A" w:rsidRPr="00D3145A" w:rsidRDefault="00D3145A" w:rsidP="00D3145A">
            <w:pPr>
              <w:contextualSpacing/>
              <w:rPr>
                <w:rFonts w:cstheme="minorHAnsi"/>
                <w:sz w:val="18"/>
                <w:szCs w:val="18"/>
              </w:rPr>
            </w:pPr>
            <w:r w:rsidRPr="00D3145A">
              <w:rPr>
                <w:rFonts w:cstheme="minorHAnsi"/>
                <w:sz w:val="18"/>
                <w:szCs w:val="18"/>
              </w:rPr>
              <w:t xml:space="preserve">Therefore, </w:t>
            </w:r>
            <w:proofErr w:type="spellStart"/>
            <w:r w:rsidRPr="00D3145A">
              <w:rPr>
                <w:rFonts w:cstheme="minorHAnsi"/>
                <w:sz w:val="18"/>
                <w:szCs w:val="18"/>
              </w:rPr>
              <w:t>Monfries</w:t>
            </w:r>
            <w:proofErr w:type="spellEnd"/>
            <w:r w:rsidRPr="00D3145A">
              <w:rPr>
                <w:rFonts w:cstheme="minorHAnsi"/>
                <w:sz w:val="18"/>
                <w:szCs w:val="18"/>
              </w:rPr>
              <w:t xml:space="preserve"> Road is not suitable for B-Doubles.</w:t>
            </w:r>
          </w:p>
          <w:p w14:paraId="730FC5B5" w14:textId="3860A04C" w:rsidR="00E81737" w:rsidRPr="00064ED7" w:rsidRDefault="00D3145A" w:rsidP="00D3145A">
            <w:pPr>
              <w:contextualSpacing/>
              <w:rPr>
                <w:rFonts w:cstheme="minorHAnsi"/>
                <w:sz w:val="18"/>
                <w:szCs w:val="18"/>
              </w:rPr>
            </w:pPr>
            <w:r w:rsidRPr="00D3145A">
              <w:rPr>
                <w:rFonts w:cstheme="minorHAnsi"/>
                <w:sz w:val="18"/>
                <w:szCs w:val="18"/>
              </w:rPr>
              <w:t>These vehicles are also likely to pose significant risk to public safety arising from heavy vehicle use that is incompatible with the road infrastructure.</w:t>
            </w:r>
          </w:p>
        </w:tc>
      </w:tr>
    </w:tbl>
    <w:p w14:paraId="70F05D39" w14:textId="77777777" w:rsidR="00E81737" w:rsidRDefault="00E81737" w:rsidP="00090601">
      <w:pPr>
        <w:contextualSpacing/>
        <w:rPr>
          <w:b/>
          <w:bCs/>
        </w:rPr>
      </w:pPr>
    </w:p>
    <w:p w14:paraId="57434FD0" w14:textId="77777777" w:rsidR="00E81737" w:rsidRPr="004F7A6F" w:rsidRDefault="00E81737" w:rsidP="00090601">
      <w:pPr>
        <w:contextualSpacing/>
        <w:rPr>
          <w:b/>
          <w:bCs/>
        </w:rPr>
      </w:pPr>
    </w:p>
    <w:sectPr w:rsidR="00E81737" w:rsidRPr="004F7A6F" w:rsidSect="00426F39">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7724" w14:textId="77777777" w:rsidR="00DD0D19" w:rsidRDefault="00DD0D19" w:rsidP="00426F39">
      <w:pPr>
        <w:spacing w:after="0" w:line="240" w:lineRule="auto"/>
      </w:pPr>
      <w:r>
        <w:separator/>
      </w:r>
    </w:p>
  </w:endnote>
  <w:endnote w:type="continuationSeparator" w:id="0">
    <w:p w14:paraId="26F9AA21" w14:textId="77777777" w:rsidR="00DD0D19" w:rsidRDefault="00DD0D19" w:rsidP="0042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582715"/>
      <w:docPartObj>
        <w:docPartGallery w:val="Page Numbers (Bottom of Page)"/>
        <w:docPartUnique/>
      </w:docPartObj>
    </w:sdtPr>
    <w:sdtEndPr/>
    <w:sdtContent>
      <w:sdt>
        <w:sdtPr>
          <w:id w:val="-1769616900"/>
          <w:docPartObj>
            <w:docPartGallery w:val="Page Numbers (Top of Page)"/>
            <w:docPartUnique/>
          </w:docPartObj>
        </w:sdtPr>
        <w:sdtEndPr/>
        <w:sdtContent>
          <w:p w14:paraId="4EA95489" w14:textId="6ED8F18F" w:rsidR="00426F39" w:rsidRPr="00426F39" w:rsidRDefault="00426F39" w:rsidP="00426F39">
            <w:pPr>
              <w:pStyle w:val="Footer"/>
              <w:jc w:val="right"/>
            </w:pPr>
          </w:p>
          <w:p w14:paraId="2AE8961B" w14:textId="3F4647B7" w:rsidR="00426F39" w:rsidRPr="00426F39" w:rsidRDefault="00426F39" w:rsidP="00426F39">
            <w:pPr>
              <w:pStyle w:val="Footer"/>
              <w:jc w:val="right"/>
            </w:pPr>
            <w:r w:rsidRPr="00426F39">
              <w:t>Heavy Vehicle Stated Maps – Amendment Notice 2022 (No.1)</w:t>
            </w:r>
          </w:p>
          <w:p w14:paraId="69B9E38E" w14:textId="68193A90" w:rsidR="00426F39" w:rsidRDefault="00426F39" w:rsidP="00426F39">
            <w:pPr>
              <w:pStyle w:val="Footer"/>
              <w:jc w:val="right"/>
            </w:pPr>
            <w:r w:rsidRPr="00426F39">
              <w:t xml:space="preserve">Page </w:t>
            </w:r>
            <w:r w:rsidRPr="00426F39">
              <w:rPr>
                <w:sz w:val="24"/>
                <w:szCs w:val="24"/>
              </w:rPr>
              <w:fldChar w:fldCharType="begin"/>
            </w:r>
            <w:r w:rsidRPr="00426F39">
              <w:instrText xml:space="preserve"> PAGE </w:instrText>
            </w:r>
            <w:r w:rsidRPr="00426F39">
              <w:rPr>
                <w:sz w:val="24"/>
                <w:szCs w:val="24"/>
              </w:rPr>
              <w:fldChar w:fldCharType="separate"/>
            </w:r>
            <w:r w:rsidRPr="00426F39">
              <w:rPr>
                <w:noProof/>
              </w:rPr>
              <w:t>2</w:t>
            </w:r>
            <w:r w:rsidRPr="00426F39">
              <w:rPr>
                <w:sz w:val="24"/>
                <w:szCs w:val="24"/>
              </w:rPr>
              <w:fldChar w:fldCharType="end"/>
            </w:r>
            <w:r w:rsidRPr="00426F39">
              <w:t xml:space="preserve"> of </w:t>
            </w:r>
            <w:r w:rsidR="005F0B70">
              <w:fldChar w:fldCharType="begin"/>
            </w:r>
            <w:r w:rsidR="005F0B70">
              <w:instrText xml:space="preserve"> NUMPAGES  </w:instrText>
            </w:r>
            <w:r w:rsidR="005F0B70">
              <w:fldChar w:fldCharType="separate"/>
            </w:r>
            <w:r w:rsidRPr="00426F39">
              <w:rPr>
                <w:noProof/>
              </w:rPr>
              <w:t>2</w:t>
            </w:r>
            <w:r w:rsidR="005F0B70">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33735"/>
      <w:docPartObj>
        <w:docPartGallery w:val="Page Numbers (Top of Page)"/>
        <w:docPartUnique/>
      </w:docPartObj>
    </w:sdtPr>
    <w:sdtEndPr/>
    <w:sdtContent>
      <w:p w14:paraId="31552791" w14:textId="77777777" w:rsidR="00426F39" w:rsidRPr="00426F39" w:rsidRDefault="00426F39" w:rsidP="00426F39">
        <w:pPr>
          <w:pStyle w:val="Footer"/>
          <w:jc w:val="right"/>
        </w:pPr>
      </w:p>
      <w:p w14:paraId="2ADBB361" w14:textId="77777777" w:rsidR="00426F39" w:rsidRPr="00426F39" w:rsidRDefault="00426F39" w:rsidP="00426F39">
        <w:pPr>
          <w:pStyle w:val="Footer"/>
          <w:jc w:val="right"/>
        </w:pPr>
        <w:r w:rsidRPr="00426F39">
          <w:t>Heavy Vehicle Stated Maps – Amendment Notice 2022 (No.1)</w:t>
        </w:r>
      </w:p>
      <w:p w14:paraId="099946E8" w14:textId="68817BAF" w:rsidR="00426F39" w:rsidRDefault="00426F39" w:rsidP="00426F39">
        <w:pPr>
          <w:pStyle w:val="Footer"/>
          <w:jc w:val="right"/>
        </w:pPr>
        <w:r w:rsidRPr="00426F39">
          <w:t xml:space="preserve">Page </w:t>
        </w:r>
        <w:r w:rsidRPr="00426F39">
          <w:rPr>
            <w:sz w:val="24"/>
            <w:szCs w:val="24"/>
          </w:rPr>
          <w:fldChar w:fldCharType="begin"/>
        </w:r>
        <w:r w:rsidRPr="00426F39">
          <w:instrText xml:space="preserve"> PAGE </w:instrText>
        </w:r>
        <w:r w:rsidRPr="00426F39">
          <w:rPr>
            <w:sz w:val="24"/>
            <w:szCs w:val="24"/>
          </w:rPr>
          <w:fldChar w:fldCharType="separate"/>
        </w:r>
        <w:r>
          <w:rPr>
            <w:sz w:val="24"/>
            <w:szCs w:val="24"/>
          </w:rPr>
          <w:t>2</w:t>
        </w:r>
        <w:r w:rsidRPr="00426F39">
          <w:rPr>
            <w:sz w:val="24"/>
            <w:szCs w:val="24"/>
          </w:rPr>
          <w:fldChar w:fldCharType="end"/>
        </w:r>
        <w:r w:rsidRPr="00426F39">
          <w:t xml:space="preserve"> of </w:t>
        </w:r>
        <w:fldSimple w:instr=" NUMPAGES  ">
          <w:r>
            <w:rPr>
              <w:sz w:val="24"/>
              <w:szCs w:val="24"/>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AF3B" w14:textId="77777777" w:rsidR="00DD0D19" w:rsidRDefault="00DD0D19" w:rsidP="00426F39">
      <w:pPr>
        <w:spacing w:after="0" w:line="240" w:lineRule="auto"/>
      </w:pPr>
      <w:r>
        <w:separator/>
      </w:r>
    </w:p>
  </w:footnote>
  <w:footnote w:type="continuationSeparator" w:id="0">
    <w:p w14:paraId="09C89C66" w14:textId="77777777" w:rsidR="00DD0D19" w:rsidRDefault="00DD0D19" w:rsidP="00426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AA672A" w:rsidRPr="00CE796A" w14:paraId="4DF3D3CC" w14:textId="77777777" w:rsidTr="00F9358F">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EDF1127" w14:textId="77777777" w:rsidR="00AA672A" w:rsidRPr="00CE796A" w:rsidRDefault="00AA672A" w:rsidP="00AA672A">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8753C18" wp14:editId="748F63F2">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EA1F8DB" w14:textId="77777777" w:rsidR="00AA672A" w:rsidRPr="00CE796A" w:rsidRDefault="00AA672A" w:rsidP="00AA672A">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6D4D4C8" w14:textId="77777777" w:rsidR="00AA672A" w:rsidRPr="00CE796A" w:rsidRDefault="00AA672A" w:rsidP="00AA672A">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A672A" w:rsidRPr="00CE796A" w14:paraId="23755CC8" w14:textId="77777777" w:rsidTr="00F9358F">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E111C77" w14:textId="77777777" w:rsidR="00AA672A" w:rsidRPr="00CE796A" w:rsidRDefault="00AA672A" w:rsidP="00AA672A">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17DD587" w14:textId="77777777" w:rsidR="00AA672A" w:rsidRPr="00840A06" w:rsidRDefault="00AA672A" w:rsidP="00AA672A">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037F6D49" w14:textId="77777777" w:rsidR="00AA672A" w:rsidRDefault="00AA6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4253"/>
    <w:multiLevelType w:val="hybridMultilevel"/>
    <w:tmpl w:val="44F26A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4A0E2D1A"/>
    <w:multiLevelType w:val="hybridMultilevel"/>
    <w:tmpl w:val="19485D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40D225C"/>
    <w:multiLevelType w:val="hybridMultilevel"/>
    <w:tmpl w:val="7CD21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533E88"/>
    <w:multiLevelType w:val="hybridMultilevel"/>
    <w:tmpl w:val="533C8B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4B"/>
    <w:rsid w:val="00003A4F"/>
    <w:rsid w:val="000200C1"/>
    <w:rsid w:val="000418A2"/>
    <w:rsid w:val="00064ED7"/>
    <w:rsid w:val="00090601"/>
    <w:rsid w:val="002056BB"/>
    <w:rsid w:val="002247D5"/>
    <w:rsid w:val="00271348"/>
    <w:rsid w:val="00327609"/>
    <w:rsid w:val="003369F4"/>
    <w:rsid w:val="003F576D"/>
    <w:rsid w:val="003F76CA"/>
    <w:rsid w:val="00426F39"/>
    <w:rsid w:val="004A28DB"/>
    <w:rsid w:val="004C78BC"/>
    <w:rsid w:val="004F7A6F"/>
    <w:rsid w:val="00502284"/>
    <w:rsid w:val="005054A8"/>
    <w:rsid w:val="005A58E1"/>
    <w:rsid w:val="005D7A26"/>
    <w:rsid w:val="005F180C"/>
    <w:rsid w:val="0062244B"/>
    <w:rsid w:val="006318B6"/>
    <w:rsid w:val="006832A5"/>
    <w:rsid w:val="0069400B"/>
    <w:rsid w:val="006963B6"/>
    <w:rsid w:val="006968A2"/>
    <w:rsid w:val="00731D4B"/>
    <w:rsid w:val="007A5B65"/>
    <w:rsid w:val="007D6756"/>
    <w:rsid w:val="007E3765"/>
    <w:rsid w:val="00823C7A"/>
    <w:rsid w:val="008364DD"/>
    <w:rsid w:val="008D2628"/>
    <w:rsid w:val="00917D1D"/>
    <w:rsid w:val="0092015D"/>
    <w:rsid w:val="009272BA"/>
    <w:rsid w:val="009E013C"/>
    <w:rsid w:val="00A064B2"/>
    <w:rsid w:val="00A84BBD"/>
    <w:rsid w:val="00AA672A"/>
    <w:rsid w:val="00BC799E"/>
    <w:rsid w:val="00CA1E38"/>
    <w:rsid w:val="00D15E80"/>
    <w:rsid w:val="00D3145A"/>
    <w:rsid w:val="00DD0D19"/>
    <w:rsid w:val="00DF6F42"/>
    <w:rsid w:val="00E81737"/>
    <w:rsid w:val="00E90C52"/>
    <w:rsid w:val="00F17E24"/>
    <w:rsid w:val="00FD44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EDF7F"/>
  <w15:chartTrackingRefBased/>
  <w15:docId w15:val="{F436BB07-A4CC-464B-B13C-76624331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601"/>
    <w:pPr>
      <w:ind w:left="720"/>
      <w:contextualSpacing/>
    </w:pPr>
  </w:style>
  <w:style w:type="table" w:styleId="TableGrid">
    <w:name w:val="Table Grid"/>
    <w:basedOn w:val="TableNormal"/>
    <w:uiPriority w:val="39"/>
    <w:rsid w:val="00E81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Level1singleparanonumber">
    <w:name w:val="Body Level 1 single para (no number)"/>
    <w:basedOn w:val="Normal"/>
    <w:link w:val="BodyLevel1singleparanonumberChar"/>
    <w:qFormat/>
    <w:rsid w:val="006968A2"/>
    <w:pPr>
      <w:widowControl w:val="0"/>
      <w:tabs>
        <w:tab w:val="left" w:pos="1380"/>
      </w:tabs>
      <w:spacing w:before="97" w:after="200" w:line="226" w:lineRule="auto"/>
      <w:ind w:left="1378" w:right="108"/>
    </w:pPr>
    <w:rPr>
      <w:rFonts w:ascii="Calibri" w:eastAsia="Times New Roman" w:hAnsi="Calibri"/>
      <w:spacing w:val="-1"/>
      <w:sz w:val="24"/>
      <w:szCs w:val="24"/>
      <w:lang w:val="en-US"/>
    </w:rPr>
  </w:style>
  <w:style w:type="character" w:customStyle="1" w:styleId="BodyLevel1singleparanonumberChar">
    <w:name w:val="Body Level 1 single para (no number) Char"/>
    <w:basedOn w:val="DefaultParagraphFont"/>
    <w:link w:val="BodyLevel1singleparanonumber"/>
    <w:rsid w:val="006968A2"/>
    <w:rPr>
      <w:rFonts w:ascii="Calibri" w:eastAsia="Times New Roman" w:hAnsi="Calibri"/>
      <w:spacing w:val="-1"/>
      <w:sz w:val="24"/>
      <w:szCs w:val="24"/>
      <w:lang w:val="en-US"/>
    </w:rPr>
  </w:style>
  <w:style w:type="paragraph" w:styleId="Header">
    <w:name w:val="header"/>
    <w:basedOn w:val="Normal"/>
    <w:link w:val="HeaderChar"/>
    <w:uiPriority w:val="99"/>
    <w:unhideWhenUsed/>
    <w:rsid w:val="00426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F39"/>
  </w:style>
  <w:style w:type="paragraph" w:styleId="Footer">
    <w:name w:val="footer"/>
    <w:basedOn w:val="Normal"/>
    <w:link w:val="FooterChar"/>
    <w:uiPriority w:val="99"/>
    <w:unhideWhenUsed/>
    <w:rsid w:val="00426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26790A6-5B26-4269-8B79-D466126FE0D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49</cp:revision>
  <dcterms:created xsi:type="dcterms:W3CDTF">2022-05-06T00:03:00Z</dcterms:created>
  <dcterms:modified xsi:type="dcterms:W3CDTF">2022-05-06T00:36:00Z</dcterms:modified>
</cp:coreProperties>
</file>