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0E18" w14:textId="6ECC0FA3" w:rsidR="00784520" w:rsidRPr="005735B5" w:rsidRDefault="00947A82" w:rsidP="006667A2">
      <w:pPr>
        <w:contextualSpacing/>
        <w:jc w:val="both"/>
        <w:rPr>
          <w:b/>
          <w:bCs/>
          <w:sz w:val="28"/>
          <w:szCs w:val="28"/>
          <w:lang w:val="en-US"/>
        </w:rPr>
      </w:pPr>
      <w:r w:rsidRPr="005735B5">
        <w:rPr>
          <w:b/>
          <w:bCs/>
          <w:sz w:val="28"/>
          <w:szCs w:val="28"/>
          <w:lang w:val="en-US"/>
        </w:rPr>
        <w:t>HEAVY VEHICLE NATIONAL LAW</w:t>
      </w:r>
    </w:p>
    <w:p w14:paraId="2580D421" w14:textId="1A551618" w:rsidR="00FF4562" w:rsidRPr="005735B5" w:rsidRDefault="00FF4562" w:rsidP="006667A2">
      <w:pPr>
        <w:contextualSpacing/>
        <w:jc w:val="both"/>
        <w:rPr>
          <w:b/>
          <w:bCs/>
          <w:sz w:val="28"/>
          <w:szCs w:val="28"/>
          <w:lang w:val="en-US"/>
        </w:rPr>
      </w:pPr>
      <w:bookmarkStart w:id="0" w:name="_Hlk64372093"/>
      <w:r w:rsidRPr="005735B5">
        <w:rPr>
          <w:b/>
          <w:bCs/>
          <w:sz w:val="28"/>
          <w:szCs w:val="28"/>
          <w:lang w:val="en-US"/>
        </w:rPr>
        <w:t xml:space="preserve">National Class 2 Performance Based </w:t>
      </w:r>
      <w:r w:rsidR="008D299C">
        <w:rPr>
          <w:b/>
          <w:bCs/>
          <w:sz w:val="28"/>
          <w:szCs w:val="28"/>
          <w:lang w:val="en-US"/>
        </w:rPr>
        <w:t xml:space="preserve">Standards </w:t>
      </w:r>
      <w:r w:rsidR="008667A3">
        <w:rPr>
          <w:b/>
          <w:bCs/>
          <w:sz w:val="28"/>
          <w:szCs w:val="28"/>
          <w:lang w:val="en-US"/>
        </w:rPr>
        <w:t>(</w:t>
      </w:r>
      <w:r w:rsidR="00DB0872">
        <w:rPr>
          <w:b/>
          <w:bCs/>
          <w:sz w:val="28"/>
          <w:szCs w:val="28"/>
          <w:lang w:val="en-US"/>
        </w:rPr>
        <w:t>Tier 1</w:t>
      </w:r>
      <w:r w:rsidR="00A146C4">
        <w:rPr>
          <w:b/>
          <w:bCs/>
          <w:sz w:val="28"/>
          <w:szCs w:val="28"/>
          <w:lang w:val="en-US"/>
        </w:rPr>
        <w:t xml:space="preserve">) </w:t>
      </w:r>
      <w:proofErr w:type="spellStart"/>
      <w:r w:rsidRPr="005735B5">
        <w:rPr>
          <w:b/>
          <w:bCs/>
          <w:sz w:val="28"/>
          <w:szCs w:val="28"/>
          <w:lang w:val="en-US"/>
        </w:rPr>
        <w:t>Authorisation</w:t>
      </w:r>
      <w:proofErr w:type="spellEnd"/>
      <w:r w:rsidRPr="005735B5">
        <w:rPr>
          <w:b/>
          <w:bCs/>
          <w:sz w:val="28"/>
          <w:szCs w:val="28"/>
          <w:lang w:val="en-US"/>
        </w:rPr>
        <w:t xml:space="preserve"> Notice 202</w:t>
      </w:r>
      <w:r w:rsidR="00512E6C">
        <w:rPr>
          <w:b/>
          <w:bCs/>
          <w:sz w:val="28"/>
          <w:szCs w:val="28"/>
          <w:lang w:val="en-US"/>
        </w:rPr>
        <w:t>2</w:t>
      </w:r>
      <w:r w:rsidR="00426668">
        <w:rPr>
          <w:b/>
          <w:bCs/>
          <w:sz w:val="28"/>
          <w:szCs w:val="28"/>
          <w:lang w:val="en-US"/>
        </w:rPr>
        <w:t xml:space="preserve"> (No.</w:t>
      </w:r>
      <w:r w:rsidR="00CE767E">
        <w:rPr>
          <w:b/>
          <w:bCs/>
          <w:sz w:val="28"/>
          <w:szCs w:val="28"/>
          <w:lang w:val="en-US"/>
        </w:rPr>
        <w:t>1</w:t>
      </w:r>
      <w:r w:rsidR="00426668">
        <w:rPr>
          <w:b/>
          <w:bCs/>
          <w:sz w:val="28"/>
          <w:szCs w:val="28"/>
          <w:lang w:val="en-US"/>
        </w:rPr>
        <w:t>)</w:t>
      </w:r>
      <w:bookmarkEnd w:id="0"/>
    </w:p>
    <w:p w14:paraId="44B05445" w14:textId="792BEEC8" w:rsidR="00FF4562" w:rsidRDefault="00FF4562" w:rsidP="006667A2">
      <w:pPr>
        <w:pStyle w:val="ListParagraph"/>
        <w:numPr>
          <w:ilvl w:val="0"/>
          <w:numId w:val="1"/>
        </w:numPr>
        <w:jc w:val="both"/>
        <w:rPr>
          <w:b/>
          <w:bCs/>
          <w:lang w:val="en-US"/>
        </w:rPr>
      </w:pPr>
      <w:r w:rsidRPr="00B14C9A">
        <w:rPr>
          <w:b/>
          <w:bCs/>
          <w:lang w:val="en-US"/>
        </w:rPr>
        <w:t>Purpose</w:t>
      </w:r>
    </w:p>
    <w:p w14:paraId="257466C5" w14:textId="77777777" w:rsidR="00437619" w:rsidRPr="00B14C9A" w:rsidRDefault="00437619" w:rsidP="006667A2">
      <w:pPr>
        <w:pStyle w:val="ListParagraph"/>
        <w:jc w:val="both"/>
        <w:rPr>
          <w:b/>
          <w:bCs/>
          <w:lang w:val="en-US"/>
        </w:rPr>
      </w:pPr>
    </w:p>
    <w:p w14:paraId="4D77475E" w14:textId="577BD7A2" w:rsidR="00FF4562" w:rsidRPr="00EF64FE" w:rsidRDefault="00FF4562" w:rsidP="006667A2">
      <w:pPr>
        <w:pStyle w:val="ListParagraph"/>
        <w:ind w:left="1080"/>
        <w:jc w:val="both"/>
        <w:rPr>
          <w:lang w:val="en-US"/>
        </w:rPr>
      </w:pPr>
      <w:r w:rsidRPr="00EF64FE">
        <w:rPr>
          <w:lang w:val="en-US"/>
        </w:rPr>
        <w:t xml:space="preserve">This Notice </w:t>
      </w:r>
      <w:proofErr w:type="spellStart"/>
      <w:r w:rsidR="00F816C1">
        <w:rPr>
          <w:lang w:val="en-US"/>
        </w:rPr>
        <w:t>authorises</w:t>
      </w:r>
      <w:proofErr w:type="spellEnd"/>
      <w:r w:rsidR="00BB6FF4" w:rsidRPr="00EF64FE">
        <w:rPr>
          <w:lang w:val="en-US"/>
        </w:rPr>
        <w:t xml:space="preserve"> access</w:t>
      </w:r>
      <w:r w:rsidR="00F816C1">
        <w:rPr>
          <w:lang w:val="en-US"/>
        </w:rPr>
        <w:t xml:space="preserve"> to specified networks by</w:t>
      </w:r>
      <w:r w:rsidR="00BB6FF4" w:rsidRPr="00EF64FE">
        <w:rPr>
          <w:lang w:val="en-US"/>
        </w:rPr>
        <w:t xml:space="preserve"> </w:t>
      </w:r>
      <w:r w:rsidR="002B4A9A">
        <w:rPr>
          <w:lang w:val="en-US"/>
        </w:rPr>
        <w:t>eligible</w:t>
      </w:r>
      <w:r w:rsidR="00BB6FF4" w:rsidRPr="00EF64FE">
        <w:rPr>
          <w:lang w:val="en-US"/>
        </w:rPr>
        <w:t xml:space="preserve"> Performance </w:t>
      </w:r>
      <w:r w:rsidR="005551FD">
        <w:rPr>
          <w:lang w:val="en-US"/>
        </w:rPr>
        <w:t>B</w:t>
      </w:r>
      <w:r w:rsidR="00BB6FF4" w:rsidRPr="00EF64FE">
        <w:rPr>
          <w:lang w:val="en-US"/>
        </w:rPr>
        <w:t>ased Standards (PBS) vehicles</w:t>
      </w:r>
      <w:r w:rsidR="00443A92">
        <w:rPr>
          <w:lang w:val="en-US"/>
        </w:rPr>
        <w:t xml:space="preserve"> that hold a Vehicle Approval </w:t>
      </w:r>
      <w:r w:rsidR="00106C7E">
        <w:rPr>
          <w:lang w:val="en-US"/>
        </w:rPr>
        <w:t xml:space="preserve">to operate </w:t>
      </w:r>
      <w:r w:rsidR="001D0A26">
        <w:rPr>
          <w:lang w:val="en-US"/>
        </w:rPr>
        <w:t>that meet</w:t>
      </w:r>
      <w:r w:rsidR="00762DDD">
        <w:rPr>
          <w:lang w:val="en-US"/>
        </w:rPr>
        <w:t xml:space="preserve"> the requirements of </w:t>
      </w:r>
      <w:r w:rsidR="00762DDD" w:rsidRPr="00762DDD">
        <w:rPr>
          <w:lang w:val="en-US"/>
        </w:rPr>
        <w:t>Tier 1 General Access or Restricted Access</w:t>
      </w:r>
      <w:r w:rsidR="00762DDD">
        <w:rPr>
          <w:lang w:val="en-US"/>
        </w:rPr>
        <w:t xml:space="preserve"> under </w:t>
      </w:r>
      <w:r w:rsidR="002A4DD9">
        <w:rPr>
          <w:lang w:val="en-US"/>
        </w:rPr>
        <w:t xml:space="preserve">Part A4 of the </w:t>
      </w:r>
      <w:r w:rsidR="002A4DD9" w:rsidRPr="002A4DD9">
        <w:rPr>
          <w:i/>
          <w:iCs/>
          <w:lang w:val="en-US"/>
        </w:rPr>
        <w:t>Standards and Vehicle Assessment Rules</w:t>
      </w:r>
      <w:r w:rsidR="00A16FAF">
        <w:rPr>
          <w:lang w:val="en-US"/>
        </w:rPr>
        <w:t xml:space="preserve">, and </w:t>
      </w:r>
      <w:r w:rsidR="00323E7F">
        <w:rPr>
          <w:lang w:val="en-US"/>
        </w:rPr>
        <w:t>that comply</w:t>
      </w:r>
      <w:r w:rsidR="00A16FAF">
        <w:rPr>
          <w:lang w:val="en-US"/>
        </w:rPr>
        <w:t xml:space="preserve"> with the other conditions of this Notice.</w:t>
      </w:r>
    </w:p>
    <w:p w14:paraId="259982CB" w14:textId="0D3B5DA5" w:rsidR="002609C8" w:rsidRDefault="002609C8" w:rsidP="006667A2">
      <w:pPr>
        <w:pStyle w:val="ListParagraph"/>
        <w:ind w:left="1080"/>
        <w:jc w:val="both"/>
        <w:rPr>
          <w:lang w:val="en-US"/>
        </w:rPr>
      </w:pPr>
    </w:p>
    <w:p w14:paraId="35C5A9E9" w14:textId="198F8E0B" w:rsidR="000B227A" w:rsidRDefault="002609C8" w:rsidP="00DD239C">
      <w:pPr>
        <w:pStyle w:val="ListParagraph"/>
        <w:ind w:left="2160" w:hanging="1080"/>
        <w:jc w:val="both"/>
        <w:rPr>
          <w:i/>
          <w:iCs/>
          <w:lang w:val="en-US"/>
        </w:rPr>
      </w:pPr>
      <w:r w:rsidRPr="00CC2C16">
        <w:rPr>
          <w:i/>
          <w:iCs/>
          <w:lang w:val="en-US"/>
        </w:rPr>
        <w:t>Note</w:t>
      </w:r>
      <w:r w:rsidR="00E96E9B">
        <w:rPr>
          <w:i/>
          <w:iCs/>
          <w:lang w:val="en-US"/>
        </w:rPr>
        <w:t>:</w:t>
      </w:r>
      <w:r w:rsidR="00E96E9B">
        <w:rPr>
          <w:i/>
          <w:iCs/>
          <w:lang w:val="en-US"/>
        </w:rPr>
        <w:tab/>
      </w:r>
      <w:r w:rsidR="00526FB4">
        <w:rPr>
          <w:i/>
          <w:iCs/>
          <w:lang w:val="en-US"/>
        </w:rPr>
        <w:t>T</w:t>
      </w:r>
      <w:r w:rsidR="00E96E9B">
        <w:rPr>
          <w:i/>
          <w:iCs/>
          <w:lang w:val="en-US"/>
        </w:rPr>
        <w:t xml:space="preserve">his Notice operates in conjunction with the </w:t>
      </w:r>
      <w:r w:rsidR="00E96E9B" w:rsidRPr="00E96E9B">
        <w:rPr>
          <w:i/>
          <w:iCs/>
          <w:lang w:val="en-US"/>
        </w:rPr>
        <w:t xml:space="preserve">National Class 2 Performance Based Standards (Tier 1) </w:t>
      </w:r>
      <w:r w:rsidR="00563E93">
        <w:rPr>
          <w:i/>
          <w:iCs/>
          <w:lang w:val="en-US"/>
        </w:rPr>
        <w:t xml:space="preserve">Operators </w:t>
      </w:r>
      <w:r w:rsidR="002F4937">
        <w:rPr>
          <w:i/>
          <w:iCs/>
          <w:lang w:val="en-US"/>
        </w:rPr>
        <w:t>Guide (the Guide).</w:t>
      </w:r>
    </w:p>
    <w:p w14:paraId="7606FB8D" w14:textId="77777777" w:rsidR="00216D0A" w:rsidRDefault="00216D0A" w:rsidP="00DD239C">
      <w:pPr>
        <w:pStyle w:val="ListParagraph"/>
        <w:ind w:left="2160" w:hanging="1080"/>
        <w:jc w:val="both"/>
        <w:rPr>
          <w:i/>
          <w:iCs/>
          <w:lang w:val="en-US"/>
        </w:rPr>
      </w:pPr>
    </w:p>
    <w:p w14:paraId="1C6497AE" w14:textId="0FB11A5B" w:rsidR="00216D0A" w:rsidRPr="006A04C5" w:rsidRDefault="00216D0A" w:rsidP="00DD239C">
      <w:pPr>
        <w:pStyle w:val="ListParagraph"/>
        <w:ind w:left="2160" w:hanging="1080"/>
        <w:jc w:val="both"/>
        <w:rPr>
          <w:i/>
          <w:iCs/>
          <w:lang w:val="en-US"/>
        </w:rPr>
      </w:pPr>
      <w:r>
        <w:rPr>
          <w:i/>
          <w:iCs/>
          <w:lang w:val="en-US"/>
        </w:rPr>
        <w:tab/>
      </w:r>
      <w:r w:rsidR="00EA4AC7">
        <w:rPr>
          <w:i/>
          <w:iCs/>
          <w:lang w:val="en-US"/>
        </w:rPr>
        <w:t>This version of the Notice clarifies its application to vehicles with section 8 or 9 exemption granted under National Regulations.</w:t>
      </w:r>
    </w:p>
    <w:p w14:paraId="45DC0D39" w14:textId="77777777" w:rsidR="000B0CFB" w:rsidRPr="000B0CFB" w:rsidRDefault="000B0CFB" w:rsidP="000B0CFB">
      <w:pPr>
        <w:pStyle w:val="ListParagraph"/>
        <w:ind w:left="2160" w:hanging="1080"/>
        <w:jc w:val="both"/>
        <w:rPr>
          <w:i/>
          <w:iCs/>
          <w:lang w:val="en-US"/>
        </w:rPr>
      </w:pPr>
    </w:p>
    <w:p w14:paraId="5096FD2C" w14:textId="77777777" w:rsidR="00FA1051" w:rsidRDefault="00FA1051" w:rsidP="00FA1051">
      <w:pPr>
        <w:pStyle w:val="ListParagraph"/>
        <w:numPr>
          <w:ilvl w:val="0"/>
          <w:numId w:val="1"/>
        </w:numPr>
        <w:jc w:val="both"/>
        <w:rPr>
          <w:b/>
          <w:bCs/>
          <w:lang w:val="en-US"/>
        </w:rPr>
      </w:pPr>
      <w:r w:rsidRPr="00A37911">
        <w:rPr>
          <w:b/>
          <w:bCs/>
          <w:lang w:val="en-US"/>
        </w:rPr>
        <w:t>Title</w:t>
      </w:r>
    </w:p>
    <w:p w14:paraId="4B7B50C7" w14:textId="77777777" w:rsidR="00FA1051" w:rsidRPr="00A37911" w:rsidRDefault="00FA1051" w:rsidP="00FA1051">
      <w:pPr>
        <w:pStyle w:val="ListParagraph"/>
        <w:jc w:val="both"/>
        <w:rPr>
          <w:b/>
          <w:bCs/>
          <w:lang w:val="en-US"/>
        </w:rPr>
      </w:pPr>
    </w:p>
    <w:p w14:paraId="54D6BC81" w14:textId="6B05719E" w:rsidR="00FA1051" w:rsidRDefault="00FA1051" w:rsidP="00FA1051">
      <w:pPr>
        <w:pStyle w:val="ListParagraph"/>
        <w:ind w:left="1080"/>
        <w:jc w:val="both"/>
        <w:rPr>
          <w:lang w:val="en-US"/>
        </w:rPr>
      </w:pPr>
      <w:r>
        <w:rPr>
          <w:lang w:val="en-US"/>
        </w:rPr>
        <w:t xml:space="preserve">This Notice may be cited as the </w:t>
      </w:r>
      <w:r w:rsidRPr="00A06B07">
        <w:rPr>
          <w:i/>
          <w:iCs/>
          <w:lang w:val="en-US"/>
        </w:rPr>
        <w:t xml:space="preserve">National Class 2 Performance Based </w:t>
      </w:r>
      <w:r>
        <w:rPr>
          <w:i/>
          <w:iCs/>
          <w:lang w:val="en-US"/>
        </w:rPr>
        <w:t xml:space="preserve">Standards (Tier 1) </w:t>
      </w:r>
      <w:proofErr w:type="spellStart"/>
      <w:r w:rsidRPr="00A06B07">
        <w:rPr>
          <w:i/>
          <w:iCs/>
          <w:lang w:val="en-US"/>
        </w:rPr>
        <w:t>Authorisation</w:t>
      </w:r>
      <w:proofErr w:type="spellEnd"/>
      <w:r w:rsidRPr="00A06B07">
        <w:rPr>
          <w:i/>
          <w:iCs/>
          <w:lang w:val="en-US"/>
        </w:rPr>
        <w:t xml:space="preserve"> Notice 202</w:t>
      </w:r>
      <w:r w:rsidR="00CE767E">
        <w:rPr>
          <w:i/>
          <w:iCs/>
          <w:lang w:val="en-US"/>
        </w:rPr>
        <w:t>2</w:t>
      </w:r>
      <w:r>
        <w:rPr>
          <w:i/>
          <w:iCs/>
          <w:lang w:val="en-US"/>
        </w:rPr>
        <w:t xml:space="preserve"> (No.</w:t>
      </w:r>
      <w:r w:rsidR="00CE767E">
        <w:rPr>
          <w:i/>
          <w:iCs/>
          <w:lang w:val="en-US"/>
        </w:rPr>
        <w:t>1</w:t>
      </w:r>
      <w:r>
        <w:rPr>
          <w:i/>
          <w:iCs/>
          <w:lang w:val="en-US"/>
        </w:rPr>
        <w:t>)</w:t>
      </w:r>
      <w:r>
        <w:rPr>
          <w:lang w:val="en-US"/>
        </w:rPr>
        <w:t>.</w:t>
      </w:r>
    </w:p>
    <w:p w14:paraId="0004BB6D" w14:textId="77777777" w:rsidR="00437619" w:rsidRDefault="00437619" w:rsidP="006667A2">
      <w:pPr>
        <w:pStyle w:val="ListParagraph"/>
        <w:jc w:val="both"/>
        <w:rPr>
          <w:b/>
          <w:bCs/>
          <w:lang w:val="en-US"/>
        </w:rPr>
      </w:pPr>
    </w:p>
    <w:p w14:paraId="7FAFA331" w14:textId="7D974DA2" w:rsidR="00EF64FE" w:rsidRDefault="00747A23" w:rsidP="006667A2">
      <w:pPr>
        <w:pStyle w:val="ListParagraph"/>
        <w:numPr>
          <w:ilvl w:val="0"/>
          <w:numId w:val="1"/>
        </w:numPr>
        <w:jc w:val="both"/>
        <w:rPr>
          <w:b/>
          <w:bCs/>
          <w:lang w:val="en-US"/>
        </w:rPr>
      </w:pPr>
      <w:proofErr w:type="spellStart"/>
      <w:r w:rsidRPr="00B14C9A">
        <w:rPr>
          <w:b/>
          <w:bCs/>
          <w:lang w:val="en-US"/>
        </w:rPr>
        <w:t>Authorising</w:t>
      </w:r>
      <w:proofErr w:type="spellEnd"/>
      <w:r w:rsidRPr="00B14C9A">
        <w:rPr>
          <w:b/>
          <w:bCs/>
          <w:lang w:val="en-US"/>
        </w:rPr>
        <w:t xml:space="preserve"> provision</w:t>
      </w:r>
    </w:p>
    <w:p w14:paraId="7EADD751" w14:textId="77777777" w:rsidR="00EF64FE" w:rsidRPr="00EF64FE" w:rsidRDefault="00EF64FE" w:rsidP="006667A2">
      <w:pPr>
        <w:pStyle w:val="ListParagraph"/>
        <w:ind w:left="1440"/>
        <w:jc w:val="both"/>
        <w:rPr>
          <w:b/>
          <w:bCs/>
          <w:lang w:val="en-US"/>
        </w:rPr>
      </w:pPr>
    </w:p>
    <w:p w14:paraId="39425DB7" w14:textId="2F07C42B" w:rsidR="00A867DF" w:rsidRDefault="00747A23" w:rsidP="000E696B">
      <w:pPr>
        <w:pStyle w:val="ListParagraph"/>
        <w:numPr>
          <w:ilvl w:val="0"/>
          <w:numId w:val="16"/>
        </w:numPr>
        <w:jc w:val="both"/>
        <w:rPr>
          <w:lang w:val="en-US"/>
        </w:rPr>
      </w:pPr>
      <w:r w:rsidRPr="00EF64FE">
        <w:rPr>
          <w:lang w:val="en-US"/>
        </w:rPr>
        <w:t xml:space="preserve">This Notice is made under the following provision of the Heavy </w:t>
      </w:r>
      <w:r w:rsidR="002F3E9E">
        <w:rPr>
          <w:lang w:val="en-US"/>
        </w:rPr>
        <w:t>V</w:t>
      </w:r>
      <w:r w:rsidRPr="00EF64FE">
        <w:rPr>
          <w:lang w:val="en-US"/>
        </w:rPr>
        <w:t xml:space="preserve">ehicle National </w:t>
      </w:r>
      <w:r w:rsidR="000D5DDA">
        <w:rPr>
          <w:lang w:val="en-US"/>
        </w:rPr>
        <w:t>L</w:t>
      </w:r>
      <w:r w:rsidRPr="00EF64FE">
        <w:rPr>
          <w:lang w:val="en-US"/>
        </w:rPr>
        <w:t>aw</w:t>
      </w:r>
      <w:r w:rsidR="000D5DDA">
        <w:rPr>
          <w:lang w:val="en-US"/>
        </w:rPr>
        <w:t xml:space="preserve"> (HVNL)</w:t>
      </w:r>
      <w:r w:rsidRPr="00EF64FE">
        <w:rPr>
          <w:lang w:val="en-US"/>
        </w:rPr>
        <w:t>:</w:t>
      </w:r>
    </w:p>
    <w:p w14:paraId="3B744FD9" w14:textId="77777777" w:rsidR="00A867DF" w:rsidRDefault="00A867DF" w:rsidP="006667A2">
      <w:pPr>
        <w:pStyle w:val="ListParagraph"/>
        <w:ind w:left="1080"/>
        <w:jc w:val="both"/>
        <w:rPr>
          <w:lang w:val="en-US"/>
        </w:rPr>
      </w:pPr>
    </w:p>
    <w:p w14:paraId="501A917C" w14:textId="37B6B8E4" w:rsidR="00315D41" w:rsidRDefault="0033177E" w:rsidP="000E696B">
      <w:pPr>
        <w:pStyle w:val="ListParagraph"/>
        <w:numPr>
          <w:ilvl w:val="0"/>
          <w:numId w:val="2"/>
        </w:numPr>
        <w:jc w:val="both"/>
        <w:rPr>
          <w:lang w:val="en-US"/>
        </w:rPr>
      </w:pPr>
      <w:r w:rsidRPr="00315D41">
        <w:rPr>
          <w:i/>
          <w:iCs/>
          <w:lang w:val="en-US"/>
        </w:rPr>
        <w:t xml:space="preserve">Section </w:t>
      </w:r>
      <w:r w:rsidR="00315D41" w:rsidRPr="000D5DDA">
        <w:rPr>
          <w:i/>
          <w:iCs/>
          <w:lang w:val="en-US"/>
        </w:rPr>
        <w:t>138 -</w:t>
      </w:r>
      <w:r w:rsidR="00315D41">
        <w:rPr>
          <w:lang w:val="en-US"/>
        </w:rPr>
        <w:t xml:space="preserve"> </w:t>
      </w:r>
      <w:r w:rsidR="00315D41" w:rsidRPr="00437619">
        <w:rPr>
          <w:lang w:val="en-US"/>
        </w:rPr>
        <w:t xml:space="preserve">Regulator’s power to </w:t>
      </w:r>
      <w:proofErr w:type="spellStart"/>
      <w:r w:rsidR="00315D41" w:rsidRPr="00437619">
        <w:rPr>
          <w:lang w:val="en-US"/>
        </w:rPr>
        <w:t>authorise</w:t>
      </w:r>
      <w:proofErr w:type="spellEnd"/>
      <w:r w:rsidR="00315D41" w:rsidRPr="00437619">
        <w:rPr>
          <w:lang w:val="en-US"/>
        </w:rPr>
        <w:t xml:space="preserve"> use of class 2 heavy vehicles</w:t>
      </w:r>
      <w:r w:rsidR="00315D41">
        <w:rPr>
          <w:lang w:val="en-US"/>
        </w:rPr>
        <w:t xml:space="preserve"> under Gazette notice.</w:t>
      </w:r>
    </w:p>
    <w:p w14:paraId="7D11EE09" w14:textId="264C1824" w:rsidR="00025111" w:rsidRPr="00315D41" w:rsidRDefault="00025111" w:rsidP="006667A2">
      <w:pPr>
        <w:pStyle w:val="ListParagraph"/>
        <w:ind w:left="1800"/>
        <w:jc w:val="both"/>
        <w:rPr>
          <w:lang w:val="en-US"/>
        </w:rPr>
      </w:pPr>
    </w:p>
    <w:p w14:paraId="309CE668" w14:textId="52D6C26C" w:rsidR="00A867DF" w:rsidRDefault="00A4093F" w:rsidP="006667A2">
      <w:pPr>
        <w:pStyle w:val="ListParagraph"/>
        <w:numPr>
          <w:ilvl w:val="0"/>
          <w:numId w:val="1"/>
        </w:numPr>
        <w:jc w:val="both"/>
        <w:rPr>
          <w:b/>
          <w:bCs/>
          <w:lang w:val="en-US"/>
        </w:rPr>
      </w:pPr>
      <w:r w:rsidRPr="00FA61F7">
        <w:rPr>
          <w:b/>
          <w:bCs/>
          <w:lang w:val="en-US"/>
        </w:rPr>
        <w:t>Commencement</w:t>
      </w:r>
    </w:p>
    <w:p w14:paraId="13ED78E3" w14:textId="77777777" w:rsidR="00FA61F7" w:rsidRPr="00FA61F7" w:rsidRDefault="00FA61F7" w:rsidP="006667A2">
      <w:pPr>
        <w:pStyle w:val="ListParagraph"/>
        <w:jc w:val="both"/>
        <w:rPr>
          <w:b/>
          <w:bCs/>
          <w:lang w:val="en-US"/>
        </w:rPr>
      </w:pPr>
    </w:p>
    <w:p w14:paraId="69DA3CA9" w14:textId="3F90490A" w:rsidR="00FA61F7" w:rsidRDefault="00A4093F" w:rsidP="006667A2">
      <w:pPr>
        <w:pStyle w:val="ListParagraph"/>
        <w:ind w:left="1080"/>
        <w:jc w:val="both"/>
        <w:rPr>
          <w:lang w:val="en-US"/>
        </w:rPr>
      </w:pPr>
      <w:r>
        <w:rPr>
          <w:lang w:val="en-US"/>
        </w:rPr>
        <w:t>This Notice commences on</w:t>
      </w:r>
      <w:r w:rsidR="00261C4E">
        <w:rPr>
          <w:lang w:val="en-US"/>
        </w:rPr>
        <w:t xml:space="preserve"> 1</w:t>
      </w:r>
      <w:r w:rsidR="00CE767E">
        <w:rPr>
          <w:lang w:val="en-US"/>
        </w:rPr>
        <w:t>6</w:t>
      </w:r>
      <w:r w:rsidR="00261C4E">
        <w:rPr>
          <w:lang w:val="en-US"/>
        </w:rPr>
        <w:t xml:space="preserve"> May 2022</w:t>
      </w:r>
      <w:r w:rsidR="00177DB0">
        <w:rPr>
          <w:lang w:val="en-US"/>
        </w:rPr>
        <w:t>.</w:t>
      </w:r>
    </w:p>
    <w:p w14:paraId="519F211E" w14:textId="77777777" w:rsidR="00FA61F7" w:rsidRPr="00FA61F7" w:rsidRDefault="00FA61F7" w:rsidP="006667A2">
      <w:pPr>
        <w:pStyle w:val="ListParagraph"/>
        <w:ind w:left="1080"/>
        <w:jc w:val="both"/>
        <w:rPr>
          <w:lang w:val="en-US"/>
        </w:rPr>
      </w:pPr>
    </w:p>
    <w:p w14:paraId="7059B8A4" w14:textId="76DF92D4" w:rsidR="00A4093F" w:rsidRDefault="00A4093F" w:rsidP="006667A2">
      <w:pPr>
        <w:pStyle w:val="ListParagraph"/>
        <w:numPr>
          <w:ilvl w:val="0"/>
          <w:numId w:val="1"/>
        </w:numPr>
        <w:jc w:val="both"/>
        <w:rPr>
          <w:b/>
          <w:bCs/>
          <w:lang w:val="en-US"/>
        </w:rPr>
      </w:pPr>
      <w:r w:rsidRPr="00FA61F7">
        <w:rPr>
          <w:b/>
          <w:bCs/>
          <w:lang w:val="en-US"/>
        </w:rPr>
        <w:t>Expiry</w:t>
      </w:r>
    </w:p>
    <w:p w14:paraId="7A10CD57" w14:textId="77777777" w:rsidR="00A37911" w:rsidRPr="00FA61F7" w:rsidRDefault="00A37911" w:rsidP="006667A2">
      <w:pPr>
        <w:pStyle w:val="ListParagraph"/>
        <w:jc w:val="both"/>
        <w:rPr>
          <w:b/>
          <w:bCs/>
          <w:lang w:val="en-US"/>
        </w:rPr>
      </w:pPr>
    </w:p>
    <w:p w14:paraId="32288D2E" w14:textId="7F28B3FD" w:rsidR="00035AAF" w:rsidRPr="00035AAF" w:rsidRDefault="00A4093F" w:rsidP="006667A2">
      <w:pPr>
        <w:pStyle w:val="ListParagraph"/>
        <w:ind w:left="1080"/>
        <w:jc w:val="both"/>
        <w:rPr>
          <w:lang w:val="en-US"/>
        </w:rPr>
      </w:pPr>
      <w:r>
        <w:rPr>
          <w:lang w:val="en-US"/>
        </w:rPr>
        <w:t xml:space="preserve">This Notice expires on </w:t>
      </w:r>
      <w:r w:rsidR="001D5ECF">
        <w:rPr>
          <w:lang w:val="en-US"/>
        </w:rPr>
        <w:t>26 October 2026</w:t>
      </w:r>
      <w:r w:rsidR="003E7546">
        <w:rPr>
          <w:lang w:val="en-US"/>
        </w:rPr>
        <w:t>.</w:t>
      </w:r>
    </w:p>
    <w:p w14:paraId="58CA7360" w14:textId="77777777" w:rsidR="000909F1" w:rsidRPr="000909F1" w:rsidRDefault="000909F1" w:rsidP="006667A2">
      <w:pPr>
        <w:pStyle w:val="ListParagraph"/>
        <w:ind w:left="1080"/>
        <w:jc w:val="both"/>
        <w:rPr>
          <w:lang w:val="en-US"/>
        </w:rPr>
      </w:pPr>
    </w:p>
    <w:p w14:paraId="6075BB2B" w14:textId="110C5ECD" w:rsidR="00A4093F" w:rsidRDefault="002B4A9A" w:rsidP="006667A2">
      <w:pPr>
        <w:pStyle w:val="ListParagraph"/>
        <w:numPr>
          <w:ilvl w:val="0"/>
          <w:numId w:val="1"/>
        </w:numPr>
        <w:jc w:val="both"/>
        <w:rPr>
          <w:b/>
          <w:bCs/>
          <w:lang w:val="en-US"/>
        </w:rPr>
      </w:pPr>
      <w:r w:rsidRPr="000909F1">
        <w:rPr>
          <w:b/>
          <w:bCs/>
          <w:lang w:val="en-US"/>
        </w:rPr>
        <w:t>Definitions</w:t>
      </w:r>
    </w:p>
    <w:p w14:paraId="229D9818" w14:textId="77777777" w:rsidR="000909F1" w:rsidRPr="000909F1" w:rsidRDefault="000909F1" w:rsidP="006667A2">
      <w:pPr>
        <w:pStyle w:val="ListParagraph"/>
        <w:jc w:val="both"/>
        <w:rPr>
          <w:b/>
          <w:bCs/>
          <w:lang w:val="en-US"/>
        </w:rPr>
      </w:pPr>
    </w:p>
    <w:p w14:paraId="7952BBAF" w14:textId="4AC8518C" w:rsidR="002B4A9A" w:rsidRDefault="002B4A9A" w:rsidP="000E696B">
      <w:pPr>
        <w:pStyle w:val="ListParagraph"/>
        <w:numPr>
          <w:ilvl w:val="0"/>
          <w:numId w:val="17"/>
        </w:numPr>
        <w:jc w:val="both"/>
        <w:rPr>
          <w:lang w:val="en-US"/>
        </w:rPr>
      </w:pPr>
      <w:r>
        <w:rPr>
          <w:lang w:val="en-US"/>
        </w:rPr>
        <w:t xml:space="preserve">Unless stated, </w:t>
      </w:r>
      <w:r w:rsidR="00690468">
        <w:rPr>
          <w:lang w:val="en-US"/>
        </w:rPr>
        <w:t>words and expressions used in this Notice have the same meaning as those in the HVNL.</w:t>
      </w:r>
    </w:p>
    <w:p w14:paraId="01ED3437" w14:textId="3348F924" w:rsidR="00AA2DD6" w:rsidRDefault="00AA2DD6" w:rsidP="006667A2">
      <w:pPr>
        <w:pStyle w:val="ListParagraph"/>
        <w:ind w:left="1080"/>
        <w:jc w:val="both"/>
        <w:rPr>
          <w:lang w:val="en-US"/>
        </w:rPr>
      </w:pPr>
    </w:p>
    <w:p w14:paraId="118A95F3" w14:textId="0CA743C7" w:rsidR="00563E93" w:rsidRDefault="00563E93" w:rsidP="006667A2">
      <w:pPr>
        <w:pStyle w:val="ListParagraph"/>
        <w:ind w:left="1080"/>
        <w:jc w:val="both"/>
        <w:rPr>
          <w:lang w:val="en-US"/>
        </w:rPr>
      </w:pPr>
    </w:p>
    <w:p w14:paraId="07DFDB20" w14:textId="31E60616" w:rsidR="00563E93" w:rsidRDefault="00563E93" w:rsidP="006667A2">
      <w:pPr>
        <w:pStyle w:val="ListParagraph"/>
        <w:ind w:left="1080"/>
        <w:jc w:val="both"/>
        <w:rPr>
          <w:lang w:val="en-US"/>
        </w:rPr>
      </w:pPr>
    </w:p>
    <w:p w14:paraId="60843AF4" w14:textId="4BD68EFD" w:rsidR="00563E93" w:rsidRDefault="00563E93" w:rsidP="006667A2">
      <w:pPr>
        <w:pStyle w:val="ListParagraph"/>
        <w:ind w:left="1080"/>
        <w:jc w:val="both"/>
        <w:rPr>
          <w:lang w:val="en-US"/>
        </w:rPr>
      </w:pPr>
    </w:p>
    <w:p w14:paraId="01384C6B" w14:textId="77777777" w:rsidR="00563E93" w:rsidRDefault="00563E93" w:rsidP="006667A2">
      <w:pPr>
        <w:pStyle w:val="ListParagraph"/>
        <w:ind w:left="1080"/>
        <w:jc w:val="both"/>
        <w:rPr>
          <w:lang w:val="en-US"/>
        </w:rPr>
      </w:pPr>
    </w:p>
    <w:p w14:paraId="4767170D" w14:textId="012F1764" w:rsidR="00D964ED" w:rsidRPr="00AD6EA4" w:rsidRDefault="00690468" w:rsidP="000E696B">
      <w:pPr>
        <w:pStyle w:val="ListParagraph"/>
        <w:numPr>
          <w:ilvl w:val="0"/>
          <w:numId w:val="17"/>
        </w:numPr>
        <w:jc w:val="both"/>
        <w:rPr>
          <w:lang w:val="en-US"/>
        </w:rPr>
      </w:pPr>
      <w:r>
        <w:rPr>
          <w:lang w:val="en-US"/>
        </w:rPr>
        <w:t xml:space="preserve">In this </w:t>
      </w:r>
      <w:proofErr w:type="gramStart"/>
      <w:r>
        <w:rPr>
          <w:lang w:val="en-US"/>
        </w:rPr>
        <w:t>Notice:-</w:t>
      </w:r>
      <w:proofErr w:type="gramEnd"/>
    </w:p>
    <w:p w14:paraId="0475171F" w14:textId="4B8FDB09" w:rsidR="00BA24C1" w:rsidRPr="00AD10E4" w:rsidRDefault="00A83C12" w:rsidP="00AD10E4">
      <w:pPr>
        <w:ind w:left="1080"/>
        <w:contextualSpacing/>
        <w:jc w:val="both"/>
        <w:rPr>
          <w:b/>
          <w:bCs/>
          <w:i/>
          <w:iCs/>
          <w:lang w:val="en-US"/>
        </w:rPr>
      </w:pPr>
      <w:r>
        <w:rPr>
          <w:b/>
          <w:bCs/>
          <w:i/>
          <w:iCs/>
          <w:lang w:val="en-US"/>
        </w:rPr>
        <w:t xml:space="preserve">PBS </w:t>
      </w:r>
      <w:r w:rsidR="00D964ED">
        <w:rPr>
          <w:b/>
          <w:bCs/>
          <w:i/>
          <w:iCs/>
          <w:lang w:val="en-US"/>
        </w:rPr>
        <w:t xml:space="preserve">A- double </w:t>
      </w:r>
      <w:r w:rsidR="00D964ED" w:rsidRPr="005F6C6E">
        <w:rPr>
          <w:lang w:val="en-US"/>
        </w:rPr>
        <w:t>has the same meaning as in the National Class 2 Road</w:t>
      </w:r>
      <w:r w:rsidR="00AD6EA4" w:rsidRPr="005F6C6E">
        <w:rPr>
          <w:b/>
          <w:bCs/>
          <w:lang w:val="en-US"/>
        </w:rPr>
        <w:t xml:space="preserve"> </w:t>
      </w:r>
      <w:r w:rsidR="00AD6EA4" w:rsidRPr="005F6C6E">
        <w:rPr>
          <w:lang w:val="en-US"/>
        </w:rPr>
        <w:t xml:space="preserve">Train </w:t>
      </w:r>
      <w:proofErr w:type="spellStart"/>
      <w:r w:rsidR="00AD6EA4" w:rsidRPr="005F6C6E">
        <w:rPr>
          <w:lang w:val="en-US"/>
        </w:rPr>
        <w:t>Authorisation</w:t>
      </w:r>
      <w:proofErr w:type="spellEnd"/>
      <w:r w:rsidR="00AD6EA4" w:rsidRPr="005F6C6E">
        <w:rPr>
          <w:lang w:val="en-US"/>
        </w:rPr>
        <w:t xml:space="preserve"> Notice</w:t>
      </w:r>
      <w:r w:rsidRPr="005F6C6E">
        <w:rPr>
          <w:lang w:val="en-US"/>
        </w:rPr>
        <w:t xml:space="preserve"> except that the </w:t>
      </w:r>
      <w:r w:rsidR="005F6C6E" w:rsidRPr="005F6C6E">
        <w:rPr>
          <w:lang w:val="en-US"/>
        </w:rPr>
        <w:t>length can be longer than 36.</w:t>
      </w:r>
      <w:proofErr w:type="gramStart"/>
      <w:r w:rsidR="005F6C6E" w:rsidRPr="005F6C6E">
        <w:rPr>
          <w:lang w:val="en-US"/>
        </w:rPr>
        <w:t>5m</w:t>
      </w:r>
      <w:r w:rsidR="006C4D02">
        <w:rPr>
          <w:lang w:val="en-US"/>
        </w:rPr>
        <w:t>, but</w:t>
      </w:r>
      <w:proofErr w:type="gramEnd"/>
      <w:r w:rsidR="006C4D02">
        <w:rPr>
          <w:lang w:val="en-US"/>
        </w:rPr>
        <w:t xml:space="preserve"> limited by other relevant conditions in this Notice.</w:t>
      </w:r>
    </w:p>
    <w:p w14:paraId="0E9369E2" w14:textId="77777777" w:rsidR="000A3CC5" w:rsidRDefault="000A3CC5" w:rsidP="00772F82">
      <w:pPr>
        <w:contextualSpacing/>
        <w:jc w:val="both"/>
        <w:rPr>
          <w:lang w:val="en-US"/>
        </w:rPr>
      </w:pPr>
    </w:p>
    <w:p w14:paraId="73D37B3D" w14:textId="14B7129F" w:rsidR="000D4381" w:rsidRDefault="002F4937" w:rsidP="000D4381">
      <w:pPr>
        <w:ind w:left="1080"/>
        <w:contextualSpacing/>
        <w:jc w:val="both"/>
        <w:rPr>
          <w:lang w:val="en-US"/>
        </w:rPr>
      </w:pPr>
      <w:r w:rsidRPr="000D4381">
        <w:rPr>
          <w:b/>
          <w:bCs/>
          <w:i/>
          <w:iCs/>
          <w:lang w:val="en-US"/>
        </w:rPr>
        <w:t xml:space="preserve">National Class 2 Performance Based Standards (Tier 1) </w:t>
      </w:r>
      <w:r w:rsidR="000138E4">
        <w:rPr>
          <w:b/>
          <w:bCs/>
          <w:i/>
          <w:iCs/>
          <w:lang w:val="en-US"/>
        </w:rPr>
        <w:t>Operator’s</w:t>
      </w:r>
      <w:r w:rsidRPr="000D4381">
        <w:rPr>
          <w:b/>
          <w:bCs/>
          <w:i/>
          <w:iCs/>
          <w:lang w:val="en-US"/>
        </w:rPr>
        <w:t xml:space="preserve"> Guide (the Guide)</w:t>
      </w:r>
      <w:r w:rsidR="00BE22CB" w:rsidRPr="000D4381">
        <w:rPr>
          <w:b/>
          <w:bCs/>
          <w:i/>
          <w:iCs/>
          <w:lang w:val="en-US"/>
        </w:rPr>
        <w:t xml:space="preserve"> </w:t>
      </w:r>
      <w:r w:rsidR="000D4381" w:rsidRPr="000D4381">
        <w:rPr>
          <w:lang w:val="en-US"/>
        </w:rPr>
        <w:t>means the document of that name maintained and published by the National Heavy Vehicle Regulator, as amended from time to time.</w:t>
      </w:r>
    </w:p>
    <w:p w14:paraId="67D98C80" w14:textId="75286926" w:rsidR="005F4AE5" w:rsidRDefault="005F4AE5" w:rsidP="008F1498">
      <w:pPr>
        <w:contextualSpacing/>
        <w:jc w:val="both"/>
        <w:rPr>
          <w:lang w:val="en-US"/>
        </w:rPr>
      </w:pPr>
    </w:p>
    <w:p w14:paraId="5E174634" w14:textId="5750CC75" w:rsidR="00B0078C" w:rsidRDefault="00225B97" w:rsidP="003C3B65">
      <w:pPr>
        <w:ind w:left="1080"/>
        <w:contextualSpacing/>
        <w:jc w:val="both"/>
        <w:rPr>
          <w:lang w:val="en-US"/>
        </w:rPr>
      </w:pPr>
      <w:r w:rsidRPr="00225B97">
        <w:rPr>
          <w:b/>
          <w:bCs/>
          <w:i/>
          <w:iCs/>
          <w:lang w:val="en-US"/>
        </w:rPr>
        <w:t>PBS network</w:t>
      </w:r>
      <w:r>
        <w:rPr>
          <w:lang w:val="en-US"/>
        </w:rPr>
        <w:t xml:space="preserve"> mean</w:t>
      </w:r>
      <w:r w:rsidR="0059166F">
        <w:rPr>
          <w:lang w:val="en-US"/>
        </w:rPr>
        <w:t xml:space="preserve">s a PBS network with </w:t>
      </w:r>
      <w:r w:rsidR="00DA0B2F">
        <w:rPr>
          <w:lang w:val="en-US"/>
        </w:rPr>
        <w:t>the following specified characteristics:</w:t>
      </w:r>
    </w:p>
    <w:p w14:paraId="4F8C0CB6" w14:textId="6CFC68E8" w:rsidR="00B0078C" w:rsidRDefault="006A393C" w:rsidP="000E696B">
      <w:pPr>
        <w:pStyle w:val="ListParagraph"/>
        <w:numPr>
          <w:ilvl w:val="0"/>
          <w:numId w:val="8"/>
        </w:numPr>
        <w:spacing w:after="200" w:line="276" w:lineRule="auto"/>
        <w:jc w:val="both"/>
        <w:rPr>
          <w:lang w:val="en-US"/>
        </w:rPr>
      </w:pPr>
      <w:r w:rsidRPr="008F1498">
        <w:rPr>
          <w:i/>
          <w:iCs/>
          <w:lang w:val="en-US"/>
        </w:rPr>
        <w:t>Level –</w:t>
      </w:r>
      <w:r>
        <w:rPr>
          <w:lang w:val="en-US"/>
        </w:rPr>
        <w:t xml:space="preserve"> as per </w:t>
      </w:r>
      <w:r w:rsidR="00B0078C">
        <w:rPr>
          <w:lang w:val="en-US"/>
        </w:rPr>
        <w:t xml:space="preserve">Vehicle performance level under the </w:t>
      </w:r>
      <w:r w:rsidR="00B0078C" w:rsidRPr="003C3B65">
        <w:rPr>
          <w:i/>
          <w:iCs/>
          <w:lang w:val="en-US"/>
        </w:rPr>
        <w:t>Standards and Vehicle Assessment Rules</w:t>
      </w:r>
      <w:r w:rsidR="00B0078C">
        <w:rPr>
          <w:lang w:val="en-US"/>
        </w:rPr>
        <w:t>; and</w:t>
      </w:r>
    </w:p>
    <w:p w14:paraId="29B46AE6" w14:textId="5A728938" w:rsidR="00225B97" w:rsidRDefault="006A393C" w:rsidP="000E696B">
      <w:pPr>
        <w:pStyle w:val="ListParagraph"/>
        <w:numPr>
          <w:ilvl w:val="0"/>
          <w:numId w:val="8"/>
        </w:numPr>
        <w:spacing w:after="200" w:line="276" w:lineRule="auto"/>
        <w:jc w:val="both"/>
        <w:rPr>
          <w:i/>
          <w:iCs/>
          <w:lang w:val="en-US"/>
        </w:rPr>
      </w:pPr>
      <w:r w:rsidRPr="008F1498">
        <w:rPr>
          <w:i/>
          <w:iCs/>
          <w:lang w:val="en-US"/>
        </w:rPr>
        <w:t>Class –</w:t>
      </w:r>
      <w:r>
        <w:rPr>
          <w:lang w:val="en-US"/>
        </w:rPr>
        <w:t xml:space="preserve"> as per </w:t>
      </w:r>
      <w:r w:rsidR="003C3B65">
        <w:rPr>
          <w:lang w:val="en-US"/>
        </w:rPr>
        <w:t xml:space="preserve">Network </w:t>
      </w:r>
      <w:r w:rsidR="00144359">
        <w:rPr>
          <w:lang w:val="en-US"/>
        </w:rPr>
        <w:t>A</w:t>
      </w:r>
      <w:r w:rsidR="003C3B65">
        <w:rPr>
          <w:lang w:val="en-US"/>
        </w:rPr>
        <w:t xml:space="preserve">ccess by </w:t>
      </w:r>
      <w:r w:rsidR="000F1B2E">
        <w:rPr>
          <w:lang w:val="en-US"/>
        </w:rPr>
        <w:t>v</w:t>
      </w:r>
      <w:r w:rsidR="003C3B65">
        <w:rPr>
          <w:lang w:val="en-US"/>
        </w:rPr>
        <w:t xml:space="preserve">ehicle </w:t>
      </w:r>
      <w:r w:rsidR="000F1B2E">
        <w:rPr>
          <w:lang w:val="en-US"/>
        </w:rPr>
        <w:t>l</w:t>
      </w:r>
      <w:r w:rsidR="003C3B65">
        <w:rPr>
          <w:lang w:val="en-US"/>
        </w:rPr>
        <w:t xml:space="preserve">ength class under the </w:t>
      </w:r>
      <w:r w:rsidR="003C3B65" w:rsidRPr="003C3B65">
        <w:rPr>
          <w:i/>
          <w:iCs/>
          <w:lang w:val="en-US"/>
        </w:rPr>
        <w:t>PBS Scheme-Network Classification Guidelines</w:t>
      </w:r>
      <w:r w:rsidR="003C3B65">
        <w:rPr>
          <w:i/>
          <w:iCs/>
          <w:lang w:val="en-US"/>
        </w:rPr>
        <w:t>.</w:t>
      </w:r>
    </w:p>
    <w:p w14:paraId="77071696" w14:textId="49ED86F0" w:rsidR="00E62860" w:rsidRDefault="00E62860" w:rsidP="00E62860">
      <w:pPr>
        <w:ind w:left="1080"/>
        <w:contextualSpacing/>
        <w:jc w:val="both"/>
        <w:rPr>
          <w:lang w:val="en-US"/>
        </w:rPr>
      </w:pPr>
      <w:r w:rsidRPr="00E62860">
        <w:rPr>
          <w:lang w:val="en-US"/>
        </w:rPr>
        <w:t>In this Notice, the level and class of a network may be specified by interpolating these values into the PBS network name. For example, a PBS Network that is level 2 and class A can be identified as PBS 2A network, or a PBS level 2A network.</w:t>
      </w:r>
    </w:p>
    <w:p w14:paraId="385E7895" w14:textId="77777777" w:rsidR="00E62860" w:rsidRPr="00E62860" w:rsidRDefault="00E62860" w:rsidP="00E62860">
      <w:pPr>
        <w:ind w:left="1080"/>
        <w:contextualSpacing/>
        <w:jc w:val="both"/>
        <w:rPr>
          <w:lang w:val="en-US"/>
        </w:rPr>
      </w:pPr>
    </w:p>
    <w:p w14:paraId="3E16AFE3" w14:textId="2758F39B" w:rsidR="007A0289" w:rsidRDefault="007A0289" w:rsidP="00EF5B7F">
      <w:pPr>
        <w:ind w:left="1080"/>
        <w:contextualSpacing/>
        <w:jc w:val="both"/>
        <w:rPr>
          <w:lang w:val="en-US"/>
        </w:rPr>
      </w:pPr>
      <w:r w:rsidRPr="00A32B1D">
        <w:rPr>
          <w:b/>
          <w:bCs/>
          <w:i/>
          <w:iCs/>
          <w:lang w:val="en-US"/>
        </w:rPr>
        <w:t>PBS Scheme - Network Classification Guidelines</w:t>
      </w:r>
      <w:r>
        <w:rPr>
          <w:i/>
          <w:iCs/>
          <w:lang w:val="en-US"/>
        </w:rPr>
        <w:t xml:space="preserve"> </w:t>
      </w:r>
      <w:r w:rsidRPr="00AB01ED">
        <w:rPr>
          <w:lang w:val="en-US"/>
        </w:rPr>
        <w:t xml:space="preserve">means the document of that name </w:t>
      </w:r>
      <w:r w:rsidR="00A32B1D" w:rsidRPr="00AB01ED">
        <w:rPr>
          <w:lang w:val="en-US"/>
        </w:rPr>
        <w:t xml:space="preserve">published by the </w:t>
      </w:r>
      <w:r w:rsidR="005E045B">
        <w:rPr>
          <w:lang w:val="en-US"/>
        </w:rPr>
        <w:t>N</w:t>
      </w:r>
      <w:r w:rsidR="00A32B1D" w:rsidRPr="00AB01ED">
        <w:rPr>
          <w:lang w:val="en-US"/>
        </w:rPr>
        <w:t xml:space="preserve">ational </w:t>
      </w:r>
      <w:r w:rsidR="005E045B">
        <w:rPr>
          <w:lang w:val="en-US"/>
        </w:rPr>
        <w:t>T</w:t>
      </w:r>
      <w:r w:rsidR="00A32B1D" w:rsidRPr="00AB01ED">
        <w:rPr>
          <w:lang w:val="en-US"/>
        </w:rPr>
        <w:t>ransport Commission, as amended from time to time.</w:t>
      </w:r>
    </w:p>
    <w:p w14:paraId="6B3E3F58" w14:textId="77777777" w:rsidR="00CA2E83" w:rsidRDefault="00CA2E83" w:rsidP="00EF5B7F">
      <w:pPr>
        <w:ind w:left="1080"/>
        <w:contextualSpacing/>
        <w:jc w:val="both"/>
        <w:rPr>
          <w:i/>
          <w:iCs/>
          <w:lang w:val="en-US"/>
        </w:rPr>
      </w:pPr>
    </w:p>
    <w:p w14:paraId="2E8BE34B" w14:textId="38A9F58F" w:rsidR="008F1498" w:rsidRDefault="00CA2E83" w:rsidP="00EF5B7F">
      <w:pPr>
        <w:ind w:left="1080"/>
        <w:contextualSpacing/>
        <w:jc w:val="both"/>
        <w:rPr>
          <w:lang w:val="en-US"/>
        </w:rPr>
      </w:pPr>
      <w:r w:rsidRPr="00CA2E83">
        <w:rPr>
          <w:b/>
          <w:bCs/>
          <w:i/>
          <w:iCs/>
          <w:lang w:val="en-US"/>
        </w:rPr>
        <w:t>Standards and Vehicle Assessment Rules</w:t>
      </w:r>
      <w:r>
        <w:rPr>
          <w:lang w:val="en-US"/>
        </w:rPr>
        <w:t xml:space="preserve"> </w:t>
      </w:r>
      <w:r w:rsidRPr="00AB01ED">
        <w:rPr>
          <w:lang w:val="en-US"/>
        </w:rPr>
        <w:t xml:space="preserve">means the document of that name published by the </w:t>
      </w:r>
      <w:r>
        <w:rPr>
          <w:lang w:val="en-US"/>
        </w:rPr>
        <w:t>N</w:t>
      </w:r>
      <w:r w:rsidRPr="00AB01ED">
        <w:rPr>
          <w:lang w:val="en-US"/>
        </w:rPr>
        <w:t xml:space="preserve">ational </w:t>
      </w:r>
      <w:r>
        <w:rPr>
          <w:lang w:val="en-US"/>
        </w:rPr>
        <w:t>T</w:t>
      </w:r>
      <w:r w:rsidRPr="00AB01ED">
        <w:rPr>
          <w:lang w:val="en-US"/>
        </w:rPr>
        <w:t>ransport Commission, as amended from time to time.</w:t>
      </w:r>
    </w:p>
    <w:p w14:paraId="27385F3A" w14:textId="77777777" w:rsidR="00CA2E83" w:rsidRDefault="00CA2E83" w:rsidP="00EF5B7F">
      <w:pPr>
        <w:ind w:left="1080"/>
        <w:contextualSpacing/>
        <w:jc w:val="both"/>
        <w:rPr>
          <w:lang w:val="en-US"/>
        </w:rPr>
      </w:pPr>
    </w:p>
    <w:p w14:paraId="705CB1B0" w14:textId="3A73788B" w:rsidR="00BB23C8" w:rsidRDefault="008F1498" w:rsidP="00FF6107">
      <w:pPr>
        <w:ind w:left="1080"/>
        <w:contextualSpacing/>
        <w:jc w:val="both"/>
        <w:rPr>
          <w:lang w:val="en-US"/>
        </w:rPr>
      </w:pPr>
      <w:r>
        <w:rPr>
          <w:b/>
          <w:bCs/>
          <w:i/>
          <w:iCs/>
          <w:lang w:val="en-US"/>
        </w:rPr>
        <w:t>T</w:t>
      </w:r>
      <w:r w:rsidRPr="00B700E2">
        <w:rPr>
          <w:b/>
          <w:bCs/>
          <w:i/>
          <w:iCs/>
          <w:lang w:val="en-US"/>
        </w:rPr>
        <w:t>otal mass</w:t>
      </w:r>
      <w:r>
        <w:rPr>
          <w:lang w:val="en-US"/>
        </w:rPr>
        <w:t xml:space="preserve"> means the sum of the masses of all the units that make up an eligible vehicle, including any loads carried.</w:t>
      </w:r>
    </w:p>
    <w:p w14:paraId="7AE4432F" w14:textId="77777777" w:rsidR="00FF6107" w:rsidRDefault="00FF6107" w:rsidP="00FF6107">
      <w:pPr>
        <w:ind w:left="1080"/>
        <w:contextualSpacing/>
        <w:jc w:val="both"/>
        <w:rPr>
          <w:lang w:val="en-US"/>
        </w:rPr>
      </w:pPr>
    </w:p>
    <w:p w14:paraId="159F57E8" w14:textId="7233F65A" w:rsidR="00FA5A86" w:rsidRDefault="00FA5A86" w:rsidP="006667A2">
      <w:pPr>
        <w:pStyle w:val="ListParagraph"/>
        <w:numPr>
          <w:ilvl w:val="0"/>
          <w:numId w:val="1"/>
        </w:numPr>
        <w:jc w:val="both"/>
        <w:rPr>
          <w:b/>
          <w:bCs/>
          <w:lang w:val="en-US"/>
        </w:rPr>
      </w:pPr>
      <w:r w:rsidRPr="00025111">
        <w:rPr>
          <w:b/>
          <w:bCs/>
          <w:lang w:val="en-US"/>
        </w:rPr>
        <w:t>Application</w:t>
      </w:r>
    </w:p>
    <w:p w14:paraId="6D66C9C2" w14:textId="77777777" w:rsidR="00025111" w:rsidRPr="00025111" w:rsidRDefault="00025111" w:rsidP="006667A2">
      <w:pPr>
        <w:pStyle w:val="ListParagraph"/>
        <w:jc w:val="both"/>
        <w:rPr>
          <w:b/>
          <w:bCs/>
          <w:lang w:val="en-US"/>
        </w:rPr>
      </w:pPr>
    </w:p>
    <w:p w14:paraId="09B49918" w14:textId="23546203" w:rsidR="00BC187E" w:rsidRDefault="00FA5A86" w:rsidP="000E696B">
      <w:pPr>
        <w:pStyle w:val="ListParagraph"/>
        <w:numPr>
          <w:ilvl w:val="0"/>
          <w:numId w:val="18"/>
        </w:numPr>
        <w:jc w:val="both"/>
        <w:rPr>
          <w:lang w:val="en-US"/>
        </w:rPr>
      </w:pPr>
      <w:r>
        <w:rPr>
          <w:lang w:val="en-US"/>
        </w:rPr>
        <w:t xml:space="preserve">This </w:t>
      </w:r>
      <w:r w:rsidR="00E93886">
        <w:rPr>
          <w:lang w:val="en-US"/>
        </w:rPr>
        <w:t>N</w:t>
      </w:r>
      <w:r>
        <w:rPr>
          <w:lang w:val="en-US"/>
        </w:rPr>
        <w:t xml:space="preserve">otice applies to </w:t>
      </w:r>
      <w:r w:rsidR="00375B82">
        <w:rPr>
          <w:lang w:val="en-US"/>
        </w:rPr>
        <w:t xml:space="preserve">a </w:t>
      </w:r>
      <w:r w:rsidR="005F130E">
        <w:rPr>
          <w:lang w:val="en-US"/>
        </w:rPr>
        <w:t xml:space="preserve">PBS </w:t>
      </w:r>
      <w:r>
        <w:rPr>
          <w:lang w:val="en-US"/>
        </w:rPr>
        <w:t>vehicle</w:t>
      </w:r>
      <w:r w:rsidR="00BC187E">
        <w:rPr>
          <w:lang w:val="en-US"/>
        </w:rPr>
        <w:t>:</w:t>
      </w:r>
    </w:p>
    <w:p w14:paraId="7740C189" w14:textId="77777777" w:rsidR="00BC187E" w:rsidRDefault="00BC187E" w:rsidP="00BC187E">
      <w:pPr>
        <w:pStyle w:val="ListParagraph"/>
        <w:ind w:left="1080"/>
        <w:jc w:val="both"/>
        <w:rPr>
          <w:lang w:val="en-US"/>
        </w:rPr>
      </w:pPr>
    </w:p>
    <w:p w14:paraId="78B53CAE" w14:textId="66CA8DAB" w:rsidR="002D43C2" w:rsidRPr="002D43C2" w:rsidRDefault="005A44E3" w:rsidP="000E696B">
      <w:pPr>
        <w:pStyle w:val="ListParagraph"/>
        <w:numPr>
          <w:ilvl w:val="0"/>
          <w:numId w:val="24"/>
        </w:numPr>
        <w:spacing w:after="200" w:line="276" w:lineRule="auto"/>
        <w:jc w:val="both"/>
        <w:rPr>
          <w:lang w:val="en-US"/>
        </w:rPr>
      </w:pPr>
      <w:r>
        <w:rPr>
          <w:lang w:val="en-US"/>
        </w:rPr>
        <w:t>that has</w:t>
      </w:r>
      <w:r w:rsidR="00A73FAA">
        <w:rPr>
          <w:lang w:val="en-US"/>
        </w:rPr>
        <w:t xml:space="preserve"> a </w:t>
      </w:r>
      <w:r w:rsidR="00C51A25">
        <w:rPr>
          <w:lang w:val="en-US"/>
        </w:rPr>
        <w:t xml:space="preserve">vehicle approval issued under </w:t>
      </w:r>
      <w:r w:rsidR="006F2C4F">
        <w:rPr>
          <w:lang w:val="en-US"/>
        </w:rPr>
        <w:t>section 23 of Part 1.4 of the HVNL</w:t>
      </w:r>
      <w:r>
        <w:rPr>
          <w:lang w:val="en-US"/>
        </w:rPr>
        <w:t>;</w:t>
      </w:r>
      <w:r w:rsidR="00BC187E">
        <w:rPr>
          <w:lang w:val="en-US"/>
        </w:rPr>
        <w:t xml:space="preserve"> and</w:t>
      </w:r>
    </w:p>
    <w:p w14:paraId="61EF3BEC" w14:textId="0FDA8C44" w:rsidR="00D06A5E" w:rsidRPr="00107BA2" w:rsidRDefault="00615ABA" w:rsidP="000E696B">
      <w:pPr>
        <w:pStyle w:val="ListParagraph"/>
        <w:numPr>
          <w:ilvl w:val="0"/>
          <w:numId w:val="24"/>
        </w:numPr>
        <w:spacing w:after="200" w:line="276" w:lineRule="auto"/>
        <w:jc w:val="both"/>
        <w:rPr>
          <w:lang w:val="en-US"/>
        </w:rPr>
      </w:pPr>
      <w:r>
        <w:rPr>
          <w:lang w:val="en-US"/>
        </w:rPr>
        <w:t>t</w:t>
      </w:r>
      <w:r w:rsidR="00BE22F9">
        <w:rPr>
          <w:lang w:val="en-US"/>
        </w:rPr>
        <w:t xml:space="preserve">he vehicle </w:t>
      </w:r>
      <w:r w:rsidR="00C865D9">
        <w:rPr>
          <w:lang w:val="en-US"/>
        </w:rPr>
        <w:t>approval provides mass limits that comply with the Tier 1 Bridge Assessment level</w:t>
      </w:r>
      <w:r w:rsidR="00B15BFB">
        <w:rPr>
          <w:lang w:val="en-US"/>
        </w:rPr>
        <w:t>.</w:t>
      </w:r>
    </w:p>
    <w:p w14:paraId="12D19E8B" w14:textId="77777777" w:rsidR="00294E74" w:rsidRDefault="00294E74" w:rsidP="006667A2">
      <w:pPr>
        <w:pStyle w:val="ListParagraph"/>
        <w:ind w:left="1080"/>
        <w:jc w:val="both"/>
        <w:rPr>
          <w:lang w:val="en-US"/>
        </w:rPr>
      </w:pPr>
    </w:p>
    <w:p w14:paraId="2F5ED459" w14:textId="182D3C4B" w:rsidR="00875433" w:rsidRDefault="00DE2140" w:rsidP="00875433">
      <w:pPr>
        <w:pStyle w:val="ListParagraph"/>
        <w:numPr>
          <w:ilvl w:val="0"/>
          <w:numId w:val="18"/>
        </w:numPr>
        <w:jc w:val="both"/>
        <w:rPr>
          <w:lang w:val="en-US"/>
        </w:rPr>
      </w:pPr>
      <w:r>
        <w:rPr>
          <w:lang w:val="en-US"/>
        </w:rPr>
        <w:t>This</w:t>
      </w:r>
      <w:r w:rsidR="00E93886">
        <w:rPr>
          <w:lang w:val="en-US"/>
        </w:rPr>
        <w:t xml:space="preserve"> Notice </w:t>
      </w:r>
      <w:r w:rsidR="00BE266B">
        <w:rPr>
          <w:lang w:val="en-US"/>
        </w:rPr>
        <w:t xml:space="preserve">does not apply to </w:t>
      </w:r>
      <w:r w:rsidR="00910B38">
        <w:rPr>
          <w:lang w:val="en-US"/>
        </w:rPr>
        <w:t xml:space="preserve">a </w:t>
      </w:r>
      <w:r w:rsidR="00BE266B">
        <w:rPr>
          <w:lang w:val="en-US"/>
        </w:rPr>
        <w:t>PBS vehicle that</w:t>
      </w:r>
      <w:r w:rsidR="00B35BE0">
        <w:rPr>
          <w:lang w:val="en-US"/>
        </w:rPr>
        <w:t>:</w:t>
      </w:r>
    </w:p>
    <w:p w14:paraId="1A6ED899" w14:textId="77777777" w:rsidR="00875433" w:rsidRPr="00875433" w:rsidRDefault="00875433" w:rsidP="00875433">
      <w:pPr>
        <w:pStyle w:val="ListParagraph"/>
        <w:ind w:left="1080"/>
        <w:jc w:val="both"/>
        <w:rPr>
          <w:lang w:val="en-US"/>
        </w:rPr>
      </w:pPr>
    </w:p>
    <w:p w14:paraId="554A1E15" w14:textId="0043776B" w:rsidR="00EB23F7" w:rsidRDefault="008F138A" w:rsidP="000E696B">
      <w:pPr>
        <w:pStyle w:val="ListParagraph"/>
        <w:numPr>
          <w:ilvl w:val="0"/>
          <w:numId w:val="25"/>
        </w:numPr>
        <w:spacing w:after="200" w:line="276" w:lineRule="auto"/>
        <w:jc w:val="both"/>
        <w:rPr>
          <w:lang w:val="en-US"/>
        </w:rPr>
      </w:pPr>
      <w:r>
        <w:rPr>
          <w:lang w:val="en-US"/>
        </w:rPr>
        <w:t>i</w:t>
      </w:r>
      <w:r w:rsidR="009600D0">
        <w:rPr>
          <w:lang w:val="en-US"/>
        </w:rPr>
        <w:t>s operating under</w:t>
      </w:r>
      <w:r w:rsidR="00F82060">
        <w:rPr>
          <w:lang w:val="en-US"/>
        </w:rPr>
        <w:t xml:space="preserve"> </w:t>
      </w:r>
      <w:r w:rsidR="00815353">
        <w:rPr>
          <w:lang w:val="en-US"/>
        </w:rPr>
        <w:t xml:space="preserve">an exemption </w:t>
      </w:r>
      <w:r w:rsidR="009600D0">
        <w:rPr>
          <w:lang w:val="en-US"/>
        </w:rPr>
        <w:t>from</w:t>
      </w:r>
      <w:r w:rsidR="00B8480B">
        <w:rPr>
          <w:lang w:val="en-US"/>
        </w:rPr>
        <w:t xml:space="preserve"> </w:t>
      </w:r>
      <w:r w:rsidR="00B86152">
        <w:rPr>
          <w:lang w:val="en-US"/>
        </w:rPr>
        <w:t xml:space="preserve">section 8 or </w:t>
      </w:r>
      <w:r w:rsidR="00B8480B">
        <w:rPr>
          <w:lang w:val="en-US"/>
        </w:rPr>
        <w:t>s</w:t>
      </w:r>
      <w:r w:rsidR="00B86152">
        <w:rPr>
          <w:lang w:val="en-US"/>
        </w:rPr>
        <w:t xml:space="preserve">ection </w:t>
      </w:r>
      <w:r w:rsidR="00B8480B">
        <w:rPr>
          <w:lang w:val="en-US"/>
        </w:rPr>
        <w:t xml:space="preserve">9 of the </w:t>
      </w:r>
      <w:r w:rsidR="00697D74" w:rsidRPr="0012410C">
        <w:rPr>
          <w:lang w:val="en-US"/>
        </w:rPr>
        <w:t>General</w:t>
      </w:r>
      <w:r w:rsidR="00B8480B" w:rsidRPr="0012410C">
        <w:rPr>
          <w:lang w:val="en-US"/>
        </w:rPr>
        <w:t xml:space="preserve"> Regulation</w:t>
      </w:r>
      <w:r w:rsidR="00654E70">
        <w:rPr>
          <w:lang w:val="en-US"/>
        </w:rPr>
        <w:t>; or</w:t>
      </w:r>
    </w:p>
    <w:p w14:paraId="2A9344C8" w14:textId="70BC523E" w:rsidR="00DC5213" w:rsidRDefault="00CA4D8A" w:rsidP="000E696B">
      <w:pPr>
        <w:pStyle w:val="ListParagraph"/>
        <w:numPr>
          <w:ilvl w:val="0"/>
          <w:numId w:val="25"/>
        </w:numPr>
        <w:spacing w:after="200" w:line="276" w:lineRule="auto"/>
        <w:jc w:val="both"/>
        <w:rPr>
          <w:lang w:val="en-US"/>
        </w:rPr>
      </w:pPr>
      <w:r>
        <w:rPr>
          <w:lang w:val="en-US"/>
        </w:rPr>
        <w:t xml:space="preserve">has as part of its vehicle approval </w:t>
      </w:r>
      <w:r w:rsidR="000B4201">
        <w:rPr>
          <w:lang w:val="en-US"/>
        </w:rPr>
        <w:t xml:space="preserve">an </w:t>
      </w:r>
      <w:r w:rsidR="00613558" w:rsidRPr="00613558">
        <w:rPr>
          <w:lang w:val="en-US"/>
        </w:rPr>
        <w:t xml:space="preserve">ADR exemption </w:t>
      </w:r>
      <w:r w:rsidR="00E4382E">
        <w:rPr>
          <w:lang w:val="en-US"/>
        </w:rPr>
        <w:t>permitting</w:t>
      </w:r>
      <w:r w:rsidR="00613558" w:rsidRPr="00613558">
        <w:rPr>
          <w:lang w:val="en-US"/>
        </w:rPr>
        <w:t xml:space="preserve"> additional axle groups or split axle groups.</w:t>
      </w:r>
      <w:r w:rsidR="00B016AF">
        <w:rPr>
          <w:lang w:val="en-US"/>
        </w:rPr>
        <w:t>; or</w:t>
      </w:r>
    </w:p>
    <w:p w14:paraId="75D237DD" w14:textId="58C2BDA0" w:rsidR="00154760" w:rsidRDefault="00654E70" w:rsidP="00CE767E">
      <w:pPr>
        <w:pStyle w:val="ListParagraph"/>
        <w:numPr>
          <w:ilvl w:val="0"/>
          <w:numId w:val="25"/>
        </w:numPr>
        <w:spacing w:after="200" w:line="276" w:lineRule="auto"/>
        <w:jc w:val="both"/>
        <w:rPr>
          <w:lang w:val="en-US"/>
        </w:rPr>
      </w:pPr>
      <w:r>
        <w:rPr>
          <w:lang w:val="en-US"/>
        </w:rPr>
        <w:lastRenderedPageBreak/>
        <w:t xml:space="preserve">has </w:t>
      </w:r>
      <w:r w:rsidR="001E359F">
        <w:rPr>
          <w:lang w:val="en-US"/>
        </w:rPr>
        <w:t>a</w:t>
      </w:r>
      <w:r w:rsidR="00FE684E">
        <w:rPr>
          <w:lang w:val="en-US"/>
        </w:rPr>
        <w:t xml:space="preserve"> drive axle group </w:t>
      </w:r>
      <w:r w:rsidR="001E359F">
        <w:rPr>
          <w:lang w:val="en-US"/>
        </w:rPr>
        <w:t>that is</w:t>
      </w:r>
      <w:r w:rsidR="00FB1856">
        <w:rPr>
          <w:lang w:val="en-US"/>
        </w:rPr>
        <w:t xml:space="preserve"> a</w:t>
      </w:r>
      <w:r>
        <w:rPr>
          <w:lang w:val="en-US"/>
        </w:rPr>
        <w:t xml:space="preserve"> tri-axle group</w:t>
      </w:r>
      <w:r w:rsidR="003E67DD">
        <w:rPr>
          <w:lang w:val="en-US"/>
        </w:rPr>
        <w:t>.</w:t>
      </w:r>
    </w:p>
    <w:p w14:paraId="41F17F83" w14:textId="77777777" w:rsidR="00CE767E" w:rsidRPr="00CE767E" w:rsidRDefault="00CE767E" w:rsidP="00CE767E">
      <w:pPr>
        <w:pStyle w:val="ListParagraph"/>
        <w:spacing w:after="200" w:line="276" w:lineRule="auto"/>
        <w:ind w:left="1440"/>
        <w:jc w:val="both"/>
        <w:rPr>
          <w:lang w:val="en-US"/>
        </w:rPr>
      </w:pPr>
    </w:p>
    <w:p w14:paraId="42B1B750" w14:textId="53E595E7" w:rsidR="009C5AB4" w:rsidRDefault="007E322F" w:rsidP="000E696B">
      <w:pPr>
        <w:pStyle w:val="ListParagraph"/>
        <w:numPr>
          <w:ilvl w:val="0"/>
          <w:numId w:val="18"/>
        </w:numPr>
        <w:jc w:val="both"/>
        <w:rPr>
          <w:lang w:val="en-US"/>
        </w:rPr>
      </w:pPr>
      <w:r>
        <w:rPr>
          <w:lang w:val="en-US"/>
        </w:rPr>
        <w:t>This Notice applies in participating jurisdictions</w:t>
      </w:r>
      <w:r w:rsidR="00B54FBF">
        <w:rPr>
          <w:lang w:val="en-US"/>
        </w:rPr>
        <w:t xml:space="preserve"> subject to the conditions provided in the relevant Schedule of this Notice</w:t>
      </w:r>
      <w:r>
        <w:rPr>
          <w:lang w:val="en-US"/>
        </w:rPr>
        <w:t>.</w:t>
      </w:r>
    </w:p>
    <w:p w14:paraId="00FCCF5F" w14:textId="77777777" w:rsidR="00644C50" w:rsidRPr="00644C50" w:rsidRDefault="00644C50" w:rsidP="006667A2">
      <w:pPr>
        <w:pStyle w:val="ListParagraph"/>
        <w:ind w:left="1080"/>
        <w:jc w:val="both"/>
        <w:rPr>
          <w:lang w:val="en-US"/>
        </w:rPr>
      </w:pPr>
    </w:p>
    <w:p w14:paraId="60CD06DD" w14:textId="6F88F308" w:rsidR="00DA0B2F" w:rsidRDefault="008B7C6C" w:rsidP="00AD10E4">
      <w:pPr>
        <w:pStyle w:val="ListParagraph"/>
        <w:numPr>
          <w:ilvl w:val="0"/>
          <w:numId w:val="18"/>
        </w:numPr>
        <w:jc w:val="both"/>
        <w:rPr>
          <w:lang w:val="en-US"/>
        </w:rPr>
      </w:pPr>
      <w:r>
        <w:rPr>
          <w:lang w:val="en-US"/>
        </w:rPr>
        <w:t xml:space="preserve">A </w:t>
      </w:r>
      <w:r w:rsidR="00084AFA">
        <w:rPr>
          <w:lang w:val="en-US"/>
        </w:rPr>
        <w:t xml:space="preserve">PBS </w:t>
      </w:r>
      <w:r>
        <w:rPr>
          <w:lang w:val="en-US"/>
        </w:rPr>
        <w:t xml:space="preserve">vehicle to which this </w:t>
      </w:r>
      <w:r w:rsidR="004D43F6">
        <w:rPr>
          <w:lang w:val="en-US"/>
        </w:rPr>
        <w:t>section</w:t>
      </w:r>
      <w:r>
        <w:rPr>
          <w:lang w:val="en-US"/>
        </w:rPr>
        <w:t xml:space="preserve"> applies</w:t>
      </w:r>
      <w:r w:rsidR="009C5AB4">
        <w:rPr>
          <w:lang w:val="en-US"/>
        </w:rPr>
        <w:t xml:space="preserve"> is an eligible vehicle.</w:t>
      </w:r>
    </w:p>
    <w:p w14:paraId="06AD32D8" w14:textId="77777777" w:rsidR="008F138A" w:rsidRPr="00512E6C" w:rsidRDefault="008F138A" w:rsidP="00512E6C">
      <w:pPr>
        <w:pStyle w:val="ListParagraph"/>
        <w:ind w:left="2160" w:hanging="1080"/>
        <w:jc w:val="both"/>
        <w:rPr>
          <w:i/>
          <w:iCs/>
          <w:lang w:val="en-US"/>
        </w:rPr>
      </w:pPr>
    </w:p>
    <w:p w14:paraId="06878C87" w14:textId="5F0EA838" w:rsidR="008F138A" w:rsidRPr="00512E6C" w:rsidRDefault="008F138A" w:rsidP="00512E6C">
      <w:pPr>
        <w:pStyle w:val="ListParagraph"/>
        <w:ind w:left="2160" w:hanging="1080"/>
        <w:jc w:val="both"/>
        <w:rPr>
          <w:i/>
          <w:iCs/>
          <w:lang w:val="en-US"/>
        </w:rPr>
      </w:pPr>
      <w:r w:rsidRPr="00512E6C">
        <w:rPr>
          <w:i/>
          <w:iCs/>
          <w:lang w:val="en-US"/>
        </w:rPr>
        <w:t xml:space="preserve">Note: </w:t>
      </w:r>
      <w:r w:rsidRPr="00512E6C">
        <w:rPr>
          <w:i/>
          <w:iCs/>
          <w:lang w:val="en-US"/>
        </w:rPr>
        <w:tab/>
        <w:t>Sub-section 7(2)(a)</w:t>
      </w:r>
      <w:r w:rsidR="00FA13A7" w:rsidRPr="00512E6C">
        <w:rPr>
          <w:i/>
          <w:iCs/>
          <w:lang w:val="en-US"/>
        </w:rPr>
        <w:t xml:space="preserve"> is intended to allow a vehicle that has an exemption from section 8 or 9 on their vehicle approval </w:t>
      </w:r>
      <w:r w:rsidR="00451603" w:rsidRPr="00512E6C">
        <w:rPr>
          <w:i/>
          <w:iCs/>
          <w:lang w:val="en-US"/>
        </w:rPr>
        <w:t xml:space="preserve">to operate under this Notice so long as at the time of operation the exemption is not required. </w:t>
      </w:r>
      <w:r w:rsidR="00403067" w:rsidRPr="00512E6C">
        <w:rPr>
          <w:i/>
          <w:iCs/>
          <w:lang w:val="en-US"/>
        </w:rPr>
        <w:t>For example, a vehicle may have an exemption under section 8 or 9 but</w:t>
      </w:r>
      <w:r w:rsidR="004B5C8D" w:rsidRPr="00512E6C">
        <w:rPr>
          <w:i/>
          <w:iCs/>
          <w:lang w:val="en-US"/>
        </w:rPr>
        <w:t xml:space="preserve"> in a certain configuration does not </w:t>
      </w:r>
      <w:r w:rsidR="00CE394F" w:rsidRPr="00512E6C">
        <w:rPr>
          <w:i/>
          <w:iCs/>
          <w:lang w:val="en-US"/>
        </w:rPr>
        <w:t xml:space="preserve">trigger the requirement for the exemption to operate. </w:t>
      </w:r>
    </w:p>
    <w:p w14:paraId="73E05FF5" w14:textId="77777777" w:rsidR="00AD10E4" w:rsidRPr="00AD10E4" w:rsidRDefault="00AD10E4" w:rsidP="00AD10E4">
      <w:pPr>
        <w:pStyle w:val="ListParagraph"/>
        <w:ind w:left="1080"/>
        <w:jc w:val="both"/>
        <w:rPr>
          <w:lang w:val="en-US"/>
        </w:rPr>
      </w:pPr>
    </w:p>
    <w:p w14:paraId="6776316A" w14:textId="51C07ECB" w:rsidR="00252419" w:rsidRPr="008D0568" w:rsidRDefault="00252419" w:rsidP="0054480C">
      <w:pPr>
        <w:pStyle w:val="ListParagraph"/>
        <w:numPr>
          <w:ilvl w:val="0"/>
          <w:numId w:val="1"/>
        </w:numPr>
        <w:jc w:val="both"/>
        <w:rPr>
          <w:b/>
          <w:bCs/>
          <w:lang w:val="en-US"/>
        </w:rPr>
      </w:pPr>
      <w:proofErr w:type="spellStart"/>
      <w:r w:rsidRPr="00FB7A01">
        <w:rPr>
          <w:b/>
          <w:bCs/>
          <w:lang w:val="en-US"/>
        </w:rPr>
        <w:t>Authorisation</w:t>
      </w:r>
      <w:proofErr w:type="spellEnd"/>
    </w:p>
    <w:p w14:paraId="0AFCC449" w14:textId="77777777" w:rsidR="0054480C" w:rsidRPr="0054480C" w:rsidRDefault="0054480C" w:rsidP="0054480C">
      <w:pPr>
        <w:pStyle w:val="ListParagraph"/>
        <w:jc w:val="both"/>
        <w:rPr>
          <w:b/>
          <w:bCs/>
          <w:lang w:val="en-US"/>
        </w:rPr>
      </w:pPr>
    </w:p>
    <w:p w14:paraId="2CCFEB7A" w14:textId="04B652E7" w:rsidR="008610A5" w:rsidRDefault="00804CEE" w:rsidP="008610A5">
      <w:pPr>
        <w:pStyle w:val="ListParagraph"/>
        <w:ind w:left="1080"/>
        <w:jc w:val="both"/>
        <w:rPr>
          <w:lang w:val="en-US"/>
        </w:rPr>
      </w:pPr>
      <w:r w:rsidRPr="0054480C">
        <w:rPr>
          <w:lang w:val="en-US"/>
        </w:rPr>
        <w:t xml:space="preserve">Subject to the conditions in this Notice, an eligible vehicle is </w:t>
      </w:r>
      <w:proofErr w:type="spellStart"/>
      <w:r w:rsidRPr="0054480C">
        <w:rPr>
          <w:lang w:val="en-US"/>
        </w:rPr>
        <w:t>authorised</w:t>
      </w:r>
      <w:proofErr w:type="spellEnd"/>
      <w:r w:rsidRPr="0054480C">
        <w:rPr>
          <w:lang w:val="en-US"/>
        </w:rPr>
        <w:t xml:space="preserve"> to operate on the areas and routes specified in section 9.</w:t>
      </w:r>
    </w:p>
    <w:p w14:paraId="61972210" w14:textId="77777777" w:rsidR="008610A5" w:rsidRPr="008610A5" w:rsidRDefault="008610A5" w:rsidP="008610A5">
      <w:pPr>
        <w:pStyle w:val="ListParagraph"/>
        <w:ind w:left="1080"/>
        <w:jc w:val="both"/>
        <w:rPr>
          <w:lang w:val="en-US"/>
        </w:rPr>
      </w:pPr>
    </w:p>
    <w:p w14:paraId="6A225DA3" w14:textId="74D4C8CA" w:rsidR="004A5717" w:rsidRPr="00D03C35" w:rsidRDefault="004A5717" w:rsidP="004A5717">
      <w:pPr>
        <w:pStyle w:val="ListParagraph"/>
        <w:numPr>
          <w:ilvl w:val="0"/>
          <w:numId w:val="1"/>
        </w:numPr>
        <w:jc w:val="both"/>
        <w:rPr>
          <w:b/>
          <w:bCs/>
          <w:lang w:val="en-US"/>
        </w:rPr>
      </w:pPr>
      <w:r w:rsidRPr="00D03C35">
        <w:rPr>
          <w:b/>
          <w:bCs/>
          <w:lang w:val="en-US"/>
        </w:rPr>
        <w:t>Conditions – Areas and routes</w:t>
      </w:r>
    </w:p>
    <w:p w14:paraId="436F3658" w14:textId="77777777" w:rsidR="004A5717" w:rsidRDefault="004A5717" w:rsidP="004A5717">
      <w:pPr>
        <w:pStyle w:val="ListParagraph"/>
        <w:ind w:left="1080"/>
        <w:jc w:val="both"/>
        <w:rPr>
          <w:lang w:val="en-US"/>
        </w:rPr>
      </w:pPr>
    </w:p>
    <w:p w14:paraId="1C8498AD" w14:textId="4C1A30B5" w:rsidR="004A5717" w:rsidRDefault="004A5717" w:rsidP="000E696B">
      <w:pPr>
        <w:pStyle w:val="ListParagraph"/>
        <w:numPr>
          <w:ilvl w:val="0"/>
          <w:numId w:val="19"/>
        </w:numPr>
        <w:jc w:val="both"/>
      </w:pPr>
      <w:r>
        <w:t>For the purposes of section 142(1)(b) of the HVNL, an area or route specified in a Schedule of this Notice is a stated area or route to which this Notice applies.</w:t>
      </w:r>
    </w:p>
    <w:p w14:paraId="25E1DBFF" w14:textId="77777777" w:rsidR="004A5717" w:rsidRDefault="004A5717" w:rsidP="004A5717">
      <w:pPr>
        <w:pStyle w:val="ListParagraph"/>
        <w:ind w:left="1080"/>
        <w:jc w:val="both"/>
      </w:pPr>
    </w:p>
    <w:p w14:paraId="64C1937C" w14:textId="77777777" w:rsidR="004A5717" w:rsidRDefault="004A5717" w:rsidP="000E696B">
      <w:pPr>
        <w:pStyle w:val="ListParagraph"/>
        <w:numPr>
          <w:ilvl w:val="0"/>
          <w:numId w:val="19"/>
        </w:numPr>
        <w:jc w:val="both"/>
      </w:pPr>
      <w:r>
        <w:t>An eligible vehicle operating on an area or route specified in this Notice or its Schedules must comply with the following conditions as specified for routes and areas set out on that map:</w:t>
      </w:r>
    </w:p>
    <w:p w14:paraId="7143F1AE" w14:textId="77777777" w:rsidR="004A5717" w:rsidRDefault="004A5717" w:rsidP="004A5717">
      <w:pPr>
        <w:pStyle w:val="ListParagraph"/>
        <w:ind w:left="1080"/>
        <w:jc w:val="both"/>
      </w:pPr>
    </w:p>
    <w:p w14:paraId="569BA728" w14:textId="77777777" w:rsidR="004A5717" w:rsidRDefault="004A5717" w:rsidP="000E696B">
      <w:pPr>
        <w:pStyle w:val="ListParagraph"/>
        <w:numPr>
          <w:ilvl w:val="0"/>
          <w:numId w:val="20"/>
        </w:numPr>
        <w:jc w:val="both"/>
      </w:pPr>
      <w:r>
        <w:t>Road conditions pursuant to section 160 of the HVNL; and</w:t>
      </w:r>
    </w:p>
    <w:p w14:paraId="2C68889E" w14:textId="77777777" w:rsidR="004A5717" w:rsidRDefault="004A5717" w:rsidP="000E696B">
      <w:pPr>
        <w:pStyle w:val="ListParagraph"/>
        <w:numPr>
          <w:ilvl w:val="0"/>
          <w:numId w:val="20"/>
        </w:numPr>
        <w:jc w:val="both"/>
      </w:pPr>
      <w:r>
        <w:t>Travel conditions pursuant to section 161 of the HVNL; and</w:t>
      </w:r>
    </w:p>
    <w:p w14:paraId="03E56D66" w14:textId="1C1CA601" w:rsidR="004A5717" w:rsidRDefault="004A5717" w:rsidP="000E696B">
      <w:pPr>
        <w:pStyle w:val="ListParagraph"/>
        <w:numPr>
          <w:ilvl w:val="0"/>
          <w:numId w:val="20"/>
        </w:numPr>
        <w:jc w:val="both"/>
      </w:pPr>
      <w:r>
        <w:t>Vehicle conditions pursuant to section 162 of the HVNL.</w:t>
      </w:r>
    </w:p>
    <w:p w14:paraId="1219442A" w14:textId="77777777" w:rsidR="003912C1" w:rsidRPr="004660B8" w:rsidRDefault="003912C1" w:rsidP="003912C1">
      <w:pPr>
        <w:pStyle w:val="ListParagraph"/>
        <w:ind w:left="1440"/>
        <w:jc w:val="both"/>
      </w:pPr>
    </w:p>
    <w:p w14:paraId="11C426B7" w14:textId="77777777" w:rsidR="0068039F" w:rsidRPr="000162F0" w:rsidRDefault="0068039F" w:rsidP="0068039F">
      <w:pPr>
        <w:pStyle w:val="ListParagraph"/>
        <w:numPr>
          <w:ilvl w:val="0"/>
          <w:numId w:val="1"/>
        </w:numPr>
        <w:jc w:val="both"/>
        <w:rPr>
          <w:b/>
          <w:bCs/>
          <w:lang w:val="en-US"/>
        </w:rPr>
      </w:pPr>
      <w:r w:rsidRPr="008D0568">
        <w:rPr>
          <w:b/>
          <w:bCs/>
          <w:lang w:val="en-US"/>
        </w:rPr>
        <w:t>Condition – Compliance with PBS vehicle approval</w:t>
      </w:r>
    </w:p>
    <w:p w14:paraId="2D0DEE68" w14:textId="77777777" w:rsidR="0068039F" w:rsidRDefault="0068039F" w:rsidP="0068039F">
      <w:pPr>
        <w:pStyle w:val="ListParagraph"/>
        <w:ind w:left="1080"/>
        <w:jc w:val="both"/>
        <w:rPr>
          <w:lang w:val="en-US"/>
        </w:rPr>
      </w:pPr>
    </w:p>
    <w:p w14:paraId="5CBBE204" w14:textId="2EDAA891" w:rsidR="00F85A04" w:rsidRDefault="0068039F" w:rsidP="000E696B">
      <w:pPr>
        <w:pStyle w:val="ListParagraph"/>
        <w:numPr>
          <w:ilvl w:val="0"/>
          <w:numId w:val="26"/>
        </w:numPr>
        <w:jc w:val="both"/>
        <w:rPr>
          <w:lang w:val="en-US"/>
        </w:rPr>
      </w:pPr>
      <w:r>
        <w:rPr>
          <w:lang w:val="en-US"/>
        </w:rPr>
        <w:t>An eligible vehicle must comply with the requirements and conditions of the PBS vehicle approval issued to it</w:t>
      </w:r>
      <w:r w:rsidR="00F85A04">
        <w:rPr>
          <w:lang w:val="en-US"/>
        </w:rPr>
        <w:t>.</w:t>
      </w:r>
    </w:p>
    <w:p w14:paraId="158198D9" w14:textId="77777777" w:rsidR="00F85A04" w:rsidRDefault="00F85A04" w:rsidP="00F85A04">
      <w:pPr>
        <w:pStyle w:val="ListParagraph"/>
        <w:ind w:left="1080"/>
        <w:jc w:val="both"/>
        <w:rPr>
          <w:lang w:val="en-US"/>
        </w:rPr>
      </w:pPr>
    </w:p>
    <w:p w14:paraId="0A7FE0E7" w14:textId="7F86757B" w:rsidR="0068039F" w:rsidRPr="00B83F47" w:rsidRDefault="00AD55F4" w:rsidP="000E696B">
      <w:pPr>
        <w:pStyle w:val="ListParagraph"/>
        <w:numPr>
          <w:ilvl w:val="0"/>
          <w:numId w:val="26"/>
        </w:numPr>
        <w:jc w:val="both"/>
        <w:rPr>
          <w:lang w:val="en-US"/>
        </w:rPr>
      </w:pPr>
      <w:r>
        <w:rPr>
          <w:lang w:val="en-US"/>
        </w:rPr>
        <w:t>A</w:t>
      </w:r>
      <w:r w:rsidR="001F2FCC">
        <w:rPr>
          <w:lang w:val="en-US"/>
        </w:rPr>
        <w:t>n eligible vehicle must not exceed mass</w:t>
      </w:r>
      <w:r>
        <w:rPr>
          <w:lang w:val="en-US"/>
        </w:rPr>
        <w:t xml:space="preserve"> limits </w:t>
      </w:r>
      <w:r w:rsidR="008E19D3">
        <w:rPr>
          <w:lang w:val="en-US"/>
        </w:rPr>
        <w:t>for Bridge Assessment level Tier 1</w:t>
      </w:r>
      <w:r w:rsidR="00087AC9">
        <w:rPr>
          <w:lang w:val="en-US"/>
        </w:rPr>
        <w:t xml:space="preserve"> provided in its PBS vehicle </w:t>
      </w:r>
      <w:r w:rsidR="00CF190D">
        <w:rPr>
          <w:lang w:val="en-US"/>
        </w:rPr>
        <w:t>approval</w:t>
      </w:r>
      <w:r w:rsidR="00992CFA">
        <w:rPr>
          <w:lang w:val="en-US"/>
        </w:rPr>
        <w:t xml:space="preserve">, including </w:t>
      </w:r>
      <w:r w:rsidR="00E5010A">
        <w:rPr>
          <w:lang w:val="en-US"/>
        </w:rPr>
        <w:t>those</w:t>
      </w:r>
      <w:r w:rsidR="00992CFA">
        <w:rPr>
          <w:lang w:val="en-US"/>
        </w:rPr>
        <w:t xml:space="preserve"> for axle masses.</w:t>
      </w:r>
      <w:r w:rsidR="008E19D3">
        <w:rPr>
          <w:lang w:val="en-US"/>
        </w:rPr>
        <w:t xml:space="preserve"> </w:t>
      </w:r>
    </w:p>
    <w:p w14:paraId="66E3BE94" w14:textId="77777777" w:rsidR="0068039F" w:rsidRDefault="0068039F" w:rsidP="0068039F">
      <w:pPr>
        <w:pStyle w:val="ListParagraph"/>
        <w:ind w:left="1080"/>
        <w:jc w:val="both"/>
        <w:rPr>
          <w:lang w:val="en-US"/>
        </w:rPr>
      </w:pPr>
    </w:p>
    <w:p w14:paraId="4A132A9A" w14:textId="0DC793EE" w:rsidR="0068039F" w:rsidRPr="00B1533D" w:rsidRDefault="0068039F" w:rsidP="000E696B">
      <w:pPr>
        <w:pStyle w:val="ListParagraph"/>
        <w:numPr>
          <w:ilvl w:val="0"/>
          <w:numId w:val="26"/>
        </w:numPr>
        <w:jc w:val="both"/>
        <w:rPr>
          <w:lang w:val="en-US"/>
        </w:rPr>
      </w:pPr>
      <w:r>
        <w:rPr>
          <w:lang w:val="en-US"/>
        </w:rPr>
        <w:t>If another condition of this Notice, or a condition of access to a network under this Notice, makes a requirement that is more restrictive than the vehicle’s approval then th</w:t>
      </w:r>
      <w:r w:rsidR="008B3B93">
        <w:rPr>
          <w:lang w:val="en-US"/>
        </w:rPr>
        <w:t xml:space="preserve">e more restrictive </w:t>
      </w:r>
      <w:r>
        <w:rPr>
          <w:lang w:val="en-US"/>
        </w:rPr>
        <w:t xml:space="preserve">condition must be </w:t>
      </w:r>
      <w:r w:rsidR="008E14CD">
        <w:rPr>
          <w:lang w:val="en-US"/>
        </w:rPr>
        <w:t>complied with</w:t>
      </w:r>
      <w:r>
        <w:rPr>
          <w:lang w:val="en-US"/>
        </w:rPr>
        <w:t>.</w:t>
      </w:r>
    </w:p>
    <w:p w14:paraId="2B0D5594" w14:textId="77777777" w:rsidR="00854CF1" w:rsidRPr="00854CF1" w:rsidRDefault="00854CF1" w:rsidP="00854CF1">
      <w:pPr>
        <w:pStyle w:val="ListParagraph"/>
        <w:ind w:left="1080"/>
        <w:jc w:val="both"/>
        <w:rPr>
          <w:lang w:val="en-US"/>
        </w:rPr>
      </w:pPr>
    </w:p>
    <w:p w14:paraId="60B153BA" w14:textId="77777777" w:rsidR="00C3608D" w:rsidRDefault="00C3608D">
      <w:pPr>
        <w:rPr>
          <w:b/>
          <w:bCs/>
          <w:lang w:val="en-US"/>
        </w:rPr>
      </w:pPr>
      <w:r>
        <w:rPr>
          <w:b/>
          <w:bCs/>
          <w:lang w:val="en-US"/>
        </w:rPr>
        <w:br w:type="page"/>
      </w:r>
    </w:p>
    <w:p w14:paraId="3BE8740D" w14:textId="7E7EC750" w:rsidR="004A5717" w:rsidRPr="004A5717" w:rsidRDefault="004A5717" w:rsidP="004A5717">
      <w:pPr>
        <w:pStyle w:val="ListParagraph"/>
        <w:numPr>
          <w:ilvl w:val="0"/>
          <w:numId w:val="1"/>
        </w:numPr>
        <w:jc w:val="both"/>
        <w:rPr>
          <w:b/>
          <w:bCs/>
          <w:lang w:val="en-US"/>
        </w:rPr>
      </w:pPr>
      <w:r w:rsidRPr="004A5717">
        <w:rPr>
          <w:b/>
          <w:bCs/>
          <w:lang w:val="en-US"/>
        </w:rPr>
        <w:lastRenderedPageBreak/>
        <w:t xml:space="preserve">Conditions – </w:t>
      </w:r>
      <w:r>
        <w:rPr>
          <w:b/>
          <w:bCs/>
          <w:lang w:val="en-US"/>
        </w:rPr>
        <w:t>M</w:t>
      </w:r>
      <w:r w:rsidRPr="004A5717">
        <w:rPr>
          <w:b/>
          <w:bCs/>
          <w:lang w:val="en-US"/>
        </w:rPr>
        <w:t xml:space="preserve">ass </w:t>
      </w:r>
      <w:r w:rsidR="00F91EFB">
        <w:rPr>
          <w:b/>
          <w:bCs/>
          <w:lang w:val="en-US"/>
        </w:rPr>
        <w:t>(total mass)</w:t>
      </w:r>
    </w:p>
    <w:p w14:paraId="4134866C" w14:textId="77777777" w:rsidR="00FE67FA" w:rsidRDefault="00FE67FA" w:rsidP="006667A2">
      <w:pPr>
        <w:pStyle w:val="ListParagraph"/>
        <w:ind w:left="1080"/>
        <w:jc w:val="both"/>
        <w:rPr>
          <w:lang w:val="en-US"/>
        </w:rPr>
      </w:pPr>
    </w:p>
    <w:p w14:paraId="7ACA448B" w14:textId="21B26EC3" w:rsidR="00A875EE" w:rsidRDefault="00E37FED" w:rsidP="000E696B">
      <w:pPr>
        <w:pStyle w:val="ListParagraph"/>
        <w:numPr>
          <w:ilvl w:val="0"/>
          <w:numId w:val="21"/>
        </w:numPr>
        <w:jc w:val="both"/>
        <w:rPr>
          <w:lang w:val="en-US"/>
        </w:rPr>
      </w:pPr>
      <w:r>
        <w:rPr>
          <w:lang w:val="en-US"/>
        </w:rPr>
        <w:t xml:space="preserve">An eligible </w:t>
      </w:r>
      <w:r w:rsidR="00A875EE">
        <w:rPr>
          <w:lang w:val="en-US"/>
        </w:rPr>
        <w:t xml:space="preserve">vehicle </w:t>
      </w:r>
      <w:r w:rsidR="00474913">
        <w:rPr>
          <w:lang w:val="en-US"/>
        </w:rPr>
        <w:t xml:space="preserve">is </w:t>
      </w:r>
      <w:proofErr w:type="spellStart"/>
      <w:r w:rsidR="00A875EE">
        <w:rPr>
          <w:lang w:val="en-US"/>
        </w:rPr>
        <w:t>authori</w:t>
      </w:r>
      <w:r w:rsidR="007A0BA4">
        <w:rPr>
          <w:lang w:val="en-US"/>
        </w:rPr>
        <w:t>s</w:t>
      </w:r>
      <w:r w:rsidR="00A875EE">
        <w:rPr>
          <w:lang w:val="en-US"/>
        </w:rPr>
        <w:t>ed</w:t>
      </w:r>
      <w:proofErr w:type="spellEnd"/>
      <w:r w:rsidR="00A875EE">
        <w:rPr>
          <w:lang w:val="en-US"/>
        </w:rPr>
        <w:t xml:space="preserve"> to access the </w:t>
      </w:r>
      <w:r w:rsidR="003C7B7A">
        <w:rPr>
          <w:lang w:val="en-US"/>
        </w:rPr>
        <w:t xml:space="preserve">PBS </w:t>
      </w:r>
      <w:r w:rsidR="00A875EE">
        <w:rPr>
          <w:lang w:val="en-US"/>
        </w:rPr>
        <w:t xml:space="preserve">networks </w:t>
      </w:r>
      <w:r w:rsidR="008B7492">
        <w:rPr>
          <w:lang w:val="en-US"/>
        </w:rPr>
        <w:t xml:space="preserve">stated </w:t>
      </w:r>
      <w:r w:rsidR="00F00ADC">
        <w:rPr>
          <w:lang w:val="en-US"/>
        </w:rPr>
        <w:t>under</w:t>
      </w:r>
      <w:r w:rsidR="00B72765">
        <w:rPr>
          <w:lang w:val="en-US"/>
        </w:rPr>
        <w:t xml:space="preserve"> section </w:t>
      </w:r>
      <w:r w:rsidR="00474913">
        <w:rPr>
          <w:lang w:val="en-US"/>
        </w:rPr>
        <w:t xml:space="preserve">9 </w:t>
      </w:r>
      <w:r w:rsidR="00A875EE">
        <w:rPr>
          <w:lang w:val="en-US"/>
        </w:rPr>
        <w:t>on condition that</w:t>
      </w:r>
      <w:r w:rsidR="00D83568">
        <w:rPr>
          <w:lang w:val="en-US"/>
        </w:rPr>
        <w:t xml:space="preserve"> f</w:t>
      </w:r>
      <w:r w:rsidR="007A0BA4">
        <w:rPr>
          <w:lang w:val="en-US"/>
        </w:rPr>
        <w:t xml:space="preserve">or the relevant </w:t>
      </w:r>
      <w:r w:rsidR="00DD3983">
        <w:rPr>
          <w:lang w:val="en-US"/>
        </w:rPr>
        <w:t xml:space="preserve">PBS </w:t>
      </w:r>
      <w:r w:rsidR="007A0BA4">
        <w:rPr>
          <w:lang w:val="en-US"/>
        </w:rPr>
        <w:t xml:space="preserve">network </w:t>
      </w:r>
      <w:r w:rsidR="00DD3983">
        <w:rPr>
          <w:lang w:val="en-US"/>
        </w:rPr>
        <w:t>by level and class</w:t>
      </w:r>
      <w:r w:rsidR="007A0BA4">
        <w:rPr>
          <w:lang w:val="en-US"/>
        </w:rPr>
        <w:t xml:space="preserve"> stated in column 1 of Table 1 t</w:t>
      </w:r>
      <w:r w:rsidR="00A875EE">
        <w:rPr>
          <w:lang w:val="en-US"/>
        </w:rPr>
        <w:t xml:space="preserve">he </w:t>
      </w:r>
      <w:r w:rsidR="006667A2">
        <w:rPr>
          <w:lang w:val="en-US"/>
        </w:rPr>
        <w:t>eligible</w:t>
      </w:r>
      <w:r w:rsidR="00A875EE">
        <w:rPr>
          <w:lang w:val="en-US"/>
        </w:rPr>
        <w:t xml:space="preserve"> vehicle does not exceed</w:t>
      </w:r>
      <w:r w:rsidR="00EA090E">
        <w:rPr>
          <w:lang w:val="en-US"/>
        </w:rPr>
        <w:t xml:space="preserve"> </w:t>
      </w:r>
      <w:r w:rsidR="00A875EE">
        <w:rPr>
          <w:lang w:val="en-US"/>
        </w:rPr>
        <w:t xml:space="preserve">the </w:t>
      </w:r>
      <w:r w:rsidR="00852C5A">
        <w:rPr>
          <w:lang w:val="en-US"/>
        </w:rPr>
        <w:t xml:space="preserve">total </w:t>
      </w:r>
      <w:r w:rsidR="00A875EE">
        <w:rPr>
          <w:lang w:val="en-US"/>
        </w:rPr>
        <w:t xml:space="preserve">mass stated in column </w:t>
      </w:r>
      <w:r w:rsidR="00D83568">
        <w:rPr>
          <w:lang w:val="en-US"/>
        </w:rPr>
        <w:t>2</w:t>
      </w:r>
      <w:r w:rsidR="00415F61">
        <w:rPr>
          <w:lang w:val="en-US"/>
        </w:rPr>
        <w:t xml:space="preserve"> for all jurisdictions except South Australia</w:t>
      </w:r>
      <w:r w:rsidR="008E662E">
        <w:rPr>
          <w:lang w:val="en-US"/>
        </w:rPr>
        <w:t>,</w:t>
      </w:r>
      <w:r w:rsidR="00415F61">
        <w:rPr>
          <w:lang w:val="en-US"/>
        </w:rPr>
        <w:t xml:space="preserve"> and </w:t>
      </w:r>
      <w:r w:rsidR="00EF78E0">
        <w:rPr>
          <w:lang w:val="en-US"/>
        </w:rPr>
        <w:t xml:space="preserve">in </w:t>
      </w:r>
      <w:r w:rsidR="00415F61">
        <w:rPr>
          <w:lang w:val="en-US"/>
        </w:rPr>
        <w:t>column 3 for South Australia.</w:t>
      </w:r>
    </w:p>
    <w:p w14:paraId="7AD38B5E" w14:textId="7F7D19E8" w:rsidR="00BC7C08" w:rsidRPr="0047351A" w:rsidRDefault="00BC7C08" w:rsidP="00C644B5">
      <w:pPr>
        <w:spacing w:after="200" w:line="276" w:lineRule="auto"/>
        <w:ind w:left="360" w:firstLine="720"/>
        <w:jc w:val="both"/>
        <w:rPr>
          <w:b/>
          <w:bCs/>
          <w:lang w:val="en-US"/>
        </w:rPr>
      </w:pPr>
      <w:r w:rsidRPr="0047351A">
        <w:rPr>
          <w:b/>
          <w:bCs/>
          <w:lang w:val="en-US"/>
        </w:rPr>
        <w:t xml:space="preserve">Table 1: </w:t>
      </w:r>
      <w:r w:rsidR="00130016">
        <w:rPr>
          <w:b/>
          <w:bCs/>
          <w:lang w:val="en-US"/>
        </w:rPr>
        <w:t xml:space="preserve">Total </w:t>
      </w:r>
      <w:r w:rsidR="0047351A" w:rsidRPr="0047351A">
        <w:rPr>
          <w:b/>
          <w:bCs/>
          <w:lang w:val="en-US"/>
        </w:rPr>
        <w:t>mass for eligible vehicles</w:t>
      </w:r>
    </w:p>
    <w:tbl>
      <w:tblPr>
        <w:tblStyle w:val="TableGrid"/>
        <w:tblW w:w="7887" w:type="dxa"/>
        <w:tblInd w:w="1129" w:type="dxa"/>
        <w:tblLook w:val="04A0" w:firstRow="1" w:lastRow="0" w:firstColumn="1" w:lastColumn="0" w:noHBand="0" w:noVBand="1"/>
      </w:tblPr>
      <w:tblGrid>
        <w:gridCol w:w="1314"/>
        <w:gridCol w:w="1315"/>
        <w:gridCol w:w="2629"/>
        <w:gridCol w:w="2629"/>
      </w:tblGrid>
      <w:tr w:rsidR="00C11917" w14:paraId="0A376837" w14:textId="60F63F40" w:rsidTr="009D0537">
        <w:trPr>
          <w:trHeight w:val="547"/>
        </w:trPr>
        <w:tc>
          <w:tcPr>
            <w:tcW w:w="2629" w:type="dxa"/>
            <w:gridSpan w:val="2"/>
            <w:tcBorders>
              <w:bottom w:val="single" w:sz="4" w:space="0" w:color="auto"/>
            </w:tcBorders>
            <w:vAlign w:val="center"/>
          </w:tcPr>
          <w:p w14:paraId="02944670" w14:textId="77777777" w:rsidR="0015085A" w:rsidRPr="00767CE7" w:rsidRDefault="00C11917" w:rsidP="009D0537">
            <w:pPr>
              <w:jc w:val="center"/>
              <w:rPr>
                <w:rFonts w:eastAsia="Cambria"/>
                <w:b/>
                <w:bCs/>
                <w:color w:val="000000" w:themeColor="text1"/>
              </w:rPr>
            </w:pPr>
            <w:r w:rsidRPr="00767CE7">
              <w:rPr>
                <w:rFonts w:eastAsia="Cambria"/>
                <w:b/>
                <w:bCs/>
                <w:color w:val="000000" w:themeColor="text1"/>
              </w:rPr>
              <w:t>Column 1</w:t>
            </w:r>
          </w:p>
          <w:p w14:paraId="3CB4943D" w14:textId="0D5EE047" w:rsidR="00C11917" w:rsidRPr="00767CE7" w:rsidRDefault="0015085A" w:rsidP="006667A2">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2629" w:type="dxa"/>
            <w:tcBorders>
              <w:bottom w:val="single" w:sz="4" w:space="0" w:color="auto"/>
            </w:tcBorders>
            <w:vAlign w:val="center"/>
          </w:tcPr>
          <w:p w14:paraId="067AB527" w14:textId="77777777" w:rsidR="0015085A" w:rsidRPr="00767CE7" w:rsidRDefault="00C11917" w:rsidP="009D0537">
            <w:pPr>
              <w:jc w:val="center"/>
              <w:rPr>
                <w:b/>
                <w:bCs/>
                <w:lang w:val="en-US"/>
              </w:rPr>
            </w:pPr>
            <w:r w:rsidRPr="00767CE7">
              <w:rPr>
                <w:b/>
                <w:bCs/>
                <w:lang w:val="en-US"/>
              </w:rPr>
              <w:t xml:space="preserve">Column </w:t>
            </w:r>
            <w:r>
              <w:rPr>
                <w:b/>
                <w:bCs/>
                <w:lang w:val="en-US"/>
              </w:rPr>
              <w:t>2</w:t>
            </w:r>
          </w:p>
          <w:p w14:paraId="1B6B9B74" w14:textId="2C845530" w:rsidR="00C11917" w:rsidRPr="00767CE7" w:rsidRDefault="0015085A" w:rsidP="006667A2">
            <w:pPr>
              <w:jc w:val="center"/>
              <w:rPr>
                <w:b/>
                <w:bCs/>
                <w:lang w:val="en-US"/>
              </w:rPr>
            </w:pPr>
            <w:r>
              <w:rPr>
                <w:b/>
                <w:bCs/>
                <w:lang w:val="en-US"/>
              </w:rPr>
              <w:t xml:space="preserve">Total </w:t>
            </w:r>
            <w:r w:rsidRPr="00767CE7">
              <w:rPr>
                <w:b/>
                <w:bCs/>
                <w:lang w:val="en-US"/>
              </w:rPr>
              <w:t>Mass</w:t>
            </w:r>
            <w:r>
              <w:rPr>
                <w:b/>
                <w:bCs/>
                <w:lang w:val="en-US"/>
              </w:rPr>
              <w:t xml:space="preserve"> (t)</w:t>
            </w:r>
          </w:p>
        </w:tc>
        <w:tc>
          <w:tcPr>
            <w:tcW w:w="2629" w:type="dxa"/>
            <w:tcBorders>
              <w:bottom w:val="single" w:sz="4" w:space="0" w:color="auto"/>
            </w:tcBorders>
            <w:vAlign w:val="center"/>
          </w:tcPr>
          <w:p w14:paraId="75B32382" w14:textId="77777777" w:rsidR="0015085A" w:rsidRPr="00767CE7" w:rsidRDefault="00C11917" w:rsidP="009D0537">
            <w:pPr>
              <w:jc w:val="center"/>
              <w:rPr>
                <w:b/>
                <w:bCs/>
                <w:lang w:val="en-US"/>
              </w:rPr>
            </w:pPr>
            <w:r>
              <w:rPr>
                <w:b/>
                <w:bCs/>
                <w:lang w:val="en-US"/>
              </w:rPr>
              <w:t>Column 3</w:t>
            </w:r>
          </w:p>
          <w:p w14:paraId="746632F3" w14:textId="77777777" w:rsidR="0015085A" w:rsidRDefault="0015085A" w:rsidP="009D0537">
            <w:pPr>
              <w:jc w:val="center"/>
              <w:rPr>
                <w:b/>
                <w:bCs/>
                <w:lang w:val="en-US"/>
              </w:rPr>
            </w:pPr>
            <w:r>
              <w:rPr>
                <w:b/>
                <w:bCs/>
                <w:lang w:val="en-US"/>
              </w:rPr>
              <w:t>Total Mass (t)</w:t>
            </w:r>
          </w:p>
          <w:p w14:paraId="61E560D3" w14:textId="0FBD96E1" w:rsidR="00C11917" w:rsidRPr="00767CE7" w:rsidRDefault="0015085A" w:rsidP="006667A2">
            <w:pPr>
              <w:jc w:val="center"/>
              <w:rPr>
                <w:b/>
                <w:bCs/>
                <w:lang w:val="en-US"/>
              </w:rPr>
            </w:pPr>
            <w:r>
              <w:rPr>
                <w:b/>
                <w:bCs/>
                <w:lang w:val="en-US"/>
              </w:rPr>
              <w:t>(South Australia)</w:t>
            </w:r>
          </w:p>
        </w:tc>
      </w:tr>
      <w:tr w:rsidR="0015085A" w14:paraId="124F5BCA" w14:textId="77777777" w:rsidTr="009D0537">
        <w:trPr>
          <w:trHeight w:val="254"/>
        </w:trPr>
        <w:tc>
          <w:tcPr>
            <w:tcW w:w="1314" w:type="dxa"/>
            <w:vAlign w:val="center"/>
          </w:tcPr>
          <w:p w14:paraId="19034704" w14:textId="715FD47B" w:rsidR="0015085A" w:rsidRDefault="0015085A" w:rsidP="009D0537">
            <w:pPr>
              <w:jc w:val="center"/>
              <w:rPr>
                <w:rFonts w:eastAsia="Cambria"/>
                <w:b/>
                <w:bCs/>
                <w:color w:val="000000" w:themeColor="text1"/>
              </w:rPr>
            </w:pPr>
            <w:r>
              <w:rPr>
                <w:rFonts w:eastAsia="Cambria"/>
                <w:b/>
                <w:bCs/>
                <w:color w:val="000000" w:themeColor="text1"/>
              </w:rPr>
              <w:t>Level</w:t>
            </w:r>
          </w:p>
        </w:tc>
        <w:tc>
          <w:tcPr>
            <w:tcW w:w="1315" w:type="dxa"/>
            <w:vAlign w:val="center"/>
          </w:tcPr>
          <w:p w14:paraId="099B2A5B" w14:textId="77777777" w:rsidR="0015085A" w:rsidRDefault="0015085A" w:rsidP="009D0537">
            <w:pPr>
              <w:jc w:val="center"/>
              <w:rPr>
                <w:rFonts w:eastAsia="Cambria"/>
                <w:b/>
                <w:bCs/>
                <w:color w:val="000000" w:themeColor="text1"/>
              </w:rPr>
            </w:pPr>
            <w:r>
              <w:rPr>
                <w:rFonts w:eastAsia="Cambria"/>
                <w:b/>
                <w:bCs/>
                <w:color w:val="000000" w:themeColor="text1"/>
              </w:rPr>
              <w:t>Class</w:t>
            </w:r>
          </w:p>
          <w:p w14:paraId="4B277DC6" w14:textId="2E753FD8" w:rsidR="009D0537" w:rsidRDefault="009D0537" w:rsidP="009D0537">
            <w:pPr>
              <w:jc w:val="center"/>
              <w:rPr>
                <w:rFonts w:eastAsia="Cambria"/>
                <w:b/>
                <w:bCs/>
                <w:color w:val="000000" w:themeColor="text1"/>
              </w:rPr>
            </w:pPr>
            <w:r>
              <w:rPr>
                <w:rFonts w:eastAsia="Cambria"/>
                <w:b/>
                <w:bCs/>
                <w:color w:val="000000" w:themeColor="text1"/>
              </w:rPr>
              <w:t>(Length)</w:t>
            </w:r>
          </w:p>
        </w:tc>
        <w:tc>
          <w:tcPr>
            <w:tcW w:w="2629" w:type="dxa"/>
            <w:vAlign w:val="center"/>
          </w:tcPr>
          <w:p w14:paraId="4510EF4B" w14:textId="77777777" w:rsidR="0015085A" w:rsidRDefault="0015085A" w:rsidP="009D0537">
            <w:pPr>
              <w:jc w:val="center"/>
              <w:rPr>
                <w:b/>
                <w:bCs/>
                <w:lang w:val="en-US"/>
              </w:rPr>
            </w:pPr>
          </w:p>
        </w:tc>
        <w:tc>
          <w:tcPr>
            <w:tcW w:w="2629" w:type="dxa"/>
            <w:vAlign w:val="center"/>
          </w:tcPr>
          <w:p w14:paraId="35B8EC55" w14:textId="77777777" w:rsidR="0015085A" w:rsidRDefault="0015085A" w:rsidP="009D0537">
            <w:pPr>
              <w:jc w:val="center"/>
              <w:rPr>
                <w:b/>
                <w:bCs/>
                <w:lang w:val="en-US"/>
              </w:rPr>
            </w:pPr>
          </w:p>
        </w:tc>
      </w:tr>
      <w:tr w:rsidR="00AB4FFF" w14:paraId="461F7216" w14:textId="2E7DEB77" w:rsidTr="00755DF8">
        <w:tc>
          <w:tcPr>
            <w:tcW w:w="1314" w:type="dxa"/>
          </w:tcPr>
          <w:p w14:paraId="13AB901B" w14:textId="67CBAFE9" w:rsidR="00AE0AE7" w:rsidRDefault="00AE0AE7" w:rsidP="00AB4FFF">
            <w:pPr>
              <w:jc w:val="center"/>
              <w:rPr>
                <w:color w:val="000000" w:themeColor="text1"/>
                <w:lang w:val="en-US"/>
              </w:rPr>
            </w:pPr>
            <w:r>
              <w:rPr>
                <w:color w:val="000000" w:themeColor="text1"/>
                <w:lang w:val="en-US"/>
              </w:rPr>
              <w:t>1</w:t>
            </w:r>
          </w:p>
        </w:tc>
        <w:tc>
          <w:tcPr>
            <w:tcW w:w="1315" w:type="dxa"/>
          </w:tcPr>
          <w:p w14:paraId="1518AECA" w14:textId="53287CC1" w:rsidR="00AB4FFF" w:rsidRPr="00767CE7" w:rsidRDefault="000D3737" w:rsidP="00AB4FFF">
            <w:pPr>
              <w:jc w:val="center"/>
              <w:rPr>
                <w:color w:val="000000" w:themeColor="text1"/>
                <w:lang w:val="en-US"/>
              </w:rPr>
            </w:pPr>
            <w:r>
              <w:rPr>
                <w:color w:val="000000" w:themeColor="text1"/>
                <w:lang w:val="en-US"/>
              </w:rPr>
              <w:t>Any</w:t>
            </w:r>
          </w:p>
        </w:tc>
        <w:tc>
          <w:tcPr>
            <w:tcW w:w="2629" w:type="dxa"/>
          </w:tcPr>
          <w:p w14:paraId="78789CAC" w14:textId="166AD1BA" w:rsidR="00AB4FFF" w:rsidRPr="00897EDD" w:rsidRDefault="00AB4FFF" w:rsidP="00AB4FFF">
            <w:pPr>
              <w:jc w:val="center"/>
              <w:rPr>
                <w:lang w:val="en-US"/>
              </w:rPr>
            </w:pPr>
            <w:r w:rsidRPr="00376F1E">
              <w:rPr>
                <w:rFonts w:eastAsia="Cambria"/>
              </w:rPr>
              <w:t>50.5</w:t>
            </w:r>
          </w:p>
        </w:tc>
        <w:tc>
          <w:tcPr>
            <w:tcW w:w="2629" w:type="dxa"/>
          </w:tcPr>
          <w:p w14:paraId="2FBEF139" w14:textId="2C3484F8" w:rsidR="00AB4FFF" w:rsidRPr="00376F1E" w:rsidRDefault="00AB4FFF" w:rsidP="00AB4FFF">
            <w:pPr>
              <w:jc w:val="center"/>
              <w:rPr>
                <w:rFonts w:eastAsia="Cambria"/>
              </w:rPr>
            </w:pPr>
            <w:r w:rsidRPr="00376F1E">
              <w:rPr>
                <w:rFonts w:eastAsia="Cambria"/>
              </w:rPr>
              <w:t>50.5</w:t>
            </w:r>
          </w:p>
        </w:tc>
      </w:tr>
      <w:tr w:rsidR="00AB4FFF" w14:paraId="036B55A4" w14:textId="02F7F3E4" w:rsidTr="00755DF8">
        <w:tc>
          <w:tcPr>
            <w:tcW w:w="1314" w:type="dxa"/>
          </w:tcPr>
          <w:p w14:paraId="4D1304CC" w14:textId="0C287BFA" w:rsidR="00AE0AE7" w:rsidRDefault="00AE0AE7" w:rsidP="00AB4FFF">
            <w:pPr>
              <w:jc w:val="center"/>
              <w:rPr>
                <w:color w:val="000000" w:themeColor="text1"/>
                <w:lang w:val="en-US"/>
              </w:rPr>
            </w:pPr>
            <w:r>
              <w:rPr>
                <w:color w:val="000000" w:themeColor="text1"/>
                <w:lang w:val="en-US"/>
              </w:rPr>
              <w:t>2</w:t>
            </w:r>
          </w:p>
        </w:tc>
        <w:tc>
          <w:tcPr>
            <w:tcW w:w="1315" w:type="dxa"/>
          </w:tcPr>
          <w:p w14:paraId="3F689CB8" w14:textId="5346D21A" w:rsidR="00AB4FFF" w:rsidRPr="00767CE7" w:rsidRDefault="000D3737" w:rsidP="00AB4FFF">
            <w:pPr>
              <w:jc w:val="center"/>
              <w:rPr>
                <w:color w:val="000000" w:themeColor="text1"/>
                <w:lang w:val="en-US"/>
              </w:rPr>
            </w:pPr>
            <w:r>
              <w:rPr>
                <w:color w:val="000000" w:themeColor="text1"/>
                <w:lang w:val="en-US"/>
              </w:rPr>
              <w:t>A</w:t>
            </w:r>
          </w:p>
        </w:tc>
        <w:tc>
          <w:tcPr>
            <w:tcW w:w="2629" w:type="dxa"/>
          </w:tcPr>
          <w:p w14:paraId="6157E14E" w14:textId="1AFC8931" w:rsidR="00AB4FFF" w:rsidRPr="00897EDD" w:rsidRDefault="00AB4FFF" w:rsidP="00AB4FFF">
            <w:pPr>
              <w:jc w:val="center"/>
              <w:rPr>
                <w:lang w:val="en-US"/>
              </w:rPr>
            </w:pPr>
            <w:r w:rsidRPr="00376F1E">
              <w:rPr>
                <w:rFonts w:eastAsia="Cambria"/>
              </w:rPr>
              <w:t>68.5</w:t>
            </w:r>
          </w:p>
        </w:tc>
        <w:tc>
          <w:tcPr>
            <w:tcW w:w="2629" w:type="dxa"/>
          </w:tcPr>
          <w:p w14:paraId="7D542454" w14:textId="75DDDDDB" w:rsidR="00AB4FFF" w:rsidRPr="00376F1E" w:rsidRDefault="00AB4FFF" w:rsidP="00AB4FFF">
            <w:pPr>
              <w:jc w:val="center"/>
              <w:rPr>
                <w:rFonts w:eastAsia="Cambria"/>
              </w:rPr>
            </w:pPr>
            <w:r w:rsidRPr="00376F1E">
              <w:rPr>
                <w:rFonts w:eastAsia="Cambria"/>
              </w:rPr>
              <w:t>68.5</w:t>
            </w:r>
          </w:p>
        </w:tc>
      </w:tr>
      <w:tr w:rsidR="009D4886" w14:paraId="26F3F40A" w14:textId="77777777" w:rsidTr="00755DF8">
        <w:tc>
          <w:tcPr>
            <w:tcW w:w="1314" w:type="dxa"/>
          </w:tcPr>
          <w:p w14:paraId="3737652B" w14:textId="6BC54A3C" w:rsidR="009D4886" w:rsidRPr="00767CE7" w:rsidRDefault="00AE0AE7" w:rsidP="00AB4FFF">
            <w:pPr>
              <w:jc w:val="center"/>
              <w:rPr>
                <w:rFonts w:eastAsia="Cambria"/>
                <w:color w:val="000000" w:themeColor="text1"/>
              </w:rPr>
            </w:pPr>
            <w:r>
              <w:rPr>
                <w:rFonts w:eastAsia="Cambria"/>
                <w:color w:val="000000" w:themeColor="text1"/>
              </w:rPr>
              <w:t>2</w:t>
            </w:r>
          </w:p>
        </w:tc>
        <w:tc>
          <w:tcPr>
            <w:tcW w:w="1315" w:type="dxa"/>
          </w:tcPr>
          <w:p w14:paraId="06D768EB" w14:textId="5EF70F0D" w:rsidR="009D4886" w:rsidRPr="00767CE7" w:rsidRDefault="000D3737" w:rsidP="00AB4FFF">
            <w:pPr>
              <w:jc w:val="center"/>
              <w:rPr>
                <w:rFonts w:eastAsia="Cambria"/>
                <w:color w:val="000000" w:themeColor="text1"/>
              </w:rPr>
            </w:pPr>
            <w:r>
              <w:rPr>
                <w:rFonts w:eastAsia="Cambria"/>
                <w:color w:val="000000" w:themeColor="text1"/>
              </w:rPr>
              <w:t>B</w:t>
            </w:r>
          </w:p>
        </w:tc>
        <w:tc>
          <w:tcPr>
            <w:tcW w:w="2629" w:type="dxa"/>
          </w:tcPr>
          <w:p w14:paraId="10E0BC97" w14:textId="59AA695C" w:rsidR="009D4886" w:rsidRPr="00376F1E" w:rsidRDefault="009D4886" w:rsidP="00DD239C">
            <w:pPr>
              <w:jc w:val="center"/>
              <w:rPr>
                <w:rFonts w:eastAsia="Cambria"/>
              </w:rPr>
            </w:pPr>
            <w:r w:rsidRPr="00376F1E">
              <w:rPr>
                <w:rFonts w:eastAsia="Cambria"/>
              </w:rPr>
              <w:t>68.5</w:t>
            </w:r>
          </w:p>
        </w:tc>
        <w:tc>
          <w:tcPr>
            <w:tcW w:w="2629" w:type="dxa"/>
          </w:tcPr>
          <w:p w14:paraId="18AFAFB2" w14:textId="7998DE49" w:rsidR="009D4886" w:rsidRPr="00376F1E" w:rsidRDefault="009D4886" w:rsidP="00DD239C">
            <w:pPr>
              <w:jc w:val="center"/>
              <w:rPr>
                <w:rFonts w:eastAsia="Cambria"/>
              </w:rPr>
            </w:pPr>
            <w:r w:rsidRPr="00376F1E">
              <w:rPr>
                <w:rFonts w:eastAsia="Cambria"/>
              </w:rPr>
              <w:t>68.5</w:t>
            </w:r>
          </w:p>
        </w:tc>
      </w:tr>
      <w:tr w:rsidR="00AB4FFF" w14:paraId="283EBEB5" w14:textId="4130C315" w:rsidTr="00755DF8">
        <w:tc>
          <w:tcPr>
            <w:tcW w:w="1314" w:type="dxa"/>
          </w:tcPr>
          <w:p w14:paraId="4FFC4849" w14:textId="31109421" w:rsidR="00AE0AE7" w:rsidRDefault="00AE0AE7" w:rsidP="00AB4FFF">
            <w:pPr>
              <w:jc w:val="center"/>
              <w:rPr>
                <w:color w:val="000000" w:themeColor="text1"/>
                <w:lang w:val="en-US"/>
              </w:rPr>
            </w:pPr>
            <w:r>
              <w:rPr>
                <w:color w:val="000000" w:themeColor="text1"/>
                <w:lang w:val="en-US"/>
              </w:rPr>
              <w:t>3</w:t>
            </w:r>
          </w:p>
        </w:tc>
        <w:tc>
          <w:tcPr>
            <w:tcW w:w="1315" w:type="dxa"/>
          </w:tcPr>
          <w:p w14:paraId="32A0569C" w14:textId="47095D3C" w:rsidR="00AB4FFF" w:rsidRPr="00767CE7" w:rsidRDefault="000D3737" w:rsidP="00AB4FFF">
            <w:pPr>
              <w:jc w:val="center"/>
              <w:rPr>
                <w:color w:val="000000" w:themeColor="text1"/>
                <w:lang w:val="en-US"/>
              </w:rPr>
            </w:pPr>
            <w:r>
              <w:rPr>
                <w:color w:val="000000" w:themeColor="text1"/>
                <w:lang w:val="en-US"/>
              </w:rPr>
              <w:t>A</w:t>
            </w:r>
          </w:p>
        </w:tc>
        <w:tc>
          <w:tcPr>
            <w:tcW w:w="2629" w:type="dxa"/>
          </w:tcPr>
          <w:p w14:paraId="1F054542" w14:textId="432068F5" w:rsidR="00AB4FFF" w:rsidRPr="00897EDD" w:rsidRDefault="00AB4FFF" w:rsidP="00AB4FFF">
            <w:pPr>
              <w:jc w:val="center"/>
              <w:rPr>
                <w:lang w:val="en-US"/>
              </w:rPr>
            </w:pPr>
            <w:r w:rsidRPr="00376F1E">
              <w:rPr>
                <w:rFonts w:eastAsia="Cambria"/>
              </w:rPr>
              <w:t>110</w:t>
            </w:r>
          </w:p>
        </w:tc>
        <w:tc>
          <w:tcPr>
            <w:tcW w:w="2629" w:type="dxa"/>
          </w:tcPr>
          <w:p w14:paraId="06B8CE88" w14:textId="7FC0B8B9" w:rsidR="00AB4FFF" w:rsidRPr="00376F1E" w:rsidRDefault="00AB4FFF" w:rsidP="00AB4FFF">
            <w:pPr>
              <w:jc w:val="center"/>
              <w:rPr>
                <w:rFonts w:eastAsia="Cambria"/>
              </w:rPr>
            </w:pPr>
            <w:r w:rsidRPr="00376F1E">
              <w:rPr>
                <w:rFonts w:eastAsia="Cambria"/>
              </w:rPr>
              <w:t>110</w:t>
            </w:r>
          </w:p>
        </w:tc>
      </w:tr>
      <w:tr w:rsidR="001F2301" w14:paraId="452193E7" w14:textId="77777777" w:rsidTr="00755DF8">
        <w:tc>
          <w:tcPr>
            <w:tcW w:w="1314" w:type="dxa"/>
          </w:tcPr>
          <w:p w14:paraId="07395C4E" w14:textId="4438A7BF" w:rsidR="00AE0AE7" w:rsidRDefault="00AE0AE7" w:rsidP="00AB4FFF">
            <w:pPr>
              <w:jc w:val="center"/>
              <w:rPr>
                <w:rFonts w:eastAsia="Cambria"/>
                <w:color w:val="000000" w:themeColor="text1"/>
              </w:rPr>
            </w:pPr>
            <w:r>
              <w:rPr>
                <w:rFonts w:eastAsia="Cambria"/>
                <w:color w:val="000000" w:themeColor="text1"/>
              </w:rPr>
              <w:t>3</w:t>
            </w:r>
          </w:p>
        </w:tc>
        <w:tc>
          <w:tcPr>
            <w:tcW w:w="1315" w:type="dxa"/>
          </w:tcPr>
          <w:p w14:paraId="2C0FED34" w14:textId="4D4A95C5" w:rsidR="001F2301" w:rsidRPr="00767CE7" w:rsidRDefault="000D3737" w:rsidP="00AB4FFF">
            <w:pPr>
              <w:jc w:val="center"/>
              <w:rPr>
                <w:rFonts w:eastAsia="Cambria"/>
                <w:color w:val="000000" w:themeColor="text1"/>
              </w:rPr>
            </w:pPr>
            <w:r>
              <w:rPr>
                <w:rFonts w:eastAsia="Cambria"/>
                <w:color w:val="000000" w:themeColor="text1"/>
              </w:rPr>
              <w:t>B</w:t>
            </w:r>
          </w:p>
        </w:tc>
        <w:tc>
          <w:tcPr>
            <w:tcW w:w="2629" w:type="dxa"/>
          </w:tcPr>
          <w:p w14:paraId="7A0BAD3E" w14:textId="388F6E9E" w:rsidR="001F2301" w:rsidRPr="00376F1E" w:rsidRDefault="00B44B98" w:rsidP="00AB4FFF">
            <w:pPr>
              <w:jc w:val="center"/>
              <w:rPr>
                <w:rFonts w:eastAsia="Cambria"/>
              </w:rPr>
            </w:pPr>
            <w:r>
              <w:rPr>
                <w:rFonts w:eastAsia="Cambria"/>
              </w:rPr>
              <w:t>110</w:t>
            </w:r>
          </w:p>
        </w:tc>
        <w:tc>
          <w:tcPr>
            <w:tcW w:w="2629" w:type="dxa"/>
          </w:tcPr>
          <w:p w14:paraId="2D021D0F" w14:textId="079AEAEC" w:rsidR="001F2301" w:rsidRPr="00376F1E" w:rsidRDefault="00B44B98" w:rsidP="00AB4FFF">
            <w:pPr>
              <w:jc w:val="center"/>
              <w:rPr>
                <w:rFonts w:eastAsia="Cambria"/>
              </w:rPr>
            </w:pPr>
            <w:r>
              <w:rPr>
                <w:rFonts w:eastAsia="Cambria"/>
              </w:rPr>
              <w:t>118</w:t>
            </w:r>
          </w:p>
        </w:tc>
      </w:tr>
      <w:tr w:rsidR="00AB4FFF" w14:paraId="7BAF2F54" w14:textId="66A5F686" w:rsidTr="00755DF8">
        <w:tc>
          <w:tcPr>
            <w:tcW w:w="1314" w:type="dxa"/>
          </w:tcPr>
          <w:p w14:paraId="33C2FC7E" w14:textId="78B87042" w:rsidR="000D3737" w:rsidRDefault="000D3737" w:rsidP="00AB4FFF">
            <w:pPr>
              <w:jc w:val="center"/>
              <w:rPr>
                <w:color w:val="000000" w:themeColor="text1"/>
                <w:lang w:val="en-US"/>
              </w:rPr>
            </w:pPr>
            <w:r>
              <w:rPr>
                <w:color w:val="000000" w:themeColor="text1"/>
                <w:lang w:val="en-US"/>
              </w:rPr>
              <w:t>4</w:t>
            </w:r>
          </w:p>
        </w:tc>
        <w:tc>
          <w:tcPr>
            <w:tcW w:w="1315" w:type="dxa"/>
          </w:tcPr>
          <w:p w14:paraId="148EB79C" w14:textId="416091A4" w:rsidR="00AB4FFF" w:rsidRPr="00767CE7" w:rsidRDefault="000D3737" w:rsidP="00AB4FFF">
            <w:pPr>
              <w:jc w:val="center"/>
              <w:rPr>
                <w:color w:val="000000" w:themeColor="text1"/>
                <w:lang w:val="en-US"/>
              </w:rPr>
            </w:pPr>
            <w:r>
              <w:rPr>
                <w:color w:val="000000" w:themeColor="text1"/>
                <w:lang w:val="en-US"/>
              </w:rPr>
              <w:t>A</w:t>
            </w:r>
          </w:p>
        </w:tc>
        <w:tc>
          <w:tcPr>
            <w:tcW w:w="2629" w:type="dxa"/>
          </w:tcPr>
          <w:p w14:paraId="603F6915" w14:textId="10244F84" w:rsidR="00AB4FFF" w:rsidRPr="00897EDD" w:rsidRDefault="00AB4FFF" w:rsidP="00AB4FFF">
            <w:pPr>
              <w:jc w:val="center"/>
              <w:rPr>
                <w:lang w:val="en-US"/>
              </w:rPr>
            </w:pPr>
            <w:r w:rsidRPr="00376F1E">
              <w:rPr>
                <w:rFonts w:eastAsia="Cambria"/>
              </w:rPr>
              <w:t>1</w:t>
            </w:r>
            <w:r>
              <w:rPr>
                <w:rFonts w:eastAsia="Cambria"/>
              </w:rPr>
              <w:t>5</w:t>
            </w:r>
            <w:r w:rsidRPr="00376F1E">
              <w:rPr>
                <w:rFonts w:eastAsia="Cambria"/>
              </w:rPr>
              <w:t>0</w:t>
            </w:r>
          </w:p>
        </w:tc>
        <w:tc>
          <w:tcPr>
            <w:tcW w:w="2629" w:type="dxa"/>
          </w:tcPr>
          <w:p w14:paraId="07EF616D" w14:textId="52EE81F1" w:rsidR="00AB4FFF" w:rsidRPr="00376F1E" w:rsidRDefault="00AB4FFF" w:rsidP="00AB4FFF">
            <w:pPr>
              <w:jc w:val="center"/>
              <w:rPr>
                <w:rFonts w:eastAsia="Cambria"/>
              </w:rPr>
            </w:pPr>
            <w:r w:rsidRPr="00376F1E">
              <w:rPr>
                <w:rFonts w:eastAsia="Cambria"/>
              </w:rPr>
              <w:t>1</w:t>
            </w:r>
            <w:r w:rsidR="00B44B98">
              <w:rPr>
                <w:rFonts w:eastAsia="Cambria"/>
              </w:rPr>
              <w:t>36</w:t>
            </w:r>
          </w:p>
        </w:tc>
      </w:tr>
    </w:tbl>
    <w:p w14:paraId="4A31C789" w14:textId="77777777" w:rsidR="00C3608D" w:rsidRDefault="00C3608D" w:rsidP="00C3608D">
      <w:pPr>
        <w:pStyle w:val="ListParagraph"/>
        <w:jc w:val="both"/>
        <w:rPr>
          <w:b/>
          <w:bCs/>
          <w:lang w:val="en-US"/>
        </w:rPr>
      </w:pPr>
    </w:p>
    <w:p w14:paraId="5BECAB13" w14:textId="0DE5F697" w:rsidR="00EF78E0" w:rsidRPr="00FF0841" w:rsidRDefault="00EF78E0" w:rsidP="00EF78E0">
      <w:pPr>
        <w:pStyle w:val="ListParagraph"/>
        <w:numPr>
          <w:ilvl w:val="0"/>
          <w:numId w:val="1"/>
        </w:numPr>
        <w:jc w:val="both"/>
        <w:rPr>
          <w:b/>
          <w:bCs/>
          <w:lang w:val="en-US"/>
        </w:rPr>
      </w:pPr>
      <w:r w:rsidRPr="00FF0841">
        <w:rPr>
          <w:b/>
          <w:bCs/>
          <w:lang w:val="en-US"/>
        </w:rPr>
        <w:t xml:space="preserve">Condition – Mass </w:t>
      </w:r>
      <w:r w:rsidR="00F91EFB">
        <w:rPr>
          <w:b/>
          <w:bCs/>
          <w:lang w:val="en-US"/>
        </w:rPr>
        <w:t>(</w:t>
      </w:r>
      <w:r w:rsidRPr="00FF0841">
        <w:rPr>
          <w:b/>
          <w:bCs/>
          <w:lang w:val="en-US"/>
        </w:rPr>
        <w:t>quad axle groups</w:t>
      </w:r>
      <w:r w:rsidR="00F91EFB">
        <w:rPr>
          <w:b/>
          <w:bCs/>
          <w:lang w:val="en-US"/>
        </w:rPr>
        <w:t>)</w:t>
      </w:r>
    </w:p>
    <w:p w14:paraId="216BEA8B" w14:textId="77777777" w:rsidR="00EF78E0" w:rsidRDefault="00EF78E0" w:rsidP="00EF78E0">
      <w:pPr>
        <w:pStyle w:val="ListParagraph"/>
        <w:ind w:left="1080"/>
        <w:jc w:val="both"/>
        <w:rPr>
          <w:lang w:val="en-US"/>
        </w:rPr>
      </w:pPr>
    </w:p>
    <w:p w14:paraId="05FF03F2" w14:textId="50F3C732" w:rsidR="00262764" w:rsidRDefault="00EF78E0" w:rsidP="00CC28A3">
      <w:pPr>
        <w:pStyle w:val="ListParagraph"/>
        <w:ind w:left="1080"/>
        <w:jc w:val="both"/>
        <w:rPr>
          <w:lang w:val="en-US"/>
        </w:rPr>
      </w:pPr>
      <w:r>
        <w:rPr>
          <w:lang w:val="en-US"/>
        </w:rPr>
        <w:t>The mass of a quad axle group on an eligible vehicle must not exceed 21t.</w:t>
      </w:r>
    </w:p>
    <w:p w14:paraId="50C30716" w14:textId="77777777" w:rsidR="00F112D3" w:rsidRDefault="00F112D3" w:rsidP="00EF78E0">
      <w:pPr>
        <w:pStyle w:val="ListParagraph"/>
        <w:ind w:left="1080"/>
        <w:jc w:val="both"/>
        <w:rPr>
          <w:lang w:val="en-US"/>
        </w:rPr>
      </w:pPr>
    </w:p>
    <w:p w14:paraId="1C17EF55" w14:textId="63852590" w:rsidR="00F112D3" w:rsidRPr="00B81755" w:rsidRDefault="00F112D3" w:rsidP="00B81755">
      <w:pPr>
        <w:pStyle w:val="ListParagraph"/>
        <w:numPr>
          <w:ilvl w:val="0"/>
          <w:numId w:val="1"/>
        </w:numPr>
        <w:jc w:val="both"/>
        <w:rPr>
          <w:b/>
          <w:bCs/>
          <w:lang w:val="en-US"/>
        </w:rPr>
      </w:pPr>
      <w:r w:rsidRPr="00B81755">
        <w:rPr>
          <w:b/>
          <w:bCs/>
          <w:lang w:val="en-US"/>
        </w:rPr>
        <w:t>Conditions</w:t>
      </w:r>
      <w:r w:rsidR="00B81755">
        <w:rPr>
          <w:b/>
          <w:bCs/>
          <w:lang w:val="en-US"/>
        </w:rPr>
        <w:t xml:space="preserve"> – Dimension</w:t>
      </w:r>
      <w:r w:rsidR="00F91EFB">
        <w:rPr>
          <w:b/>
          <w:bCs/>
          <w:lang w:val="en-US"/>
        </w:rPr>
        <w:t>s</w:t>
      </w:r>
    </w:p>
    <w:p w14:paraId="154BEF1E" w14:textId="1D21053A" w:rsidR="00F112D3" w:rsidRDefault="00F112D3" w:rsidP="00EF78E0">
      <w:pPr>
        <w:pStyle w:val="ListParagraph"/>
        <w:ind w:left="1080"/>
        <w:jc w:val="both"/>
        <w:rPr>
          <w:lang w:val="en-US"/>
        </w:rPr>
      </w:pPr>
    </w:p>
    <w:p w14:paraId="2B0C9A2B" w14:textId="79E442BF" w:rsidR="001B1C1C" w:rsidRPr="00262764" w:rsidRDefault="00107EAD" w:rsidP="000E696B">
      <w:pPr>
        <w:pStyle w:val="ListParagraph"/>
        <w:numPr>
          <w:ilvl w:val="0"/>
          <w:numId w:val="22"/>
        </w:numPr>
        <w:jc w:val="both"/>
        <w:rPr>
          <w:lang w:val="en-US"/>
        </w:rPr>
      </w:pPr>
      <w:r>
        <w:rPr>
          <w:lang w:val="en-US"/>
        </w:rPr>
        <w:t xml:space="preserve">An eligible vehicle </w:t>
      </w:r>
      <w:r w:rsidR="001B1C1C">
        <w:rPr>
          <w:lang w:val="en-US"/>
        </w:rPr>
        <w:t>must not exceed</w:t>
      </w:r>
      <w:r w:rsidR="00262764">
        <w:rPr>
          <w:lang w:val="en-US"/>
        </w:rPr>
        <w:t xml:space="preserve"> </w:t>
      </w:r>
      <w:r w:rsidR="001B1C1C" w:rsidRPr="00262764">
        <w:rPr>
          <w:lang w:val="en-US"/>
        </w:rPr>
        <w:t>4.6m</w:t>
      </w:r>
      <w:r w:rsidR="00262764" w:rsidRPr="00262764">
        <w:rPr>
          <w:lang w:val="en-US"/>
        </w:rPr>
        <w:t xml:space="preserve"> in height.</w:t>
      </w:r>
    </w:p>
    <w:p w14:paraId="269E78C9" w14:textId="288C742A" w:rsidR="00262764" w:rsidRDefault="00262764" w:rsidP="006A5514">
      <w:pPr>
        <w:pStyle w:val="ListParagraph"/>
        <w:ind w:left="2160" w:hanging="1080"/>
        <w:jc w:val="both"/>
        <w:rPr>
          <w:i/>
          <w:iCs/>
          <w:lang w:val="en-US"/>
        </w:rPr>
      </w:pPr>
    </w:p>
    <w:p w14:paraId="15DD00EF" w14:textId="3BFA9C54" w:rsidR="001B1C1C" w:rsidRPr="00FA0CB9" w:rsidRDefault="00262764" w:rsidP="000E696B">
      <w:pPr>
        <w:pStyle w:val="ListParagraph"/>
        <w:numPr>
          <w:ilvl w:val="0"/>
          <w:numId w:val="22"/>
        </w:numPr>
        <w:jc w:val="both"/>
        <w:rPr>
          <w:lang w:val="en-US"/>
        </w:rPr>
      </w:pPr>
      <w:r w:rsidRPr="00262764">
        <w:rPr>
          <w:lang w:val="en-US"/>
        </w:rPr>
        <w:t>An eligible vehicle must not</w:t>
      </w:r>
      <w:r w:rsidR="00A22CBF">
        <w:rPr>
          <w:lang w:val="en-US"/>
        </w:rPr>
        <w:t xml:space="preserve"> exceed the length specified in column 2 of Table</w:t>
      </w:r>
      <w:r w:rsidR="0073711F">
        <w:rPr>
          <w:lang w:val="en-US"/>
        </w:rPr>
        <w:t xml:space="preserve"> 2, for a corresponding PBS network level </w:t>
      </w:r>
      <w:r w:rsidR="00E73FF0">
        <w:rPr>
          <w:lang w:val="en-US"/>
        </w:rPr>
        <w:t xml:space="preserve">and class </w:t>
      </w:r>
      <w:r w:rsidR="00167906">
        <w:rPr>
          <w:lang w:val="en-US"/>
        </w:rPr>
        <w:t>stated</w:t>
      </w:r>
      <w:r w:rsidR="0073711F">
        <w:rPr>
          <w:lang w:val="en-US"/>
        </w:rPr>
        <w:t xml:space="preserve"> in </w:t>
      </w:r>
      <w:r w:rsidR="00D21EAE">
        <w:rPr>
          <w:lang w:val="en-US"/>
        </w:rPr>
        <w:t>Column 1</w:t>
      </w:r>
    </w:p>
    <w:p w14:paraId="0CABDF55" w14:textId="459D41D3" w:rsidR="00D21EAE" w:rsidRDefault="00D21EAE" w:rsidP="00C644B5">
      <w:pPr>
        <w:spacing w:after="200" w:line="276" w:lineRule="auto"/>
        <w:ind w:left="360" w:firstLine="720"/>
        <w:jc w:val="both"/>
        <w:rPr>
          <w:b/>
          <w:bCs/>
          <w:lang w:val="en-US"/>
        </w:rPr>
      </w:pPr>
      <w:r w:rsidRPr="003F6B45">
        <w:rPr>
          <w:b/>
          <w:bCs/>
          <w:lang w:val="en-US"/>
        </w:rPr>
        <w:t xml:space="preserve">Table 2: </w:t>
      </w:r>
      <w:r w:rsidR="003F6B45">
        <w:rPr>
          <w:b/>
          <w:bCs/>
          <w:lang w:val="en-US"/>
        </w:rPr>
        <w:t>M</w:t>
      </w:r>
      <w:r w:rsidRPr="003F6B45">
        <w:rPr>
          <w:b/>
          <w:bCs/>
          <w:lang w:val="en-US"/>
        </w:rPr>
        <w:t xml:space="preserve">aximum eligible vehicle lengths for a specified </w:t>
      </w:r>
      <w:r w:rsidR="003F6B45" w:rsidRPr="003F6B45">
        <w:rPr>
          <w:b/>
          <w:bCs/>
          <w:lang w:val="en-US"/>
        </w:rPr>
        <w:t>PBS network</w:t>
      </w:r>
    </w:p>
    <w:tbl>
      <w:tblPr>
        <w:tblStyle w:val="TableGrid"/>
        <w:tblW w:w="5258" w:type="dxa"/>
        <w:tblInd w:w="2047" w:type="dxa"/>
        <w:tblLook w:val="04A0" w:firstRow="1" w:lastRow="0" w:firstColumn="1" w:lastColumn="0" w:noHBand="0" w:noVBand="1"/>
      </w:tblPr>
      <w:tblGrid>
        <w:gridCol w:w="1314"/>
        <w:gridCol w:w="1315"/>
        <w:gridCol w:w="2629"/>
      </w:tblGrid>
      <w:tr w:rsidR="003A6C77" w14:paraId="0D040B80" w14:textId="77777777" w:rsidTr="00E81F7D">
        <w:trPr>
          <w:trHeight w:val="547"/>
        </w:trPr>
        <w:tc>
          <w:tcPr>
            <w:tcW w:w="2629" w:type="dxa"/>
            <w:gridSpan w:val="2"/>
            <w:tcBorders>
              <w:bottom w:val="single" w:sz="4" w:space="0" w:color="auto"/>
            </w:tcBorders>
            <w:vAlign w:val="center"/>
          </w:tcPr>
          <w:p w14:paraId="53B79E04" w14:textId="77777777" w:rsidR="003A6C77" w:rsidRPr="00767CE7" w:rsidRDefault="003A6C77" w:rsidP="006D389A">
            <w:pPr>
              <w:jc w:val="center"/>
              <w:rPr>
                <w:rFonts w:eastAsia="Cambria"/>
                <w:b/>
                <w:bCs/>
                <w:color w:val="000000" w:themeColor="text1"/>
              </w:rPr>
            </w:pPr>
            <w:r w:rsidRPr="00767CE7">
              <w:rPr>
                <w:rFonts w:eastAsia="Cambria"/>
                <w:b/>
                <w:bCs/>
                <w:color w:val="000000" w:themeColor="text1"/>
              </w:rPr>
              <w:t>Column 1</w:t>
            </w:r>
          </w:p>
          <w:p w14:paraId="4635D6E5" w14:textId="77777777" w:rsidR="003A6C77" w:rsidRPr="00767CE7" w:rsidRDefault="003A6C77" w:rsidP="006D389A">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2629" w:type="dxa"/>
            <w:vMerge w:val="restart"/>
            <w:tcBorders>
              <w:bottom w:val="single" w:sz="4" w:space="0" w:color="auto"/>
            </w:tcBorders>
            <w:vAlign w:val="center"/>
          </w:tcPr>
          <w:p w14:paraId="1A81E80F" w14:textId="77777777" w:rsidR="003A6C77" w:rsidRPr="00767CE7" w:rsidRDefault="003A6C77" w:rsidP="006D389A">
            <w:pPr>
              <w:jc w:val="center"/>
              <w:rPr>
                <w:b/>
                <w:bCs/>
                <w:lang w:val="en-US"/>
              </w:rPr>
            </w:pPr>
            <w:r w:rsidRPr="00767CE7">
              <w:rPr>
                <w:b/>
                <w:bCs/>
                <w:lang w:val="en-US"/>
              </w:rPr>
              <w:t xml:space="preserve">Column </w:t>
            </w:r>
            <w:r>
              <w:rPr>
                <w:b/>
                <w:bCs/>
                <w:lang w:val="en-US"/>
              </w:rPr>
              <w:t>2</w:t>
            </w:r>
          </w:p>
          <w:p w14:paraId="04B04B43" w14:textId="36B6CF9F" w:rsidR="003A6C77" w:rsidRPr="00767CE7" w:rsidRDefault="003A6C77" w:rsidP="006D389A">
            <w:pPr>
              <w:jc w:val="center"/>
              <w:rPr>
                <w:b/>
                <w:bCs/>
                <w:lang w:val="en-US"/>
              </w:rPr>
            </w:pPr>
            <w:r>
              <w:rPr>
                <w:b/>
                <w:bCs/>
                <w:lang w:val="en-US"/>
              </w:rPr>
              <w:t>Maximum length (m)</w:t>
            </w:r>
          </w:p>
        </w:tc>
      </w:tr>
      <w:tr w:rsidR="003A6C77" w14:paraId="2561A50D" w14:textId="77777777" w:rsidTr="00E81F7D">
        <w:trPr>
          <w:trHeight w:val="254"/>
        </w:trPr>
        <w:tc>
          <w:tcPr>
            <w:tcW w:w="1314" w:type="dxa"/>
            <w:vAlign w:val="center"/>
          </w:tcPr>
          <w:p w14:paraId="6F39F1E8" w14:textId="77777777" w:rsidR="003A6C77" w:rsidRDefault="003A6C77" w:rsidP="006D389A">
            <w:pPr>
              <w:jc w:val="center"/>
              <w:rPr>
                <w:rFonts w:eastAsia="Cambria"/>
                <w:b/>
                <w:bCs/>
                <w:color w:val="000000" w:themeColor="text1"/>
              </w:rPr>
            </w:pPr>
            <w:r>
              <w:rPr>
                <w:rFonts w:eastAsia="Cambria"/>
                <w:b/>
                <w:bCs/>
                <w:color w:val="000000" w:themeColor="text1"/>
              </w:rPr>
              <w:t>Level</w:t>
            </w:r>
          </w:p>
        </w:tc>
        <w:tc>
          <w:tcPr>
            <w:tcW w:w="1315" w:type="dxa"/>
            <w:vAlign w:val="center"/>
          </w:tcPr>
          <w:p w14:paraId="1D024B44" w14:textId="77777777" w:rsidR="003A6C77" w:rsidRDefault="003A6C77" w:rsidP="006D389A">
            <w:pPr>
              <w:jc w:val="center"/>
              <w:rPr>
                <w:rFonts w:eastAsia="Cambria"/>
                <w:b/>
                <w:bCs/>
                <w:color w:val="000000" w:themeColor="text1"/>
              </w:rPr>
            </w:pPr>
            <w:r>
              <w:rPr>
                <w:rFonts w:eastAsia="Cambria"/>
                <w:b/>
                <w:bCs/>
                <w:color w:val="000000" w:themeColor="text1"/>
              </w:rPr>
              <w:t>Class</w:t>
            </w:r>
          </w:p>
          <w:p w14:paraId="7C0E3E73" w14:textId="77777777" w:rsidR="003A6C77" w:rsidRDefault="003A6C77" w:rsidP="006D389A">
            <w:pPr>
              <w:jc w:val="center"/>
              <w:rPr>
                <w:rFonts w:eastAsia="Cambria"/>
                <w:b/>
                <w:bCs/>
                <w:color w:val="000000" w:themeColor="text1"/>
              </w:rPr>
            </w:pPr>
            <w:r>
              <w:rPr>
                <w:rFonts w:eastAsia="Cambria"/>
                <w:b/>
                <w:bCs/>
                <w:color w:val="000000" w:themeColor="text1"/>
              </w:rPr>
              <w:t>(Length)</w:t>
            </w:r>
          </w:p>
        </w:tc>
        <w:tc>
          <w:tcPr>
            <w:tcW w:w="2629" w:type="dxa"/>
            <w:vMerge/>
            <w:vAlign w:val="center"/>
          </w:tcPr>
          <w:p w14:paraId="497EBE4F" w14:textId="77777777" w:rsidR="003A6C77" w:rsidRDefault="003A6C77" w:rsidP="006D389A">
            <w:pPr>
              <w:jc w:val="center"/>
              <w:rPr>
                <w:b/>
                <w:bCs/>
                <w:lang w:val="en-US"/>
              </w:rPr>
            </w:pPr>
          </w:p>
        </w:tc>
      </w:tr>
      <w:tr w:rsidR="003A6C77" w14:paraId="47DBF313" w14:textId="77777777" w:rsidTr="00E81F7D">
        <w:tc>
          <w:tcPr>
            <w:tcW w:w="1314" w:type="dxa"/>
          </w:tcPr>
          <w:p w14:paraId="2E05975A" w14:textId="77777777" w:rsidR="003A6C77" w:rsidRPr="00767CE7" w:rsidRDefault="003A6C77" w:rsidP="003A6C77">
            <w:pPr>
              <w:jc w:val="center"/>
              <w:rPr>
                <w:color w:val="000000" w:themeColor="text1"/>
                <w:lang w:val="en-US"/>
              </w:rPr>
            </w:pPr>
            <w:r>
              <w:rPr>
                <w:color w:val="000000" w:themeColor="text1"/>
                <w:lang w:val="en-US"/>
              </w:rPr>
              <w:t>1</w:t>
            </w:r>
          </w:p>
        </w:tc>
        <w:tc>
          <w:tcPr>
            <w:tcW w:w="1315" w:type="dxa"/>
          </w:tcPr>
          <w:p w14:paraId="278C10F1" w14:textId="38DB0D8E" w:rsidR="003A6C77" w:rsidRPr="00767CE7" w:rsidRDefault="009A268F" w:rsidP="003A6C77">
            <w:pPr>
              <w:jc w:val="center"/>
              <w:rPr>
                <w:color w:val="000000" w:themeColor="text1"/>
                <w:lang w:val="en-US"/>
              </w:rPr>
            </w:pPr>
            <w:r>
              <w:rPr>
                <w:color w:val="000000" w:themeColor="text1"/>
                <w:lang w:val="en-US"/>
              </w:rPr>
              <w:t>-</w:t>
            </w:r>
          </w:p>
        </w:tc>
        <w:tc>
          <w:tcPr>
            <w:tcW w:w="2629" w:type="dxa"/>
          </w:tcPr>
          <w:p w14:paraId="4372BEB3" w14:textId="2DABBB7C" w:rsidR="003A6C77" w:rsidRPr="00897EDD" w:rsidRDefault="003A6C77" w:rsidP="003A6C77">
            <w:pPr>
              <w:jc w:val="center"/>
              <w:rPr>
                <w:lang w:val="en-US"/>
              </w:rPr>
            </w:pPr>
            <w:r>
              <w:rPr>
                <w:rFonts w:eastAsia="Cambria"/>
              </w:rPr>
              <w:t>20.0</w:t>
            </w:r>
          </w:p>
        </w:tc>
      </w:tr>
      <w:tr w:rsidR="003A6C77" w14:paraId="00C80988" w14:textId="77777777" w:rsidTr="00E81F7D">
        <w:tc>
          <w:tcPr>
            <w:tcW w:w="1314" w:type="dxa"/>
          </w:tcPr>
          <w:p w14:paraId="5C08E908" w14:textId="77777777" w:rsidR="003A6C77" w:rsidRPr="00767CE7" w:rsidRDefault="003A6C77" w:rsidP="003A6C77">
            <w:pPr>
              <w:jc w:val="center"/>
              <w:rPr>
                <w:color w:val="000000" w:themeColor="text1"/>
                <w:lang w:val="en-US"/>
              </w:rPr>
            </w:pPr>
            <w:r>
              <w:rPr>
                <w:color w:val="000000" w:themeColor="text1"/>
                <w:lang w:val="en-US"/>
              </w:rPr>
              <w:t>2</w:t>
            </w:r>
          </w:p>
        </w:tc>
        <w:tc>
          <w:tcPr>
            <w:tcW w:w="1315" w:type="dxa"/>
          </w:tcPr>
          <w:p w14:paraId="5CE0BC89" w14:textId="77777777" w:rsidR="003A6C77" w:rsidRPr="00767CE7" w:rsidRDefault="003A6C77" w:rsidP="003A6C77">
            <w:pPr>
              <w:jc w:val="center"/>
              <w:rPr>
                <w:color w:val="000000" w:themeColor="text1"/>
                <w:lang w:val="en-US"/>
              </w:rPr>
            </w:pPr>
            <w:r>
              <w:rPr>
                <w:color w:val="000000" w:themeColor="text1"/>
                <w:lang w:val="en-US"/>
              </w:rPr>
              <w:t>A</w:t>
            </w:r>
          </w:p>
        </w:tc>
        <w:tc>
          <w:tcPr>
            <w:tcW w:w="2629" w:type="dxa"/>
          </w:tcPr>
          <w:p w14:paraId="34ADAB70" w14:textId="48F26939" w:rsidR="003A6C77" w:rsidRPr="00897EDD" w:rsidRDefault="003A6C77" w:rsidP="003A6C77">
            <w:pPr>
              <w:jc w:val="center"/>
              <w:rPr>
                <w:lang w:val="en-US"/>
              </w:rPr>
            </w:pPr>
            <w:r>
              <w:rPr>
                <w:rFonts w:eastAsia="Cambria"/>
              </w:rPr>
              <w:t>26.0</w:t>
            </w:r>
          </w:p>
        </w:tc>
      </w:tr>
      <w:tr w:rsidR="003A6C77" w14:paraId="2D35E696" w14:textId="77777777" w:rsidTr="00E81F7D">
        <w:tc>
          <w:tcPr>
            <w:tcW w:w="1314" w:type="dxa"/>
          </w:tcPr>
          <w:p w14:paraId="152269C5" w14:textId="77777777" w:rsidR="003A6C77" w:rsidRPr="00767CE7" w:rsidRDefault="003A6C77" w:rsidP="003A6C77">
            <w:pPr>
              <w:jc w:val="center"/>
              <w:rPr>
                <w:rFonts w:eastAsia="Cambria"/>
                <w:color w:val="000000" w:themeColor="text1"/>
              </w:rPr>
            </w:pPr>
            <w:r>
              <w:rPr>
                <w:rFonts w:eastAsia="Cambria"/>
                <w:color w:val="000000" w:themeColor="text1"/>
              </w:rPr>
              <w:t>2</w:t>
            </w:r>
          </w:p>
        </w:tc>
        <w:tc>
          <w:tcPr>
            <w:tcW w:w="1315" w:type="dxa"/>
          </w:tcPr>
          <w:p w14:paraId="6440695B" w14:textId="77777777" w:rsidR="003A6C77" w:rsidRPr="00767CE7" w:rsidRDefault="003A6C77" w:rsidP="003A6C77">
            <w:pPr>
              <w:jc w:val="center"/>
              <w:rPr>
                <w:rFonts w:eastAsia="Cambria"/>
                <w:color w:val="000000" w:themeColor="text1"/>
              </w:rPr>
            </w:pPr>
            <w:r>
              <w:rPr>
                <w:rFonts w:eastAsia="Cambria"/>
                <w:color w:val="000000" w:themeColor="text1"/>
              </w:rPr>
              <w:t>B</w:t>
            </w:r>
          </w:p>
        </w:tc>
        <w:tc>
          <w:tcPr>
            <w:tcW w:w="2629" w:type="dxa"/>
          </w:tcPr>
          <w:p w14:paraId="1616B5A5" w14:textId="35B4F938" w:rsidR="003A6C77" w:rsidRPr="00376F1E" w:rsidRDefault="003A6C77" w:rsidP="003A6C77">
            <w:pPr>
              <w:jc w:val="center"/>
              <w:rPr>
                <w:rFonts w:eastAsia="Cambria"/>
              </w:rPr>
            </w:pPr>
            <w:r>
              <w:rPr>
                <w:rFonts w:eastAsia="Cambria"/>
              </w:rPr>
              <w:t>30.0</w:t>
            </w:r>
          </w:p>
        </w:tc>
      </w:tr>
      <w:tr w:rsidR="003A6C77" w14:paraId="282A7385" w14:textId="77777777" w:rsidTr="00E81F7D">
        <w:tc>
          <w:tcPr>
            <w:tcW w:w="1314" w:type="dxa"/>
          </w:tcPr>
          <w:p w14:paraId="07DBD779" w14:textId="77777777" w:rsidR="003A6C77" w:rsidRPr="00767CE7" w:rsidRDefault="003A6C77" w:rsidP="003A6C77">
            <w:pPr>
              <w:jc w:val="center"/>
              <w:rPr>
                <w:color w:val="000000" w:themeColor="text1"/>
                <w:lang w:val="en-US"/>
              </w:rPr>
            </w:pPr>
            <w:r>
              <w:rPr>
                <w:color w:val="000000" w:themeColor="text1"/>
                <w:lang w:val="en-US"/>
              </w:rPr>
              <w:t>3</w:t>
            </w:r>
          </w:p>
        </w:tc>
        <w:tc>
          <w:tcPr>
            <w:tcW w:w="1315" w:type="dxa"/>
          </w:tcPr>
          <w:p w14:paraId="17E5E9B1" w14:textId="77777777" w:rsidR="003A6C77" w:rsidRPr="00767CE7" w:rsidRDefault="003A6C77" w:rsidP="003A6C77">
            <w:pPr>
              <w:jc w:val="center"/>
              <w:rPr>
                <w:color w:val="000000" w:themeColor="text1"/>
                <w:lang w:val="en-US"/>
              </w:rPr>
            </w:pPr>
            <w:r>
              <w:rPr>
                <w:color w:val="000000" w:themeColor="text1"/>
                <w:lang w:val="en-US"/>
              </w:rPr>
              <w:t>A</w:t>
            </w:r>
          </w:p>
        </w:tc>
        <w:tc>
          <w:tcPr>
            <w:tcW w:w="2629" w:type="dxa"/>
          </w:tcPr>
          <w:p w14:paraId="6A42EFA2" w14:textId="25BB3175" w:rsidR="003A6C77" w:rsidRPr="00897EDD" w:rsidRDefault="003A6C77" w:rsidP="003A6C77">
            <w:pPr>
              <w:jc w:val="center"/>
              <w:rPr>
                <w:lang w:val="en-US"/>
              </w:rPr>
            </w:pPr>
            <w:r>
              <w:rPr>
                <w:lang w:val="en-US"/>
              </w:rPr>
              <w:t>36.5</w:t>
            </w:r>
          </w:p>
        </w:tc>
      </w:tr>
      <w:tr w:rsidR="003A6C77" w14:paraId="6F72E6D0" w14:textId="77777777" w:rsidTr="00E81F7D">
        <w:tc>
          <w:tcPr>
            <w:tcW w:w="1314" w:type="dxa"/>
          </w:tcPr>
          <w:p w14:paraId="7F9E8B1B" w14:textId="77777777" w:rsidR="003A6C77" w:rsidRPr="00767CE7" w:rsidRDefault="003A6C77" w:rsidP="003A6C77">
            <w:pPr>
              <w:jc w:val="center"/>
              <w:rPr>
                <w:rFonts w:eastAsia="Cambria"/>
                <w:color w:val="000000" w:themeColor="text1"/>
              </w:rPr>
            </w:pPr>
            <w:r>
              <w:rPr>
                <w:rFonts w:eastAsia="Cambria"/>
                <w:color w:val="000000" w:themeColor="text1"/>
              </w:rPr>
              <w:t>3</w:t>
            </w:r>
          </w:p>
        </w:tc>
        <w:tc>
          <w:tcPr>
            <w:tcW w:w="1315" w:type="dxa"/>
          </w:tcPr>
          <w:p w14:paraId="004B8A31" w14:textId="77777777" w:rsidR="003A6C77" w:rsidRPr="00767CE7" w:rsidRDefault="003A6C77" w:rsidP="003A6C77">
            <w:pPr>
              <w:jc w:val="center"/>
              <w:rPr>
                <w:rFonts w:eastAsia="Cambria"/>
                <w:color w:val="000000" w:themeColor="text1"/>
              </w:rPr>
            </w:pPr>
            <w:r>
              <w:rPr>
                <w:rFonts w:eastAsia="Cambria"/>
                <w:color w:val="000000" w:themeColor="text1"/>
              </w:rPr>
              <w:t>B</w:t>
            </w:r>
          </w:p>
        </w:tc>
        <w:tc>
          <w:tcPr>
            <w:tcW w:w="2629" w:type="dxa"/>
          </w:tcPr>
          <w:p w14:paraId="6D01252F" w14:textId="563E3E06" w:rsidR="003A6C77" w:rsidRPr="00376F1E" w:rsidRDefault="003A6C77" w:rsidP="003A6C77">
            <w:pPr>
              <w:jc w:val="center"/>
              <w:rPr>
                <w:rFonts w:eastAsia="Cambria"/>
              </w:rPr>
            </w:pPr>
            <w:r>
              <w:rPr>
                <w:rFonts w:eastAsia="Cambria"/>
              </w:rPr>
              <w:t>42.0</w:t>
            </w:r>
          </w:p>
        </w:tc>
      </w:tr>
      <w:tr w:rsidR="003A6C77" w14:paraId="4C9CC750" w14:textId="77777777" w:rsidTr="00E81F7D">
        <w:tc>
          <w:tcPr>
            <w:tcW w:w="1314" w:type="dxa"/>
          </w:tcPr>
          <w:p w14:paraId="260DA742" w14:textId="77777777" w:rsidR="003A6C77" w:rsidRPr="00767CE7" w:rsidRDefault="003A6C77" w:rsidP="003A6C77">
            <w:pPr>
              <w:jc w:val="center"/>
              <w:rPr>
                <w:color w:val="000000" w:themeColor="text1"/>
                <w:lang w:val="en-US"/>
              </w:rPr>
            </w:pPr>
            <w:r>
              <w:rPr>
                <w:color w:val="000000" w:themeColor="text1"/>
                <w:lang w:val="en-US"/>
              </w:rPr>
              <w:t>4</w:t>
            </w:r>
          </w:p>
        </w:tc>
        <w:tc>
          <w:tcPr>
            <w:tcW w:w="1315" w:type="dxa"/>
          </w:tcPr>
          <w:p w14:paraId="74D665D1" w14:textId="77777777" w:rsidR="003A6C77" w:rsidRPr="00767CE7" w:rsidRDefault="003A6C77" w:rsidP="003A6C77">
            <w:pPr>
              <w:jc w:val="center"/>
              <w:rPr>
                <w:color w:val="000000" w:themeColor="text1"/>
                <w:lang w:val="en-US"/>
              </w:rPr>
            </w:pPr>
            <w:r>
              <w:rPr>
                <w:color w:val="000000" w:themeColor="text1"/>
                <w:lang w:val="en-US"/>
              </w:rPr>
              <w:t>A</w:t>
            </w:r>
          </w:p>
        </w:tc>
        <w:tc>
          <w:tcPr>
            <w:tcW w:w="2629" w:type="dxa"/>
          </w:tcPr>
          <w:p w14:paraId="600CF0C5" w14:textId="6847A76E" w:rsidR="003A6C77" w:rsidRPr="00897EDD" w:rsidRDefault="003A6C77" w:rsidP="003A6C77">
            <w:pPr>
              <w:jc w:val="center"/>
              <w:rPr>
                <w:lang w:val="en-US"/>
              </w:rPr>
            </w:pPr>
            <w:r>
              <w:rPr>
                <w:lang w:val="en-US"/>
              </w:rPr>
              <w:t>53.5</w:t>
            </w:r>
          </w:p>
        </w:tc>
      </w:tr>
    </w:tbl>
    <w:p w14:paraId="71ECBE42" w14:textId="17AA653D" w:rsidR="00816844" w:rsidRDefault="00816844">
      <w:pPr>
        <w:rPr>
          <w:b/>
          <w:lang w:val="en-US"/>
        </w:rPr>
      </w:pPr>
    </w:p>
    <w:p w14:paraId="428BC962" w14:textId="77777777" w:rsidR="006F3E22" w:rsidRDefault="006F3E22">
      <w:pPr>
        <w:rPr>
          <w:b/>
          <w:bCs/>
          <w:lang w:val="en-US"/>
        </w:rPr>
      </w:pPr>
      <w:r>
        <w:rPr>
          <w:b/>
          <w:bCs/>
          <w:lang w:val="en-US"/>
        </w:rPr>
        <w:br w:type="page"/>
      </w:r>
    </w:p>
    <w:p w14:paraId="4A6C1BEE" w14:textId="18BA6A46" w:rsidR="00334D52" w:rsidRPr="00334D52" w:rsidRDefault="00334D52" w:rsidP="00334D52">
      <w:pPr>
        <w:pStyle w:val="ListParagraph"/>
        <w:numPr>
          <w:ilvl w:val="0"/>
          <w:numId w:val="1"/>
        </w:numPr>
        <w:jc w:val="both"/>
        <w:rPr>
          <w:b/>
          <w:bCs/>
          <w:lang w:val="en-US"/>
        </w:rPr>
      </w:pPr>
      <w:r w:rsidRPr="00334D52">
        <w:rPr>
          <w:b/>
          <w:bCs/>
          <w:lang w:val="en-US"/>
        </w:rPr>
        <w:lastRenderedPageBreak/>
        <w:t>Conditions – Intelligent access program conditions (IAP conditions)</w:t>
      </w:r>
    </w:p>
    <w:p w14:paraId="0CB03232" w14:textId="77777777" w:rsidR="00334D52" w:rsidRDefault="00334D52" w:rsidP="00334D52">
      <w:pPr>
        <w:pStyle w:val="ListParagraph"/>
        <w:ind w:left="1080"/>
        <w:jc w:val="both"/>
        <w:rPr>
          <w:lang w:val="en-US"/>
        </w:rPr>
      </w:pPr>
    </w:p>
    <w:p w14:paraId="181CA358" w14:textId="03906F08" w:rsidR="00303BC3" w:rsidRDefault="00303BC3" w:rsidP="000E696B">
      <w:pPr>
        <w:pStyle w:val="ListParagraph"/>
        <w:numPr>
          <w:ilvl w:val="0"/>
          <w:numId w:val="23"/>
        </w:numPr>
        <w:jc w:val="both"/>
        <w:rPr>
          <w:lang w:val="en-US"/>
        </w:rPr>
      </w:pPr>
      <w:r>
        <w:rPr>
          <w:lang w:val="en-US"/>
        </w:rPr>
        <w:t xml:space="preserve">This section only applies in jurisdictions that have an </w:t>
      </w:r>
      <w:r w:rsidR="00443028">
        <w:rPr>
          <w:lang w:val="en-US"/>
        </w:rPr>
        <w:t>intelligent access program condition in the relevant Schedule.</w:t>
      </w:r>
    </w:p>
    <w:p w14:paraId="1F7F5B88" w14:textId="77777777" w:rsidR="00334D52" w:rsidRPr="00334D52" w:rsidRDefault="00334D52" w:rsidP="00334D52">
      <w:pPr>
        <w:pStyle w:val="ListParagraph"/>
        <w:ind w:left="1080"/>
        <w:jc w:val="both"/>
        <w:rPr>
          <w:lang w:val="en-US"/>
        </w:rPr>
      </w:pPr>
    </w:p>
    <w:p w14:paraId="3D9DAC88" w14:textId="3D96A1F2" w:rsidR="00334D52" w:rsidRDefault="006107AA" w:rsidP="000E696B">
      <w:pPr>
        <w:pStyle w:val="ListParagraph"/>
        <w:numPr>
          <w:ilvl w:val="0"/>
          <w:numId w:val="23"/>
        </w:numPr>
        <w:jc w:val="both"/>
        <w:rPr>
          <w:lang w:val="en-US"/>
        </w:rPr>
      </w:pPr>
      <w:r>
        <w:rPr>
          <w:lang w:val="en-US"/>
        </w:rPr>
        <w:t>Pursuant to s40</w:t>
      </w:r>
      <w:r w:rsidR="00E36E5F">
        <w:rPr>
          <w:lang w:val="en-US"/>
        </w:rPr>
        <w:t>2</w:t>
      </w:r>
      <w:r w:rsidR="00E16BF2">
        <w:rPr>
          <w:lang w:val="en-US"/>
        </w:rPr>
        <w:t>(1)</w:t>
      </w:r>
      <w:r w:rsidR="00194F8A">
        <w:rPr>
          <w:lang w:val="en-US"/>
        </w:rPr>
        <w:t xml:space="preserve">(a) and (b) of </w:t>
      </w:r>
      <w:r w:rsidR="00C20A10">
        <w:rPr>
          <w:lang w:val="en-US"/>
        </w:rPr>
        <w:t xml:space="preserve">Chapter 7 of </w:t>
      </w:r>
      <w:r w:rsidR="00194F8A">
        <w:rPr>
          <w:lang w:val="en-US"/>
        </w:rPr>
        <w:t>the HVNL, the</w:t>
      </w:r>
      <w:r w:rsidR="00691E95">
        <w:rPr>
          <w:lang w:val="en-US"/>
        </w:rPr>
        <w:t xml:space="preserve"> following conditions </w:t>
      </w:r>
      <w:r w:rsidR="00DC508A">
        <w:rPr>
          <w:lang w:val="en-US"/>
        </w:rPr>
        <w:t xml:space="preserve">of this </w:t>
      </w:r>
      <w:r w:rsidR="00A009C2">
        <w:rPr>
          <w:lang w:val="en-US"/>
        </w:rPr>
        <w:t>N</w:t>
      </w:r>
      <w:r w:rsidR="00DC508A">
        <w:rPr>
          <w:lang w:val="en-US"/>
        </w:rPr>
        <w:t>otice are intelligent access program conditions</w:t>
      </w:r>
      <w:r w:rsidR="00334D52" w:rsidRPr="00334D52">
        <w:rPr>
          <w:lang w:val="en-US"/>
        </w:rPr>
        <w:t>:</w:t>
      </w:r>
    </w:p>
    <w:p w14:paraId="3273CBFD" w14:textId="77777777" w:rsidR="00816844" w:rsidRPr="00816844" w:rsidRDefault="00816844" w:rsidP="00816844">
      <w:pPr>
        <w:pStyle w:val="ListParagraph"/>
        <w:ind w:left="1080"/>
        <w:jc w:val="both"/>
        <w:rPr>
          <w:lang w:val="en-US"/>
        </w:rPr>
      </w:pPr>
    </w:p>
    <w:p w14:paraId="03D4E4FE" w14:textId="05D01F00" w:rsidR="00334D52" w:rsidRPr="00816844" w:rsidRDefault="00787E56" w:rsidP="000E696B">
      <w:pPr>
        <w:pStyle w:val="ListParagraph"/>
        <w:numPr>
          <w:ilvl w:val="0"/>
          <w:numId w:val="13"/>
        </w:numPr>
        <w:spacing w:after="200" w:line="276" w:lineRule="auto"/>
        <w:jc w:val="both"/>
        <w:rPr>
          <w:lang w:val="en-US"/>
        </w:rPr>
      </w:pPr>
      <w:r>
        <w:rPr>
          <w:lang w:val="en-US"/>
        </w:rPr>
        <w:t>any condition relating to mass or dimensions; and</w:t>
      </w:r>
    </w:p>
    <w:p w14:paraId="237F9F92" w14:textId="1826AB99" w:rsidR="00334D52" w:rsidRDefault="00787E56" w:rsidP="000E696B">
      <w:pPr>
        <w:pStyle w:val="ListParagraph"/>
        <w:numPr>
          <w:ilvl w:val="0"/>
          <w:numId w:val="13"/>
        </w:numPr>
        <w:spacing w:after="200" w:line="276" w:lineRule="auto"/>
        <w:jc w:val="both"/>
        <w:rPr>
          <w:lang w:val="en-US"/>
        </w:rPr>
      </w:pPr>
      <w:r>
        <w:rPr>
          <w:lang w:val="en-US"/>
        </w:rPr>
        <w:t>any</w:t>
      </w:r>
      <w:r w:rsidR="00285342">
        <w:rPr>
          <w:lang w:val="en-US"/>
        </w:rPr>
        <w:t xml:space="preserve"> </w:t>
      </w:r>
      <w:r>
        <w:rPr>
          <w:lang w:val="en-US"/>
        </w:rPr>
        <w:t xml:space="preserve">condition relating to stated areas </w:t>
      </w:r>
      <w:r w:rsidR="00352A05">
        <w:rPr>
          <w:lang w:val="en-US"/>
        </w:rPr>
        <w:t>or routes to which the authority applies</w:t>
      </w:r>
      <w:r w:rsidR="00A163D5">
        <w:rPr>
          <w:lang w:val="en-US"/>
        </w:rPr>
        <w:t>, includi</w:t>
      </w:r>
      <w:r w:rsidR="00505EC0">
        <w:rPr>
          <w:lang w:val="en-US"/>
        </w:rPr>
        <w:t>ng any relating to speed or time of travel</w:t>
      </w:r>
      <w:r w:rsidR="00352A05">
        <w:rPr>
          <w:lang w:val="en-US"/>
        </w:rPr>
        <w:t>.</w:t>
      </w:r>
    </w:p>
    <w:p w14:paraId="7E0613DD" w14:textId="77777777" w:rsidR="00C20A10" w:rsidRDefault="00C20A10" w:rsidP="00C20A10">
      <w:pPr>
        <w:pStyle w:val="ListParagraph"/>
        <w:spacing w:after="200" w:line="276" w:lineRule="auto"/>
        <w:ind w:left="1440"/>
        <w:jc w:val="both"/>
        <w:rPr>
          <w:lang w:val="en-US"/>
        </w:rPr>
      </w:pPr>
    </w:p>
    <w:p w14:paraId="51BD5CF5" w14:textId="4191FA9E" w:rsidR="00B864E1" w:rsidRDefault="00022609" w:rsidP="00D10EE3">
      <w:pPr>
        <w:pStyle w:val="ListParagraph"/>
        <w:numPr>
          <w:ilvl w:val="0"/>
          <w:numId w:val="23"/>
        </w:numPr>
        <w:jc w:val="both"/>
        <w:rPr>
          <w:lang w:val="en-US"/>
        </w:rPr>
      </w:pPr>
      <w:r>
        <w:rPr>
          <w:lang w:val="en-US"/>
        </w:rPr>
        <w:t>Pursuant to s</w:t>
      </w:r>
      <w:r w:rsidR="00C20A10">
        <w:rPr>
          <w:lang w:val="en-US"/>
        </w:rPr>
        <w:t>40</w:t>
      </w:r>
      <w:r w:rsidR="00E36E5F">
        <w:rPr>
          <w:lang w:val="en-US"/>
        </w:rPr>
        <w:t>2</w:t>
      </w:r>
      <w:r w:rsidR="00E16BF2">
        <w:rPr>
          <w:lang w:val="en-US"/>
        </w:rPr>
        <w:t>(1)</w:t>
      </w:r>
      <w:r w:rsidR="00C20A10">
        <w:rPr>
          <w:lang w:val="en-US"/>
        </w:rPr>
        <w:t>(c) of Chapter 7 of the HVNL</w:t>
      </w:r>
      <w:r w:rsidR="00F74402">
        <w:rPr>
          <w:lang w:val="en-US"/>
        </w:rPr>
        <w:t xml:space="preserve">, </w:t>
      </w:r>
      <w:r w:rsidR="000B1CE2">
        <w:rPr>
          <w:lang w:val="en-US"/>
        </w:rPr>
        <w:t>an eligible vehicle</w:t>
      </w:r>
      <w:r w:rsidR="00D50D65">
        <w:rPr>
          <w:lang w:val="en-US"/>
        </w:rPr>
        <w:t xml:space="preserve"> </w:t>
      </w:r>
      <w:r w:rsidR="00A67A26" w:rsidRPr="00655975">
        <w:rPr>
          <w:lang w:val="en-US"/>
        </w:rPr>
        <w:t xml:space="preserve">must </w:t>
      </w:r>
      <w:r w:rsidR="003F4A20" w:rsidRPr="00655975">
        <w:rPr>
          <w:lang w:val="en-US"/>
        </w:rPr>
        <w:t xml:space="preserve">be monitored </w:t>
      </w:r>
      <w:r w:rsidR="00CE5002" w:rsidRPr="00655975">
        <w:rPr>
          <w:lang w:val="en-US"/>
        </w:rPr>
        <w:t>by</w:t>
      </w:r>
      <w:r w:rsidR="003F4A20" w:rsidRPr="00655975">
        <w:rPr>
          <w:lang w:val="en-US"/>
        </w:rPr>
        <w:t xml:space="preserve"> </w:t>
      </w:r>
      <w:r w:rsidR="00A44A64" w:rsidRPr="00655975">
        <w:rPr>
          <w:lang w:val="en-US"/>
        </w:rPr>
        <w:t xml:space="preserve">an approved intelligent transport system as set out in the </w:t>
      </w:r>
      <w:r w:rsidR="002E03E3" w:rsidRPr="00655975">
        <w:rPr>
          <w:lang w:val="en-US"/>
        </w:rPr>
        <w:t>intelligent access program condition</w:t>
      </w:r>
      <w:r w:rsidR="00CA332C" w:rsidRPr="00655975">
        <w:rPr>
          <w:lang w:val="en-US"/>
        </w:rPr>
        <w:t>s</w:t>
      </w:r>
      <w:r w:rsidR="001F6365" w:rsidRPr="00655975">
        <w:rPr>
          <w:lang w:val="en-US"/>
        </w:rPr>
        <w:t xml:space="preserve"> </w:t>
      </w:r>
      <w:r w:rsidR="00A44A64" w:rsidRPr="00655975">
        <w:rPr>
          <w:lang w:val="en-US"/>
        </w:rPr>
        <w:t>of</w:t>
      </w:r>
      <w:r w:rsidR="002E03E3" w:rsidRPr="00655975">
        <w:rPr>
          <w:lang w:val="en-US"/>
        </w:rPr>
        <w:t xml:space="preserve"> </w:t>
      </w:r>
      <w:r w:rsidR="002E628C" w:rsidRPr="00655975">
        <w:rPr>
          <w:lang w:val="en-US"/>
        </w:rPr>
        <w:t>a</w:t>
      </w:r>
      <w:r w:rsidR="002E03E3" w:rsidRPr="00655975">
        <w:rPr>
          <w:lang w:val="en-US"/>
        </w:rPr>
        <w:t xml:space="preserve"> Schedule </w:t>
      </w:r>
      <w:r w:rsidR="0049107E" w:rsidRPr="00655975">
        <w:rPr>
          <w:lang w:val="en-US"/>
        </w:rPr>
        <w:t>to</w:t>
      </w:r>
      <w:r w:rsidR="002E03E3" w:rsidRPr="00655975">
        <w:rPr>
          <w:lang w:val="en-US"/>
        </w:rPr>
        <w:t xml:space="preserve"> this Notice</w:t>
      </w:r>
      <w:r w:rsidR="009225D9" w:rsidRPr="00655975">
        <w:rPr>
          <w:lang w:val="en-US"/>
        </w:rPr>
        <w:t>.</w:t>
      </w:r>
    </w:p>
    <w:p w14:paraId="184853C5" w14:textId="77777777" w:rsidR="00D10EE3" w:rsidRPr="00D10EE3" w:rsidRDefault="00D10EE3" w:rsidP="00D10EE3">
      <w:pPr>
        <w:pStyle w:val="ListParagraph"/>
        <w:ind w:left="1080"/>
        <w:jc w:val="both"/>
        <w:rPr>
          <w:lang w:val="en-US"/>
        </w:rPr>
      </w:pPr>
    </w:p>
    <w:p w14:paraId="2FD60561" w14:textId="61ECBA8B" w:rsidR="00167906" w:rsidRDefault="005C1CF5" w:rsidP="005C1CF5">
      <w:pPr>
        <w:pStyle w:val="ListParagraph"/>
        <w:numPr>
          <w:ilvl w:val="0"/>
          <w:numId w:val="1"/>
        </w:numPr>
        <w:jc w:val="both"/>
        <w:rPr>
          <w:b/>
          <w:bCs/>
          <w:lang w:val="en-US"/>
        </w:rPr>
      </w:pPr>
      <w:r w:rsidRPr="005C1CF5">
        <w:rPr>
          <w:b/>
          <w:bCs/>
          <w:lang w:val="en-US"/>
        </w:rPr>
        <w:t xml:space="preserve">Condition – </w:t>
      </w:r>
      <w:r w:rsidR="00167906">
        <w:rPr>
          <w:b/>
          <w:bCs/>
          <w:lang w:val="en-US"/>
        </w:rPr>
        <w:t>Carriage</w:t>
      </w:r>
      <w:r w:rsidRPr="005C1CF5">
        <w:rPr>
          <w:b/>
          <w:bCs/>
          <w:lang w:val="en-US"/>
        </w:rPr>
        <w:t xml:space="preserve"> of </w:t>
      </w:r>
      <w:r w:rsidR="00167906">
        <w:rPr>
          <w:b/>
          <w:bCs/>
          <w:lang w:val="en-US"/>
        </w:rPr>
        <w:t>vehicle approval</w:t>
      </w:r>
    </w:p>
    <w:p w14:paraId="5DC6118D" w14:textId="77777777" w:rsidR="00167906" w:rsidRDefault="00167906" w:rsidP="00167906">
      <w:pPr>
        <w:pStyle w:val="ListParagraph"/>
        <w:ind w:left="1080"/>
        <w:jc w:val="both"/>
        <w:rPr>
          <w:lang w:val="en-US"/>
        </w:rPr>
      </w:pPr>
    </w:p>
    <w:p w14:paraId="2C393C37" w14:textId="77777777" w:rsidR="002642A9" w:rsidRDefault="0067470E" w:rsidP="00F60C4B">
      <w:pPr>
        <w:pStyle w:val="ListParagraph"/>
        <w:ind w:left="1080"/>
        <w:jc w:val="both"/>
        <w:rPr>
          <w:lang w:val="en-US"/>
        </w:rPr>
      </w:pPr>
      <w:r>
        <w:rPr>
          <w:lang w:val="en-US"/>
        </w:rPr>
        <w:t>The vehicle approval for a</w:t>
      </w:r>
      <w:r w:rsidR="000273D4">
        <w:rPr>
          <w:lang w:val="en-US"/>
        </w:rPr>
        <w:t xml:space="preserve">n eligible vehicle must be carried when operating under this Notice and must be produced when required to by an </w:t>
      </w:r>
      <w:r w:rsidR="00F60C4B">
        <w:rPr>
          <w:lang w:val="en-US"/>
        </w:rPr>
        <w:t>authorized officer.</w:t>
      </w:r>
    </w:p>
    <w:p w14:paraId="4D4011B7" w14:textId="77777777" w:rsidR="002642A9" w:rsidRDefault="002642A9" w:rsidP="00F60C4B">
      <w:pPr>
        <w:pStyle w:val="ListParagraph"/>
        <w:ind w:left="1080"/>
        <w:jc w:val="both"/>
        <w:rPr>
          <w:lang w:val="en-US"/>
        </w:rPr>
      </w:pPr>
    </w:p>
    <w:p w14:paraId="18C4A243" w14:textId="77777777" w:rsidR="002642A9" w:rsidRDefault="002642A9" w:rsidP="00F60C4B">
      <w:pPr>
        <w:pStyle w:val="ListParagraph"/>
        <w:ind w:left="1080"/>
        <w:jc w:val="both"/>
        <w:rPr>
          <w:lang w:val="en-US"/>
        </w:rPr>
      </w:pPr>
    </w:p>
    <w:p w14:paraId="4FDB8EB1" w14:textId="77777777" w:rsidR="002642A9" w:rsidRDefault="002642A9" w:rsidP="00F60C4B">
      <w:pPr>
        <w:pStyle w:val="ListParagraph"/>
        <w:ind w:left="1080"/>
        <w:jc w:val="both"/>
        <w:rPr>
          <w:lang w:val="en-US"/>
        </w:rPr>
      </w:pPr>
    </w:p>
    <w:p w14:paraId="34FDED86" w14:textId="77777777" w:rsidR="002642A9" w:rsidRPr="001C6064" w:rsidRDefault="002642A9" w:rsidP="002642A9">
      <w:pPr>
        <w:ind w:left="720"/>
        <w:contextualSpacing/>
      </w:pPr>
      <w:r w:rsidRPr="001C6064">
        <w:t>Peter Caprioli</w:t>
      </w:r>
    </w:p>
    <w:p w14:paraId="0C8E03A0" w14:textId="77777777" w:rsidR="002642A9" w:rsidRPr="001C6064" w:rsidRDefault="002642A9" w:rsidP="002642A9">
      <w:pPr>
        <w:ind w:left="720"/>
        <w:contextualSpacing/>
        <w:rPr>
          <w:i/>
        </w:rPr>
      </w:pPr>
      <w:r w:rsidRPr="001C6064">
        <w:rPr>
          <w:i/>
        </w:rPr>
        <w:t>Executive Director (Freight and Supply Chain Productivity)</w:t>
      </w:r>
    </w:p>
    <w:p w14:paraId="3F2DD1B7" w14:textId="77777777" w:rsidR="002642A9" w:rsidRPr="001C6064" w:rsidRDefault="002642A9" w:rsidP="002642A9">
      <w:pPr>
        <w:ind w:left="720"/>
        <w:contextualSpacing/>
        <w:rPr>
          <w:b/>
        </w:rPr>
      </w:pPr>
      <w:r w:rsidRPr="001C6064">
        <w:rPr>
          <w:b/>
        </w:rPr>
        <w:t>National Heavy Vehicle Regulator</w:t>
      </w:r>
    </w:p>
    <w:p w14:paraId="4FDF2BF0" w14:textId="4A91A108" w:rsidR="00FC4BC5" w:rsidRPr="00167906" w:rsidRDefault="00FC4BC5" w:rsidP="00F60C4B">
      <w:pPr>
        <w:pStyle w:val="ListParagraph"/>
        <w:ind w:left="1080"/>
        <w:jc w:val="both"/>
        <w:rPr>
          <w:lang w:val="en-US"/>
        </w:rPr>
      </w:pPr>
      <w:r w:rsidRPr="00167906">
        <w:rPr>
          <w:lang w:val="en-US"/>
        </w:rPr>
        <w:br w:type="page"/>
      </w:r>
    </w:p>
    <w:p w14:paraId="1C4F849A" w14:textId="1BCAD878" w:rsidR="001B283D" w:rsidRPr="005E37F2" w:rsidRDefault="008F2671" w:rsidP="006667A2">
      <w:pPr>
        <w:contextualSpacing/>
        <w:jc w:val="both"/>
        <w:rPr>
          <w:b/>
          <w:bCs/>
          <w:sz w:val="28"/>
          <w:szCs w:val="28"/>
          <w:lang w:val="en-US"/>
        </w:rPr>
      </w:pPr>
      <w:r w:rsidRPr="005E37F2">
        <w:rPr>
          <w:b/>
          <w:bCs/>
          <w:sz w:val="28"/>
          <w:szCs w:val="28"/>
          <w:lang w:val="en-US"/>
        </w:rPr>
        <w:lastRenderedPageBreak/>
        <w:t>Schedule 1 Australian Capital Territory</w:t>
      </w:r>
    </w:p>
    <w:p w14:paraId="4484ACE1" w14:textId="30E90AF5" w:rsidR="008F2671" w:rsidRDefault="008F2671" w:rsidP="006667A2">
      <w:pPr>
        <w:contextualSpacing/>
        <w:jc w:val="both"/>
        <w:rPr>
          <w:lang w:val="en-US"/>
        </w:rPr>
      </w:pPr>
    </w:p>
    <w:p w14:paraId="3B85BAD7" w14:textId="2CBCD51A" w:rsidR="0096103F" w:rsidRDefault="0096103F" w:rsidP="000E696B">
      <w:pPr>
        <w:pStyle w:val="ListParagraph"/>
        <w:numPr>
          <w:ilvl w:val="0"/>
          <w:numId w:val="3"/>
        </w:numPr>
        <w:jc w:val="both"/>
        <w:rPr>
          <w:b/>
          <w:bCs/>
          <w:lang w:val="en-US"/>
        </w:rPr>
      </w:pPr>
      <w:r w:rsidRPr="005E37F2">
        <w:rPr>
          <w:b/>
          <w:bCs/>
          <w:lang w:val="en-US"/>
        </w:rPr>
        <w:t>Application</w:t>
      </w:r>
    </w:p>
    <w:p w14:paraId="634811F9" w14:textId="77777777" w:rsidR="005E37F2" w:rsidRPr="005E37F2" w:rsidRDefault="005E37F2" w:rsidP="006667A2">
      <w:pPr>
        <w:pStyle w:val="ListParagraph"/>
        <w:jc w:val="both"/>
        <w:rPr>
          <w:b/>
          <w:bCs/>
          <w:lang w:val="en-US"/>
        </w:rPr>
      </w:pPr>
    </w:p>
    <w:p w14:paraId="1EBB2769" w14:textId="3A58C370" w:rsidR="0096103F" w:rsidRDefault="0096103F" w:rsidP="006667A2">
      <w:pPr>
        <w:pStyle w:val="ListParagraph"/>
        <w:ind w:left="1080"/>
        <w:jc w:val="both"/>
        <w:rPr>
          <w:lang w:val="en-US"/>
        </w:rPr>
      </w:pPr>
      <w:r>
        <w:rPr>
          <w:lang w:val="en-US"/>
        </w:rPr>
        <w:t>This Schedule applies in the Australian Capital territory (ACT).</w:t>
      </w:r>
    </w:p>
    <w:p w14:paraId="35298975" w14:textId="77777777" w:rsidR="005E37F2" w:rsidRDefault="005E37F2" w:rsidP="006667A2">
      <w:pPr>
        <w:pStyle w:val="ListParagraph"/>
        <w:ind w:left="1080"/>
        <w:jc w:val="both"/>
        <w:rPr>
          <w:lang w:val="en-US"/>
        </w:rPr>
      </w:pPr>
    </w:p>
    <w:p w14:paraId="40EB9AD9" w14:textId="6ADC813B" w:rsidR="00CA7E42" w:rsidRDefault="009E4BF2" w:rsidP="000E696B">
      <w:pPr>
        <w:pStyle w:val="ListParagraph"/>
        <w:numPr>
          <w:ilvl w:val="0"/>
          <w:numId w:val="3"/>
        </w:numPr>
        <w:jc w:val="both"/>
        <w:rPr>
          <w:b/>
          <w:bCs/>
          <w:lang w:val="en-US"/>
        </w:rPr>
      </w:pPr>
      <w:r>
        <w:rPr>
          <w:b/>
          <w:bCs/>
          <w:lang w:val="en-US"/>
        </w:rPr>
        <w:t xml:space="preserve">Condition – Stated </w:t>
      </w:r>
      <w:r w:rsidR="00E64A9F">
        <w:rPr>
          <w:b/>
          <w:bCs/>
          <w:lang w:val="en-US"/>
        </w:rPr>
        <w:t>routes and areas (Networks)</w:t>
      </w:r>
    </w:p>
    <w:p w14:paraId="1B327941" w14:textId="77777777" w:rsidR="00B51566" w:rsidRPr="00B51566" w:rsidRDefault="00B51566" w:rsidP="006667A2">
      <w:pPr>
        <w:pStyle w:val="ListParagraph"/>
        <w:jc w:val="both"/>
        <w:rPr>
          <w:b/>
          <w:bCs/>
          <w:lang w:val="en-US"/>
        </w:rPr>
      </w:pPr>
    </w:p>
    <w:p w14:paraId="451559BA" w14:textId="0EBFC435" w:rsidR="003B6DA9" w:rsidRPr="003B6DA9" w:rsidRDefault="00D06872" w:rsidP="000E696B">
      <w:pPr>
        <w:pStyle w:val="ListParagraph"/>
        <w:numPr>
          <w:ilvl w:val="0"/>
          <w:numId w:val="27"/>
        </w:numPr>
        <w:jc w:val="both"/>
        <w:rPr>
          <w:lang w:val="en-US"/>
        </w:rPr>
      </w:pPr>
      <w:r>
        <w:rPr>
          <w:lang w:val="en-US"/>
        </w:rPr>
        <w:t>Pursuant</w:t>
      </w:r>
      <w:r w:rsidR="00CA7E42">
        <w:rPr>
          <w:lang w:val="en-US"/>
        </w:rPr>
        <w:t xml:space="preserve"> to the </w:t>
      </w:r>
      <w:proofErr w:type="spellStart"/>
      <w:r w:rsidR="00CA7E42">
        <w:rPr>
          <w:lang w:val="en-US"/>
        </w:rPr>
        <w:t>authori</w:t>
      </w:r>
      <w:r w:rsidR="005954FF">
        <w:rPr>
          <w:lang w:val="en-US"/>
        </w:rPr>
        <w:t>s</w:t>
      </w:r>
      <w:r w:rsidR="00CA7E42">
        <w:rPr>
          <w:lang w:val="en-US"/>
        </w:rPr>
        <w:t>ation</w:t>
      </w:r>
      <w:proofErr w:type="spellEnd"/>
      <w:r w:rsidR="00CA7E42">
        <w:rPr>
          <w:lang w:val="en-US"/>
        </w:rPr>
        <w:t xml:space="preserve"> granted in section 8 </w:t>
      </w:r>
      <w:r w:rsidR="00CE1E06">
        <w:rPr>
          <w:lang w:val="en-US"/>
        </w:rPr>
        <w:t xml:space="preserve">and 9 </w:t>
      </w:r>
      <w:r w:rsidR="00CA7E42">
        <w:rPr>
          <w:lang w:val="en-US"/>
        </w:rPr>
        <w:t>of th</w:t>
      </w:r>
      <w:r w:rsidR="00637D73">
        <w:rPr>
          <w:lang w:val="en-US"/>
        </w:rPr>
        <w:t>is</w:t>
      </w:r>
      <w:r w:rsidR="00CA7E42">
        <w:rPr>
          <w:lang w:val="en-US"/>
        </w:rPr>
        <w:t xml:space="preserve"> Notice, an eligible vehicle </w:t>
      </w:r>
      <w:r w:rsidR="00391535">
        <w:rPr>
          <w:lang w:val="en-US"/>
        </w:rPr>
        <w:t>meeting the</w:t>
      </w:r>
      <w:r w:rsidR="00D5749F">
        <w:rPr>
          <w:lang w:val="en-US"/>
        </w:rPr>
        <w:t xml:space="preserve"> requirements for the </w:t>
      </w:r>
      <w:r w:rsidR="00254234">
        <w:rPr>
          <w:lang w:val="en-US"/>
        </w:rPr>
        <w:t xml:space="preserve">PBS network levels and class </w:t>
      </w:r>
      <w:r w:rsidR="00D5749F">
        <w:rPr>
          <w:lang w:val="en-US"/>
        </w:rPr>
        <w:t>in Column 1 may operate on the</w:t>
      </w:r>
      <w:r w:rsidR="00803C38">
        <w:rPr>
          <w:lang w:val="en-US"/>
        </w:rPr>
        <w:t xml:space="preserve"> networks named in column 2</w:t>
      </w:r>
      <w:r w:rsidR="003B6DA9">
        <w:rPr>
          <w:lang w:val="en-US"/>
        </w:rPr>
        <w:t xml:space="preserve"> of Table 1:</w:t>
      </w:r>
    </w:p>
    <w:p w14:paraId="6A827313" w14:textId="77777777" w:rsidR="003B6DA9" w:rsidRDefault="003B6DA9" w:rsidP="003B6DA9">
      <w:pPr>
        <w:pStyle w:val="ListParagraph"/>
        <w:spacing w:after="200" w:line="276" w:lineRule="auto"/>
        <w:ind w:left="1080"/>
        <w:jc w:val="both"/>
        <w:rPr>
          <w:b/>
          <w:bCs/>
          <w:lang w:val="en-US"/>
        </w:rPr>
      </w:pPr>
    </w:p>
    <w:p w14:paraId="3C02ACB7" w14:textId="4C9ED09C" w:rsidR="003B6DA9" w:rsidRPr="003B6DA9" w:rsidRDefault="003B6DA9" w:rsidP="003B6DA9">
      <w:pPr>
        <w:pStyle w:val="ListParagraph"/>
        <w:spacing w:after="200" w:line="276" w:lineRule="auto"/>
        <w:ind w:left="1080"/>
        <w:jc w:val="both"/>
        <w:rPr>
          <w:b/>
          <w:bCs/>
          <w:lang w:val="en-US"/>
        </w:rPr>
      </w:pPr>
      <w:r w:rsidRPr="003B6DA9">
        <w:rPr>
          <w:b/>
          <w:bCs/>
          <w:lang w:val="en-US"/>
        </w:rPr>
        <w:t xml:space="preserve">Table 1: </w:t>
      </w:r>
      <w:r>
        <w:rPr>
          <w:b/>
          <w:bCs/>
          <w:lang w:val="en-US"/>
        </w:rPr>
        <w:t xml:space="preserve">Australian Capital Territory networks </w:t>
      </w:r>
    </w:p>
    <w:tbl>
      <w:tblPr>
        <w:tblStyle w:val="TableGrid"/>
        <w:tblW w:w="7938" w:type="dxa"/>
        <w:tblInd w:w="1129" w:type="dxa"/>
        <w:tblLook w:val="04A0" w:firstRow="1" w:lastRow="0" w:firstColumn="1" w:lastColumn="0" w:noHBand="0" w:noVBand="1"/>
      </w:tblPr>
      <w:tblGrid>
        <w:gridCol w:w="1276"/>
        <w:gridCol w:w="1276"/>
        <w:gridCol w:w="5386"/>
      </w:tblGrid>
      <w:tr w:rsidR="00C51441" w:rsidRPr="00767CE7" w14:paraId="51B478FD" w14:textId="77777777" w:rsidTr="00C51441">
        <w:trPr>
          <w:trHeight w:val="547"/>
        </w:trPr>
        <w:tc>
          <w:tcPr>
            <w:tcW w:w="2552" w:type="dxa"/>
            <w:gridSpan w:val="2"/>
            <w:tcBorders>
              <w:bottom w:val="single" w:sz="4" w:space="0" w:color="auto"/>
            </w:tcBorders>
            <w:vAlign w:val="center"/>
          </w:tcPr>
          <w:p w14:paraId="0412E1C9" w14:textId="77777777" w:rsidR="00C51441" w:rsidRPr="00767CE7" w:rsidRDefault="00C51441" w:rsidP="006D389A">
            <w:pPr>
              <w:jc w:val="center"/>
              <w:rPr>
                <w:rFonts w:eastAsia="Cambria"/>
                <w:b/>
                <w:bCs/>
                <w:color w:val="000000" w:themeColor="text1"/>
              </w:rPr>
            </w:pPr>
            <w:r w:rsidRPr="00767CE7">
              <w:rPr>
                <w:rFonts w:eastAsia="Cambria"/>
                <w:b/>
                <w:bCs/>
                <w:color w:val="000000" w:themeColor="text1"/>
              </w:rPr>
              <w:t>Column 1</w:t>
            </w:r>
          </w:p>
          <w:p w14:paraId="636C926A" w14:textId="592255F1" w:rsidR="00254234" w:rsidRPr="00767CE7" w:rsidRDefault="00C51441" w:rsidP="00254234">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5386" w:type="dxa"/>
            <w:vMerge w:val="restart"/>
            <w:tcBorders>
              <w:bottom w:val="single" w:sz="4" w:space="0" w:color="auto"/>
            </w:tcBorders>
            <w:vAlign w:val="center"/>
          </w:tcPr>
          <w:p w14:paraId="5739E7C4" w14:textId="77777777" w:rsidR="00C51441" w:rsidRPr="00767CE7" w:rsidRDefault="00C51441" w:rsidP="006D389A">
            <w:pPr>
              <w:jc w:val="center"/>
              <w:rPr>
                <w:b/>
                <w:bCs/>
                <w:lang w:val="en-US"/>
              </w:rPr>
            </w:pPr>
            <w:r w:rsidRPr="00767CE7">
              <w:rPr>
                <w:b/>
                <w:bCs/>
                <w:lang w:val="en-US"/>
              </w:rPr>
              <w:t xml:space="preserve">Column </w:t>
            </w:r>
            <w:r>
              <w:rPr>
                <w:b/>
                <w:bCs/>
                <w:lang w:val="en-US"/>
              </w:rPr>
              <w:t>2</w:t>
            </w:r>
          </w:p>
          <w:p w14:paraId="637D1C53" w14:textId="3F8F2276" w:rsidR="00C51441" w:rsidRPr="00767CE7" w:rsidRDefault="00871F5D" w:rsidP="006D389A">
            <w:pPr>
              <w:jc w:val="center"/>
              <w:rPr>
                <w:b/>
                <w:bCs/>
                <w:lang w:val="en-US"/>
              </w:rPr>
            </w:pPr>
            <w:r>
              <w:rPr>
                <w:b/>
                <w:bCs/>
                <w:lang w:val="en-US"/>
              </w:rPr>
              <w:t>N</w:t>
            </w:r>
            <w:r w:rsidR="009262A9">
              <w:rPr>
                <w:b/>
                <w:bCs/>
                <w:lang w:val="en-US"/>
              </w:rPr>
              <w:t>etwork</w:t>
            </w:r>
          </w:p>
        </w:tc>
      </w:tr>
      <w:tr w:rsidR="00C51441" w14:paraId="08B22D6A" w14:textId="77777777" w:rsidTr="00C51441">
        <w:trPr>
          <w:trHeight w:val="254"/>
        </w:trPr>
        <w:tc>
          <w:tcPr>
            <w:tcW w:w="1276" w:type="dxa"/>
            <w:vAlign w:val="center"/>
          </w:tcPr>
          <w:p w14:paraId="13925DC6" w14:textId="77777777" w:rsidR="00C51441" w:rsidRDefault="00C51441" w:rsidP="006D389A">
            <w:pPr>
              <w:jc w:val="center"/>
              <w:rPr>
                <w:rFonts w:eastAsia="Cambria"/>
                <w:b/>
                <w:bCs/>
                <w:color w:val="000000" w:themeColor="text1"/>
              </w:rPr>
            </w:pPr>
            <w:r>
              <w:rPr>
                <w:rFonts w:eastAsia="Cambria"/>
                <w:b/>
                <w:bCs/>
                <w:color w:val="000000" w:themeColor="text1"/>
              </w:rPr>
              <w:t>Level</w:t>
            </w:r>
          </w:p>
        </w:tc>
        <w:tc>
          <w:tcPr>
            <w:tcW w:w="1276" w:type="dxa"/>
            <w:vAlign w:val="center"/>
          </w:tcPr>
          <w:p w14:paraId="712442ED" w14:textId="77777777" w:rsidR="00C51441" w:rsidRDefault="00C51441" w:rsidP="006D389A">
            <w:pPr>
              <w:jc w:val="center"/>
              <w:rPr>
                <w:rFonts w:eastAsia="Cambria"/>
                <w:b/>
                <w:bCs/>
                <w:color w:val="000000" w:themeColor="text1"/>
              </w:rPr>
            </w:pPr>
            <w:r>
              <w:rPr>
                <w:rFonts w:eastAsia="Cambria"/>
                <w:b/>
                <w:bCs/>
                <w:color w:val="000000" w:themeColor="text1"/>
              </w:rPr>
              <w:t>Class</w:t>
            </w:r>
          </w:p>
          <w:p w14:paraId="172881AD" w14:textId="77777777" w:rsidR="00C51441" w:rsidRDefault="00C51441" w:rsidP="006D389A">
            <w:pPr>
              <w:jc w:val="center"/>
              <w:rPr>
                <w:rFonts w:eastAsia="Cambria"/>
                <w:b/>
                <w:bCs/>
                <w:color w:val="000000" w:themeColor="text1"/>
              </w:rPr>
            </w:pPr>
            <w:r>
              <w:rPr>
                <w:rFonts w:eastAsia="Cambria"/>
                <w:b/>
                <w:bCs/>
                <w:color w:val="000000" w:themeColor="text1"/>
              </w:rPr>
              <w:t>(Length)</w:t>
            </w:r>
          </w:p>
        </w:tc>
        <w:tc>
          <w:tcPr>
            <w:tcW w:w="5386" w:type="dxa"/>
            <w:vMerge/>
            <w:vAlign w:val="center"/>
          </w:tcPr>
          <w:p w14:paraId="08037BD4" w14:textId="77777777" w:rsidR="00C51441" w:rsidRDefault="00C51441" w:rsidP="006D389A">
            <w:pPr>
              <w:jc w:val="center"/>
              <w:rPr>
                <w:b/>
                <w:bCs/>
                <w:lang w:val="en-US"/>
              </w:rPr>
            </w:pPr>
          </w:p>
        </w:tc>
      </w:tr>
      <w:tr w:rsidR="00C51441" w:rsidRPr="00897EDD" w14:paraId="720CB4B7" w14:textId="77777777" w:rsidTr="00C51441">
        <w:tc>
          <w:tcPr>
            <w:tcW w:w="1276" w:type="dxa"/>
          </w:tcPr>
          <w:p w14:paraId="3684F43B" w14:textId="77777777" w:rsidR="00C51441" w:rsidRPr="00767CE7" w:rsidRDefault="00C51441" w:rsidP="00C51441">
            <w:pPr>
              <w:jc w:val="center"/>
              <w:rPr>
                <w:color w:val="000000" w:themeColor="text1"/>
                <w:lang w:val="en-US"/>
              </w:rPr>
            </w:pPr>
            <w:r>
              <w:rPr>
                <w:color w:val="000000" w:themeColor="text1"/>
                <w:lang w:val="en-US"/>
              </w:rPr>
              <w:t>1</w:t>
            </w:r>
          </w:p>
        </w:tc>
        <w:tc>
          <w:tcPr>
            <w:tcW w:w="1276" w:type="dxa"/>
          </w:tcPr>
          <w:p w14:paraId="259A422B" w14:textId="77777777" w:rsidR="00C51441" w:rsidRPr="00767CE7" w:rsidRDefault="00C51441" w:rsidP="00C51441">
            <w:pPr>
              <w:jc w:val="center"/>
              <w:rPr>
                <w:color w:val="000000" w:themeColor="text1"/>
                <w:lang w:val="en-US"/>
              </w:rPr>
            </w:pPr>
            <w:r>
              <w:rPr>
                <w:color w:val="000000" w:themeColor="text1"/>
                <w:lang w:val="en-US"/>
              </w:rPr>
              <w:t>-</w:t>
            </w:r>
          </w:p>
        </w:tc>
        <w:tc>
          <w:tcPr>
            <w:tcW w:w="5386" w:type="dxa"/>
          </w:tcPr>
          <w:p w14:paraId="29E93115" w14:textId="292C9EE4" w:rsidR="00C51441" w:rsidRPr="00897EDD" w:rsidRDefault="00C51441" w:rsidP="00C51441">
            <w:pPr>
              <w:jc w:val="center"/>
              <w:rPr>
                <w:lang w:val="en-US"/>
              </w:rPr>
            </w:pPr>
            <w:r w:rsidRPr="00B5526A">
              <w:rPr>
                <w:rFonts w:eastAsia="Cambria"/>
              </w:rPr>
              <w:t>Performance Based Standards Level 1</w:t>
            </w:r>
          </w:p>
        </w:tc>
      </w:tr>
      <w:tr w:rsidR="00C51441" w:rsidRPr="00897EDD" w14:paraId="272A1E75" w14:textId="77777777" w:rsidTr="00C51441">
        <w:tc>
          <w:tcPr>
            <w:tcW w:w="1276" w:type="dxa"/>
          </w:tcPr>
          <w:p w14:paraId="6C7DB242" w14:textId="77777777" w:rsidR="00C51441" w:rsidRPr="00767CE7" w:rsidRDefault="00C51441" w:rsidP="00C51441">
            <w:pPr>
              <w:jc w:val="center"/>
              <w:rPr>
                <w:color w:val="000000" w:themeColor="text1"/>
                <w:lang w:val="en-US"/>
              </w:rPr>
            </w:pPr>
            <w:r>
              <w:rPr>
                <w:color w:val="000000" w:themeColor="text1"/>
                <w:lang w:val="en-US"/>
              </w:rPr>
              <w:t>2</w:t>
            </w:r>
          </w:p>
        </w:tc>
        <w:tc>
          <w:tcPr>
            <w:tcW w:w="1276" w:type="dxa"/>
          </w:tcPr>
          <w:p w14:paraId="2D2C8FD4" w14:textId="77777777" w:rsidR="00C51441" w:rsidRPr="00767CE7" w:rsidRDefault="00C51441" w:rsidP="00C51441">
            <w:pPr>
              <w:jc w:val="center"/>
              <w:rPr>
                <w:color w:val="000000" w:themeColor="text1"/>
                <w:lang w:val="en-US"/>
              </w:rPr>
            </w:pPr>
            <w:r>
              <w:rPr>
                <w:color w:val="000000" w:themeColor="text1"/>
                <w:lang w:val="en-US"/>
              </w:rPr>
              <w:t>A</w:t>
            </w:r>
          </w:p>
        </w:tc>
        <w:tc>
          <w:tcPr>
            <w:tcW w:w="5386" w:type="dxa"/>
          </w:tcPr>
          <w:p w14:paraId="2196899D" w14:textId="1B3C2269" w:rsidR="00C51441" w:rsidRPr="00897EDD" w:rsidRDefault="00C51441" w:rsidP="00C51441">
            <w:pPr>
              <w:jc w:val="center"/>
              <w:rPr>
                <w:lang w:val="en-US"/>
              </w:rPr>
            </w:pPr>
            <w:r w:rsidRPr="00B5526A">
              <w:rPr>
                <w:rFonts w:eastAsia="Cambria"/>
              </w:rPr>
              <w:t>Performance Based Standards Level 2A</w:t>
            </w:r>
          </w:p>
        </w:tc>
      </w:tr>
      <w:tr w:rsidR="00C51441" w:rsidRPr="00376F1E" w14:paraId="2AC7110B" w14:textId="77777777" w:rsidTr="00C51441">
        <w:tc>
          <w:tcPr>
            <w:tcW w:w="1276" w:type="dxa"/>
          </w:tcPr>
          <w:p w14:paraId="15DF40DA" w14:textId="77777777" w:rsidR="00C51441" w:rsidRPr="00767CE7" w:rsidRDefault="00C51441" w:rsidP="00C51441">
            <w:pPr>
              <w:jc w:val="center"/>
              <w:rPr>
                <w:rFonts w:eastAsia="Cambria"/>
                <w:color w:val="000000" w:themeColor="text1"/>
              </w:rPr>
            </w:pPr>
            <w:r>
              <w:rPr>
                <w:rFonts w:eastAsia="Cambria"/>
                <w:color w:val="000000" w:themeColor="text1"/>
              </w:rPr>
              <w:t>2</w:t>
            </w:r>
          </w:p>
        </w:tc>
        <w:tc>
          <w:tcPr>
            <w:tcW w:w="1276" w:type="dxa"/>
          </w:tcPr>
          <w:p w14:paraId="30C7B693" w14:textId="77777777" w:rsidR="00C51441" w:rsidRPr="00767CE7" w:rsidRDefault="00C51441" w:rsidP="00C51441">
            <w:pPr>
              <w:jc w:val="center"/>
              <w:rPr>
                <w:rFonts w:eastAsia="Cambria"/>
                <w:color w:val="000000" w:themeColor="text1"/>
              </w:rPr>
            </w:pPr>
            <w:r>
              <w:rPr>
                <w:rFonts w:eastAsia="Cambria"/>
                <w:color w:val="000000" w:themeColor="text1"/>
              </w:rPr>
              <w:t>B</w:t>
            </w:r>
          </w:p>
        </w:tc>
        <w:tc>
          <w:tcPr>
            <w:tcW w:w="5386" w:type="dxa"/>
          </w:tcPr>
          <w:p w14:paraId="78B3F4E6" w14:textId="52FE8207" w:rsidR="00C51441" w:rsidRPr="00376F1E" w:rsidRDefault="00C51441" w:rsidP="00C51441">
            <w:pPr>
              <w:jc w:val="center"/>
              <w:rPr>
                <w:rFonts w:eastAsia="Cambria"/>
              </w:rPr>
            </w:pPr>
            <w:r w:rsidRPr="00B5526A">
              <w:rPr>
                <w:rFonts w:eastAsia="Cambria"/>
              </w:rPr>
              <w:t>Performance Based Standards Level 2B</w:t>
            </w:r>
          </w:p>
        </w:tc>
      </w:tr>
    </w:tbl>
    <w:p w14:paraId="1D3263C2" w14:textId="77777777" w:rsidR="00B13BD7" w:rsidRPr="00B13BD7" w:rsidRDefault="00B13BD7" w:rsidP="006667A2">
      <w:pPr>
        <w:pStyle w:val="ListParagraph"/>
        <w:ind w:left="1800"/>
        <w:jc w:val="both"/>
        <w:rPr>
          <w:lang w:val="en-US"/>
        </w:rPr>
      </w:pPr>
    </w:p>
    <w:p w14:paraId="29A247B5" w14:textId="2A19110E" w:rsidR="00F770E3" w:rsidRDefault="00F770E3" w:rsidP="000E696B">
      <w:pPr>
        <w:pStyle w:val="ListParagraph"/>
        <w:numPr>
          <w:ilvl w:val="0"/>
          <w:numId w:val="27"/>
        </w:numPr>
        <w:jc w:val="both"/>
        <w:rPr>
          <w:lang w:val="en-US"/>
        </w:rPr>
      </w:pPr>
      <w:r>
        <w:rPr>
          <w:lang w:val="en-US"/>
        </w:rPr>
        <w:t>A</w:t>
      </w:r>
      <w:r w:rsidR="0096633F">
        <w:rPr>
          <w:lang w:val="en-US"/>
        </w:rPr>
        <w:t xml:space="preserve">n eligible vehicle operating at the </w:t>
      </w:r>
      <w:r w:rsidR="00CD584E">
        <w:rPr>
          <w:lang w:val="en-US"/>
        </w:rPr>
        <w:t>Higher Mass Limits</w:t>
      </w:r>
      <w:r w:rsidR="0096633F">
        <w:rPr>
          <w:lang w:val="en-US"/>
        </w:rPr>
        <w:t xml:space="preserve"> stated in </w:t>
      </w:r>
      <w:r w:rsidR="0055508E">
        <w:rPr>
          <w:lang w:val="en-US"/>
        </w:rPr>
        <w:t>the</w:t>
      </w:r>
      <w:r w:rsidR="0096633F">
        <w:rPr>
          <w:lang w:val="en-US"/>
        </w:rPr>
        <w:t xml:space="preserve"> PBS vehicle approval </w:t>
      </w:r>
      <w:r w:rsidR="0055508E">
        <w:rPr>
          <w:lang w:val="en-US"/>
        </w:rPr>
        <w:t>issued for the vehicle</w:t>
      </w:r>
      <w:r w:rsidR="00810706">
        <w:rPr>
          <w:lang w:val="en-US"/>
        </w:rPr>
        <w:t xml:space="preserve"> </w:t>
      </w:r>
      <w:r w:rsidR="00121BE2">
        <w:rPr>
          <w:lang w:val="en-US"/>
        </w:rPr>
        <w:t>m</w:t>
      </w:r>
      <w:r w:rsidR="006767B3">
        <w:rPr>
          <w:lang w:val="en-US"/>
        </w:rPr>
        <w:t>ay operate on any of the networks in Table 1, but only where those ne</w:t>
      </w:r>
      <w:r w:rsidR="00BF164C">
        <w:rPr>
          <w:lang w:val="en-US"/>
        </w:rPr>
        <w:t xml:space="preserve">tworks correspond with </w:t>
      </w:r>
      <w:r w:rsidR="00BF164C" w:rsidRPr="00561831">
        <w:rPr>
          <w:lang w:val="en-US"/>
        </w:rPr>
        <w:t>the</w:t>
      </w:r>
      <w:r w:rsidR="00A43474">
        <w:rPr>
          <w:lang w:val="en-US"/>
        </w:rPr>
        <w:t xml:space="preserve"> Australian Capital Territory</w:t>
      </w:r>
      <w:r w:rsidR="00BF164C" w:rsidRPr="00BF164C">
        <w:rPr>
          <w:i/>
          <w:iCs/>
          <w:lang w:val="en-US"/>
        </w:rPr>
        <w:t xml:space="preserve"> </w:t>
      </w:r>
      <w:r w:rsidR="00FB43B3" w:rsidRPr="00BF164C">
        <w:rPr>
          <w:i/>
          <w:iCs/>
          <w:lang w:val="en-US"/>
        </w:rPr>
        <w:t>Higher Mass Limit (HML) Vehicles Approved Routes</w:t>
      </w:r>
      <w:r w:rsidR="00BF164C">
        <w:rPr>
          <w:lang w:val="en-US"/>
        </w:rPr>
        <w:t>.</w:t>
      </w:r>
    </w:p>
    <w:p w14:paraId="2A0767FE" w14:textId="77777777" w:rsidR="0096633F" w:rsidRDefault="0096633F" w:rsidP="0096633F">
      <w:pPr>
        <w:pStyle w:val="ListParagraph"/>
        <w:ind w:left="1080"/>
        <w:jc w:val="both"/>
        <w:rPr>
          <w:lang w:val="en-US"/>
        </w:rPr>
      </w:pPr>
    </w:p>
    <w:p w14:paraId="27868F13" w14:textId="10E13F1B" w:rsidR="00691A61" w:rsidRPr="0028178F" w:rsidRDefault="00691A61" w:rsidP="000E696B">
      <w:pPr>
        <w:pStyle w:val="ListParagraph"/>
        <w:numPr>
          <w:ilvl w:val="0"/>
          <w:numId w:val="27"/>
        </w:numPr>
        <w:jc w:val="both"/>
        <w:rPr>
          <w:lang w:val="en-US"/>
        </w:rPr>
      </w:pPr>
      <w:r w:rsidRPr="0028178F">
        <w:rPr>
          <w:lang w:val="en-US"/>
        </w:rPr>
        <w:t>An eligible vehicle that is a</w:t>
      </w:r>
      <w:r w:rsidR="00113953">
        <w:rPr>
          <w:lang w:val="en-US"/>
        </w:rPr>
        <w:t>n</w:t>
      </w:r>
      <w:r w:rsidRPr="0028178F">
        <w:rPr>
          <w:lang w:val="en-US"/>
        </w:rPr>
        <w:t xml:space="preserve"> A-</w:t>
      </w:r>
      <w:r w:rsidR="00113953">
        <w:rPr>
          <w:lang w:val="en-US"/>
        </w:rPr>
        <w:t>d</w:t>
      </w:r>
      <w:r w:rsidRPr="0028178F">
        <w:rPr>
          <w:lang w:val="en-US"/>
        </w:rPr>
        <w:t xml:space="preserve">ouble may </w:t>
      </w:r>
      <w:r w:rsidR="00042B4F">
        <w:rPr>
          <w:lang w:val="en-US"/>
        </w:rPr>
        <w:t>only</w:t>
      </w:r>
      <w:r w:rsidRPr="0028178F">
        <w:rPr>
          <w:lang w:val="en-US"/>
        </w:rPr>
        <w:t xml:space="preserve"> operate </w:t>
      </w:r>
      <w:r>
        <w:rPr>
          <w:lang w:val="en-US"/>
        </w:rPr>
        <w:t>on the</w:t>
      </w:r>
      <w:r w:rsidRPr="0028178F">
        <w:rPr>
          <w:lang w:val="en-US"/>
        </w:rPr>
        <w:t xml:space="preserve"> Performance Based Standards Level 2</w:t>
      </w:r>
      <w:r w:rsidR="00772EEA">
        <w:rPr>
          <w:lang w:val="en-US"/>
        </w:rPr>
        <w:t>B</w:t>
      </w:r>
      <w:r w:rsidRPr="0028178F">
        <w:rPr>
          <w:lang w:val="en-US"/>
        </w:rPr>
        <w:t xml:space="preserve"> network.</w:t>
      </w:r>
    </w:p>
    <w:p w14:paraId="4715B9D2" w14:textId="77777777" w:rsidR="00691A61" w:rsidRDefault="00691A61" w:rsidP="00691A61">
      <w:pPr>
        <w:pStyle w:val="ListParagraph"/>
        <w:ind w:left="1080"/>
        <w:jc w:val="both"/>
        <w:rPr>
          <w:lang w:val="en-US"/>
        </w:rPr>
      </w:pPr>
    </w:p>
    <w:p w14:paraId="18DAC55A" w14:textId="23DE339F" w:rsidR="000A42C5" w:rsidRDefault="000A42C5" w:rsidP="000E696B">
      <w:pPr>
        <w:pStyle w:val="ListParagraph"/>
        <w:numPr>
          <w:ilvl w:val="0"/>
          <w:numId w:val="27"/>
        </w:numPr>
        <w:jc w:val="both"/>
        <w:rPr>
          <w:lang w:val="en-US"/>
        </w:rPr>
      </w:pPr>
      <w:r>
        <w:rPr>
          <w:lang w:val="en-US"/>
        </w:rPr>
        <w:t>An eligible vehicle operating on a network under this section must comply with all road, vehicle an</w:t>
      </w:r>
      <w:r w:rsidR="005954FF">
        <w:rPr>
          <w:lang w:val="en-US"/>
        </w:rPr>
        <w:t>d</w:t>
      </w:r>
      <w:r>
        <w:rPr>
          <w:lang w:val="en-US"/>
        </w:rPr>
        <w:t xml:space="preserve"> travel conditions that apply to that network at the time of travel.</w:t>
      </w:r>
    </w:p>
    <w:p w14:paraId="064CBCE1" w14:textId="46FEA58D" w:rsidR="007F04B8" w:rsidRPr="00956127" w:rsidRDefault="00911527" w:rsidP="00956127">
      <w:pPr>
        <w:ind w:left="2160" w:hanging="1080"/>
        <w:jc w:val="both"/>
        <w:rPr>
          <w:i/>
          <w:iCs/>
          <w:lang w:val="en-US"/>
        </w:rPr>
      </w:pPr>
      <w:r w:rsidRPr="00956127">
        <w:rPr>
          <w:i/>
          <w:iCs/>
          <w:lang w:val="en-US"/>
        </w:rPr>
        <w:t>Note:</w:t>
      </w:r>
      <w:r w:rsidRPr="00956127">
        <w:rPr>
          <w:i/>
          <w:iCs/>
          <w:lang w:val="en-US"/>
        </w:rPr>
        <w:tab/>
        <w:t xml:space="preserve">The networks in this section are maintained by the </w:t>
      </w:r>
      <w:r w:rsidR="007C5B7D">
        <w:rPr>
          <w:i/>
          <w:iCs/>
          <w:lang w:val="en-US"/>
        </w:rPr>
        <w:t>ACT</w:t>
      </w:r>
      <w:r w:rsidRPr="00956127">
        <w:rPr>
          <w:i/>
          <w:iCs/>
          <w:lang w:val="en-US"/>
        </w:rPr>
        <w:t xml:space="preserve"> </w:t>
      </w:r>
      <w:r w:rsidR="007C5B7D">
        <w:rPr>
          <w:i/>
          <w:iCs/>
          <w:lang w:val="en-US"/>
        </w:rPr>
        <w:t>Transport and Municipal Services</w:t>
      </w:r>
      <w:r w:rsidRPr="00956127">
        <w:rPr>
          <w:i/>
          <w:iCs/>
          <w:lang w:val="en-US"/>
        </w:rPr>
        <w:t xml:space="preserve"> and are published on its website.</w:t>
      </w:r>
    </w:p>
    <w:p w14:paraId="789C2CB7" w14:textId="77777777" w:rsidR="008700B4" w:rsidRDefault="008700B4" w:rsidP="008700B4">
      <w:pPr>
        <w:pStyle w:val="ListParagraph"/>
        <w:numPr>
          <w:ilvl w:val="0"/>
          <w:numId w:val="27"/>
        </w:numPr>
        <w:jc w:val="both"/>
      </w:pPr>
      <w:r>
        <w:t>The networks named in Column 2 of Table 1 are routes and areas under this authorisation Notice for the purposes of section 9.</w:t>
      </w:r>
    </w:p>
    <w:p w14:paraId="3A59F5AF" w14:textId="228ED4FC" w:rsidR="0022171D" w:rsidRDefault="0022171D" w:rsidP="0022171D">
      <w:pPr>
        <w:ind w:left="1080"/>
        <w:jc w:val="both"/>
        <w:rPr>
          <w:lang w:val="en-US"/>
        </w:rPr>
      </w:pPr>
    </w:p>
    <w:p w14:paraId="0787ADD5" w14:textId="6A33C54F" w:rsidR="00E100EF" w:rsidRDefault="00E100EF">
      <w:pPr>
        <w:rPr>
          <w:lang w:val="en-US"/>
        </w:rPr>
      </w:pPr>
    </w:p>
    <w:p w14:paraId="3F05F607" w14:textId="77777777" w:rsidR="00E100EF" w:rsidRPr="0022171D" w:rsidRDefault="00E100EF" w:rsidP="0022171D">
      <w:pPr>
        <w:ind w:left="1080"/>
        <w:jc w:val="both"/>
        <w:rPr>
          <w:lang w:val="en-US"/>
        </w:rPr>
      </w:pPr>
    </w:p>
    <w:p w14:paraId="62B01DAF" w14:textId="196F9B5E" w:rsidR="005B0531" w:rsidRDefault="005B0531" w:rsidP="006667A2">
      <w:pPr>
        <w:jc w:val="both"/>
        <w:rPr>
          <w:lang w:val="en-US"/>
        </w:rPr>
      </w:pPr>
      <w:r>
        <w:rPr>
          <w:lang w:val="en-US"/>
        </w:rPr>
        <w:br w:type="page"/>
      </w:r>
    </w:p>
    <w:p w14:paraId="3CBFB6D5" w14:textId="276B94E1" w:rsidR="005B0531" w:rsidRPr="004B10BF" w:rsidRDefault="005B0531" w:rsidP="006667A2">
      <w:pPr>
        <w:contextualSpacing/>
        <w:jc w:val="both"/>
        <w:rPr>
          <w:b/>
          <w:bCs/>
          <w:sz w:val="28"/>
          <w:szCs w:val="28"/>
          <w:lang w:val="en-US"/>
        </w:rPr>
      </w:pPr>
      <w:r w:rsidRPr="005E37F2">
        <w:rPr>
          <w:b/>
          <w:bCs/>
          <w:sz w:val="28"/>
          <w:szCs w:val="28"/>
          <w:lang w:val="en-US"/>
        </w:rPr>
        <w:lastRenderedPageBreak/>
        <w:t xml:space="preserve">Schedule </w:t>
      </w:r>
      <w:r w:rsidR="00D520AA">
        <w:rPr>
          <w:b/>
          <w:bCs/>
          <w:sz w:val="28"/>
          <w:szCs w:val="28"/>
          <w:lang w:val="en-US"/>
        </w:rPr>
        <w:t>2</w:t>
      </w:r>
      <w:r w:rsidRPr="005E37F2">
        <w:rPr>
          <w:b/>
          <w:bCs/>
          <w:sz w:val="28"/>
          <w:szCs w:val="28"/>
          <w:lang w:val="en-US"/>
        </w:rPr>
        <w:t xml:space="preserve"> </w:t>
      </w:r>
      <w:r w:rsidR="00D520AA">
        <w:rPr>
          <w:b/>
          <w:bCs/>
          <w:sz w:val="28"/>
          <w:szCs w:val="28"/>
          <w:lang w:val="en-US"/>
        </w:rPr>
        <w:t>New South Wales</w:t>
      </w:r>
    </w:p>
    <w:p w14:paraId="21D5E039" w14:textId="77777777" w:rsidR="005B0531" w:rsidRDefault="005B0531" w:rsidP="000E696B">
      <w:pPr>
        <w:pStyle w:val="ListParagraph"/>
        <w:numPr>
          <w:ilvl w:val="0"/>
          <w:numId w:val="4"/>
        </w:numPr>
        <w:jc w:val="both"/>
        <w:rPr>
          <w:b/>
          <w:bCs/>
          <w:lang w:val="en-US"/>
        </w:rPr>
      </w:pPr>
      <w:r w:rsidRPr="005E37F2">
        <w:rPr>
          <w:b/>
          <w:bCs/>
          <w:lang w:val="en-US"/>
        </w:rPr>
        <w:t>Application</w:t>
      </w:r>
    </w:p>
    <w:p w14:paraId="2507B231" w14:textId="77777777" w:rsidR="005B0531" w:rsidRPr="005E37F2" w:rsidRDefault="005B0531" w:rsidP="006667A2">
      <w:pPr>
        <w:pStyle w:val="ListParagraph"/>
        <w:jc w:val="both"/>
        <w:rPr>
          <w:b/>
          <w:bCs/>
          <w:lang w:val="en-US"/>
        </w:rPr>
      </w:pPr>
    </w:p>
    <w:p w14:paraId="334BC038" w14:textId="36537277" w:rsidR="005B0531" w:rsidRDefault="005B0531" w:rsidP="006667A2">
      <w:pPr>
        <w:pStyle w:val="ListParagraph"/>
        <w:ind w:left="1080"/>
        <w:jc w:val="both"/>
        <w:rPr>
          <w:lang w:val="en-US"/>
        </w:rPr>
      </w:pPr>
      <w:r>
        <w:rPr>
          <w:lang w:val="en-US"/>
        </w:rPr>
        <w:t xml:space="preserve">This Schedule applies in </w:t>
      </w:r>
      <w:r w:rsidR="00D520AA">
        <w:rPr>
          <w:lang w:val="en-US"/>
        </w:rPr>
        <w:t>New South Wales</w:t>
      </w:r>
      <w:r>
        <w:rPr>
          <w:lang w:val="en-US"/>
        </w:rPr>
        <w:t xml:space="preserve"> (</w:t>
      </w:r>
      <w:r w:rsidR="00D520AA">
        <w:rPr>
          <w:lang w:val="en-US"/>
        </w:rPr>
        <w:t>NSW</w:t>
      </w:r>
      <w:r>
        <w:rPr>
          <w:lang w:val="en-US"/>
        </w:rPr>
        <w:t>).</w:t>
      </w:r>
    </w:p>
    <w:p w14:paraId="7C19E394" w14:textId="77777777" w:rsidR="005B0531" w:rsidRDefault="005B0531" w:rsidP="006667A2">
      <w:pPr>
        <w:pStyle w:val="ListParagraph"/>
        <w:ind w:left="1080"/>
        <w:jc w:val="both"/>
        <w:rPr>
          <w:lang w:val="en-US"/>
        </w:rPr>
      </w:pPr>
    </w:p>
    <w:p w14:paraId="083CB0A9" w14:textId="77777777" w:rsidR="005B0531" w:rsidRDefault="005B0531" w:rsidP="000E696B">
      <w:pPr>
        <w:pStyle w:val="ListParagraph"/>
        <w:numPr>
          <w:ilvl w:val="0"/>
          <w:numId w:val="4"/>
        </w:numPr>
        <w:jc w:val="both"/>
        <w:rPr>
          <w:b/>
          <w:bCs/>
          <w:lang w:val="en-US"/>
        </w:rPr>
      </w:pPr>
      <w:r>
        <w:rPr>
          <w:b/>
          <w:bCs/>
          <w:lang w:val="en-US"/>
        </w:rPr>
        <w:t>Condition – Stated routes and areas (Networks)</w:t>
      </w:r>
    </w:p>
    <w:p w14:paraId="1B51FBAB" w14:textId="77777777" w:rsidR="005B0531" w:rsidRPr="00B51566" w:rsidRDefault="005B0531" w:rsidP="006667A2">
      <w:pPr>
        <w:pStyle w:val="ListParagraph"/>
        <w:jc w:val="both"/>
        <w:rPr>
          <w:b/>
          <w:bCs/>
          <w:lang w:val="en-US"/>
        </w:rPr>
      </w:pPr>
    </w:p>
    <w:p w14:paraId="18106679" w14:textId="3B8BB792" w:rsidR="00813B8A" w:rsidRPr="003B6DA9" w:rsidRDefault="00813B8A" w:rsidP="000E696B">
      <w:pPr>
        <w:pStyle w:val="ListParagraph"/>
        <w:numPr>
          <w:ilvl w:val="0"/>
          <w:numId w:val="28"/>
        </w:numPr>
        <w:jc w:val="both"/>
        <w:rPr>
          <w:lang w:val="en-US"/>
        </w:rPr>
      </w:pPr>
      <w:r>
        <w:rPr>
          <w:lang w:val="en-US"/>
        </w:rPr>
        <w:t xml:space="preserve">Pursuant to the </w:t>
      </w:r>
      <w:proofErr w:type="spellStart"/>
      <w:r>
        <w:rPr>
          <w:lang w:val="en-US"/>
        </w:rPr>
        <w:t>authorisation</w:t>
      </w:r>
      <w:proofErr w:type="spellEnd"/>
      <w:r>
        <w:rPr>
          <w:lang w:val="en-US"/>
        </w:rPr>
        <w:t xml:space="preserve"> granted in section 8 and 9 of this Notice, an eligible vehicle meeting the requirements for the </w:t>
      </w:r>
      <w:r w:rsidR="00254234">
        <w:rPr>
          <w:lang w:val="en-US"/>
        </w:rPr>
        <w:t xml:space="preserve">PBS network levels and class </w:t>
      </w:r>
      <w:r>
        <w:rPr>
          <w:lang w:val="en-US"/>
        </w:rPr>
        <w:t>in Column 1 may operate on the networks named in column 2 of Table 1:</w:t>
      </w:r>
    </w:p>
    <w:p w14:paraId="4837F2F1" w14:textId="77777777" w:rsidR="00813B8A" w:rsidRDefault="00813B8A" w:rsidP="00813B8A">
      <w:pPr>
        <w:pStyle w:val="ListParagraph"/>
        <w:spacing w:after="200" w:line="276" w:lineRule="auto"/>
        <w:ind w:left="1080"/>
        <w:jc w:val="both"/>
        <w:rPr>
          <w:b/>
          <w:bCs/>
          <w:lang w:val="en-US"/>
        </w:rPr>
      </w:pPr>
    </w:p>
    <w:p w14:paraId="256FF03A" w14:textId="79B218C0" w:rsidR="00813B8A" w:rsidRPr="003B6DA9" w:rsidRDefault="00813B8A" w:rsidP="00813B8A">
      <w:pPr>
        <w:pStyle w:val="ListParagraph"/>
        <w:spacing w:after="200" w:line="276" w:lineRule="auto"/>
        <w:ind w:left="1080"/>
        <w:jc w:val="both"/>
        <w:rPr>
          <w:b/>
          <w:bCs/>
          <w:lang w:val="en-US"/>
        </w:rPr>
      </w:pPr>
      <w:r w:rsidRPr="003B6DA9">
        <w:rPr>
          <w:b/>
          <w:bCs/>
          <w:lang w:val="en-US"/>
        </w:rPr>
        <w:t xml:space="preserve">Table 1: </w:t>
      </w:r>
      <w:r>
        <w:rPr>
          <w:b/>
          <w:bCs/>
          <w:lang w:val="en-US"/>
        </w:rPr>
        <w:t xml:space="preserve">New South Wales networks </w:t>
      </w:r>
    </w:p>
    <w:tbl>
      <w:tblPr>
        <w:tblStyle w:val="TableGrid"/>
        <w:tblW w:w="7938" w:type="dxa"/>
        <w:tblInd w:w="1129" w:type="dxa"/>
        <w:tblLook w:val="04A0" w:firstRow="1" w:lastRow="0" w:firstColumn="1" w:lastColumn="0" w:noHBand="0" w:noVBand="1"/>
      </w:tblPr>
      <w:tblGrid>
        <w:gridCol w:w="1276"/>
        <w:gridCol w:w="1276"/>
        <w:gridCol w:w="5386"/>
      </w:tblGrid>
      <w:tr w:rsidR="00813B8A" w:rsidRPr="00767CE7" w14:paraId="4484CE22" w14:textId="77777777" w:rsidTr="006D389A">
        <w:trPr>
          <w:trHeight w:val="547"/>
        </w:trPr>
        <w:tc>
          <w:tcPr>
            <w:tcW w:w="2552" w:type="dxa"/>
            <w:gridSpan w:val="2"/>
            <w:tcBorders>
              <w:bottom w:val="single" w:sz="4" w:space="0" w:color="auto"/>
            </w:tcBorders>
            <w:vAlign w:val="center"/>
          </w:tcPr>
          <w:p w14:paraId="525FB165" w14:textId="77777777" w:rsidR="00813B8A" w:rsidRPr="00767CE7" w:rsidRDefault="00813B8A" w:rsidP="006D389A">
            <w:pPr>
              <w:jc w:val="center"/>
              <w:rPr>
                <w:rFonts w:eastAsia="Cambria"/>
                <w:b/>
                <w:bCs/>
                <w:color w:val="000000" w:themeColor="text1"/>
              </w:rPr>
            </w:pPr>
            <w:r w:rsidRPr="00767CE7">
              <w:rPr>
                <w:rFonts w:eastAsia="Cambria"/>
                <w:b/>
                <w:bCs/>
                <w:color w:val="000000" w:themeColor="text1"/>
              </w:rPr>
              <w:t>Column 1</w:t>
            </w:r>
          </w:p>
          <w:p w14:paraId="3C253EBE" w14:textId="52D7DD72" w:rsidR="00254234" w:rsidRPr="00767CE7" w:rsidRDefault="00813B8A" w:rsidP="00254234">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5386" w:type="dxa"/>
            <w:vMerge w:val="restart"/>
            <w:tcBorders>
              <w:bottom w:val="single" w:sz="4" w:space="0" w:color="auto"/>
            </w:tcBorders>
            <w:vAlign w:val="center"/>
          </w:tcPr>
          <w:p w14:paraId="7BE4CAB3" w14:textId="77777777" w:rsidR="00813B8A" w:rsidRPr="00767CE7" w:rsidRDefault="00813B8A" w:rsidP="006D389A">
            <w:pPr>
              <w:jc w:val="center"/>
              <w:rPr>
                <w:b/>
                <w:bCs/>
                <w:lang w:val="en-US"/>
              </w:rPr>
            </w:pPr>
            <w:r w:rsidRPr="00767CE7">
              <w:rPr>
                <w:b/>
                <w:bCs/>
                <w:lang w:val="en-US"/>
              </w:rPr>
              <w:t xml:space="preserve">Column </w:t>
            </w:r>
            <w:r>
              <w:rPr>
                <w:b/>
                <w:bCs/>
                <w:lang w:val="en-US"/>
              </w:rPr>
              <w:t>2</w:t>
            </w:r>
          </w:p>
          <w:p w14:paraId="13412067" w14:textId="27F93A9C" w:rsidR="00813B8A" w:rsidRPr="00767CE7" w:rsidRDefault="00871F5D" w:rsidP="006D389A">
            <w:pPr>
              <w:jc w:val="center"/>
              <w:rPr>
                <w:b/>
                <w:bCs/>
                <w:lang w:val="en-US"/>
              </w:rPr>
            </w:pPr>
            <w:r>
              <w:rPr>
                <w:b/>
                <w:bCs/>
                <w:lang w:val="en-US"/>
              </w:rPr>
              <w:t>N</w:t>
            </w:r>
            <w:r w:rsidR="00813B8A">
              <w:rPr>
                <w:b/>
                <w:bCs/>
                <w:lang w:val="en-US"/>
              </w:rPr>
              <w:t>etwork</w:t>
            </w:r>
          </w:p>
        </w:tc>
      </w:tr>
      <w:tr w:rsidR="00813B8A" w14:paraId="53F5C2F9" w14:textId="77777777" w:rsidTr="006D389A">
        <w:trPr>
          <w:trHeight w:val="254"/>
        </w:trPr>
        <w:tc>
          <w:tcPr>
            <w:tcW w:w="1276" w:type="dxa"/>
            <w:vAlign w:val="center"/>
          </w:tcPr>
          <w:p w14:paraId="35E4C977" w14:textId="77777777" w:rsidR="00813B8A" w:rsidRDefault="00813B8A" w:rsidP="006D389A">
            <w:pPr>
              <w:jc w:val="center"/>
              <w:rPr>
                <w:rFonts w:eastAsia="Cambria"/>
                <w:b/>
                <w:bCs/>
                <w:color w:val="000000" w:themeColor="text1"/>
              </w:rPr>
            </w:pPr>
            <w:r>
              <w:rPr>
                <w:rFonts w:eastAsia="Cambria"/>
                <w:b/>
                <w:bCs/>
                <w:color w:val="000000" w:themeColor="text1"/>
              </w:rPr>
              <w:t>Level</w:t>
            </w:r>
          </w:p>
        </w:tc>
        <w:tc>
          <w:tcPr>
            <w:tcW w:w="1276" w:type="dxa"/>
            <w:vAlign w:val="center"/>
          </w:tcPr>
          <w:p w14:paraId="2511AF47" w14:textId="77777777" w:rsidR="00813B8A" w:rsidRDefault="00813B8A" w:rsidP="006D389A">
            <w:pPr>
              <w:jc w:val="center"/>
              <w:rPr>
                <w:rFonts w:eastAsia="Cambria"/>
                <w:b/>
                <w:bCs/>
                <w:color w:val="000000" w:themeColor="text1"/>
              </w:rPr>
            </w:pPr>
            <w:r>
              <w:rPr>
                <w:rFonts w:eastAsia="Cambria"/>
                <w:b/>
                <w:bCs/>
                <w:color w:val="000000" w:themeColor="text1"/>
              </w:rPr>
              <w:t>Class</w:t>
            </w:r>
          </w:p>
          <w:p w14:paraId="327DF07D" w14:textId="77777777" w:rsidR="00813B8A" w:rsidRDefault="00813B8A" w:rsidP="006D389A">
            <w:pPr>
              <w:jc w:val="center"/>
              <w:rPr>
                <w:rFonts w:eastAsia="Cambria"/>
                <w:b/>
                <w:bCs/>
                <w:color w:val="000000" w:themeColor="text1"/>
              </w:rPr>
            </w:pPr>
            <w:r>
              <w:rPr>
                <w:rFonts w:eastAsia="Cambria"/>
                <w:b/>
                <w:bCs/>
                <w:color w:val="000000" w:themeColor="text1"/>
              </w:rPr>
              <w:t>(Length)</w:t>
            </w:r>
          </w:p>
        </w:tc>
        <w:tc>
          <w:tcPr>
            <w:tcW w:w="5386" w:type="dxa"/>
            <w:vMerge/>
            <w:vAlign w:val="center"/>
          </w:tcPr>
          <w:p w14:paraId="247FC002" w14:textId="77777777" w:rsidR="00813B8A" w:rsidRDefault="00813B8A" w:rsidP="006D389A">
            <w:pPr>
              <w:jc w:val="center"/>
              <w:rPr>
                <w:b/>
                <w:bCs/>
                <w:lang w:val="en-US"/>
              </w:rPr>
            </w:pPr>
          </w:p>
        </w:tc>
      </w:tr>
      <w:tr w:rsidR="00813B8A" w:rsidRPr="00897EDD" w14:paraId="020A45CF" w14:textId="77777777" w:rsidTr="00656136">
        <w:tc>
          <w:tcPr>
            <w:tcW w:w="1276" w:type="dxa"/>
            <w:vAlign w:val="center"/>
          </w:tcPr>
          <w:p w14:paraId="1645B7C8" w14:textId="77777777" w:rsidR="00813B8A" w:rsidRPr="00767CE7" w:rsidRDefault="00813B8A" w:rsidP="00656136">
            <w:pPr>
              <w:jc w:val="center"/>
              <w:rPr>
                <w:color w:val="000000" w:themeColor="text1"/>
                <w:lang w:val="en-US"/>
              </w:rPr>
            </w:pPr>
            <w:r>
              <w:rPr>
                <w:color w:val="000000" w:themeColor="text1"/>
                <w:lang w:val="en-US"/>
              </w:rPr>
              <w:t>1</w:t>
            </w:r>
          </w:p>
        </w:tc>
        <w:tc>
          <w:tcPr>
            <w:tcW w:w="1276" w:type="dxa"/>
            <w:vAlign w:val="center"/>
          </w:tcPr>
          <w:p w14:paraId="0BA827A9" w14:textId="77777777" w:rsidR="00813B8A" w:rsidRPr="00767CE7" w:rsidRDefault="00813B8A" w:rsidP="00656136">
            <w:pPr>
              <w:jc w:val="center"/>
              <w:rPr>
                <w:color w:val="000000" w:themeColor="text1"/>
                <w:lang w:val="en-US"/>
              </w:rPr>
            </w:pPr>
            <w:r>
              <w:rPr>
                <w:color w:val="000000" w:themeColor="text1"/>
                <w:lang w:val="en-US"/>
              </w:rPr>
              <w:t>-</w:t>
            </w:r>
          </w:p>
        </w:tc>
        <w:tc>
          <w:tcPr>
            <w:tcW w:w="5386" w:type="dxa"/>
          </w:tcPr>
          <w:p w14:paraId="5E7B3659" w14:textId="77777777" w:rsidR="00122F89" w:rsidRPr="00122F89" w:rsidRDefault="00122F89" w:rsidP="00122F89">
            <w:pPr>
              <w:jc w:val="center"/>
              <w:rPr>
                <w:rFonts w:eastAsia="Cambria"/>
              </w:rPr>
            </w:pPr>
            <w:r w:rsidRPr="00122F89">
              <w:rPr>
                <w:rFonts w:eastAsia="Cambria"/>
              </w:rPr>
              <w:t>Performance Based Standards Level 1 GML/CML</w:t>
            </w:r>
          </w:p>
          <w:p w14:paraId="4D06341E" w14:textId="37E0D092" w:rsidR="00813B8A" w:rsidRPr="00897EDD" w:rsidRDefault="00122F89" w:rsidP="00122F89">
            <w:pPr>
              <w:jc w:val="center"/>
              <w:rPr>
                <w:lang w:val="en-US"/>
              </w:rPr>
            </w:pPr>
            <w:r w:rsidRPr="00122F89">
              <w:rPr>
                <w:rFonts w:eastAsia="Cambria"/>
              </w:rPr>
              <w:t>Performance Based Standards Level 1 HML</w:t>
            </w:r>
          </w:p>
        </w:tc>
      </w:tr>
      <w:tr w:rsidR="00813B8A" w:rsidRPr="00897EDD" w14:paraId="3CB833F2" w14:textId="77777777" w:rsidTr="00656136">
        <w:tc>
          <w:tcPr>
            <w:tcW w:w="1276" w:type="dxa"/>
            <w:vAlign w:val="center"/>
          </w:tcPr>
          <w:p w14:paraId="5F24C0AF" w14:textId="77777777" w:rsidR="00813B8A" w:rsidRPr="00767CE7" w:rsidRDefault="00813B8A" w:rsidP="00656136">
            <w:pPr>
              <w:jc w:val="center"/>
              <w:rPr>
                <w:color w:val="000000" w:themeColor="text1"/>
                <w:lang w:val="en-US"/>
              </w:rPr>
            </w:pPr>
            <w:r>
              <w:rPr>
                <w:color w:val="000000" w:themeColor="text1"/>
                <w:lang w:val="en-US"/>
              </w:rPr>
              <w:t>2</w:t>
            </w:r>
          </w:p>
        </w:tc>
        <w:tc>
          <w:tcPr>
            <w:tcW w:w="1276" w:type="dxa"/>
            <w:vAlign w:val="center"/>
          </w:tcPr>
          <w:p w14:paraId="2000D30B" w14:textId="77777777" w:rsidR="00813B8A" w:rsidRPr="00767CE7" w:rsidRDefault="00813B8A" w:rsidP="00656136">
            <w:pPr>
              <w:jc w:val="center"/>
              <w:rPr>
                <w:color w:val="000000" w:themeColor="text1"/>
                <w:lang w:val="en-US"/>
              </w:rPr>
            </w:pPr>
            <w:r>
              <w:rPr>
                <w:color w:val="000000" w:themeColor="text1"/>
                <w:lang w:val="en-US"/>
              </w:rPr>
              <w:t>A</w:t>
            </w:r>
          </w:p>
        </w:tc>
        <w:tc>
          <w:tcPr>
            <w:tcW w:w="5386" w:type="dxa"/>
          </w:tcPr>
          <w:p w14:paraId="6D1D8D15" w14:textId="77777777" w:rsidR="00122F89" w:rsidRPr="00122F89" w:rsidRDefault="00122F89" w:rsidP="00122F89">
            <w:pPr>
              <w:jc w:val="center"/>
              <w:rPr>
                <w:rFonts w:eastAsia="Cambria"/>
              </w:rPr>
            </w:pPr>
            <w:r w:rsidRPr="00122F89">
              <w:rPr>
                <w:rFonts w:eastAsia="Cambria"/>
              </w:rPr>
              <w:t>Performance Based Standards Level 2A GML/CML</w:t>
            </w:r>
          </w:p>
          <w:p w14:paraId="5AAD12D4" w14:textId="21BA4967" w:rsidR="00813B8A" w:rsidRPr="00897EDD" w:rsidRDefault="00122F89" w:rsidP="00122F89">
            <w:pPr>
              <w:jc w:val="center"/>
              <w:rPr>
                <w:lang w:val="en-US"/>
              </w:rPr>
            </w:pPr>
            <w:r w:rsidRPr="00122F89">
              <w:rPr>
                <w:rFonts w:eastAsia="Cambria"/>
              </w:rPr>
              <w:t>Performance Based Standards Level 2A HML</w:t>
            </w:r>
          </w:p>
        </w:tc>
      </w:tr>
      <w:tr w:rsidR="00813B8A" w:rsidRPr="00376F1E" w14:paraId="30FA602E" w14:textId="77777777" w:rsidTr="00656136">
        <w:tc>
          <w:tcPr>
            <w:tcW w:w="1276" w:type="dxa"/>
            <w:vAlign w:val="center"/>
          </w:tcPr>
          <w:p w14:paraId="01AD9818" w14:textId="77777777" w:rsidR="00813B8A" w:rsidRPr="00767CE7" w:rsidRDefault="00813B8A" w:rsidP="00656136">
            <w:pPr>
              <w:jc w:val="center"/>
              <w:rPr>
                <w:rFonts w:eastAsia="Cambria"/>
                <w:color w:val="000000" w:themeColor="text1"/>
              </w:rPr>
            </w:pPr>
            <w:r>
              <w:rPr>
                <w:rFonts w:eastAsia="Cambria"/>
                <w:color w:val="000000" w:themeColor="text1"/>
              </w:rPr>
              <w:t>2</w:t>
            </w:r>
          </w:p>
        </w:tc>
        <w:tc>
          <w:tcPr>
            <w:tcW w:w="1276" w:type="dxa"/>
            <w:vAlign w:val="center"/>
          </w:tcPr>
          <w:p w14:paraId="7BB087A3" w14:textId="77777777" w:rsidR="00813B8A" w:rsidRPr="00767CE7" w:rsidRDefault="00813B8A" w:rsidP="00656136">
            <w:pPr>
              <w:jc w:val="center"/>
              <w:rPr>
                <w:rFonts w:eastAsia="Cambria"/>
                <w:color w:val="000000" w:themeColor="text1"/>
              </w:rPr>
            </w:pPr>
            <w:r>
              <w:rPr>
                <w:rFonts w:eastAsia="Cambria"/>
                <w:color w:val="000000" w:themeColor="text1"/>
              </w:rPr>
              <w:t>B</w:t>
            </w:r>
          </w:p>
        </w:tc>
        <w:tc>
          <w:tcPr>
            <w:tcW w:w="5386" w:type="dxa"/>
          </w:tcPr>
          <w:p w14:paraId="25E655EF" w14:textId="77777777" w:rsidR="00122F89" w:rsidRPr="00122F89" w:rsidRDefault="00122F89" w:rsidP="00122F89">
            <w:pPr>
              <w:jc w:val="center"/>
              <w:rPr>
                <w:rFonts w:eastAsia="Cambria"/>
              </w:rPr>
            </w:pPr>
            <w:r w:rsidRPr="00122F89">
              <w:rPr>
                <w:rFonts w:eastAsia="Cambria"/>
              </w:rPr>
              <w:t>Performance Based Standards Level 2B GML/CML</w:t>
            </w:r>
          </w:p>
          <w:p w14:paraId="3E507DE4" w14:textId="107B782F" w:rsidR="00813B8A" w:rsidRPr="00376F1E" w:rsidRDefault="00122F89" w:rsidP="00122F89">
            <w:pPr>
              <w:jc w:val="center"/>
              <w:rPr>
                <w:rFonts w:eastAsia="Cambria"/>
              </w:rPr>
            </w:pPr>
            <w:r w:rsidRPr="00122F89">
              <w:rPr>
                <w:rFonts w:eastAsia="Cambria"/>
              </w:rPr>
              <w:t>Performance Based Standards Level 2B HML</w:t>
            </w:r>
          </w:p>
        </w:tc>
      </w:tr>
      <w:tr w:rsidR="00813B8A" w:rsidRPr="00897EDD" w14:paraId="48B035E2" w14:textId="77777777" w:rsidTr="00656136">
        <w:tc>
          <w:tcPr>
            <w:tcW w:w="1276" w:type="dxa"/>
            <w:vAlign w:val="center"/>
          </w:tcPr>
          <w:p w14:paraId="1048A213" w14:textId="77777777" w:rsidR="00813B8A" w:rsidRPr="00E92C6A" w:rsidRDefault="00813B8A" w:rsidP="00656136">
            <w:pPr>
              <w:jc w:val="center"/>
              <w:rPr>
                <w:color w:val="000000" w:themeColor="text1"/>
                <w:lang w:val="en-US"/>
              </w:rPr>
            </w:pPr>
            <w:r w:rsidRPr="00E92C6A">
              <w:rPr>
                <w:color w:val="000000" w:themeColor="text1"/>
                <w:lang w:val="en-US"/>
              </w:rPr>
              <w:t>3</w:t>
            </w:r>
          </w:p>
        </w:tc>
        <w:tc>
          <w:tcPr>
            <w:tcW w:w="1276" w:type="dxa"/>
            <w:vAlign w:val="center"/>
          </w:tcPr>
          <w:p w14:paraId="4D7E72D1" w14:textId="77777777" w:rsidR="00813B8A" w:rsidRPr="00E92C6A" w:rsidRDefault="00813B8A" w:rsidP="00656136">
            <w:pPr>
              <w:jc w:val="center"/>
              <w:rPr>
                <w:color w:val="000000" w:themeColor="text1"/>
                <w:lang w:val="en-US"/>
              </w:rPr>
            </w:pPr>
            <w:r w:rsidRPr="00E92C6A">
              <w:rPr>
                <w:color w:val="000000" w:themeColor="text1"/>
                <w:lang w:val="en-US"/>
              </w:rPr>
              <w:t>A</w:t>
            </w:r>
          </w:p>
        </w:tc>
        <w:tc>
          <w:tcPr>
            <w:tcW w:w="5386" w:type="dxa"/>
          </w:tcPr>
          <w:p w14:paraId="52EA1EEA" w14:textId="77777777" w:rsidR="00712C78" w:rsidRPr="00E92C6A" w:rsidRDefault="00712C78" w:rsidP="00712C78">
            <w:pPr>
              <w:jc w:val="center"/>
              <w:rPr>
                <w:lang w:val="en-US"/>
              </w:rPr>
            </w:pPr>
            <w:r w:rsidRPr="00E92C6A">
              <w:rPr>
                <w:lang w:val="en-US"/>
              </w:rPr>
              <w:t>Performance Based Standards Level 3A GML/CML</w:t>
            </w:r>
          </w:p>
          <w:p w14:paraId="07079372" w14:textId="7AB0DF88" w:rsidR="00813B8A" w:rsidRPr="00E92C6A" w:rsidRDefault="00712C78" w:rsidP="00712C78">
            <w:pPr>
              <w:jc w:val="center"/>
              <w:rPr>
                <w:lang w:val="en-US"/>
              </w:rPr>
            </w:pPr>
            <w:r w:rsidRPr="00E92C6A">
              <w:rPr>
                <w:lang w:val="en-US"/>
              </w:rPr>
              <w:t>Performance Based Standards Level 3A HML</w:t>
            </w:r>
          </w:p>
        </w:tc>
      </w:tr>
      <w:tr w:rsidR="00B6212D" w:rsidRPr="00897EDD" w14:paraId="42F5A86A" w14:textId="77777777" w:rsidTr="00656136">
        <w:tc>
          <w:tcPr>
            <w:tcW w:w="1276" w:type="dxa"/>
            <w:vAlign w:val="center"/>
          </w:tcPr>
          <w:p w14:paraId="0F566C21" w14:textId="32EB8952" w:rsidR="00B6212D" w:rsidRPr="00E92C6A" w:rsidRDefault="00B6212D" w:rsidP="00B6212D">
            <w:pPr>
              <w:jc w:val="center"/>
              <w:rPr>
                <w:color w:val="000000" w:themeColor="text1"/>
                <w:lang w:val="en-US"/>
              </w:rPr>
            </w:pPr>
            <w:r>
              <w:rPr>
                <w:color w:val="000000" w:themeColor="text1"/>
                <w:lang w:val="en-US"/>
              </w:rPr>
              <w:t>4</w:t>
            </w:r>
          </w:p>
        </w:tc>
        <w:tc>
          <w:tcPr>
            <w:tcW w:w="1276" w:type="dxa"/>
            <w:vAlign w:val="center"/>
          </w:tcPr>
          <w:p w14:paraId="017EF8B2" w14:textId="5C8FE19F" w:rsidR="00B6212D" w:rsidRPr="00E92C6A" w:rsidRDefault="00B6212D" w:rsidP="00B6212D">
            <w:pPr>
              <w:jc w:val="center"/>
              <w:rPr>
                <w:color w:val="000000" w:themeColor="text1"/>
                <w:lang w:val="en-US"/>
              </w:rPr>
            </w:pPr>
            <w:r w:rsidRPr="00E92C6A">
              <w:rPr>
                <w:color w:val="000000" w:themeColor="text1"/>
                <w:lang w:val="en-US"/>
              </w:rPr>
              <w:t>A</w:t>
            </w:r>
          </w:p>
        </w:tc>
        <w:tc>
          <w:tcPr>
            <w:tcW w:w="5386" w:type="dxa"/>
          </w:tcPr>
          <w:p w14:paraId="16CF874D" w14:textId="6812A3A9" w:rsidR="00B6212D" w:rsidRPr="00E92C6A" w:rsidRDefault="00B6212D" w:rsidP="00B6212D">
            <w:pPr>
              <w:jc w:val="center"/>
              <w:rPr>
                <w:lang w:val="en-US"/>
              </w:rPr>
            </w:pPr>
            <w:r w:rsidRPr="00E92C6A">
              <w:rPr>
                <w:lang w:val="en-US"/>
              </w:rPr>
              <w:t xml:space="preserve">Performance Based Standards Level </w:t>
            </w:r>
            <w:r w:rsidR="002B437C">
              <w:rPr>
                <w:lang w:val="en-US"/>
              </w:rPr>
              <w:t>4</w:t>
            </w:r>
            <w:r w:rsidRPr="00E92C6A">
              <w:rPr>
                <w:lang w:val="en-US"/>
              </w:rPr>
              <w:t>A GML/CML</w:t>
            </w:r>
          </w:p>
          <w:p w14:paraId="7F177BCF" w14:textId="3C135B82" w:rsidR="00B6212D" w:rsidRPr="00E92C6A" w:rsidRDefault="00B6212D" w:rsidP="00B6212D">
            <w:pPr>
              <w:jc w:val="center"/>
              <w:rPr>
                <w:lang w:val="en-US"/>
              </w:rPr>
            </w:pPr>
            <w:r w:rsidRPr="00E92C6A">
              <w:rPr>
                <w:lang w:val="en-US"/>
              </w:rPr>
              <w:t xml:space="preserve">Performance Based Standards Level </w:t>
            </w:r>
            <w:r w:rsidR="002B437C">
              <w:rPr>
                <w:lang w:val="en-US"/>
              </w:rPr>
              <w:t>4</w:t>
            </w:r>
            <w:r w:rsidRPr="00E92C6A">
              <w:rPr>
                <w:lang w:val="en-US"/>
              </w:rPr>
              <w:t>A HML</w:t>
            </w:r>
          </w:p>
        </w:tc>
      </w:tr>
    </w:tbl>
    <w:p w14:paraId="2F6880EB" w14:textId="238A1EA7" w:rsidR="00596D54" w:rsidRPr="00E00576" w:rsidRDefault="00596D54" w:rsidP="00E00576">
      <w:pPr>
        <w:jc w:val="both"/>
        <w:rPr>
          <w:lang w:val="en-US"/>
        </w:rPr>
      </w:pPr>
    </w:p>
    <w:p w14:paraId="64544756" w14:textId="0F4ABA17" w:rsidR="00F84C77" w:rsidRDefault="00BF7125" w:rsidP="000E696B">
      <w:pPr>
        <w:pStyle w:val="ListParagraph"/>
        <w:numPr>
          <w:ilvl w:val="0"/>
          <w:numId w:val="28"/>
        </w:numPr>
        <w:jc w:val="both"/>
        <w:rPr>
          <w:lang w:val="en-US"/>
        </w:rPr>
      </w:pPr>
      <w:r>
        <w:rPr>
          <w:lang w:val="en-US"/>
        </w:rPr>
        <w:t xml:space="preserve">An eligible vehicle </w:t>
      </w:r>
      <w:r w:rsidR="009834C9">
        <w:rPr>
          <w:lang w:val="en-US"/>
        </w:rPr>
        <w:t xml:space="preserve">operating on a </w:t>
      </w:r>
      <w:r w:rsidR="00C20196">
        <w:rPr>
          <w:lang w:val="en-US"/>
        </w:rPr>
        <w:t xml:space="preserve">network designated as </w:t>
      </w:r>
      <w:r w:rsidR="009834C9">
        <w:rPr>
          <w:lang w:val="en-US"/>
        </w:rPr>
        <w:t>GML/</w:t>
      </w:r>
      <w:r w:rsidR="002D1664">
        <w:rPr>
          <w:lang w:val="en-US"/>
        </w:rPr>
        <w:t>C</w:t>
      </w:r>
      <w:r w:rsidR="009834C9">
        <w:rPr>
          <w:lang w:val="en-US"/>
        </w:rPr>
        <w:t>ML</w:t>
      </w:r>
      <w:r w:rsidR="00C20196">
        <w:rPr>
          <w:lang w:val="en-US"/>
        </w:rPr>
        <w:t xml:space="preserve"> </w:t>
      </w:r>
      <w:r w:rsidR="009834C9">
        <w:rPr>
          <w:lang w:val="en-US"/>
        </w:rPr>
        <w:t xml:space="preserve">must comply with </w:t>
      </w:r>
      <w:r w:rsidR="005C79BF">
        <w:rPr>
          <w:lang w:val="en-US"/>
        </w:rPr>
        <w:t>either the general mass limits (GML)</w:t>
      </w:r>
      <w:r w:rsidR="0003214A">
        <w:rPr>
          <w:lang w:val="en-US"/>
        </w:rPr>
        <w:t xml:space="preserve"> or concessional mass limits (CML) </w:t>
      </w:r>
      <w:r w:rsidR="009834C9">
        <w:rPr>
          <w:lang w:val="en-US"/>
        </w:rPr>
        <w:t xml:space="preserve">requirements of </w:t>
      </w:r>
      <w:r w:rsidR="002D1664">
        <w:rPr>
          <w:lang w:val="en-US"/>
        </w:rPr>
        <w:t xml:space="preserve">its </w:t>
      </w:r>
      <w:r w:rsidR="004B117A">
        <w:rPr>
          <w:lang w:val="en-US"/>
        </w:rPr>
        <w:t>vehicle approval</w:t>
      </w:r>
      <w:r w:rsidR="004B10BF">
        <w:rPr>
          <w:lang w:val="en-US"/>
        </w:rPr>
        <w:t>.</w:t>
      </w:r>
    </w:p>
    <w:p w14:paraId="17C17831" w14:textId="77777777" w:rsidR="001A47C2" w:rsidRDefault="001A47C2" w:rsidP="001A47C2">
      <w:pPr>
        <w:pStyle w:val="ListParagraph"/>
        <w:ind w:left="1080"/>
        <w:jc w:val="both"/>
        <w:rPr>
          <w:lang w:val="en-US"/>
        </w:rPr>
      </w:pPr>
    </w:p>
    <w:p w14:paraId="181F27FD" w14:textId="00F712E5" w:rsidR="001A47C2" w:rsidRDefault="001A47C2" w:rsidP="000E696B">
      <w:pPr>
        <w:pStyle w:val="ListParagraph"/>
        <w:numPr>
          <w:ilvl w:val="0"/>
          <w:numId w:val="28"/>
        </w:numPr>
        <w:jc w:val="both"/>
        <w:rPr>
          <w:lang w:val="en-US"/>
        </w:rPr>
      </w:pPr>
      <w:r>
        <w:rPr>
          <w:lang w:val="en-US"/>
        </w:rPr>
        <w:t>An eligible vehicle operating on a</w:t>
      </w:r>
      <w:r w:rsidR="00C20196">
        <w:rPr>
          <w:lang w:val="en-US"/>
        </w:rPr>
        <w:t xml:space="preserve"> network</w:t>
      </w:r>
      <w:r w:rsidR="000611F9">
        <w:rPr>
          <w:lang w:val="en-US"/>
        </w:rPr>
        <w:t xml:space="preserve"> designated as</w:t>
      </w:r>
      <w:r>
        <w:rPr>
          <w:lang w:val="en-US"/>
        </w:rPr>
        <w:t xml:space="preserve"> HML must comply with the </w:t>
      </w:r>
      <w:r w:rsidR="0003214A">
        <w:rPr>
          <w:lang w:val="en-US"/>
        </w:rPr>
        <w:t>higher mass</w:t>
      </w:r>
      <w:r w:rsidR="00E00576">
        <w:rPr>
          <w:lang w:val="en-US"/>
        </w:rPr>
        <w:t xml:space="preserve"> limits (HML)</w:t>
      </w:r>
      <w:r>
        <w:rPr>
          <w:lang w:val="en-US"/>
        </w:rPr>
        <w:t xml:space="preserve"> requirements of its vehicle approval</w:t>
      </w:r>
      <w:r w:rsidR="004B10BF">
        <w:rPr>
          <w:lang w:val="en-US"/>
        </w:rPr>
        <w:t>.</w:t>
      </w:r>
    </w:p>
    <w:p w14:paraId="56BAB944" w14:textId="77777777" w:rsidR="003751AD" w:rsidRDefault="003751AD" w:rsidP="003751AD">
      <w:pPr>
        <w:pStyle w:val="ListParagraph"/>
        <w:ind w:left="1080"/>
        <w:jc w:val="both"/>
        <w:rPr>
          <w:lang w:val="en-US"/>
        </w:rPr>
      </w:pPr>
    </w:p>
    <w:p w14:paraId="4E4E13A6" w14:textId="538D2EBB" w:rsidR="003751AD" w:rsidRPr="0028178F" w:rsidRDefault="00B71D8E" w:rsidP="000E696B">
      <w:pPr>
        <w:pStyle w:val="ListParagraph"/>
        <w:numPr>
          <w:ilvl w:val="0"/>
          <w:numId w:val="28"/>
        </w:numPr>
        <w:jc w:val="both"/>
        <w:rPr>
          <w:lang w:val="en-US"/>
        </w:rPr>
      </w:pPr>
      <w:r>
        <w:rPr>
          <w:lang w:val="en-US"/>
        </w:rPr>
        <w:t>A</w:t>
      </w:r>
      <w:r w:rsidR="003751AD" w:rsidRPr="0028178F">
        <w:rPr>
          <w:lang w:val="en-US"/>
        </w:rPr>
        <w:t xml:space="preserve">n eligible vehicle that is an A-Double may </w:t>
      </w:r>
      <w:r w:rsidR="0091712B">
        <w:rPr>
          <w:lang w:val="en-US"/>
        </w:rPr>
        <w:t>only</w:t>
      </w:r>
      <w:r w:rsidR="003751AD" w:rsidRPr="0028178F">
        <w:rPr>
          <w:lang w:val="en-US"/>
        </w:rPr>
        <w:t xml:space="preserve"> operate </w:t>
      </w:r>
      <w:r w:rsidR="0028178F">
        <w:rPr>
          <w:lang w:val="en-US"/>
        </w:rPr>
        <w:t xml:space="preserve">on </w:t>
      </w:r>
      <w:r w:rsidR="00CE7F75">
        <w:rPr>
          <w:lang w:val="en-US"/>
        </w:rPr>
        <w:t>the</w:t>
      </w:r>
      <w:r w:rsidR="003751AD" w:rsidRPr="0028178F">
        <w:rPr>
          <w:lang w:val="en-US"/>
        </w:rPr>
        <w:t xml:space="preserve"> </w:t>
      </w:r>
      <w:r w:rsidR="00164BEB">
        <w:rPr>
          <w:lang w:val="en-US"/>
        </w:rPr>
        <w:t>following networks</w:t>
      </w:r>
      <w:r w:rsidR="00971C8A">
        <w:rPr>
          <w:lang w:val="en-US"/>
        </w:rPr>
        <w:t>:</w:t>
      </w:r>
    </w:p>
    <w:p w14:paraId="0C8E0B6F" w14:textId="77777777" w:rsidR="00164BEB" w:rsidRPr="00164BEB" w:rsidRDefault="00164BEB" w:rsidP="00164BEB">
      <w:pPr>
        <w:pStyle w:val="ListParagraph"/>
        <w:rPr>
          <w:lang w:val="en-US"/>
        </w:rPr>
      </w:pPr>
    </w:p>
    <w:p w14:paraId="0A7C048F" w14:textId="77777777" w:rsidR="00164BEB" w:rsidRDefault="00164BEB" w:rsidP="00164BEB">
      <w:pPr>
        <w:pStyle w:val="ListParagraph"/>
        <w:ind w:left="1800"/>
        <w:jc w:val="both"/>
        <w:rPr>
          <w:i/>
          <w:iCs/>
          <w:lang w:val="en-US"/>
        </w:rPr>
      </w:pPr>
      <w:r w:rsidRPr="00E519F3">
        <w:rPr>
          <w:i/>
          <w:iCs/>
          <w:lang w:val="en-US"/>
        </w:rPr>
        <w:t>Performance Based Standards Level 2</w:t>
      </w:r>
      <w:r>
        <w:rPr>
          <w:i/>
          <w:iCs/>
          <w:lang w:val="en-US"/>
        </w:rPr>
        <w:t>B GML/CML</w:t>
      </w:r>
    </w:p>
    <w:p w14:paraId="52C7907B" w14:textId="77777777" w:rsidR="00164BEB" w:rsidRDefault="00164BEB" w:rsidP="00164BEB">
      <w:pPr>
        <w:pStyle w:val="ListParagraph"/>
        <w:ind w:left="1800"/>
        <w:jc w:val="both"/>
        <w:rPr>
          <w:i/>
          <w:iCs/>
          <w:lang w:val="en-US"/>
        </w:rPr>
      </w:pPr>
      <w:r w:rsidRPr="00E519F3">
        <w:rPr>
          <w:i/>
          <w:iCs/>
          <w:lang w:val="en-US"/>
        </w:rPr>
        <w:t>Performance Based Standards Level 2</w:t>
      </w:r>
      <w:r>
        <w:rPr>
          <w:i/>
          <w:iCs/>
          <w:lang w:val="en-US"/>
        </w:rPr>
        <w:t>B HML</w:t>
      </w:r>
    </w:p>
    <w:p w14:paraId="4CFE90CE" w14:textId="77777777" w:rsidR="00164BEB" w:rsidRPr="00F77E8A" w:rsidRDefault="00164BEB" w:rsidP="00164BEB">
      <w:pPr>
        <w:pStyle w:val="ListParagraph"/>
        <w:ind w:left="1800"/>
        <w:jc w:val="both"/>
        <w:rPr>
          <w:i/>
          <w:iCs/>
          <w:lang w:val="en-US"/>
        </w:rPr>
      </w:pPr>
      <w:r w:rsidRPr="00E519F3">
        <w:rPr>
          <w:i/>
          <w:iCs/>
          <w:lang w:val="en-US"/>
        </w:rPr>
        <w:t xml:space="preserve">Performance Based Standards Level </w:t>
      </w:r>
      <w:r>
        <w:rPr>
          <w:i/>
          <w:iCs/>
          <w:lang w:val="en-US"/>
        </w:rPr>
        <w:t>3A GML/CML</w:t>
      </w:r>
    </w:p>
    <w:p w14:paraId="06D2ACAB" w14:textId="7B31DF72" w:rsidR="0025035D" w:rsidRDefault="00164BEB" w:rsidP="00907B54">
      <w:pPr>
        <w:pStyle w:val="ListParagraph"/>
        <w:ind w:left="1800"/>
        <w:jc w:val="both"/>
        <w:rPr>
          <w:i/>
          <w:iCs/>
          <w:lang w:val="en-US"/>
        </w:rPr>
      </w:pPr>
      <w:r w:rsidRPr="00E519F3">
        <w:rPr>
          <w:i/>
          <w:iCs/>
          <w:lang w:val="en-US"/>
        </w:rPr>
        <w:t xml:space="preserve">Performance Based Standards Level </w:t>
      </w:r>
      <w:r>
        <w:rPr>
          <w:i/>
          <w:iCs/>
          <w:lang w:val="en-US"/>
        </w:rPr>
        <w:t>3A HML</w:t>
      </w:r>
    </w:p>
    <w:p w14:paraId="5F4B3CB3" w14:textId="0833A392" w:rsidR="002B437C" w:rsidRPr="00F77E8A" w:rsidRDefault="002B437C" w:rsidP="002B437C">
      <w:pPr>
        <w:pStyle w:val="ListParagraph"/>
        <w:ind w:left="1800"/>
        <w:jc w:val="both"/>
        <w:rPr>
          <w:i/>
          <w:iCs/>
          <w:lang w:val="en-US"/>
        </w:rPr>
      </w:pPr>
      <w:r w:rsidRPr="00E519F3">
        <w:rPr>
          <w:i/>
          <w:iCs/>
          <w:lang w:val="en-US"/>
        </w:rPr>
        <w:t xml:space="preserve">Performance Based Standards Level </w:t>
      </w:r>
      <w:r>
        <w:rPr>
          <w:i/>
          <w:iCs/>
          <w:lang w:val="en-US"/>
        </w:rPr>
        <w:t>4A GML/CML</w:t>
      </w:r>
    </w:p>
    <w:p w14:paraId="646492A4" w14:textId="45DDC060" w:rsidR="002B437C" w:rsidRDefault="002B437C" w:rsidP="002B437C">
      <w:pPr>
        <w:pStyle w:val="ListParagraph"/>
        <w:ind w:left="1800"/>
        <w:jc w:val="both"/>
        <w:rPr>
          <w:i/>
          <w:iCs/>
          <w:lang w:val="en-US"/>
        </w:rPr>
      </w:pPr>
      <w:r w:rsidRPr="00E519F3">
        <w:rPr>
          <w:i/>
          <w:iCs/>
          <w:lang w:val="en-US"/>
        </w:rPr>
        <w:t xml:space="preserve">Performance Based Standards Level </w:t>
      </w:r>
      <w:r>
        <w:rPr>
          <w:i/>
          <w:iCs/>
          <w:lang w:val="en-US"/>
        </w:rPr>
        <w:t>4A HML</w:t>
      </w:r>
    </w:p>
    <w:p w14:paraId="43561DB6" w14:textId="672A0687" w:rsidR="00907B54" w:rsidRDefault="00907B54" w:rsidP="00907B54">
      <w:pPr>
        <w:pStyle w:val="ListParagraph"/>
        <w:ind w:left="1800"/>
        <w:jc w:val="both"/>
        <w:rPr>
          <w:i/>
          <w:iCs/>
          <w:lang w:val="en-US"/>
        </w:rPr>
      </w:pPr>
    </w:p>
    <w:p w14:paraId="52495936" w14:textId="62F0433C" w:rsidR="002B437C" w:rsidRDefault="002B437C" w:rsidP="00907B54">
      <w:pPr>
        <w:pStyle w:val="ListParagraph"/>
        <w:ind w:left="1800"/>
        <w:jc w:val="both"/>
        <w:rPr>
          <w:i/>
          <w:iCs/>
          <w:lang w:val="en-US"/>
        </w:rPr>
      </w:pPr>
    </w:p>
    <w:p w14:paraId="36502DBD" w14:textId="77777777" w:rsidR="002B437C" w:rsidRPr="00907B54" w:rsidRDefault="002B437C" w:rsidP="00907B54">
      <w:pPr>
        <w:pStyle w:val="ListParagraph"/>
        <w:ind w:left="1800"/>
        <w:jc w:val="both"/>
        <w:rPr>
          <w:i/>
          <w:iCs/>
          <w:lang w:val="en-US"/>
        </w:rPr>
      </w:pPr>
    </w:p>
    <w:p w14:paraId="4D4379C7" w14:textId="53879F2D" w:rsidR="005B0531" w:rsidRPr="00947A82" w:rsidRDefault="005B0531" w:rsidP="000E696B">
      <w:pPr>
        <w:pStyle w:val="ListParagraph"/>
        <w:numPr>
          <w:ilvl w:val="0"/>
          <w:numId w:val="28"/>
        </w:numPr>
        <w:jc w:val="both"/>
        <w:rPr>
          <w:lang w:val="en-US"/>
        </w:rPr>
      </w:pPr>
      <w:r>
        <w:rPr>
          <w:lang w:val="en-US"/>
        </w:rPr>
        <w:lastRenderedPageBreak/>
        <w:t>An eligible vehicle operating on a network under this section must comply with all road, vehicle an</w:t>
      </w:r>
      <w:r w:rsidR="00325799">
        <w:rPr>
          <w:lang w:val="en-US"/>
        </w:rPr>
        <w:t>d</w:t>
      </w:r>
      <w:r>
        <w:rPr>
          <w:lang w:val="en-US"/>
        </w:rPr>
        <w:t xml:space="preserve"> travel conditions that apply to that network at the time of travel.</w:t>
      </w:r>
    </w:p>
    <w:p w14:paraId="5248E229" w14:textId="275738D0" w:rsidR="0027654A" w:rsidRDefault="00312773" w:rsidP="0025035D">
      <w:pPr>
        <w:ind w:left="2160" w:hanging="1080"/>
        <w:jc w:val="both"/>
        <w:rPr>
          <w:i/>
          <w:iCs/>
          <w:lang w:val="en-US"/>
        </w:rPr>
      </w:pPr>
      <w:r w:rsidRPr="00956127">
        <w:rPr>
          <w:i/>
          <w:iCs/>
          <w:lang w:val="en-US"/>
        </w:rPr>
        <w:t>Note:</w:t>
      </w:r>
      <w:r w:rsidRPr="00956127">
        <w:rPr>
          <w:i/>
          <w:iCs/>
          <w:lang w:val="en-US"/>
        </w:rPr>
        <w:tab/>
        <w:t xml:space="preserve">The networks in this section are maintained by </w:t>
      </w:r>
      <w:r w:rsidR="007C5B7D">
        <w:rPr>
          <w:i/>
          <w:iCs/>
          <w:lang w:val="en-US"/>
        </w:rPr>
        <w:t>Transport for New South Wales</w:t>
      </w:r>
      <w:r w:rsidRPr="00956127">
        <w:rPr>
          <w:i/>
          <w:iCs/>
          <w:lang w:val="en-US"/>
        </w:rPr>
        <w:t xml:space="preserve"> and are published on its website.</w:t>
      </w:r>
    </w:p>
    <w:p w14:paraId="59FBEE73" w14:textId="3CF77670" w:rsidR="00294B57" w:rsidRDefault="008700B4" w:rsidP="00212D82">
      <w:pPr>
        <w:pStyle w:val="ListParagraph"/>
        <w:numPr>
          <w:ilvl w:val="0"/>
          <w:numId w:val="28"/>
        </w:numPr>
        <w:jc w:val="both"/>
      </w:pPr>
      <w:r>
        <w:t>The networks named in Column 2 of Table 1 are routes and areas under this authorisation Notice for the purposes of section 9.</w:t>
      </w:r>
    </w:p>
    <w:p w14:paraId="7C878B2A" w14:textId="77777777" w:rsidR="002B437C" w:rsidRPr="00294B57" w:rsidRDefault="002B437C" w:rsidP="002B437C">
      <w:pPr>
        <w:pStyle w:val="ListParagraph"/>
        <w:ind w:left="1080"/>
        <w:jc w:val="both"/>
      </w:pPr>
    </w:p>
    <w:p w14:paraId="5DFAC60D" w14:textId="15B47F98" w:rsidR="00312773" w:rsidRPr="00CC13B7" w:rsidRDefault="00312773" w:rsidP="000E696B">
      <w:pPr>
        <w:pStyle w:val="ListParagraph"/>
        <w:numPr>
          <w:ilvl w:val="0"/>
          <w:numId w:val="3"/>
        </w:numPr>
        <w:jc w:val="both"/>
        <w:rPr>
          <w:b/>
          <w:bCs/>
          <w:lang w:val="en-US"/>
        </w:rPr>
      </w:pPr>
      <w:r w:rsidRPr="00CC13B7">
        <w:rPr>
          <w:b/>
          <w:bCs/>
          <w:lang w:val="en-US"/>
        </w:rPr>
        <w:t>Intelligent access program conditions</w:t>
      </w:r>
      <w:r>
        <w:rPr>
          <w:b/>
          <w:bCs/>
          <w:lang w:val="en-US"/>
        </w:rPr>
        <w:t xml:space="preserve"> (</w:t>
      </w:r>
      <w:r w:rsidR="00C40F7F">
        <w:rPr>
          <w:b/>
          <w:bCs/>
          <w:lang w:val="en-US"/>
        </w:rPr>
        <w:t>New South Wales</w:t>
      </w:r>
      <w:r>
        <w:rPr>
          <w:b/>
          <w:bCs/>
          <w:lang w:val="en-US"/>
        </w:rPr>
        <w:t>)</w:t>
      </w:r>
    </w:p>
    <w:p w14:paraId="788CCF9D" w14:textId="77777777" w:rsidR="00312773" w:rsidRDefault="00312773" w:rsidP="00312773">
      <w:pPr>
        <w:pStyle w:val="ListParagraph"/>
        <w:ind w:left="1080"/>
        <w:jc w:val="both"/>
        <w:rPr>
          <w:lang w:val="en-US"/>
        </w:rPr>
      </w:pPr>
    </w:p>
    <w:p w14:paraId="30B83F7E" w14:textId="4F28D01C" w:rsidR="00D947BB" w:rsidRPr="00092382" w:rsidRDefault="00D947BB" w:rsidP="000E696B">
      <w:pPr>
        <w:pStyle w:val="ListParagraph"/>
        <w:numPr>
          <w:ilvl w:val="0"/>
          <w:numId w:val="12"/>
        </w:numPr>
        <w:rPr>
          <w:lang w:val="en-GB"/>
        </w:rPr>
      </w:pPr>
      <w:r w:rsidRPr="00092382">
        <w:rPr>
          <w:lang w:val="en-GB"/>
        </w:rPr>
        <w:t>Pursuant to section 1</w:t>
      </w:r>
      <w:r w:rsidR="003F6F92">
        <w:rPr>
          <w:lang w:val="en-GB"/>
        </w:rPr>
        <w:t>4</w:t>
      </w:r>
      <w:r w:rsidRPr="00092382">
        <w:rPr>
          <w:lang w:val="en-GB"/>
        </w:rPr>
        <w:t xml:space="preserve"> of this Notice, an eligible vehicle operating on a network under this Schedule must be enrolled in and comply with the following approved intelligent transport system, approved by Transport Certification Australia:</w:t>
      </w:r>
    </w:p>
    <w:p w14:paraId="27687EFF" w14:textId="77777777" w:rsidR="00D947BB" w:rsidRDefault="00D947BB" w:rsidP="00D947BB">
      <w:pPr>
        <w:pStyle w:val="ListParagraph"/>
        <w:ind w:left="1080"/>
        <w:jc w:val="both"/>
        <w:rPr>
          <w:lang w:val="en-US"/>
        </w:rPr>
      </w:pPr>
    </w:p>
    <w:p w14:paraId="6EDCB548" w14:textId="33185449" w:rsidR="00D947BB" w:rsidRDefault="00D947BB" w:rsidP="000E696B">
      <w:pPr>
        <w:pStyle w:val="ListParagraph"/>
        <w:numPr>
          <w:ilvl w:val="0"/>
          <w:numId w:val="11"/>
        </w:numPr>
      </w:pPr>
      <w:r w:rsidRPr="00A1235A">
        <w:t xml:space="preserve">For </w:t>
      </w:r>
      <w:r>
        <w:t>vehicles operating up to</w:t>
      </w:r>
      <w:r w:rsidR="00170FA0">
        <w:t xml:space="preserve"> the</w:t>
      </w:r>
      <w:r>
        <w:t xml:space="preserve"> GML or CML mass</w:t>
      </w:r>
      <w:r w:rsidR="00170FA0">
        <w:t xml:space="preserve"> limits</w:t>
      </w:r>
      <w:r>
        <w:t xml:space="preserve"> as </w:t>
      </w:r>
      <w:r w:rsidR="00B17D66">
        <w:t>specified</w:t>
      </w:r>
      <w:r>
        <w:t xml:space="preserve"> in the </w:t>
      </w:r>
      <w:r w:rsidR="008223B4">
        <w:t xml:space="preserve">PBS </w:t>
      </w:r>
      <w:r>
        <w:t>vehicle approval</w:t>
      </w:r>
      <w:r w:rsidR="001D10EE">
        <w:t xml:space="preserve"> issued to th</w:t>
      </w:r>
      <w:r w:rsidR="00B17D66">
        <w:t>at</w:t>
      </w:r>
      <w:r w:rsidR="001D10EE">
        <w:t xml:space="preserve"> vehicle</w:t>
      </w:r>
      <w:r>
        <w:t>:</w:t>
      </w:r>
    </w:p>
    <w:p w14:paraId="24237149" w14:textId="77777777" w:rsidR="00D947BB" w:rsidRPr="00CA1A99" w:rsidRDefault="00D947BB" w:rsidP="00D947BB">
      <w:pPr>
        <w:pStyle w:val="ListParagraph"/>
        <w:ind w:left="1440"/>
        <w:rPr>
          <w:lang w:val="en-GB"/>
        </w:rPr>
      </w:pPr>
    </w:p>
    <w:p w14:paraId="7EBDC72C" w14:textId="77777777" w:rsidR="00D947BB" w:rsidRDefault="00D947BB" w:rsidP="00573524">
      <w:pPr>
        <w:pStyle w:val="ListParagraph"/>
        <w:ind w:left="1800"/>
        <w:jc w:val="center"/>
        <w:rPr>
          <w:i/>
          <w:iCs/>
          <w:lang w:val="en-US"/>
        </w:rPr>
      </w:pPr>
      <w:r w:rsidRPr="0034332F">
        <w:rPr>
          <w:i/>
          <w:iCs/>
          <w:lang w:val="en-US"/>
        </w:rPr>
        <w:t>Road Infrastructure Management (RIM)</w:t>
      </w:r>
    </w:p>
    <w:p w14:paraId="518ED207" w14:textId="77777777" w:rsidR="00D947BB" w:rsidRPr="00CA1A99" w:rsidRDefault="00D947BB" w:rsidP="00D947BB">
      <w:pPr>
        <w:pStyle w:val="ListParagraph"/>
        <w:ind w:left="1800"/>
        <w:jc w:val="both"/>
        <w:rPr>
          <w:i/>
          <w:iCs/>
          <w:lang w:val="en-US"/>
        </w:rPr>
      </w:pPr>
    </w:p>
    <w:p w14:paraId="6F1C37DF" w14:textId="20FA87FD" w:rsidR="00D947BB" w:rsidRDefault="00D947BB" w:rsidP="000E696B">
      <w:pPr>
        <w:pStyle w:val="ListParagraph"/>
        <w:numPr>
          <w:ilvl w:val="0"/>
          <w:numId w:val="11"/>
        </w:numPr>
      </w:pPr>
      <w:r w:rsidRPr="00A1235A">
        <w:t xml:space="preserve">For </w:t>
      </w:r>
      <w:r>
        <w:t xml:space="preserve">vehicles operating </w:t>
      </w:r>
      <w:r w:rsidR="00FA5285">
        <w:t>above the GML or CML mass limits</w:t>
      </w:r>
      <w:r w:rsidR="00572EAC">
        <w:t xml:space="preserve"> and</w:t>
      </w:r>
      <w:r w:rsidR="00FA5285">
        <w:t xml:space="preserve"> </w:t>
      </w:r>
      <w:r>
        <w:t xml:space="preserve">up to HML </w:t>
      </w:r>
      <w:r w:rsidR="00572EAC">
        <w:t xml:space="preserve">mass limits </w:t>
      </w:r>
      <w:r w:rsidR="00D77CE2">
        <w:t>specified in the PBS vehicle approval issued to that vehicle</w:t>
      </w:r>
      <w:r w:rsidR="00832AF6">
        <w:t>, either</w:t>
      </w:r>
      <w:r>
        <w:t>:</w:t>
      </w:r>
    </w:p>
    <w:p w14:paraId="28986458" w14:textId="77777777" w:rsidR="00D947BB" w:rsidRPr="00CA1A99" w:rsidRDefault="00D947BB" w:rsidP="00D947BB">
      <w:pPr>
        <w:pStyle w:val="ListParagraph"/>
        <w:ind w:left="1440"/>
        <w:rPr>
          <w:lang w:val="en-GB"/>
        </w:rPr>
      </w:pPr>
    </w:p>
    <w:p w14:paraId="794E4108" w14:textId="40674E7B" w:rsidR="00D947BB" w:rsidRDefault="00D947BB" w:rsidP="00573524">
      <w:pPr>
        <w:pStyle w:val="ListParagraph"/>
        <w:ind w:left="1800"/>
        <w:jc w:val="center"/>
        <w:rPr>
          <w:i/>
          <w:iCs/>
          <w:lang w:val="en-US"/>
        </w:rPr>
      </w:pPr>
      <w:r>
        <w:rPr>
          <w:i/>
          <w:iCs/>
          <w:lang w:val="en-US"/>
        </w:rPr>
        <w:t>Intelligent Access Program (IAP); or</w:t>
      </w:r>
    </w:p>
    <w:p w14:paraId="3993E617" w14:textId="2190C4F9" w:rsidR="004B10BF" w:rsidRPr="003751AD" w:rsidRDefault="00D947BB" w:rsidP="00573524">
      <w:pPr>
        <w:pStyle w:val="ListParagraph"/>
        <w:ind w:left="1800"/>
        <w:jc w:val="center"/>
        <w:rPr>
          <w:i/>
          <w:iCs/>
          <w:lang w:val="en-US"/>
        </w:rPr>
      </w:pPr>
      <w:r>
        <w:rPr>
          <w:i/>
          <w:iCs/>
          <w:lang w:val="en-US"/>
        </w:rPr>
        <w:t>Telematics Monitoring Application (TMA)</w:t>
      </w:r>
    </w:p>
    <w:p w14:paraId="0CC4D56A" w14:textId="77777777" w:rsidR="00042B4F" w:rsidRDefault="00042B4F">
      <w:pPr>
        <w:rPr>
          <w:b/>
          <w:bCs/>
          <w:sz w:val="28"/>
          <w:szCs w:val="28"/>
          <w:lang w:val="en-US"/>
        </w:rPr>
      </w:pPr>
      <w:r>
        <w:rPr>
          <w:b/>
          <w:bCs/>
          <w:sz w:val="28"/>
          <w:szCs w:val="28"/>
          <w:lang w:val="en-US"/>
        </w:rPr>
        <w:br w:type="page"/>
      </w:r>
    </w:p>
    <w:p w14:paraId="2504CDA2" w14:textId="00B3CCCF" w:rsidR="00A852B8" w:rsidRPr="004B10BF" w:rsidRDefault="00A852B8" w:rsidP="006667A2">
      <w:pPr>
        <w:contextualSpacing/>
        <w:jc w:val="both"/>
        <w:rPr>
          <w:b/>
          <w:bCs/>
          <w:sz w:val="28"/>
          <w:szCs w:val="28"/>
          <w:lang w:val="en-US"/>
        </w:rPr>
      </w:pPr>
      <w:r w:rsidRPr="005E37F2">
        <w:rPr>
          <w:b/>
          <w:bCs/>
          <w:sz w:val="28"/>
          <w:szCs w:val="28"/>
          <w:lang w:val="en-US"/>
        </w:rPr>
        <w:lastRenderedPageBreak/>
        <w:t xml:space="preserve">Schedule </w:t>
      </w:r>
      <w:r w:rsidR="00396EF7">
        <w:rPr>
          <w:b/>
          <w:bCs/>
          <w:sz w:val="28"/>
          <w:szCs w:val="28"/>
          <w:lang w:val="en-US"/>
        </w:rPr>
        <w:t>3</w:t>
      </w:r>
      <w:r w:rsidRPr="005E37F2">
        <w:rPr>
          <w:b/>
          <w:bCs/>
          <w:sz w:val="28"/>
          <w:szCs w:val="28"/>
          <w:lang w:val="en-US"/>
        </w:rPr>
        <w:t xml:space="preserve"> </w:t>
      </w:r>
      <w:r w:rsidR="00C34A9C">
        <w:rPr>
          <w:b/>
          <w:bCs/>
          <w:sz w:val="28"/>
          <w:szCs w:val="28"/>
          <w:lang w:val="en-US"/>
        </w:rPr>
        <w:t>South Australia</w:t>
      </w:r>
    </w:p>
    <w:p w14:paraId="44519858" w14:textId="77777777" w:rsidR="00A852B8" w:rsidRDefault="00A852B8" w:rsidP="000E696B">
      <w:pPr>
        <w:pStyle w:val="ListParagraph"/>
        <w:numPr>
          <w:ilvl w:val="0"/>
          <w:numId w:val="5"/>
        </w:numPr>
        <w:jc w:val="both"/>
        <w:rPr>
          <w:b/>
          <w:bCs/>
          <w:lang w:val="en-US"/>
        </w:rPr>
      </w:pPr>
      <w:r w:rsidRPr="005E37F2">
        <w:rPr>
          <w:b/>
          <w:bCs/>
          <w:lang w:val="en-US"/>
        </w:rPr>
        <w:t>Application</w:t>
      </w:r>
    </w:p>
    <w:p w14:paraId="094E2F4E" w14:textId="77777777" w:rsidR="00A852B8" w:rsidRPr="005E37F2" w:rsidRDefault="00A852B8" w:rsidP="006667A2">
      <w:pPr>
        <w:pStyle w:val="ListParagraph"/>
        <w:jc w:val="both"/>
        <w:rPr>
          <w:b/>
          <w:bCs/>
          <w:lang w:val="en-US"/>
        </w:rPr>
      </w:pPr>
    </w:p>
    <w:p w14:paraId="660A9C61" w14:textId="20A1D57B" w:rsidR="00A852B8" w:rsidRDefault="00A852B8" w:rsidP="006667A2">
      <w:pPr>
        <w:pStyle w:val="ListParagraph"/>
        <w:ind w:left="1080"/>
        <w:jc w:val="both"/>
        <w:rPr>
          <w:lang w:val="en-US"/>
        </w:rPr>
      </w:pPr>
      <w:r>
        <w:rPr>
          <w:lang w:val="en-US"/>
        </w:rPr>
        <w:t xml:space="preserve">This Schedule applies in </w:t>
      </w:r>
      <w:r w:rsidR="009508F6">
        <w:rPr>
          <w:lang w:val="en-US"/>
        </w:rPr>
        <w:t>South Australia</w:t>
      </w:r>
      <w:r>
        <w:rPr>
          <w:lang w:val="en-US"/>
        </w:rPr>
        <w:t>.</w:t>
      </w:r>
    </w:p>
    <w:p w14:paraId="4769CCC6" w14:textId="77777777" w:rsidR="009508F6" w:rsidRPr="009508F6" w:rsidRDefault="009508F6" w:rsidP="006667A2">
      <w:pPr>
        <w:pStyle w:val="ListParagraph"/>
        <w:ind w:left="1080"/>
        <w:jc w:val="both"/>
        <w:rPr>
          <w:lang w:val="en-US"/>
        </w:rPr>
      </w:pPr>
    </w:p>
    <w:p w14:paraId="401E178B" w14:textId="77777777" w:rsidR="00A852B8" w:rsidRDefault="00A852B8" w:rsidP="000E696B">
      <w:pPr>
        <w:pStyle w:val="ListParagraph"/>
        <w:numPr>
          <w:ilvl w:val="0"/>
          <w:numId w:val="5"/>
        </w:numPr>
        <w:jc w:val="both"/>
        <w:rPr>
          <w:b/>
          <w:bCs/>
          <w:lang w:val="en-US"/>
        </w:rPr>
      </w:pPr>
      <w:r>
        <w:rPr>
          <w:b/>
          <w:bCs/>
          <w:lang w:val="en-US"/>
        </w:rPr>
        <w:t>Condition – Stated routes and areas (Networks)</w:t>
      </w:r>
    </w:p>
    <w:p w14:paraId="5D7A1552" w14:textId="1479172E" w:rsidR="00A852B8" w:rsidRPr="00B51566" w:rsidRDefault="00A852B8" w:rsidP="006667A2">
      <w:pPr>
        <w:pStyle w:val="ListParagraph"/>
        <w:jc w:val="both"/>
        <w:rPr>
          <w:b/>
          <w:bCs/>
          <w:lang w:val="en-US"/>
        </w:rPr>
      </w:pPr>
    </w:p>
    <w:p w14:paraId="6D17BFAA" w14:textId="574EE2BD" w:rsidR="003504DA" w:rsidRPr="003B6DA9" w:rsidRDefault="003504DA" w:rsidP="000E696B">
      <w:pPr>
        <w:pStyle w:val="ListParagraph"/>
        <w:numPr>
          <w:ilvl w:val="0"/>
          <w:numId w:val="29"/>
        </w:numPr>
        <w:jc w:val="both"/>
        <w:rPr>
          <w:lang w:val="en-US"/>
        </w:rPr>
      </w:pPr>
      <w:r>
        <w:rPr>
          <w:lang w:val="en-US"/>
        </w:rPr>
        <w:t xml:space="preserve">Pursuant to the </w:t>
      </w:r>
      <w:proofErr w:type="spellStart"/>
      <w:r>
        <w:rPr>
          <w:lang w:val="en-US"/>
        </w:rPr>
        <w:t>authorisation</w:t>
      </w:r>
      <w:proofErr w:type="spellEnd"/>
      <w:r>
        <w:rPr>
          <w:lang w:val="en-US"/>
        </w:rPr>
        <w:t xml:space="preserve"> granted in section 8 and 9 of this Notice, an eligible vehicle meeting the requirements for the PBS network </w:t>
      </w:r>
      <w:r w:rsidR="00254234">
        <w:rPr>
          <w:lang w:val="en-US"/>
        </w:rPr>
        <w:t xml:space="preserve">levels and class </w:t>
      </w:r>
      <w:r>
        <w:rPr>
          <w:lang w:val="en-US"/>
        </w:rPr>
        <w:t>in Column 1 may operate on the networks named in column 2 of Table 1:</w:t>
      </w:r>
    </w:p>
    <w:p w14:paraId="4320DC23" w14:textId="77777777" w:rsidR="003504DA" w:rsidRDefault="003504DA" w:rsidP="003504DA">
      <w:pPr>
        <w:pStyle w:val="ListParagraph"/>
        <w:spacing w:after="200" w:line="276" w:lineRule="auto"/>
        <w:ind w:left="1080"/>
        <w:jc w:val="both"/>
        <w:rPr>
          <w:b/>
          <w:bCs/>
          <w:lang w:val="en-US"/>
        </w:rPr>
      </w:pPr>
    </w:p>
    <w:p w14:paraId="5EA9FC76" w14:textId="0C35EF8C" w:rsidR="003504DA" w:rsidRPr="003B6DA9" w:rsidRDefault="003504DA" w:rsidP="003504DA">
      <w:pPr>
        <w:pStyle w:val="ListParagraph"/>
        <w:spacing w:after="200" w:line="276" w:lineRule="auto"/>
        <w:ind w:left="1080"/>
        <w:jc w:val="both"/>
        <w:rPr>
          <w:b/>
          <w:bCs/>
          <w:lang w:val="en-US"/>
        </w:rPr>
      </w:pPr>
      <w:r w:rsidRPr="003B6DA9">
        <w:rPr>
          <w:b/>
          <w:bCs/>
          <w:lang w:val="en-US"/>
        </w:rPr>
        <w:t xml:space="preserve">Table 1: </w:t>
      </w:r>
      <w:r w:rsidR="00D131AF">
        <w:rPr>
          <w:b/>
          <w:bCs/>
          <w:lang w:val="en-US"/>
        </w:rPr>
        <w:t>South Australia</w:t>
      </w:r>
      <w:r>
        <w:rPr>
          <w:b/>
          <w:bCs/>
          <w:lang w:val="en-US"/>
        </w:rPr>
        <w:t xml:space="preserve"> networks </w:t>
      </w:r>
    </w:p>
    <w:tbl>
      <w:tblPr>
        <w:tblStyle w:val="TableGrid"/>
        <w:tblW w:w="7938" w:type="dxa"/>
        <w:tblInd w:w="1129" w:type="dxa"/>
        <w:tblLook w:val="04A0" w:firstRow="1" w:lastRow="0" w:firstColumn="1" w:lastColumn="0" w:noHBand="0" w:noVBand="1"/>
      </w:tblPr>
      <w:tblGrid>
        <w:gridCol w:w="1276"/>
        <w:gridCol w:w="1276"/>
        <w:gridCol w:w="5386"/>
      </w:tblGrid>
      <w:tr w:rsidR="003504DA" w:rsidRPr="00767CE7" w14:paraId="777A3A91" w14:textId="77777777" w:rsidTr="006D389A">
        <w:trPr>
          <w:trHeight w:val="547"/>
        </w:trPr>
        <w:tc>
          <w:tcPr>
            <w:tcW w:w="2552" w:type="dxa"/>
            <w:gridSpan w:val="2"/>
            <w:tcBorders>
              <w:bottom w:val="single" w:sz="4" w:space="0" w:color="auto"/>
            </w:tcBorders>
            <w:vAlign w:val="center"/>
          </w:tcPr>
          <w:p w14:paraId="3A471B3A" w14:textId="77777777" w:rsidR="003504DA" w:rsidRPr="00767CE7" w:rsidRDefault="003504DA" w:rsidP="006D389A">
            <w:pPr>
              <w:jc w:val="center"/>
              <w:rPr>
                <w:rFonts w:eastAsia="Cambria"/>
                <w:b/>
                <w:bCs/>
                <w:color w:val="000000" w:themeColor="text1"/>
              </w:rPr>
            </w:pPr>
            <w:r w:rsidRPr="00767CE7">
              <w:rPr>
                <w:rFonts w:eastAsia="Cambria"/>
                <w:b/>
                <w:bCs/>
                <w:color w:val="000000" w:themeColor="text1"/>
              </w:rPr>
              <w:t>Column 1</w:t>
            </w:r>
          </w:p>
          <w:p w14:paraId="54EC4A2C" w14:textId="3EAE6E64" w:rsidR="003504DA" w:rsidRPr="00767CE7" w:rsidRDefault="003504DA" w:rsidP="00254234">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5386" w:type="dxa"/>
            <w:vMerge w:val="restart"/>
            <w:tcBorders>
              <w:bottom w:val="single" w:sz="4" w:space="0" w:color="auto"/>
            </w:tcBorders>
            <w:vAlign w:val="center"/>
          </w:tcPr>
          <w:p w14:paraId="07E66C7B" w14:textId="77777777" w:rsidR="003504DA" w:rsidRPr="00767CE7" w:rsidRDefault="003504DA" w:rsidP="006D389A">
            <w:pPr>
              <w:jc w:val="center"/>
              <w:rPr>
                <w:b/>
                <w:bCs/>
                <w:lang w:val="en-US"/>
              </w:rPr>
            </w:pPr>
            <w:r w:rsidRPr="00767CE7">
              <w:rPr>
                <w:b/>
                <w:bCs/>
                <w:lang w:val="en-US"/>
              </w:rPr>
              <w:t xml:space="preserve">Column </w:t>
            </w:r>
            <w:r>
              <w:rPr>
                <w:b/>
                <w:bCs/>
                <w:lang w:val="en-US"/>
              </w:rPr>
              <w:t>2</w:t>
            </w:r>
          </w:p>
          <w:p w14:paraId="2DDC4CC7" w14:textId="10ABBE6D" w:rsidR="003504DA" w:rsidRPr="00767CE7" w:rsidRDefault="00871F5D" w:rsidP="006D389A">
            <w:pPr>
              <w:jc w:val="center"/>
              <w:rPr>
                <w:b/>
                <w:bCs/>
                <w:lang w:val="en-US"/>
              </w:rPr>
            </w:pPr>
            <w:r>
              <w:rPr>
                <w:b/>
                <w:bCs/>
                <w:lang w:val="en-US"/>
              </w:rPr>
              <w:t>N</w:t>
            </w:r>
            <w:r w:rsidR="003504DA">
              <w:rPr>
                <w:b/>
                <w:bCs/>
                <w:lang w:val="en-US"/>
              </w:rPr>
              <w:t>etwork</w:t>
            </w:r>
          </w:p>
        </w:tc>
      </w:tr>
      <w:tr w:rsidR="003504DA" w14:paraId="42A4B6B1" w14:textId="77777777" w:rsidTr="006D389A">
        <w:trPr>
          <w:trHeight w:val="254"/>
        </w:trPr>
        <w:tc>
          <w:tcPr>
            <w:tcW w:w="1276" w:type="dxa"/>
            <w:vAlign w:val="center"/>
          </w:tcPr>
          <w:p w14:paraId="2725C96F" w14:textId="77777777" w:rsidR="003504DA" w:rsidRDefault="003504DA" w:rsidP="006D389A">
            <w:pPr>
              <w:jc w:val="center"/>
              <w:rPr>
                <w:rFonts w:eastAsia="Cambria"/>
                <w:b/>
                <w:bCs/>
                <w:color w:val="000000" w:themeColor="text1"/>
              </w:rPr>
            </w:pPr>
            <w:r>
              <w:rPr>
                <w:rFonts w:eastAsia="Cambria"/>
                <w:b/>
                <w:bCs/>
                <w:color w:val="000000" w:themeColor="text1"/>
              </w:rPr>
              <w:t>Level</w:t>
            </w:r>
          </w:p>
        </w:tc>
        <w:tc>
          <w:tcPr>
            <w:tcW w:w="1276" w:type="dxa"/>
            <w:vAlign w:val="center"/>
          </w:tcPr>
          <w:p w14:paraId="6FAD6B6E" w14:textId="77777777" w:rsidR="003504DA" w:rsidRDefault="003504DA" w:rsidP="006D389A">
            <w:pPr>
              <w:jc w:val="center"/>
              <w:rPr>
                <w:rFonts w:eastAsia="Cambria"/>
                <w:b/>
                <w:bCs/>
                <w:color w:val="000000" w:themeColor="text1"/>
              </w:rPr>
            </w:pPr>
            <w:r>
              <w:rPr>
                <w:rFonts w:eastAsia="Cambria"/>
                <w:b/>
                <w:bCs/>
                <w:color w:val="000000" w:themeColor="text1"/>
              </w:rPr>
              <w:t>Class</w:t>
            </w:r>
          </w:p>
          <w:p w14:paraId="6AFF5F6F" w14:textId="77777777" w:rsidR="003504DA" w:rsidRDefault="003504DA" w:rsidP="006D389A">
            <w:pPr>
              <w:jc w:val="center"/>
              <w:rPr>
                <w:rFonts w:eastAsia="Cambria"/>
                <w:b/>
                <w:bCs/>
                <w:color w:val="000000" w:themeColor="text1"/>
              </w:rPr>
            </w:pPr>
            <w:r>
              <w:rPr>
                <w:rFonts w:eastAsia="Cambria"/>
                <w:b/>
                <w:bCs/>
                <w:color w:val="000000" w:themeColor="text1"/>
              </w:rPr>
              <w:t>(Length)</w:t>
            </w:r>
          </w:p>
        </w:tc>
        <w:tc>
          <w:tcPr>
            <w:tcW w:w="5386" w:type="dxa"/>
            <w:vMerge/>
            <w:vAlign w:val="center"/>
          </w:tcPr>
          <w:p w14:paraId="61FD048E" w14:textId="77777777" w:rsidR="003504DA" w:rsidRDefault="003504DA" w:rsidP="006D389A">
            <w:pPr>
              <w:jc w:val="center"/>
              <w:rPr>
                <w:b/>
                <w:bCs/>
                <w:lang w:val="en-US"/>
              </w:rPr>
            </w:pPr>
          </w:p>
        </w:tc>
      </w:tr>
      <w:tr w:rsidR="003504DA" w:rsidRPr="003504DA" w14:paraId="3BE86160" w14:textId="77777777" w:rsidTr="006D389A">
        <w:tc>
          <w:tcPr>
            <w:tcW w:w="1276" w:type="dxa"/>
          </w:tcPr>
          <w:p w14:paraId="44018ED9" w14:textId="77777777" w:rsidR="003504DA" w:rsidRPr="00767CE7" w:rsidRDefault="003504DA" w:rsidP="006D389A">
            <w:pPr>
              <w:jc w:val="center"/>
              <w:rPr>
                <w:color w:val="000000" w:themeColor="text1"/>
                <w:lang w:val="en-US"/>
              </w:rPr>
            </w:pPr>
            <w:r>
              <w:rPr>
                <w:color w:val="000000" w:themeColor="text1"/>
                <w:lang w:val="en-US"/>
              </w:rPr>
              <w:t>1</w:t>
            </w:r>
          </w:p>
        </w:tc>
        <w:tc>
          <w:tcPr>
            <w:tcW w:w="1276" w:type="dxa"/>
          </w:tcPr>
          <w:p w14:paraId="0AD1FFEA" w14:textId="77777777" w:rsidR="003504DA" w:rsidRPr="00767CE7" w:rsidRDefault="003504DA" w:rsidP="006D389A">
            <w:pPr>
              <w:jc w:val="center"/>
              <w:rPr>
                <w:color w:val="000000" w:themeColor="text1"/>
                <w:lang w:val="en-US"/>
              </w:rPr>
            </w:pPr>
            <w:r>
              <w:rPr>
                <w:color w:val="000000" w:themeColor="text1"/>
                <w:lang w:val="en-US"/>
              </w:rPr>
              <w:t>-</w:t>
            </w:r>
          </w:p>
        </w:tc>
        <w:tc>
          <w:tcPr>
            <w:tcW w:w="5386" w:type="dxa"/>
          </w:tcPr>
          <w:p w14:paraId="5BE6AF85" w14:textId="2E2BB9AB" w:rsidR="003504DA" w:rsidRPr="003504DA" w:rsidRDefault="003504DA" w:rsidP="003504DA">
            <w:pPr>
              <w:jc w:val="center"/>
              <w:rPr>
                <w:color w:val="000000" w:themeColor="text1"/>
                <w:lang w:val="en-US"/>
              </w:rPr>
            </w:pPr>
            <w:r w:rsidRPr="003504DA">
              <w:rPr>
                <w:color w:val="000000" w:themeColor="text1"/>
                <w:lang w:val="en-US"/>
              </w:rPr>
              <w:t>Performance Based Standards Level 1</w:t>
            </w:r>
          </w:p>
        </w:tc>
      </w:tr>
      <w:tr w:rsidR="003504DA" w:rsidRPr="00897EDD" w14:paraId="0CC44A25" w14:textId="77777777" w:rsidTr="006D389A">
        <w:tc>
          <w:tcPr>
            <w:tcW w:w="1276" w:type="dxa"/>
          </w:tcPr>
          <w:p w14:paraId="5CEC7478" w14:textId="77777777" w:rsidR="003504DA" w:rsidRPr="00767CE7" w:rsidRDefault="003504DA" w:rsidP="006D389A">
            <w:pPr>
              <w:jc w:val="center"/>
              <w:rPr>
                <w:color w:val="000000" w:themeColor="text1"/>
                <w:lang w:val="en-US"/>
              </w:rPr>
            </w:pPr>
            <w:r>
              <w:rPr>
                <w:color w:val="000000" w:themeColor="text1"/>
                <w:lang w:val="en-US"/>
              </w:rPr>
              <w:t>2</w:t>
            </w:r>
          </w:p>
        </w:tc>
        <w:tc>
          <w:tcPr>
            <w:tcW w:w="1276" w:type="dxa"/>
          </w:tcPr>
          <w:p w14:paraId="763CFC34" w14:textId="77777777" w:rsidR="003504DA" w:rsidRPr="00767CE7" w:rsidRDefault="003504DA" w:rsidP="006D389A">
            <w:pPr>
              <w:jc w:val="center"/>
              <w:rPr>
                <w:color w:val="000000" w:themeColor="text1"/>
                <w:lang w:val="en-US"/>
              </w:rPr>
            </w:pPr>
            <w:r>
              <w:rPr>
                <w:color w:val="000000" w:themeColor="text1"/>
                <w:lang w:val="en-US"/>
              </w:rPr>
              <w:t>A</w:t>
            </w:r>
          </w:p>
        </w:tc>
        <w:tc>
          <w:tcPr>
            <w:tcW w:w="5386" w:type="dxa"/>
          </w:tcPr>
          <w:p w14:paraId="64D9A60E" w14:textId="37BA4744" w:rsidR="003504DA" w:rsidRPr="00897EDD" w:rsidRDefault="003504DA" w:rsidP="006D389A">
            <w:pPr>
              <w:jc w:val="center"/>
              <w:rPr>
                <w:lang w:val="en-US"/>
              </w:rPr>
            </w:pPr>
            <w:r w:rsidRPr="003504DA">
              <w:rPr>
                <w:rFonts w:eastAsia="Cambria"/>
              </w:rPr>
              <w:t>Performance Based Standards Level 2A</w:t>
            </w:r>
          </w:p>
        </w:tc>
      </w:tr>
      <w:tr w:rsidR="00252679" w:rsidRPr="00376F1E" w14:paraId="65F241E8" w14:textId="77777777" w:rsidTr="006D389A">
        <w:tc>
          <w:tcPr>
            <w:tcW w:w="1276" w:type="dxa"/>
          </w:tcPr>
          <w:p w14:paraId="615D25DC" w14:textId="77777777" w:rsidR="00252679" w:rsidRPr="00767CE7" w:rsidRDefault="00252679" w:rsidP="00252679">
            <w:pPr>
              <w:jc w:val="center"/>
              <w:rPr>
                <w:rFonts w:eastAsia="Cambria"/>
                <w:color w:val="000000" w:themeColor="text1"/>
              </w:rPr>
            </w:pPr>
            <w:r>
              <w:rPr>
                <w:rFonts w:eastAsia="Cambria"/>
                <w:color w:val="000000" w:themeColor="text1"/>
              </w:rPr>
              <w:t>2</w:t>
            </w:r>
          </w:p>
        </w:tc>
        <w:tc>
          <w:tcPr>
            <w:tcW w:w="1276" w:type="dxa"/>
          </w:tcPr>
          <w:p w14:paraId="4D826082" w14:textId="77777777" w:rsidR="00252679" w:rsidRPr="00767CE7" w:rsidRDefault="00252679" w:rsidP="00252679">
            <w:pPr>
              <w:jc w:val="center"/>
              <w:rPr>
                <w:rFonts w:eastAsia="Cambria"/>
                <w:color w:val="000000" w:themeColor="text1"/>
              </w:rPr>
            </w:pPr>
            <w:r>
              <w:rPr>
                <w:rFonts w:eastAsia="Cambria"/>
                <w:color w:val="000000" w:themeColor="text1"/>
              </w:rPr>
              <w:t>B</w:t>
            </w:r>
          </w:p>
        </w:tc>
        <w:tc>
          <w:tcPr>
            <w:tcW w:w="5386" w:type="dxa"/>
          </w:tcPr>
          <w:p w14:paraId="7E142592" w14:textId="7B4829E8" w:rsidR="00252679" w:rsidRPr="00376F1E" w:rsidRDefault="00252679" w:rsidP="00252679">
            <w:pPr>
              <w:jc w:val="center"/>
              <w:rPr>
                <w:rFonts w:eastAsia="Cambria"/>
              </w:rPr>
            </w:pPr>
            <w:r w:rsidRPr="00517B6D">
              <w:t>Performance Based Standards Level 2B</w:t>
            </w:r>
          </w:p>
        </w:tc>
      </w:tr>
      <w:tr w:rsidR="00252679" w:rsidRPr="00897EDD" w14:paraId="36CA5E1D" w14:textId="77777777" w:rsidTr="006D389A">
        <w:tc>
          <w:tcPr>
            <w:tcW w:w="1276" w:type="dxa"/>
          </w:tcPr>
          <w:p w14:paraId="19D74277" w14:textId="77777777" w:rsidR="00252679" w:rsidRPr="00767CE7" w:rsidRDefault="00252679" w:rsidP="00252679">
            <w:pPr>
              <w:jc w:val="center"/>
              <w:rPr>
                <w:color w:val="000000" w:themeColor="text1"/>
                <w:lang w:val="en-US"/>
              </w:rPr>
            </w:pPr>
            <w:r>
              <w:rPr>
                <w:color w:val="000000" w:themeColor="text1"/>
                <w:lang w:val="en-US"/>
              </w:rPr>
              <w:t>3</w:t>
            </w:r>
          </w:p>
        </w:tc>
        <w:tc>
          <w:tcPr>
            <w:tcW w:w="1276" w:type="dxa"/>
          </w:tcPr>
          <w:p w14:paraId="721D9942" w14:textId="77777777" w:rsidR="00252679" w:rsidRPr="00767CE7" w:rsidRDefault="00252679" w:rsidP="00252679">
            <w:pPr>
              <w:jc w:val="center"/>
              <w:rPr>
                <w:color w:val="000000" w:themeColor="text1"/>
                <w:lang w:val="en-US"/>
              </w:rPr>
            </w:pPr>
            <w:r>
              <w:rPr>
                <w:color w:val="000000" w:themeColor="text1"/>
                <w:lang w:val="en-US"/>
              </w:rPr>
              <w:t>A</w:t>
            </w:r>
          </w:p>
        </w:tc>
        <w:tc>
          <w:tcPr>
            <w:tcW w:w="5386" w:type="dxa"/>
          </w:tcPr>
          <w:p w14:paraId="6F554F26" w14:textId="3D4D96E6" w:rsidR="00252679" w:rsidRPr="00897EDD" w:rsidRDefault="00252679" w:rsidP="00252679">
            <w:pPr>
              <w:jc w:val="center"/>
              <w:rPr>
                <w:lang w:val="en-US"/>
              </w:rPr>
            </w:pPr>
            <w:r w:rsidRPr="00517B6D">
              <w:t>Performance Based Standards Level 3A</w:t>
            </w:r>
          </w:p>
        </w:tc>
      </w:tr>
      <w:tr w:rsidR="00252679" w:rsidRPr="00376F1E" w14:paraId="3CF37D96" w14:textId="77777777" w:rsidTr="006D389A">
        <w:tc>
          <w:tcPr>
            <w:tcW w:w="1276" w:type="dxa"/>
          </w:tcPr>
          <w:p w14:paraId="0C895B60" w14:textId="77777777" w:rsidR="00252679" w:rsidRPr="00767CE7" w:rsidRDefault="00252679" w:rsidP="00252679">
            <w:pPr>
              <w:jc w:val="center"/>
              <w:rPr>
                <w:rFonts w:eastAsia="Cambria"/>
                <w:color w:val="000000" w:themeColor="text1"/>
              </w:rPr>
            </w:pPr>
            <w:r>
              <w:rPr>
                <w:rFonts w:eastAsia="Cambria"/>
                <w:color w:val="000000" w:themeColor="text1"/>
              </w:rPr>
              <w:t>3</w:t>
            </w:r>
          </w:p>
        </w:tc>
        <w:tc>
          <w:tcPr>
            <w:tcW w:w="1276" w:type="dxa"/>
          </w:tcPr>
          <w:p w14:paraId="0C832761" w14:textId="77777777" w:rsidR="00252679" w:rsidRPr="00767CE7" w:rsidRDefault="00252679" w:rsidP="00252679">
            <w:pPr>
              <w:jc w:val="center"/>
              <w:rPr>
                <w:rFonts w:eastAsia="Cambria"/>
                <w:color w:val="000000" w:themeColor="text1"/>
              </w:rPr>
            </w:pPr>
            <w:r>
              <w:rPr>
                <w:rFonts w:eastAsia="Cambria"/>
                <w:color w:val="000000" w:themeColor="text1"/>
              </w:rPr>
              <w:t>B</w:t>
            </w:r>
          </w:p>
        </w:tc>
        <w:tc>
          <w:tcPr>
            <w:tcW w:w="5386" w:type="dxa"/>
          </w:tcPr>
          <w:p w14:paraId="1E8A5BE1" w14:textId="64A2C3A1" w:rsidR="00252679" w:rsidRPr="00376F1E" w:rsidRDefault="00252679" w:rsidP="00252679">
            <w:pPr>
              <w:jc w:val="center"/>
              <w:rPr>
                <w:rFonts w:eastAsia="Cambria"/>
              </w:rPr>
            </w:pPr>
            <w:r w:rsidRPr="00517B6D">
              <w:t>Performance Based Standards Level 3B</w:t>
            </w:r>
          </w:p>
        </w:tc>
      </w:tr>
      <w:tr w:rsidR="00252679" w:rsidRPr="00897EDD" w14:paraId="0DED1235" w14:textId="77777777" w:rsidTr="006D389A">
        <w:tc>
          <w:tcPr>
            <w:tcW w:w="1276" w:type="dxa"/>
          </w:tcPr>
          <w:p w14:paraId="6425BBD5" w14:textId="77777777" w:rsidR="00252679" w:rsidRPr="00767CE7" w:rsidRDefault="00252679" w:rsidP="00252679">
            <w:pPr>
              <w:jc w:val="center"/>
              <w:rPr>
                <w:color w:val="000000" w:themeColor="text1"/>
                <w:lang w:val="en-US"/>
              </w:rPr>
            </w:pPr>
            <w:r>
              <w:rPr>
                <w:color w:val="000000" w:themeColor="text1"/>
                <w:lang w:val="en-US"/>
              </w:rPr>
              <w:t>4</w:t>
            </w:r>
          </w:p>
        </w:tc>
        <w:tc>
          <w:tcPr>
            <w:tcW w:w="1276" w:type="dxa"/>
          </w:tcPr>
          <w:p w14:paraId="16A3BA24" w14:textId="77777777" w:rsidR="00252679" w:rsidRPr="00767CE7" w:rsidRDefault="00252679" w:rsidP="00252679">
            <w:pPr>
              <w:jc w:val="center"/>
              <w:rPr>
                <w:color w:val="000000" w:themeColor="text1"/>
                <w:lang w:val="en-US"/>
              </w:rPr>
            </w:pPr>
            <w:r>
              <w:rPr>
                <w:color w:val="000000" w:themeColor="text1"/>
                <w:lang w:val="en-US"/>
              </w:rPr>
              <w:t>A</w:t>
            </w:r>
          </w:p>
        </w:tc>
        <w:tc>
          <w:tcPr>
            <w:tcW w:w="5386" w:type="dxa"/>
          </w:tcPr>
          <w:p w14:paraId="2228AFCD" w14:textId="5337DBAB" w:rsidR="00252679" w:rsidRPr="00897EDD" w:rsidRDefault="00252679" w:rsidP="00252679">
            <w:pPr>
              <w:jc w:val="center"/>
              <w:rPr>
                <w:lang w:val="en-US"/>
              </w:rPr>
            </w:pPr>
            <w:r w:rsidRPr="00517B6D">
              <w:t>Performance Based Standards Level 4A</w:t>
            </w:r>
          </w:p>
        </w:tc>
      </w:tr>
    </w:tbl>
    <w:p w14:paraId="62BAFC86" w14:textId="77777777" w:rsidR="00003059" w:rsidRDefault="00003059" w:rsidP="00003059">
      <w:pPr>
        <w:pStyle w:val="ListParagraph"/>
        <w:ind w:left="1080"/>
        <w:jc w:val="both"/>
        <w:rPr>
          <w:lang w:val="en-US"/>
        </w:rPr>
      </w:pPr>
    </w:p>
    <w:p w14:paraId="39AC83FB" w14:textId="24A7E133" w:rsidR="00BA291D" w:rsidRDefault="00BA291D" w:rsidP="000E696B">
      <w:pPr>
        <w:pStyle w:val="ListParagraph"/>
        <w:numPr>
          <w:ilvl w:val="0"/>
          <w:numId w:val="29"/>
        </w:numPr>
        <w:jc w:val="both"/>
        <w:rPr>
          <w:lang w:val="en-US"/>
        </w:rPr>
      </w:pPr>
      <w:r>
        <w:rPr>
          <w:lang w:val="en-US"/>
        </w:rPr>
        <w:t xml:space="preserve">An eligible vehicle </w:t>
      </w:r>
      <w:r w:rsidR="00BC3FB8">
        <w:rPr>
          <w:lang w:val="en-US"/>
        </w:rPr>
        <w:t xml:space="preserve">that is an A-double may only access the </w:t>
      </w:r>
      <w:r w:rsidR="00BC3FB8" w:rsidRPr="00BC3FB8">
        <w:rPr>
          <w:lang w:val="en-US"/>
        </w:rPr>
        <w:t>Performance Based Standards Level 3</w:t>
      </w:r>
      <w:r w:rsidR="00BF55F0">
        <w:rPr>
          <w:lang w:val="en-US"/>
        </w:rPr>
        <w:t>A network.</w:t>
      </w:r>
    </w:p>
    <w:p w14:paraId="57771C7F" w14:textId="77777777" w:rsidR="00042B4F" w:rsidRDefault="00042B4F" w:rsidP="00252679">
      <w:pPr>
        <w:pStyle w:val="ListParagraph"/>
        <w:ind w:left="1080"/>
        <w:jc w:val="both"/>
        <w:rPr>
          <w:lang w:val="en-US"/>
        </w:rPr>
      </w:pPr>
    </w:p>
    <w:p w14:paraId="23FDD826" w14:textId="77777777" w:rsidR="003F3E78" w:rsidRPr="0028178F" w:rsidRDefault="003F3E78" w:rsidP="002642A9">
      <w:pPr>
        <w:pStyle w:val="ListParagraph"/>
        <w:numPr>
          <w:ilvl w:val="0"/>
          <w:numId w:val="29"/>
        </w:numPr>
        <w:jc w:val="both"/>
        <w:rPr>
          <w:lang w:val="en-US"/>
        </w:rPr>
      </w:pPr>
      <w:r>
        <w:rPr>
          <w:lang w:val="en-US"/>
        </w:rPr>
        <w:t>A</w:t>
      </w:r>
      <w:r w:rsidRPr="0028178F">
        <w:rPr>
          <w:lang w:val="en-US"/>
        </w:rPr>
        <w:t xml:space="preserve">n eligible vehicle that is an A-Double may </w:t>
      </w:r>
      <w:r>
        <w:rPr>
          <w:lang w:val="en-US"/>
        </w:rPr>
        <w:t>only</w:t>
      </w:r>
      <w:r w:rsidRPr="0028178F">
        <w:rPr>
          <w:lang w:val="en-US"/>
        </w:rPr>
        <w:t xml:space="preserve"> operate </w:t>
      </w:r>
      <w:r>
        <w:rPr>
          <w:lang w:val="en-US"/>
        </w:rPr>
        <w:t>on the</w:t>
      </w:r>
      <w:r w:rsidRPr="0028178F">
        <w:rPr>
          <w:lang w:val="en-US"/>
        </w:rPr>
        <w:t xml:space="preserve"> </w:t>
      </w:r>
      <w:r>
        <w:rPr>
          <w:lang w:val="en-US"/>
        </w:rPr>
        <w:t>following networks:</w:t>
      </w:r>
    </w:p>
    <w:p w14:paraId="167BF96C" w14:textId="77777777" w:rsidR="00042B4F" w:rsidRPr="00164BEB" w:rsidRDefault="00042B4F" w:rsidP="00573524">
      <w:pPr>
        <w:pStyle w:val="ListParagraph"/>
        <w:jc w:val="center"/>
        <w:rPr>
          <w:lang w:val="en-US"/>
        </w:rPr>
      </w:pPr>
    </w:p>
    <w:p w14:paraId="4C0B997C" w14:textId="77777777" w:rsidR="00042B4F" w:rsidRDefault="00042B4F" w:rsidP="00573524">
      <w:pPr>
        <w:pStyle w:val="ListParagraph"/>
        <w:ind w:left="1800"/>
        <w:jc w:val="center"/>
        <w:rPr>
          <w:i/>
          <w:iCs/>
          <w:lang w:val="en-US"/>
        </w:rPr>
      </w:pPr>
      <w:r w:rsidRPr="00E519F3">
        <w:rPr>
          <w:i/>
          <w:iCs/>
          <w:lang w:val="en-US"/>
        </w:rPr>
        <w:t xml:space="preserve">Performance Based Standards Level </w:t>
      </w:r>
      <w:r>
        <w:rPr>
          <w:i/>
          <w:iCs/>
          <w:lang w:val="en-US"/>
        </w:rPr>
        <w:t>3A</w:t>
      </w:r>
    </w:p>
    <w:p w14:paraId="740BFFD6" w14:textId="77777777" w:rsidR="00042B4F" w:rsidRDefault="00042B4F" w:rsidP="00573524">
      <w:pPr>
        <w:pStyle w:val="ListParagraph"/>
        <w:ind w:left="1800"/>
        <w:jc w:val="center"/>
        <w:rPr>
          <w:i/>
          <w:iCs/>
          <w:lang w:val="en-US"/>
        </w:rPr>
      </w:pPr>
      <w:r w:rsidRPr="00E519F3">
        <w:rPr>
          <w:i/>
          <w:iCs/>
          <w:lang w:val="en-US"/>
        </w:rPr>
        <w:t xml:space="preserve">Performance Based Standards Level </w:t>
      </w:r>
      <w:r>
        <w:rPr>
          <w:i/>
          <w:iCs/>
          <w:lang w:val="en-US"/>
        </w:rPr>
        <w:t>3B</w:t>
      </w:r>
    </w:p>
    <w:p w14:paraId="0B62B420" w14:textId="77777777" w:rsidR="00042B4F" w:rsidRPr="00003059" w:rsidRDefault="00042B4F" w:rsidP="00573524">
      <w:pPr>
        <w:pStyle w:val="ListParagraph"/>
        <w:ind w:left="1800"/>
        <w:jc w:val="center"/>
        <w:rPr>
          <w:i/>
          <w:iCs/>
          <w:lang w:val="en-US"/>
        </w:rPr>
      </w:pPr>
      <w:r w:rsidRPr="00E519F3">
        <w:rPr>
          <w:i/>
          <w:iCs/>
          <w:lang w:val="en-US"/>
        </w:rPr>
        <w:t xml:space="preserve">Performance Based Standards Level </w:t>
      </w:r>
      <w:r>
        <w:rPr>
          <w:i/>
          <w:iCs/>
          <w:lang w:val="en-US"/>
        </w:rPr>
        <w:t>4A</w:t>
      </w:r>
    </w:p>
    <w:p w14:paraId="53C55E4D" w14:textId="77777777" w:rsidR="00BA291D" w:rsidRDefault="00BA291D" w:rsidP="00BA291D">
      <w:pPr>
        <w:pStyle w:val="ListParagraph"/>
        <w:ind w:left="1080"/>
        <w:jc w:val="both"/>
        <w:rPr>
          <w:lang w:val="en-US"/>
        </w:rPr>
      </w:pPr>
    </w:p>
    <w:p w14:paraId="60E5D94B" w14:textId="34446835" w:rsidR="00C40F7F" w:rsidRPr="00C40F7F" w:rsidRDefault="00A852B8" w:rsidP="000E696B">
      <w:pPr>
        <w:pStyle w:val="ListParagraph"/>
        <w:numPr>
          <w:ilvl w:val="0"/>
          <w:numId w:val="29"/>
        </w:numPr>
        <w:jc w:val="both"/>
        <w:rPr>
          <w:lang w:val="en-US"/>
        </w:rPr>
      </w:pPr>
      <w:r>
        <w:rPr>
          <w:lang w:val="en-US"/>
        </w:rPr>
        <w:t>An eligible vehicle operating on a network under this section must comply with all road, vehicle an</w:t>
      </w:r>
      <w:r w:rsidR="00325799">
        <w:rPr>
          <w:lang w:val="en-US"/>
        </w:rPr>
        <w:t>d</w:t>
      </w:r>
      <w:r>
        <w:rPr>
          <w:lang w:val="en-US"/>
        </w:rPr>
        <w:t xml:space="preserve"> travel conditions that apply to that network at the time of travel.</w:t>
      </w:r>
    </w:p>
    <w:p w14:paraId="705678E6" w14:textId="0FC22B81" w:rsidR="00C40F7F" w:rsidRDefault="00C40F7F" w:rsidP="00C40F7F">
      <w:pPr>
        <w:ind w:left="2160" w:hanging="1080"/>
        <w:jc w:val="both"/>
        <w:rPr>
          <w:i/>
          <w:iCs/>
          <w:lang w:val="en-US"/>
        </w:rPr>
      </w:pPr>
      <w:r w:rsidRPr="00956127">
        <w:rPr>
          <w:i/>
          <w:iCs/>
          <w:lang w:val="en-US"/>
        </w:rPr>
        <w:t>Note:</w:t>
      </w:r>
      <w:r w:rsidRPr="00956127">
        <w:rPr>
          <w:i/>
          <w:iCs/>
          <w:lang w:val="en-US"/>
        </w:rPr>
        <w:tab/>
        <w:t xml:space="preserve">The networks in this section are maintained by the </w:t>
      </w:r>
      <w:r w:rsidR="007C5B7D">
        <w:rPr>
          <w:i/>
          <w:iCs/>
          <w:lang w:val="en-US"/>
        </w:rPr>
        <w:t>South Australian Department for Infrastructure and Transport</w:t>
      </w:r>
      <w:r w:rsidRPr="00956127">
        <w:rPr>
          <w:i/>
          <w:iCs/>
          <w:lang w:val="en-US"/>
        </w:rPr>
        <w:t xml:space="preserve"> and are published on its website.</w:t>
      </w:r>
    </w:p>
    <w:p w14:paraId="270BB5CD" w14:textId="4BC57CCC" w:rsidR="00C96A23" w:rsidRDefault="00C96A23" w:rsidP="00C96A23">
      <w:pPr>
        <w:pStyle w:val="ListParagraph"/>
        <w:numPr>
          <w:ilvl w:val="0"/>
          <w:numId w:val="29"/>
        </w:numPr>
        <w:jc w:val="both"/>
      </w:pPr>
      <w:r>
        <w:t>The networks named in Column 2 of Table 1 are routes and areas under this authorisation Notice for the purposes of section 9.</w:t>
      </w:r>
    </w:p>
    <w:p w14:paraId="72517B78" w14:textId="77777777" w:rsidR="00C96A23" w:rsidRPr="00C96A23" w:rsidRDefault="00C96A23" w:rsidP="00C96A23">
      <w:pPr>
        <w:pStyle w:val="ListParagraph"/>
        <w:ind w:left="1080"/>
        <w:jc w:val="both"/>
      </w:pPr>
    </w:p>
    <w:p w14:paraId="32A3E44D" w14:textId="483D7BF3" w:rsidR="00254DE8" w:rsidRDefault="00D62A98" w:rsidP="000E696B">
      <w:pPr>
        <w:pStyle w:val="ListParagraph"/>
        <w:numPr>
          <w:ilvl w:val="0"/>
          <w:numId w:val="5"/>
        </w:numPr>
        <w:jc w:val="both"/>
        <w:rPr>
          <w:b/>
          <w:bCs/>
          <w:lang w:val="en-US"/>
        </w:rPr>
      </w:pPr>
      <w:r w:rsidRPr="003C66EA">
        <w:rPr>
          <w:b/>
          <w:bCs/>
          <w:lang w:val="en-US"/>
        </w:rPr>
        <w:t>Condition – Limitation o</w:t>
      </w:r>
      <w:r w:rsidR="005141BB">
        <w:rPr>
          <w:b/>
          <w:bCs/>
          <w:lang w:val="en-US"/>
        </w:rPr>
        <w:t>n</w:t>
      </w:r>
      <w:r w:rsidRPr="003C66EA">
        <w:rPr>
          <w:b/>
          <w:bCs/>
          <w:lang w:val="en-US"/>
        </w:rPr>
        <w:t xml:space="preserve"> </w:t>
      </w:r>
      <w:r w:rsidR="00254DE8" w:rsidRPr="003C66EA">
        <w:rPr>
          <w:b/>
          <w:bCs/>
          <w:lang w:val="en-US"/>
        </w:rPr>
        <w:t>twin steer prime movers</w:t>
      </w:r>
    </w:p>
    <w:p w14:paraId="5D56AACF" w14:textId="77777777" w:rsidR="003C66EA" w:rsidRPr="003C66EA" w:rsidRDefault="003C66EA" w:rsidP="003C66EA">
      <w:pPr>
        <w:pStyle w:val="ListParagraph"/>
        <w:jc w:val="both"/>
        <w:rPr>
          <w:b/>
          <w:bCs/>
          <w:lang w:val="en-US"/>
        </w:rPr>
      </w:pPr>
    </w:p>
    <w:p w14:paraId="40CC64CE" w14:textId="45094647" w:rsidR="009508F6" w:rsidRDefault="00203855" w:rsidP="00807097">
      <w:pPr>
        <w:pStyle w:val="ListParagraph"/>
        <w:ind w:left="1080"/>
        <w:jc w:val="both"/>
        <w:rPr>
          <w:lang w:val="en-US"/>
        </w:rPr>
      </w:pPr>
      <w:r w:rsidRPr="00203855">
        <w:rPr>
          <w:lang w:val="en-US"/>
        </w:rPr>
        <w:t xml:space="preserve">Combinations that include a twin steer prime mover may only operate on the </w:t>
      </w:r>
      <w:r>
        <w:rPr>
          <w:lang w:val="en-US"/>
        </w:rPr>
        <w:t>S</w:t>
      </w:r>
      <w:r w:rsidRPr="00203855">
        <w:rPr>
          <w:lang w:val="en-US"/>
        </w:rPr>
        <w:t>tate controlled roads of the PBS Level 3A network.</w:t>
      </w:r>
      <w:r w:rsidR="009508F6">
        <w:rPr>
          <w:lang w:val="en-US"/>
        </w:rPr>
        <w:br w:type="page"/>
      </w:r>
    </w:p>
    <w:p w14:paraId="5F967BEC" w14:textId="3318F9DF" w:rsidR="009508F6" w:rsidRPr="005E37F2" w:rsidRDefault="009508F6" w:rsidP="006667A2">
      <w:pPr>
        <w:contextualSpacing/>
        <w:jc w:val="both"/>
        <w:rPr>
          <w:b/>
          <w:bCs/>
          <w:sz w:val="28"/>
          <w:szCs w:val="28"/>
          <w:lang w:val="en-US"/>
        </w:rPr>
      </w:pPr>
      <w:r w:rsidRPr="005E37F2">
        <w:rPr>
          <w:b/>
          <w:bCs/>
          <w:sz w:val="28"/>
          <w:szCs w:val="28"/>
          <w:lang w:val="en-US"/>
        </w:rPr>
        <w:lastRenderedPageBreak/>
        <w:t xml:space="preserve">Schedule </w:t>
      </w:r>
      <w:r w:rsidR="00396EF7">
        <w:rPr>
          <w:b/>
          <w:bCs/>
          <w:sz w:val="28"/>
          <w:szCs w:val="28"/>
          <w:lang w:val="en-US"/>
        </w:rPr>
        <w:t>4</w:t>
      </w:r>
      <w:r w:rsidRPr="005E37F2">
        <w:rPr>
          <w:b/>
          <w:bCs/>
          <w:sz w:val="28"/>
          <w:szCs w:val="28"/>
          <w:lang w:val="en-US"/>
        </w:rPr>
        <w:t xml:space="preserve"> </w:t>
      </w:r>
      <w:r w:rsidR="006A0F0F">
        <w:rPr>
          <w:b/>
          <w:bCs/>
          <w:sz w:val="28"/>
          <w:szCs w:val="28"/>
          <w:lang w:val="en-US"/>
        </w:rPr>
        <w:t>Tasmania</w:t>
      </w:r>
    </w:p>
    <w:p w14:paraId="2B1D060B" w14:textId="77777777" w:rsidR="009508F6" w:rsidRDefault="009508F6" w:rsidP="006667A2">
      <w:pPr>
        <w:contextualSpacing/>
        <w:jc w:val="both"/>
        <w:rPr>
          <w:lang w:val="en-US"/>
        </w:rPr>
      </w:pPr>
    </w:p>
    <w:p w14:paraId="137DB0C3" w14:textId="77777777" w:rsidR="009508F6" w:rsidRDefault="009508F6" w:rsidP="000E696B">
      <w:pPr>
        <w:pStyle w:val="ListParagraph"/>
        <w:numPr>
          <w:ilvl w:val="0"/>
          <w:numId w:val="6"/>
        </w:numPr>
        <w:jc w:val="both"/>
        <w:rPr>
          <w:b/>
          <w:bCs/>
          <w:lang w:val="en-US"/>
        </w:rPr>
      </w:pPr>
      <w:r w:rsidRPr="005E37F2">
        <w:rPr>
          <w:b/>
          <w:bCs/>
          <w:lang w:val="en-US"/>
        </w:rPr>
        <w:t>Application</w:t>
      </w:r>
    </w:p>
    <w:p w14:paraId="57F2D75F" w14:textId="77777777" w:rsidR="009508F6" w:rsidRPr="005E37F2" w:rsidRDefault="009508F6" w:rsidP="006667A2">
      <w:pPr>
        <w:pStyle w:val="ListParagraph"/>
        <w:jc w:val="both"/>
        <w:rPr>
          <w:b/>
          <w:bCs/>
          <w:lang w:val="en-US"/>
        </w:rPr>
      </w:pPr>
    </w:p>
    <w:p w14:paraId="1A3D29A3" w14:textId="70FB3CC1" w:rsidR="009508F6" w:rsidRDefault="009508F6" w:rsidP="006667A2">
      <w:pPr>
        <w:pStyle w:val="ListParagraph"/>
        <w:ind w:left="1080"/>
        <w:jc w:val="both"/>
        <w:rPr>
          <w:lang w:val="en-US"/>
        </w:rPr>
      </w:pPr>
      <w:r>
        <w:rPr>
          <w:lang w:val="en-US"/>
        </w:rPr>
        <w:t xml:space="preserve">This Schedule applies in </w:t>
      </w:r>
      <w:r w:rsidR="006A0F0F">
        <w:rPr>
          <w:lang w:val="en-US"/>
        </w:rPr>
        <w:t>Tasmania</w:t>
      </w:r>
      <w:r>
        <w:rPr>
          <w:lang w:val="en-US"/>
        </w:rPr>
        <w:t>.</w:t>
      </w:r>
    </w:p>
    <w:p w14:paraId="377308B0" w14:textId="77777777" w:rsidR="009508F6" w:rsidRPr="009508F6" w:rsidRDefault="009508F6" w:rsidP="006667A2">
      <w:pPr>
        <w:pStyle w:val="ListParagraph"/>
        <w:ind w:left="1080"/>
        <w:jc w:val="both"/>
        <w:rPr>
          <w:lang w:val="en-US"/>
        </w:rPr>
      </w:pPr>
    </w:p>
    <w:p w14:paraId="532123CC" w14:textId="77777777" w:rsidR="009508F6" w:rsidRDefault="009508F6" w:rsidP="000E696B">
      <w:pPr>
        <w:pStyle w:val="ListParagraph"/>
        <w:numPr>
          <w:ilvl w:val="0"/>
          <w:numId w:val="6"/>
        </w:numPr>
        <w:jc w:val="both"/>
        <w:rPr>
          <w:b/>
          <w:bCs/>
          <w:lang w:val="en-US"/>
        </w:rPr>
      </w:pPr>
      <w:r>
        <w:rPr>
          <w:b/>
          <w:bCs/>
          <w:lang w:val="en-US"/>
        </w:rPr>
        <w:t>Condition – Stated routes and areas (Networks)</w:t>
      </w:r>
    </w:p>
    <w:p w14:paraId="39673D79" w14:textId="72C69EFB" w:rsidR="009508F6" w:rsidRPr="00B51566" w:rsidRDefault="009508F6" w:rsidP="006667A2">
      <w:pPr>
        <w:pStyle w:val="ListParagraph"/>
        <w:jc w:val="both"/>
        <w:rPr>
          <w:b/>
          <w:bCs/>
          <w:lang w:val="en-US"/>
        </w:rPr>
      </w:pPr>
    </w:p>
    <w:p w14:paraId="07431F15" w14:textId="77777777" w:rsidR="008A33FF" w:rsidRPr="003B6DA9" w:rsidRDefault="008A33FF" w:rsidP="000E696B">
      <w:pPr>
        <w:pStyle w:val="ListParagraph"/>
        <w:numPr>
          <w:ilvl w:val="0"/>
          <w:numId w:val="30"/>
        </w:numPr>
        <w:jc w:val="both"/>
        <w:rPr>
          <w:lang w:val="en-US"/>
        </w:rPr>
      </w:pPr>
      <w:r>
        <w:rPr>
          <w:lang w:val="en-US"/>
        </w:rPr>
        <w:t xml:space="preserve">Pursuant to the </w:t>
      </w:r>
      <w:proofErr w:type="spellStart"/>
      <w:r>
        <w:rPr>
          <w:lang w:val="en-US"/>
        </w:rPr>
        <w:t>authorisation</w:t>
      </w:r>
      <w:proofErr w:type="spellEnd"/>
      <w:r>
        <w:rPr>
          <w:lang w:val="en-US"/>
        </w:rPr>
        <w:t xml:space="preserve"> granted in section 8 and 9 of this Notice, an eligible vehicle meeting the requirements for the PBS network levels and class in Column 1 may operate on the networks named in column 2 of Table 1:</w:t>
      </w:r>
    </w:p>
    <w:p w14:paraId="350C1C7B" w14:textId="77777777" w:rsidR="008A33FF" w:rsidRDefault="008A33FF" w:rsidP="008A33FF">
      <w:pPr>
        <w:pStyle w:val="ListParagraph"/>
        <w:spacing w:after="200" w:line="276" w:lineRule="auto"/>
        <w:ind w:left="1080"/>
        <w:jc w:val="both"/>
        <w:rPr>
          <w:b/>
          <w:bCs/>
          <w:lang w:val="en-US"/>
        </w:rPr>
      </w:pPr>
    </w:p>
    <w:p w14:paraId="2CAD68D6" w14:textId="5940FFA2" w:rsidR="008A33FF" w:rsidRPr="003B6DA9" w:rsidRDefault="008A33FF" w:rsidP="008A33FF">
      <w:pPr>
        <w:pStyle w:val="ListParagraph"/>
        <w:spacing w:after="200" w:line="276" w:lineRule="auto"/>
        <w:ind w:left="1080"/>
        <w:jc w:val="both"/>
        <w:rPr>
          <w:b/>
          <w:bCs/>
          <w:lang w:val="en-US"/>
        </w:rPr>
      </w:pPr>
      <w:r w:rsidRPr="003B6DA9">
        <w:rPr>
          <w:b/>
          <w:bCs/>
          <w:lang w:val="en-US"/>
        </w:rPr>
        <w:t xml:space="preserve">Table 1: </w:t>
      </w:r>
      <w:r w:rsidR="00394580">
        <w:rPr>
          <w:b/>
          <w:bCs/>
          <w:lang w:val="en-US"/>
        </w:rPr>
        <w:t>Tasmania</w:t>
      </w:r>
      <w:r>
        <w:rPr>
          <w:b/>
          <w:bCs/>
          <w:lang w:val="en-US"/>
        </w:rPr>
        <w:t xml:space="preserve"> networks </w:t>
      </w:r>
    </w:p>
    <w:tbl>
      <w:tblPr>
        <w:tblStyle w:val="TableGrid"/>
        <w:tblW w:w="7938" w:type="dxa"/>
        <w:tblInd w:w="1129" w:type="dxa"/>
        <w:tblLook w:val="04A0" w:firstRow="1" w:lastRow="0" w:firstColumn="1" w:lastColumn="0" w:noHBand="0" w:noVBand="1"/>
      </w:tblPr>
      <w:tblGrid>
        <w:gridCol w:w="1276"/>
        <w:gridCol w:w="1276"/>
        <w:gridCol w:w="5386"/>
      </w:tblGrid>
      <w:tr w:rsidR="008A33FF" w:rsidRPr="00767CE7" w14:paraId="364677A8" w14:textId="77777777" w:rsidTr="006D389A">
        <w:trPr>
          <w:trHeight w:val="547"/>
        </w:trPr>
        <w:tc>
          <w:tcPr>
            <w:tcW w:w="2552" w:type="dxa"/>
            <w:gridSpan w:val="2"/>
            <w:tcBorders>
              <w:bottom w:val="single" w:sz="4" w:space="0" w:color="auto"/>
            </w:tcBorders>
            <w:vAlign w:val="center"/>
          </w:tcPr>
          <w:p w14:paraId="139B9E88" w14:textId="77777777" w:rsidR="008A33FF" w:rsidRPr="00767CE7" w:rsidRDefault="008A33FF" w:rsidP="006D389A">
            <w:pPr>
              <w:jc w:val="center"/>
              <w:rPr>
                <w:rFonts w:eastAsia="Cambria"/>
                <w:b/>
                <w:bCs/>
                <w:color w:val="000000" w:themeColor="text1"/>
              </w:rPr>
            </w:pPr>
            <w:r w:rsidRPr="00767CE7">
              <w:rPr>
                <w:rFonts w:eastAsia="Cambria"/>
                <w:b/>
                <w:bCs/>
                <w:color w:val="000000" w:themeColor="text1"/>
              </w:rPr>
              <w:t>Column 1</w:t>
            </w:r>
          </w:p>
          <w:p w14:paraId="541D7124" w14:textId="77777777" w:rsidR="008A33FF" w:rsidRPr="00767CE7" w:rsidRDefault="008A33FF" w:rsidP="006D389A">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5386" w:type="dxa"/>
            <w:vMerge w:val="restart"/>
            <w:tcBorders>
              <w:bottom w:val="single" w:sz="4" w:space="0" w:color="auto"/>
            </w:tcBorders>
            <w:vAlign w:val="center"/>
          </w:tcPr>
          <w:p w14:paraId="088A5297" w14:textId="77777777" w:rsidR="008A33FF" w:rsidRPr="00767CE7" w:rsidRDefault="008A33FF" w:rsidP="006D389A">
            <w:pPr>
              <w:jc w:val="center"/>
              <w:rPr>
                <w:b/>
                <w:bCs/>
                <w:lang w:val="en-US"/>
              </w:rPr>
            </w:pPr>
            <w:r w:rsidRPr="00767CE7">
              <w:rPr>
                <w:b/>
                <w:bCs/>
                <w:lang w:val="en-US"/>
              </w:rPr>
              <w:t xml:space="preserve">Column </w:t>
            </w:r>
            <w:r>
              <w:rPr>
                <w:b/>
                <w:bCs/>
                <w:lang w:val="en-US"/>
              </w:rPr>
              <w:t>2</w:t>
            </w:r>
          </w:p>
          <w:p w14:paraId="3D8F1C89" w14:textId="745C5045" w:rsidR="008A33FF" w:rsidRPr="00767CE7" w:rsidRDefault="00871F5D" w:rsidP="006D389A">
            <w:pPr>
              <w:jc w:val="center"/>
              <w:rPr>
                <w:b/>
                <w:bCs/>
                <w:lang w:val="en-US"/>
              </w:rPr>
            </w:pPr>
            <w:r>
              <w:rPr>
                <w:b/>
                <w:bCs/>
                <w:lang w:val="en-US"/>
              </w:rPr>
              <w:t>N</w:t>
            </w:r>
            <w:r w:rsidR="008A33FF">
              <w:rPr>
                <w:b/>
                <w:bCs/>
                <w:lang w:val="en-US"/>
              </w:rPr>
              <w:t>etwork</w:t>
            </w:r>
          </w:p>
        </w:tc>
      </w:tr>
      <w:tr w:rsidR="008A33FF" w14:paraId="6BA90AD6" w14:textId="77777777" w:rsidTr="006D389A">
        <w:trPr>
          <w:trHeight w:val="254"/>
        </w:trPr>
        <w:tc>
          <w:tcPr>
            <w:tcW w:w="1276" w:type="dxa"/>
            <w:vAlign w:val="center"/>
          </w:tcPr>
          <w:p w14:paraId="4869313C" w14:textId="77777777" w:rsidR="008A33FF" w:rsidRDefault="008A33FF" w:rsidP="006D389A">
            <w:pPr>
              <w:jc w:val="center"/>
              <w:rPr>
                <w:rFonts w:eastAsia="Cambria"/>
                <w:b/>
                <w:bCs/>
                <w:color w:val="000000" w:themeColor="text1"/>
              </w:rPr>
            </w:pPr>
            <w:r>
              <w:rPr>
                <w:rFonts w:eastAsia="Cambria"/>
                <w:b/>
                <w:bCs/>
                <w:color w:val="000000" w:themeColor="text1"/>
              </w:rPr>
              <w:t>Level</w:t>
            </w:r>
          </w:p>
        </w:tc>
        <w:tc>
          <w:tcPr>
            <w:tcW w:w="1276" w:type="dxa"/>
            <w:vAlign w:val="center"/>
          </w:tcPr>
          <w:p w14:paraId="0692B666" w14:textId="77777777" w:rsidR="008A33FF" w:rsidRDefault="008A33FF" w:rsidP="006D389A">
            <w:pPr>
              <w:jc w:val="center"/>
              <w:rPr>
                <w:rFonts w:eastAsia="Cambria"/>
                <w:b/>
                <w:bCs/>
                <w:color w:val="000000" w:themeColor="text1"/>
              </w:rPr>
            </w:pPr>
            <w:r>
              <w:rPr>
                <w:rFonts w:eastAsia="Cambria"/>
                <w:b/>
                <w:bCs/>
                <w:color w:val="000000" w:themeColor="text1"/>
              </w:rPr>
              <w:t>Class</w:t>
            </w:r>
          </w:p>
          <w:p w14:paraId="456C143D" w14:textId="77777777" w:rsidR="008A33FF" w:rsidRDefault="008A33FF" w:rsidP="006D389A">
            <w:pPr>
              <w:jc w:val="center"/>
              <w:rPr>
                <w:rFonts w:eastAsia="Cambria"/>
                <w:b/>
                <w:bCs/>
                <w:color w:val="000000" w:themeColor="text1"/>
              </w:rPr>
            </w:pPr>
            <w:r>
              <w:rPr>
                <w:rFonts w:eastAsia="Cambria"/>
                <w:b/>
                <w:bCs/>
                <w:color w:val="000000" w:themeColor="text1"/>
              </w:rPr>
              <w:t>(Length)</w:t>
            </w:r>
          </w:p>
        </w:tc>
        <w:tc>
          <w:tcPr>
            <w:tcW w:w="5386" w:type="dxa"/>
            <w:vMerge/>
            <w:vAlign w:val="center"/>
          </w:tcPr>
          <w:p w14:paraId="5E512FF1" w14:textId="77777777" w:rsidR="008A33FF" w:rsidRDefault="008A33FF" w:rsidP="006D389A">
            <w:pPr>
              <w:jc w:val="center"/>
              <w:rPr>
                <w:b/>
                <w:bCs/>
                <w:lang w:val="en-US"/>
              </w:rPr>
            </w:pPr>
          </w:p>
        </w:tc>
      </w:tr>
      <w:tr w:rsidR="008A33FF" w:rsidRPr="003504DA" w14:paraId="0EC912B5" w14:textId="77777777" w:rsidTr="006D389A">
        <w:tc>
          <w:tcPr>
            <w:tcW w:w="1276" w:type="dxa"/>
          </w:tcPr>
          <w:p w14:paraId="4F11AF39" w14:textId="77777777" w:rsidR="008A33FF" w:rsidRPr="00767CE7" w:rsidRDefault="008A33FF" w:rsidP="006D389A">
            <w:pPr>
              <w:jc w:val="center"/>
              <w:rPr>
                <w:color w:val="000000" w:themeColor="text1"/>
                <w:lang w:val="en-US"/>
              </w:rPr>
            </w:pPr>
            <w:r>
              <w:rPr>
                <w:color w:val="000000" w:themeColor="text1"/>
                <w:lang w:val="en-US"/>
              </w:rPr>
              <w:t>1</w:t>
            </w:r>
          </w:p>
        </w:tc>
        <w:tc>
          <w:tcPr>
            <w:tcW w:w="1276" w:type="dxa"/>
          </w:tcPr>
          <w:p w14:paraId="747C04BB" w14:textId="77777777" w:rsidR="008A33FF" w:rsidRPr="00767CE7" w:rsidRDefault="008A33FF" w:rsidP="006D389A">
            <w:pPr>
              <w:jc w:val="center"/>
              <w:rPr>
                <w:color w:val="000000" w:themeColor="text1"/>
                <w:lang w:val="en-US"/>
              </w:rPr>
            </w:pPr>
            <w:r>
              <w:rPr>
                <w:color w:val="000000" w:themeColor="text1"/>
                <w:lang w:val="en-US"/>
              </w:rPr>
              <w:t>-</w:t>
            </w:r>
          </w:p>
        </w:tc>
        <w:tc>
          <w:tcPr>
            <w:tcW w:w="5386" w:type="dxa"/>
          </w:tcPr>
          <w:p w14:paraId="4BE9B481" w14:textId="77E0A95F" w:rsidR="008A33FF" w:rsidRDefault="008A33FF" w:rsidP="006D389A">
            <w:pPr>
              <w:jc w:val="center"/>
              <w:rPr>
                <w:color w:val="000000" w:themeColor="text1"/>
                <w:lang w:val="en-US"/>
              </w:rPr>
            </w:pPr>
            <w:r w:rsidRPr="003504DA">
              <w:rPr>
                <w:color w:val="000000" w:themeColor="text1"/>
                <w:lang w:val="en-US"/>
              </w:rPr>
              <w:t>Performance Based Standards Level 1</w:t>
            </w:r>
          </w:p>
          <w:p w14:paraId="54CE70C5" w14:textId="64889B76" w:rsidR="00A87A23" w:rsidRPr="003504DA" w:rsidRDefault="0096142E" w:rsidP="0096142E">
            <w:pPr>
              <w:jc w:val="center"/>
              <w:rPr>
                <w:color w:val="000000" w:themeColor="text1"/>
                <w:lang w:val="en-US"/>
              </w:rPr>
            </w:pPr>
            <w:r w:rsidRPr="003504DA">
              <w:rPr>
                <w:color w:val="000000" w:themeColor="text1"/>
                <w:lang w:val="en-US"/>
              </w:rPr>
              <w:t>Performance Based Standards Level 1</w:t>
            </w:r>
            <w:r>
              <w:rPr>
                <w:color w:val="000000" w:themeColor="text1"/>
                <w:lang w:val="en-US"/>
              </w:rPr>
              <w:t xml:space="preserve"> (HML </w:t>
            </w:r>
            <w:r w:rsidR="006B0536">
              <w:rPr>
                <w:color w:val="000000" w:themeColor="text1"/>
                <w:lang w:val="en-US"/>
              </w:rPr>
              <w:t>Layer</w:t>
            </w:r>
            <w:r>
              <w:rPr>
                <w:color w:val="000000" w:themeColor="text1"/>
                <w:lang w:val="en-US"/>
              </w:rPr>
              <w:t>)</w:t>
            </w:r>
          </w:p>
        </w:tc>
      </w:tr>
    </w:tbl>
    <w:p w14:paraId="691DD61C" w14:textId="77777777" w:rsidR="00654389" w:rsidRPr="008F0105" w:rsidRDefault="00654389" w:rsidP="008F0105">
      <w:pPr>
        <w:jc w:val="both"/>
        <w:rPr>
          <w:lang w:val="en-US"/>
        </w:rPr>
      </w:pPr>
    </w:p>
    <w:p w14:paraId="53EF992A" w14:textId="0040FBA7" w:rsidR="00CE7F75" w:rsidRDefault="00654389" w:rsidP="0069280D">
      <w:pPr>
        <w:pStyle w:val="ListParagraph"/>
        <w:numPr>
          <w:ilvl w:val="0"/>
          <w:numId w:val="30"/>
        </w:numPr>
        <w:jc w:val="both"/>
        <w:rPr>
          <w:lang w:val="en-US"/>
        </w:rPr>
      </w:pPr>
      <w:r>
        <w:rPr>
          <w:lang w:val="en-US"/>
        </w:rPr>
        <w:t xml:space="preserve">An eligible vehicle operating </w:t>
      </w:r>
      <w:r w:rsidR="008F0105">
        <w:rPr>
          <w:lang w:val="en-US"/>
        </w:rPr>
        <w:t xml:space="preserve">at </w:t>
      </w:r>
      <w:r w:rsidR="00EA1A93">
        <w:rPr>
          <w:lang w:val="en-US"/>
        </w:rPr>
        <w:t xml:space="preserve">the </w:t>
      </w:r>
      <w:r w:rsidR="008F0105">
        <w:rPr>
          <w:lang w:val="en-US"/>
        </w:rPr>
        <w:t>HML mas</w:t>
      </w:r>
      <w:r w:rsidR="00EA1A93">
        <w:rPr>
          <w:lang w:val="en-US"/>
        </w:rPr>
        <w:t xml:space="preserve">s limits </w:t>
      </w:r>
      <w:r w:rsidR="008D4298">
        <w:rPr>
          <w:lang w:val="en-US"/>
        </w:rPr>
        <w:t>specified</w:t>
      </w:r>
      <w:r w:rsidR="008F0105">
        <w:rPr>
          <w:lang w:val="en-US"/>
        </w:rPr>
        <w:t xml:space="preserve"> on </w:t>
      </w:r>
      <w:r w:rsidR="0044492D">
        <w:rPr>
          <w:lang w:val="en-US"/>
        </w:rPr>
        <w:t>a</w:t>
      </w:r>
      <w:r w:rsidR="008F0105">
        <w:rPr>
          <w:lang w:val="en-US"/>
        </w:rPr>
        <w:t xml:space="preserve"> </w:t>
      </w:r>
      <w:r w:rsidR="008D4298">
        <w:rPr>
          <w:lang w:val="en-US"/>
        </w:rPr>
        <w:t xml:space="preserve">PBS </w:t>
      </w:r>
      <w:r w:rsidR="00855FA6">
        <w:rPr>
          <w:lang w:val="en-US"/>
        </w:rPr>
        <w:t xml:space="preserve">vehicle </w:t>
      </w:r>
      <w:r w:rsidR="008D4298">
        <w:rPr>
          <w:lang w:val="en-US"/>
        </w:rPr>
        <w:t>approval</w:t>
      </w:r>
      <w:r w:rsidR="0044492D">
        <w:rPr>
          <w:lang w:val="en-US"/>
        </w:rPr>
        <w:t xml:space="preserve"> issued to it may</w:t>
      </w:r>
      <w:r w:rsidR="00855FA6">
        <w:rPr>
          <w:lang w:val="en-US"/>
        </w:rPr>
        <w:t xml:space="preserve"> only operate on the</w:t>
      </w:r>
      <w:r>
        <w:rPr>
          <w:lang w:val="en-US"/>
        </w:rPr>
        <w:t xml:space="preserve"> </w:t>
      </w:r>
      <w:r w:rsidR="00EB1F38">
        <w:rPr>
          <w:lang w:val="en-US"/>
        </w:rPr>
        <w:t>‘</w:t>
      </w:r>
      <w:r>
        <w:rPr>
          <w:lang w:val="en-US"/>
        </w:rPr>
        <w:t xml:space="preserve">HML </w:t>
      </w:r>
      <w:r w:rsidR="006B0536">
        <w:rPr>
          <w:lang w:val="en-US"/>
        </w:rPr>
        <w:t>layer</w:t>
      </w:r>
      <w:r w:rsidR="00EB1F38">
        <w:rPr>
          <w:lang w:val="en-US"/>
        </w:rPr>
        <w:t>’</w:t>
      </w:r>
      <w:r w:rsidR="006B0536">
        <w:rPr>
          <w:lang w:val="en-US"/>
        </w:rPr>
        <w:t xml:space="preserve"> of the </w:t>
      </w:r>
      <w:r w:rsidR="00F0482A" w:rsidRPr="00EB1F38">
        <w:rPr>
          <w:i/>
          <w:iCs/>
          <w:lang w:val="en-US"/>
        </w:rPr>
        <w:t>Performance Based Standards Level 1</w:t>
      </w:r>
      <w:r w:rsidR="00EB1F38">
        <w:rPr>
          <w:lang w:val="en-US"/>
        </w:rPr>
        <w:t xml:space="preserve"> network</w:t>
      </w:r>
      <w:r w:rsidR="00F0482A">
        <w:rPr>
          <w:lang w:val="en-US"/>
        </w:rPr>
        <w:t>.</w:t>
      </w:r>
    </w:p>
    <w:p w14:paraId="766CDD42" w14:textId="77777777" w:rsidR="0069280D" w:rsidRPr="0069280D" w:rsidRDefault="0069280D" w:rsidP="0069280D">
      <w:pPr>
        <w:pStyle w:val="ListParagraph"/>
        <w:ind w:left="1080"/>
        <w:jc w:val="both"/>
        <w:rPr>
          <w:lang w:val="en-US"/>
        </w:rPr>
      </w:pPr>
    </w:p>
    <w:p w14:paraId="78665DAD" w14:textId="23CC536E" w:rsidR="009508F6" w:rsidRDefault="009508F6" w:rsidP="000E696B">
      <w:pPr>
        <w:pStyle w:val="ListParagraph"/>
        <w:numPr>
          <w:ilvl w:val="0"/>
          <w:numId w:val="30"/>
        </w:numPr>
        <w:jc w:val="both"/>
        <w:rPr>
          <w:lang w:val="en-US"/>
        </w:rPr>
      </w:pPr>
      <w:r>
        <w:rPr>
          <w:lang w:val="en-US"/>
        </w:rPr>
        <w:t>An eligible vehicle operating on a network under this section must comply with all road, vehicle an</w:t>
      </w:r>
      <w:r w:rsidR="00325799">
        <w:rPr>
          <w:lang w:val="en-US"/>
        </w:rPr>
        <w:t>d</w:t>
      </w:r>
      <w:r>
        <w:rPr>
          <w:lang w:val="en-US"/>
        </w:rPr>
        <w:t xml:space="preserve"> travel conditions that apply to that network at the time of travel.</w:t>
      </w:r>
    </w:p>
    <w:p w14:paraId="7CD06F21" w14:textId="24EDCD79" w:rsidR="000B6923" w:rsidRPr="00B33925" w:rsidRDefault="000B6923" w:rsidP="00B33925">
      <w:pPr>
        <w:ind w:left="2160" w:hanging="1080"/>
        <w:jc w:val="both"/>
        <w:rPr>
          <w:i/>
          <w:iCs/>
          <w:lang w:val="en-US"/>
        </w:rPr>
      </w:pPr>
      <w:r w:rsidRPr="00956127">
        <w:rPr>
          <w:i/>
          <w:iCs/>
          <w:lang w:val="en-US"/>
        </w:rPr>
        <w:t>Note:</w:t>
      </w:r>
      <w:r w:rsidRPr="00956127">
        <w:rPr>
          <w:i/>
          <w:iCs/>
          <w:lang w:val="en-US"/>
        </w:rPr>
        <w:tab/>
        <w:t xml:space="preserve">The networks in this section are maintained by the </w:t>
      </w:r>
      <w:r w:rsidR="007C5B7D">
        <w:rPr>
          <w:i/>
          <w:iCs/>
          <w:lang w:val="en-US"/>
        </w:rPr>
        <w:t xml:space="preserve">Tasmanian Department </w:t>
      </w:r>
      <w:r w:rsidR="00EE41A2">
        <w:rPr>
          <w:i/>
          <w:iCs/>
          <w:lang w:val="en-US"/>
        </w:rPr>
        <w:t>of</w:t>
      </w:r>
      <w:r w:rsidR="007C5B7D">
        <w:rPr>
          <w:i/>
          <w:iCs/>
          <w:lang w:val="en-US"/>
        </w:rPr>
        <w:t xml:space="preserve"> State Growth</w:t>
      </w:r>
      <w:r w:rsidRPr="00956127">
        <w:rPr>
          <w:i/>
          <w:iCs/>
          <w:lang w:val="en-US"/>
        </w:rPr>
        <w:t xml:space="preserve"> and are published on its website.</w:t>
      </w:r>
    </w:p>
    <w:p w14:paraId="2A87AD9F" w14:textId="77777777" w:rsidR="00C96A23" w:rsidRDefault="00C96A23" w:rsidP="00C96A23">
      <w:pPr>
        <w:pStyle w:val="ListParagraph"/>
        <w:numPr>
          <w:ilvl w:val="0"/>
          <w:numId w:val="30"/>
        </w:numPr>
        <w:jc w:val="both"/>
      </w:pPr>
      <w:r>
        <w:t>The networks named in Column 2 of Table 1 are routes and areas under this authorisation Notice for the purposes of section 9.</w:t>
      </w:r>
    </w:p>
    <w:p w14:paraId="7370F1BB" w14:textId="77777777" w:rsidR="003E1387" w:rsidRPr="000B6923" w:rsidRDefault="003E1387" w:rsidP="003E1387">
      <w:pPr>
        <w:pStyle w:val="ListParagraph"/>
        <w:ind w:left="1080"/>
        <w:rPr>
          <w:i/>
          <w:iCs/>
          <w:lang w:val="en-US"/>
        </w:rPr>
      </w:pPr>
    </w:p>
    <w:p w14:paraId="63B6D1F9" w14:textId="77A22B26" w:rsidR="002E0CB1" w:rsidRDefault="002E0CB1" w:rsidP="006667A2">
      <w:pPr>
        <w:pStyle w:val="ListParagraph"/>
        <w:ind w:left="2160" w:hanging="1080"/>
        <w:jc w:val="both"/>
        <w:rPr>
          <w:i/>
          <w:iCs/>
          <w:lang w:val="en-US"/>
        </w:rPr>
      </w:pPr>
    </w:p>
    <w:p w14:paraId="235E4E03" w14:textId="3FACD927" w:rsidR="002E0CB1" w:rsidRDefault="002E0CB1" w:rsidP="006667A2">
      <w:pPr>
        <w:jc w:val="both"/>
        <w:rPr>
          <w:i/>
          <w:iCs/>
          <w:lang w:val="en-US"/>
        </w:rPr>
      </w:pPr>
      <w:r>
        <w:rPr>
          <w:i/>
          <w:iCs/>
          <w:lang w:val="en-US"/>
        </w:rPr>
        <w:br w:type="page"/>
      </w:r>
    </w:p>
    <w:p w14:paraId="3820F58E" w14:textId="2F81A67D" w:rsidR="002E0CB1" w:rsidRPr="005E37F2" w:rsidRDefault="002E0CB1" w:rsidP="006667A2">
      <w:pPr>
        <w:contextualSpacing/>
        <w:jc w:val="both"/>
        <w:rPr>
          <w:b/>
          <w:bCs/>
          <w:sz w:val="28"/>
          <w:szCs w:val="28"/>
          <w:lang w:val="en-US"/>
        </w:rPr>
      </w:pPr>
      <w:r w:rsidRPr="005E37F2">
        <w:rPr>
          <w:b/>
          <w:bCs/>
          <w:sz w:val="28"/>
          <w:szCs w:val="28"/>
          <w:lang w:val="en-US"/>
        </w:rPr>
        <w:lastRenderedPageBreak/>
        <w:t xml:space="preserve">Schedule </w:t>
      </w:r>
      <w:r w:rsidR="00396EF7">
        <w:rPr>
          <w:b/>
          <w:bCs/>
          <w:sz w:val="28"/>
          <w:szCs w:val="28"/>
          <w:lang w:val="en-US"/>
        </w:rPr>
        <w:t>5</w:t>
      </w:r>
      <w:r w:rsidRPr="005E37F2">
        <w:rPr>
          <w:b/>
          <w:bCs/>
          <w:sz w:val="28"/>
          <w:szCs w:val="28"/>
          <w:lang w:val="en-US"/>
        </w:rPr>
        <w:t xml:space="preserve"> </w:t>
      </w:r>
      <w:r>
        <w:rPr>
          <w:b/>
          <w:bCs/>
          <w:sz w:val="28"/>
          <w:szCs w:val="28"/>
          <w:lang w:val="en-US"/>
        </w:rPr>
        <w:t>Victoria</w:t>
      </w:r>
    </w:p>
    <w:p w14:paraId="637925B8" w14:textId="77777777" w:rsidR="002E0CB1" w:rsidRDefault="002E0CB1" w:rsidP="006667A2">
      <w:pPr>
        <w:contextualSpacing/>
        <w:jc w:val="both"/>
        <w:rPr>
          <w:lang w:val="en-US"/>
        </w:rPr>
      </w:pPr>
    </w:p>
    <w:p w14:paraId="39A8FB94" w14:textId="77777777" w:rsidR="002E0CB1" w:rsidRDefault="002E0CB1" w:rsidP="000E696B">
      <w:pPr>
        <w:pStyle w:val="ListParagraph"/>
        <w:numPr>
          <w:ilvl w:val="0"/>
          <w:numId w:val="7"/>
        </w:numPr>
        <w:jc w:val="both"/>
        <w:rPr>
          <w:b/>
          <w:bCs/>
          <w:lang w:val="en-US"/>
        </w:rPr>
      </w:pPr>
      <w:r w:rsidRPr="005E37F2">
        <w:rPr>
          <w:b/>
          <w:bCs/>
          <w:lang w:val="en-US"/>
        </w:rPr>
        <w:t>Application</w:t>
      </w:r>
    </w:p>
    <w:p w14:paraId="22C840A6" w14:textId="77777777" w:rsidR="002E0CB1" w:rsidRPr="005E37F2" w:rsidRDefault="002E0CB1" w:rsidP="006667A2">
      <w:pPr>
        <w:pStyle w:val="ListParagraph"/>
        <w:jc w:val="both"/>
        <w:rPr>
          <w:b/>
          <w:bCs/>
          <w:lang w:val="en-US"/>
        </w:rPr>
      </w:pPr>
    </w:p>
    <w:p w14:paraId="7764D8A6" w14:textId="6BA611A1" w:rsidR="002E0CB1" w:rsidRDefault="002E0CB1" w:rsidP="001C2037">
      <w:pPr>
        <w:pStyle w:val="ListParagraph"/>
        <w:numPr>
          <w:ilvl w:val="0"/>
          <w:numId w:val="31"/>
        </w:numPr>
        <w:jc w:val="both"/>
        <w:rPr>
          <w:lang w:val="en-US"/>
        </w:rPr>
      </w:pPr>
      <w:r>
        <w:rPr>
          <w:lang w:val="en-US"/>
        </w:rPr>
        <w:t>This Schedule applies in Victoria.</w:t>
      </w:r>
    </w:p>
    <w:p w14:paraId="5CFF4BBE" w14:textId="49099469" w:rsidR="004828D0" w:rsidRDefault="004828D0" w:rsidP="001C2037">
      <w:pPr>
        <w:pStyle w:val="ListParagraph"/>
        <w:ind w:left="1080"/>
        <w:jc w:val="both"/>
        <w:rPr>
          <w:lang w:val="en-US"/>
        </w:rPr>
      </w:pPr>
    </w:p>
    <w:p w14:paraId="0F8F5890" w14:textId="0B13FE5E" w:rsidR="004828D0" w:rsidRDefault="004828D0" w:rsidP="001C2037">
      <w:pPr>
        <w:pStyle w:val="ListParagraph"/>
        <w:numPr>
          <w:ilvl w:val="0"/>
          <w:numId w:val="31"/>
        </w:numPr>
        <w:jc w:val="both"/>
        <w:rPr>
          <w:lang w:val="en-US"/>
        </w:rPr>
      </w:pPr>
      <w:r>
        <w:rPr>
          <w:lang w:val="en-US"/>
        </w:rPr>
        <w:t xml:space="preserve">This Schedule </w:t>
      </w:r>
      <w:r w:rsidR="0049342A">
        <w:rPr>
          <w:lang w:val="en-US"/>
        </w:rPr>
        <w:t>only applies to</w:t>
      </w:r>
      <w:r>
        <w:rPr>
          <w:lang w:val="en-US"/>
        </w:rPr>
        <w:t xml:space="preserve"> </w:t>
      </w:r>
      <w:r w:rsidR="002C7A1E">
        <w:rPr>
          <w:lang w:val="en-US"/>
        </w:rPr>
        <w:t xml:space="preserve">an </w:t>
      </w:r>
      <w:r w:rsidR="00E10427">
        <w:rPr>
          <w:lang w:val="en-US"/>
        </w:rPr>
        <w:t xml:space="preserve">eligible </w:t>
      </w:r>
      <w:r>
        <w:rPr>
          <w:lang w:val="en-US"/>
        </w:rPr>
        <w:t>vehicle</w:t>
      </w:r>
      <w:r w:rsidR="00AB727C">
        <w:rPr>
          <w:lang w:val="en-US"/>
        </w:rPr>
        <w:t xml:space="preserve"> and combination</w:t>
      </w:r>
      <w:r>
        <w:rPr>
          <w:lang w:val="en-US"/>
        </w:rPr>
        <w:t xml:space="preserve"> operating in Victoria</w:t>
      </w:r>
      <w:r w:rsidR="00E10427">
        <w:rPr>
          <w:lang w:val="en-US"/>
        </w:rPr>
        <w:t xml:space="preserve"> that</w:t>
      </w:r>
      <w:r w:rsidR="002C7A1E">
        <w:rPr>
          <w:lang w:val="en-US"/>
        </w:rPr>
        <w:t xml:space="preserve"> is</w:t>
      </w:r>
      <w:r>
        <w:rPr>
          <w:lang w:val="en-US"/>
        </w:rPr>
        <w:t>:</w:t>
      </w:r>
    </w:p>
    <w:p w14:paraId="11E6AB88" w14:textId="594F4244" w:rsidR="004828D0" w:rsidRDefault="004828D0" w:rsidP="006667A2">
      <w:pPr>
        <w:pStyle w:val="ListParagraph"/>
        <w:ind w:left="1080"/>
        <w:jc w:val="both"/>
        <w:rPr>
          <w:lang w:val="en-US"/>
        </w:rPr>
      </w:pPr>
    </w:p>
    <w:p w14:paraId="5D939F6C" w14:textId="0699A9B2" w:rsidR="007D25E6" w:rsidRPr="007D25E6" w:rsidRDefault="00207016" w:rsidP="000E696B">
      <w:pPr>
        <w:pStyle w:val="ListParagraph"/>
        <w:numPr>
          <w:ilvl w:val="0"/>
          <w:numId w:val="15"/>
        </w:numPr>
        <w:jc w:val="both"/>
        <w:rPr>
          <w:lang w:val="en-US"/>
        </w:rPr>
      </w:pPr>
      <w:r>
        <w:rPr>
          <w:lang w:val="en-US"/>
        </w:rPr>
        <w:t xml:space="preserve">a </w:t>
      </w:r>
      <w:r w:rsidR="009F6F33">
        <w:rPr>
          <w:lang w:val="en-US"/>
        </w:rPr>
        <w:t>prime mover towing</w:t>
      </w:r>
      <w:r w:rsidR="00121BF8">
        <w:rPr>
          <w:lang w:val="en-US"/>
        </w:rPr>
        <w:t xml:space="preserve"> a semi</w:t>
      </w:r>
      <w:r w:rsidR="005D5317">
        <w:rPr>
          <w:lang w:val="en-US"/>
        </w:rPr>
        <w:t xml:space="preserve">-trailer; </w:t>
      </w:r>
      <w:r w:rsidR="00D4427D">
        <w:rPr>
          <w:lang w:val="en-US"/>
        </w:rPr>
        <w:t>or</w:t>
      </w:r>
    </w:p>
    <w:p w14:paraId="0357DAEA" w14:textId="05674625" w:rsidR="007D25E6" w:rsidRDefault="00207016" w:rsidP="000E696B">
      <w:pPr>
        <w:pStyle w:val="ListParagraph"/>
        <w:numPr>
          <w:ilvl w:val="0"/>
          <w:numId w:val="15"/>
        </w:numPr>
        <w:jc w:val="both"/>
        <w:rPr>
          <w:lang w:val="en-US"/>
        </w:rPr>
      </w:pPr>
      <w:r>
        <w:rPr>
          <w:lang w:val="en-US"/>
        </w:rPr>
        <w:t xml:space="preserve">a </w:t>
      </w:r>
      <w:r w:rsidR="007D25E6" w:rsidRPr="007D25E6">
        <w:rPr>
          <w:lang w:val="en-US"/>
        </w:rPr>
        <w:t>B-</w:t>
      </w:r>
      <w:r w:rsidR="005D5317">
        <w:rPr>
          <w:lang w:val="en-US"/>
        </w:rPr>
        <w:t>d</w:t>
      </w:r>
      <w:r w:rsidR="007D25E6" w:rsidRPr="007D25E6">
        <w:rPr>
          <w:lang w:val="en-US"/>
        </w:rPr>
        <w:t>ouble</w:t>
      </w:r>
      <w:r w:rsidR="003E2543">
        <w:rPr>
          <w:lang w:val="en-US"/>
        </w:rPr>
        <w:t xml:space="preserve">; </w:t>
      </w:r>
      <w:r w:rsidR="00D4427D">
        <w:rPr>
          <w:lang w:val="en-US"/>
        </w:rPr>
        <w:t>or</w:t>
      </w:r>
    </w:p>
    <w:p w14:paraId="5B940624" w14:textId="5E1E95A7" w:rsidR="003E2543" w:rsidRDefault="00207016" w:rsidP="000E696B">
      <w:pPr>
        <w:pStyle w:val="ListParagraph"/>
        <w:numPr>
          <w:ilvl w:val="0"/>
          <w:numId w:val="15"/>
        </w:numPr>
        <w:jc w:val="both"/>
        <w:rPr>
          <w:lang w:val="en-US"/>
        </w:rPr>
      </w:pPr>
      <w:r>
        <w:rPr>
          <w:lang w:val="en-US"/>
        </w:rPr>
        <w:t xml:space="preserve">a </w:t>
      </w:r>
      <w:r w:rsidR="00A65953">
        <w:rPr>
          <w:lang w:val="en-US"/>
        </w:rPr>
        <w:t>r</w:t>
      </w:r>
      <w:r w:rsidR="00A65953" w:rsidRPr="007D25E6">
        <w:rPr>
          <w:lang w:val="en-US"/>
        </w:rPr>
        <w:t>igid truck</w:t>
      </w:r>
      <w:r w:rsidR="003E2543">
        <w:rPr>
          <w:lang w:val="en-US"/>
        </w:rPr>
        <w:t xml:space="preserve">; </w:t>
      </w:r>
      <w:r w:rsidR="00D4427D">
        <w:rPr>
          <w:lang w:val="en-US"/>
        </w:rPr>
        <w:t>or</w:t>
      </w:r>
    </w:p>
    <w:p w14:paraId="148F9936" w14:textId="67FC32B6" w:rsidR="00A65953" w:rsidRPr="003E2543" w:rsidRDefault="00D4427D" w:rsidP="000E696B">
      <w:pPr>
        <w:pStyle w:val="ListParagraph"/>
        <w:numPr>
          <w:ilvl w:val="0"/>
          <w:numId w:val="15"/>
        </w:numPr>
        <w:jc w:val="both"/>
        <w:rPr>
          <w:lang w:val="en-US"/>
        </w:rPr>
      </w:pPr>
      <w:r>
        <w:rPr>
          <w:lang w:val="en-US"/>
        </w:rPr>
        <w:t xml:space="preserve">a </w:t>
      </w:r>
      <w:r w:rsidR="00162A44">
        <w:rPr>
          <w:lang w:val="en-US"/>
        </w:rPr>
        <w:t xml:space="preserve">combination </w:t>
      </w:r>
      <w:r w:rsidR="00E10427">
        <w:rPr>
          <w:lang w:val="en-US"/>
        </w:rPr>
        <w:t>consist</w:t>
      </w:r>
      <w:r>
        <w:rPr>
          <w:lang w:val="en-US"/>
        </w:rPr>
        <w:t>ing</w:t>
      </w:r>
      <w:r w:rsidR="00E10427">
        <w:rPr>
          <w:lang w:val="en-US"/>
        </w:rPr>
        <w:t xml:space="preserve"> of </w:t>
      </w:r>
      <w:r>
        <w:rPr>
          <w:lang w:val="en-US"/>
        </w:rPr>
        <w:t xml:space="preserve">a </w:t>
      </w:r>
      <w:r w:rsidR="00A65953">
        <w:rPr>
          <w:lang w:val="en-US"/>
        </w:rPr>
        <w:t xml:space="preserve">rigid truck towing a pig trailer, </w:t>
      </w:r>
      <w:r w:rsidR="003E2543">
        <w:rPr>
          <w:lang w:val="en-US"/>
        </w:rPr>
        <w:t>tag trailer or dog trailer.</w:t>
      </w:r>
    </w:p>
    <w:p w14:paraId="55F3731D" w14:textId="77777777" w:rsidR="00121BF8" w:rsidRPr="00121BF8" w:rsidRDefault="00121BF8" w:rsidP="00121BF8">
      <w:pPr>
        <w:pStyle w:val="ListParagraph"/>
        <w:ind w:left="1080"/>
        <w:jc w:val="both"/>
        <w:rPr>
          <w:lang w:val="en-US"/>
        </w:rPr>
      </w:pPr>
    </w:p>
    <w:p w14:paraId="6E725FDF" w14:textId="77777777" w:rsidR="002E0CB1" w:rsidRDefault="002E0CB1" w:rsidP="000E696B">
      <w:pPr>
        <w:pStyle w:val="ListParagraph"/>
        <w:numPr>
          <w:ilvl w:val="0"/>
          <w:numId w:val="7"/>
        </w:numPr>
        <w:jc w:val="both"/>
        <w:rPr>
          <w:b/>
          <w:bCs/>
          <w:lang w:val="en-US"/>
        </w:rPr>
      </w:pPr>
      <w:r>
        <w:rPr>
          <w:b/>
          <w:bCs/>
          <w:lang w:val="en-US"/>
        </w:rPr>
        <w:t>Condition – Stated routes and areas (Networks)</w:t>
      </w:r>
    </w:p>
    <w:p w14:paraId="34D4DBA2" w14:textId="77777777" w:rsidR="002E0CB1" w:rsidRPr="00B51566" w:rsidRDefault="002E0CB1" w:rsidP="006667A2">
      <w:pPr>
        <w:pStyle w:val="ListParagraph"/>
        <w:jc w:val="both"/>
        <w:rPr>
          <w:b/>
          <w:bCs/>
          <w:lang w:val="en-US"/>
        </w:rPr>
      </w:pPr>
    </w:p>
    <w:p w14:paraId="6F34F642" w14:textId="22971191" w:rsidR="004F42BA" w:rsidRPr="003B6DA9" w:rsidRDefault="004F42BA" w:rsidP="00C96A23">
      <w:pPr>
        <w:pStyle w:val="ListParagraph"/>
        <w:numPr>
          <w:ilvl w:val="0"/>
          <w:numId w:val="30"/>
        </w:numPr>
        <w:jc w:val="both"/>
        <w:rPr>
          <w:lang w:val="en-US"/>
        </w:rPr>
      </w:pPr>
      <w:r>
        <w:rPr>
          <w:lang w:val="en-US"/>
        </w:rPr>
        <w:t xml:space="preserve">Pursuant to the </w:t>
      </w:r>
      <w:proofErr w:type="spellStart"/>
      <w:r>
        <w:rPr>
          <w:lang w:val="en-US"/>
        </w:rPr>
        <w:t>authorisation</w:t>
      </w:r>
      <w:proofErr w:type="spellEnd"/>
      <w:r>
        <w:rPr>
          <w:lang w:val="en-US"/>
        </w:rPr>
        <w:t xml:space="preserve"> granted in section 8 of this Notice, an eligible vehicle </w:t>
      </w:r>
      <w:r w:rsidR="009034AD">
        <w:rPr>
          <w:lang w:val="en-US"/>
        </w:rPr>
        <w:t xml:space="preserve">that has a PBS vehicle approval </w:t>
      </w:r>
      <w:r>
        <w:rPr>
          <w:lang w:val="en-US"/>
        </w:rPr>
        <w:t>meeting the requirements for the PBS network levels and class in Column 1 may operate on the networks named in column 2 of Table 1:</w:t>
      </w:r>
    </w:p>
    <w:p w14:paraId="5DD82973" w14:textId="77777777" w:rsidR="004F42BA" w:rsidRDefault="004F42BA" w:rsidP="004F42BA">
      <w:pPr>
        <w:pStyle w:val="ListParagraph"/>
        <w:spacing w:after="200" w:line="276" w:lineRule="auto"/>
        <w:ind w:left="1080"/>
        <w:jc w:val="both"/>
        <w:rPr>
          <w:b/>
          <w:bCs/>
          <w:lang w:val="en-US"/>
        </w:rPr>
      </w:pPr>
    </w:p>
    <w:p w14:paraId="48BB1B23" w14:textId="70DADD55" w:rsidR="004F42BA" w:rsidRPr="003B6DA9" w:rsidRDefault="004F42BA" w:rsidP="004F42BA">
      <w:pPr>
        <w:pStyle w:val="ListParagraph"/>
        <w:spacing w:after="200" w:line="276" w:lineRule="auto"/>
        <w:ind w:left="1080"/>
        <w:jc w:val="both"/>
        <w:rPr>
          <w:b/>
          <w:bCs/>
          <w:lang w:val="en-US"/>
        </w:rPr>
      </w:pPr>
      <w:r w:rsidRPr="003B6DA9">
        <w:rPr>
          <w:b/>
          <w:bCs/>
          <w:lang w:val="en-US"/>
        </w:rPr>
        <w:t xml:space="preserve">Table 1: </w:t>
      </w:r>
      <w:r w:rsidR="003D003E">
        <w:rPr>
          <w:b/>
          <w:bCs/>
          <w:lang w:val="en-US"/>
        </w:rPr>
        <w:t>Victoria</w:t>
      </w:r>
      <w:r>
        <w:rPr>
          <w:b/>
          <w:bCs/>
          <w:lang w:val="en-US"/>
        </w:rPr>
        <w:t xml:space="preserve"> networks </w:t>
      </w:r>
    </w:p>
    <w:tbl>
      <w:tblPr>
        <w:tblStyle w:val="TableGrid"/>
        <w:tblW w:w="7938" w:type="dxa"/>
        <w:tblInd w:w="1129" w:type="dxa"/>
        <w:tblLook w:val="04A0" w:firstRow="1" w:lastRow="0" w:firstColumn="1" w:lastColumn="0" w:noHBand="0" w:noVBand="1"/>
      </w:tblPr>
      <w:tblGrid>
        <w:gridCol w:w="1276"/>
        <w:gridCol w:w="1276"/>
        <w:gridCol w:w="5386"/>
      </w:tblGrid>
      <w:tr w:rsidR="004F42BA" w:rsidRPr="00767CE7" w14:paraId="35437A23" w14:textId="77777777" w:rsidTr="00BF77EF">
        <w:trPr>
          <w:trHeight w:val="547"/>
        </w:trPr>
        <w:tc>
          <w:tcPr>
            <w:tcW w:w="2552" w:type="dxa"/>
            <w:gridSpan w:val="2"/>
            <w:tcBorders>
              <w:bottom w:val="single" w:sz="4" w:space="0" w:color="auto"/>
            </w:tcBorders>
            <w:vAlign w:val="center"/>
          </w:tcPr>
          <w:p w14:paraId="4D0CD8F1" w14:textId="77777777" w:rsidR="004F42BA" w:rsidRPr="00767CE7" w:rsidRDefault="004F42BA" w:rsidP="00BF77EF">
            <w:pPr>
              <w:jc w:val="center"/>
              <w:rPr>
                <w:rFonts w:eastAsia="Cambria"/>
                <w:b/>
                <w:bCs/>
                <w:color w:val="000000" w:themeColor="text1"/>
              </w:rPr>
            </w:pPr>
            <w:r w:rsidRPr="00767CE7">
              <w:rPr>
                <w:rFonts w:eastAsia="Cambria"/>
                <w:b/>
                <w:bCs/>
                <w:color w:val="000000" w:themeColor="text1"/>
              </w:rPr>
              <w:t>Column 1</w:t>
            </w:r>
          </w:p>
          <w:p w14:paraId="00EB7D7B" w14:textId="77777777" w:rsidR="004F42BA" w:rsidRPr="00767CE7" w:rsidRDefault="004F42BA" w:rsidP="00BF77EF">
            <w:pPr>
              <w:jc w:val="center"/>
              <w:rPr>
                <w:rFonts w:eastAsia="Cambria"/>
                <w:b/>
                <w:bCs/>
                <w:color w:val="000000" w:themeColor="text1"/>
              </w:rPr>
            </w:pPr>
            <w:r>
              <w:rPr>
                <w:rFonts w:eastAsia="Cambria"/>
                <w:b/>
                <w:bCs/>
                <w:color w:val="000000" w:themeColor="text1"/>
              </w:rPr>
              <w:t>PBS</w:t>
            </w:r>
            <w:r w:rsidRPr="00767CE7">
              <w:rPr>
                <w:rFonts w:eastAsia="Cambria"/>
                <w:b/>
                <w:bCs/>
                <w:color w:val="000000" w:themeColor="text1"/>
              </w:rPr>
              <w:t xml:space="preserve"> Network</w:t>
            </w:r>
          </w:p>
        </w:tc>
        <w:tc>
          <w:tcPr>
            <w:tcW w:w="5386" w:type="dxa"/>
            <w:vMerge w:val="restart"/>
            <w:tcBorders>
              <w:bottom w:val="single" w:sz="4" w:space="0" w:color="auto"/>
            </w:tcBorders>
            <w:vAlign w:val="center"/>
          </w:tcPr>
          <w:p w14:paraId="653988AF" w14:textId="77777777" w:rsidR="004F42BA" w:rsidRPr="00767CE7" w:rsidRDefault="004F42BA" w:rsidP="00BF77EF">
            <w:pPr>
              <w:jc w:val="center"/>
              <w:rPr>
                <w:b/>
                <w:bCs/>
                <w:lang w:val="en-US"/>
              </w:rPr>
            </w:pPr>
            <w:r w:rsidRPr="00767CE7">
              <w:rPr>
                <w:b/>
                <w:bCs/>
                <w:lang w:val="en-US"/>
              </w:rPr>
              <w:t xml:space="preserve">Column </w:t>
            </w:r>
            <w:r>
              <w:rPr>
                <w:b/>
                <w:bCs/>
                <w:lang w:val="en-US"/>
              </w:rPr>
              <w:t>2</w:t>
            </w:r>
          </w:p>
          <w:p w14:paraId="6B3D99D5" w14:textId="4C8EDE2D" w:rsidR="004F42BA" w:rsidRPr="00767CE7" w:rsidRDefault="00230C90" w:rsidP="00BF77EF">
            <w:pPr>
              <w:jc w:val="center"/>
              <w:rPr>
                <w:b/>
                <w:bCs/>
                <w:lang w:val="en-US"/>
              </w:rPr>
            </w:pPr>
            <w:r>
              <w:rPr>
                <w:b/>
                <w:bCs/>
                <w:lang w:val="en-US"/>
              </w:rPr>
              <w:t>N</w:t>
            </w:r>
            <w:r w:rsidR="004F42BA">
              <w:rPr>
                <w:b/>
                <w:bCs/>
                <w:lang w:val="en-US"/>
              </w:rPr>
              <w:t>etwork</w:t>
            </w:r>
          </w:p>
        </w:tc>
      </w:tr>
      <w:tr w:rsidR="004F42BA" w14:paraId="2DD3C85D" w14:textId="77777777" w:rsidTr="00BF77EF">
        <w:trPr>
          <w:trHeight w:val="254"/>
        </w:trPr>
        <w:tc>
          <w:tcPr>
            <w:tcW w:w="1276" w:type="dxa"/>
            <w:vAlign w:val="center"/>
          </w:tcPr>
          <w:p w14:paraId="78B170FF" w14:textId="77777777" w:rsidR="004F42BA" w:rsidRDefault="004F42BA" w:rsidP="00BF77EF">
            <w:pPr>
              <w:jc w:val="center"/>
              <w:rPr>
                <w:rFonts w:eastAsia="Cambria"/>
                <w:b/>
                <w:bCs/>
                <w:color w:val="000000" w:themeColor="text1"/>
              </w:rPr>
            </w:pPr>
            <w:r>
              <w:rPr>
                <w:rFonts w:eastAsia="Cambria"/>
                <w:b/>
                <w:bCs/>
                <w:color w:val="000000" w:themeColor="text1"/>
              </w:rPr>
              <w:t>Level</w:t>
            </w:r>
          </w:p>
        </w:tc>
        <w:tc>
          <w:tcPr>
            <w:tcW w:w="1276" w:type="dxa"/>
            <w:vAlign w:val="center"/>
          </w:tcPr>
          <w:p w14:paraId="4A48D023" w14:textId="77777777" w:rsidR="004F42BA" w:rsidRDefault="004F42BA" w:rsidP="00BF77EF">
            <w:pPr>
              <w:jc w:val="center"/>
              <w:rPr>
                <w:rFonts w:eastAsia="Cambria"/>
                <w:b/>
                <w:bCs/>
                <w:color w:val="000000" w:themeColor="text1"/>
              </w:rPr>
            </w:pPr>
            <w:r>
              <w:rPr>
                <w:rFonts w:eastAsia="Cambria"/>
                <w:b/>
                <w:bCs/>
                <w:color w:val="000000" w:themeColor="text1"/>
              </w:rPr>
              <w:t>Class</w:t>
            </w:r>
          </w:p>
          <w:p w14:paraId="66659EF6" w14:textId="77777777" w:rsidR="004F42BA" w:rsidRDefault="004F42BA" w:rsidP="00BF77EF">
            <w:pPr>
              <w:jc w:val="center"/>
              <w:rPr>
                <w:rFonts w:eastAsia="Cambria"/>
                <w:b/>
                <w:bCs/>
                <w:color w:val="000000" w:themeColor="text1"/>
              </w:rPr>
            </w:pPr>
            <w:r>
              <w:rPr>
                <w:rFonts w:eastAsia="Cambria"/>
                <w:b/>
                <w:bCs/>
                <w:color w:val="000000" w:themeColor="text1"/>
              </w:rPr>
              <w:t>(Length)</w:t>
            </w:r>
          </w:p>
        </w:tc>
        <w:tc>
          <w:tcPr>
            <w:tcW w:w="5386" w:type="dxa"/>
            <w:vMerge/>
            <w:vAlign w:val="center"/>
          </w:tcPr>
          <w:p w14:paraId="639031CF" w14:textId="77777777" w:rsidR="004F42BA" w:rsidRDefault="004F42BA" w:rsidP="00BF77EF">
            <w:pPr>
              <w:jc w:val="center"/>
              <w:rPr>
                <w:b/>
                <w:bCs/>
                <w:lang w:val="en-US"/>
              </w:rPr>
            </w:pPr>
          </w:p>
        </w:tc>
      </w:tr>
      <w:tr w:rsidR="004F42BA" w:rsidRPr="003504DA" w14:paraId="1C7A1CA4" w14:textId="77777777" w:rsidTr="00BF77EF">
        <w:tc>
          <w:tcPr>
            <w:tcW w:w="1276" w:type="dxa"/>
          </w:tcPr>
          <w:p w14:paraId="30BA5C6C" w14:textId="77777777" w:rsidR="004F42BA" w:rsidRPr="00767CE7" w:rsidRDefault="004F42BA" w:rsidP="00BF77EF">
            <w:pPr>
              <w:jc w:val="center"/>
              <w:rPr>
                <w:color w:val="000000" w:themeColor="text1"/>
                <w:lang w:val="en-US"/>
              </w:rPr>
            </w:pPr>
            <w:r>
              <w:rPr>
                <w:color w:val="000000" w:themeColor="text1"/>
                <w:lang w:val="en-US"/>
              </w:rPr>
              <w:t>1</w:t>
            </w:r>
          </w:p>
        </w:tc>
        <w:tc>
          <w:tcPr>
            <w:tcW w:w="1276" w:type="dxa"/>
          </w:tcPr>
          <w:p w14:paraId="78785D65" w14:textId="77777777" w:rsidR="004F42BA" w:rsidRPr="00767CE7" w:rsidRDefault="004F42BA" w:rsidP="00BF77EF">
            <w:pPr>
              <w:jc w:val="center"/>
              <w:rPr>
                <w:color w:val="000000" w:themeColor="text1"/>
                <w:lang w:val="en-US"/>
              </w:rPr>
            </w:pPr>
            <w:r>
              <w:rPr>
                <w:color w:val="000000" w:themeColor="text1"/>
                <w:lang w:val="en-US"/>
              </w:rPr>
              <w:t>-</w:t>
            </w:r>
          </w:p>
        </w:tc>
        <w:tc>
          <w:tcPr>
            <w:tcW w:w="5386" w:type="dxa"/>
          </w:tcPr>
          <w:p w14:paraId="7419CA7D" w14:textId="53688701" w:rsidR="004F42BA" w:rsidRPr="003504DA" w:rsidRDefault="004F42BA" w:rsidP="003D003E">
            <w:pPr>
              <w:jc w:val="center"/>
              <w:rPr>
                <w:color w:val="000000" w:themeColor="text1"/>
                <w:lang w:val="en-US"/>
              </w:rPr>
            </w:pPr>
            <w:r w:rsidRPr="003504DA">
              <w:rPr>
                <w:color w:val="000000" w:themeColor="text1"/>
                <w:lang w:val="en-US"/>
              </w:rPr>
              <w:t>Performance Based Standards Level 1</w:t>
            </w:r>
          </w:p>
        </w:tc>
      </w:tr>
      <w:tr w:rsidR="003D003E" w:rsidRPr="003504DA" w14:paraId="50314ABC" w14:textId="77777777" w:rsidTr="00BF77EF">
        <w:tc>
          <w:tcPr>
            <w:tcW w:w="1276" w:type="dxa"/>
          </w:tcPr>
          <w:p w14:paraId="2D7B16C7" w14:textId="6C101ED5" w:rsidR="003D003E" w:rsidRDefault="003D003E" w:rsidP="00BF77EF">
            <w:pPr>
              <w:jc w:val="center"/>
              <w:rPr>
                <w:color w:val="000000" w:themeColor="text1"/>
                <w:lang w:val="en-US"/>
              </w:rPr>
            </w:pPr>
            <w:r>
              <w:rPr>
                <w:color w:val="000000" w:themeColor="text1"/>
                <w:lang w:val="en-US"/>
              </w:rPr>
              <w:t>2</w:t>
            </w:r>
          </w:p>
        </w:tc>
        <w:tc>
          <w:tcPr>
            <w:tcW w:w="1276" w:type="dxa"/>
          </w:tcPr>
          <w:p w14:paraId="66259E5E" w14:textId="417BB9AE" w:rsidR="003D003E" w:rsidRDefault="003D003E" w:rsidP="00BF77EF">
            <w:pPr>
              <w:jc w:val="center"/>
              <w:rPr>
                <w:color w:val="000000" w:themeColor="text1"/>
                <w:lang w:val="en-US"/>
              </w:rPr>
            </w:pPr>
            <w:r>
              <w:rPr>
                <w:color w:val="000000" w:themeColor="text1"/>
                <w:lang w:val="en-US"/>
              </w:rPr>
              <w:t>A</w:t>
            </w:r>
          </w:p>
        </w:tc>
        <w:tc>
          <w:tcPr>
            <w:tcW w:w="5386" w:type="dxa"/>
          </w:tcPr>
          <w:p w14:paraId="4C396054" w14:textId="0BA255C3" w:rsidR="003D003E" w:rsidRPr="003504DA" w:rsidRDefault="005E1E74" w:rsidP="00BF77EF">
            <w:pPr>
              <w:jc w:val="center"/>
              <w:rPr>
                <w:color w:val="000000" w:themeColor="text1"/>
                <w:lang w:val="en-US"/>
              </w:rPr>
            </w:pPr>
            <w:r w:rsidRPr="003504DA">
              <w:rPr>
                <w:color w:val="000000" w:themeColor="text1"/>
                <w:lang w:val="en-US"/>
              </w:rPr>
              <w:t xml:space="preserve">Performance Based Standards Level </w:t>
            </w:r>
            <w:r>
              <w:rPr>
                <w:color w:val="000000" w:themeColor="text1"/>
                <w:lang w:val="en-US"/>
              </w:rPr>
              <w:t>2</w:t>
            </w:r>
            <w:r w:rsidR="00E656C7">
              <w:rPr>
                <w:color w:val="000000" w:themeColor="text1"/>
                <w:lang w:val="en-US"/>
              </w:rPr>
              <w:t>A</w:t>
            </w:r>
          </w:p>
        </w:tc>
      </w:tr>
    </w:tbl>
    <w:p w14:paraId="7EAF4FC6" w14:textId="77777777" w:rsidR="00FD17BA" w:rsidRPr="005E1E74" w:rsidRDefault="00FD17BA" w:rsidP="005E1E74">
      <w:pPr>
        <w:jc w:val="both"/>
        <w:rPr>
          <w:i/>
          <w:iCs/>
          <w:lang w:val="en-US"/>
        </w:rPr>
      </w:pPr>
    </w:p>
    <w:p w14:paraId="6954432F" w14:textId="1D2E18B0" w:rsidR="00833B41" w:rsidRDefault="00833B41" w:rsidP="00C96A23">
      <w:pPr>
        <w:pStyle w:val="ListParagraph"/>
        <w:numPr>
          <w:ilvl w:val="0"/>
          <w:numId w:val="30"/>
        </w:numPr>
        <w:jc w:val="both"/>
        <w:rPr>
          <w:lang w:val="en-US"/>
        </w:rPr>
      </w:pPr>
      <w:r>
        <w:rPr>
          <w:lang w:val="en-US"/>
        </w:rPr>
        <w:t>An eligible vehicle operating on a network under this section must comply with all road, vehicle and travel conditions that apply to that network at the time of travel.</w:t>
      </w:r>
    </w:p>
    <w:p w14:paraId="20879D62" w14:textId="77777777" w:rsidR="007C5B7D" w:rsidRDefault="007C5B7D" w:rsidP="007C5B7D">
      <w:pPr>
        <w:pStyle w:val="ListParagraph"/>
        <w:ind w:left="1080"/>
        <w:jc w:val="both"/>
        <w:rPr>
          <w:i/>
          <w:iCs/>
          <w:lang w:val="en-US"/>
        </w:rPr>
      </w:pPr>
    </w:p>
    <w:p w14:paraId="17E50867" w14:textId="079FAA2E" w:rsidR="00E768F2" w:rsidRDefault="007C5B7D" w:rsidP="00E768F2">
      <w:pPr>
        <w:pStyle w:val="ListParagraph"/>
        <w:ind w:left="2160" w:hanging="1080"/>
        <w:jc w:val="both"/>
        <w:rPr>
          <w:i/>
          <w:iCs/>
          <w:lang w:val="en-US"/>
        </w:rPr>
      </w:pPr>
      <w:r w:rsidRPr="007C5B7D">
        <w:rPr>
          <w:i/>
          <w:iCs/>
          <w:lang w:val="en-US"/>
        </w:rPr>
        <w:t>Note:</w:t>
      </w:r>
      <w:r w:rsidRPr="007C5B7D">
        <w:rPr>
          <w:i/>
          <w:iCs/>
          <w:lang w:val="en-US"/>
        </w:rPr>
        <w:tab/>
        <w:t xml:space="preserve">The networks in this section are maintained by the </w:t>
      </w:r>
      <w:r>
        <w:rPr>
          <w:i/>
          <w:iCs/>
          <w:lang w:val="en-US"/>
        </w:rPr>
        <w:t>Vic</w:t>
      </w:r>
      <w:r w:rsidR="00DE286F">
        <w:rPr>
          <w:i/>
          <w:iCs/>
          <w:lang w:val="en-US"/>
        </w:rPr>
        <w:t>toria</w:t>
      </w:r>
      <w:r w:rsidR="00474468">
        <w:rPr>
          <w:i/>
          <w:iCs/>
          <w:lang w:val="en-US"/>
        </w:rPr>
        <w:t>n</w:t>
      </w:r>
      <w:r w:rsidR="00DE286F">
        <w:rPr>
          <w:i/>
          <w:iCs/>
          <w:lang w:val="en-US"/>
        </w:rPr>
        <w:t xml:space="preserve"> Department of Transport</w:t>
      </w:r>
      <w:r w:rsidRPr="007C5B7D">
        <w:rPr>
          <w:i/>
          <w:iCs/>
          <w:lang w:val="en-US"/>
        </w:rPr>
        <w:t xml:space="preserve"> and are published on its website.</w:t>
      </w:r>
    </w:p>
    <w:p w14:paraId="1350613C" w14:textId="77777777" w:rsidR="00E768F2" w:rsidRPr="00E768F2" w:rsidRDefault="00E768F2" w:rsidP="00E768F2">
      <w:pPr>
        <w:pStyle w:val="ListParagraph"/>
        <w:ind w:left="2160" w:hanging="1080"/>
        <w:jc w:val="both"/>
        <w:rPr>
          <w:i/>
          <w:iCs/>
          <w:lang w:val="en-US"/>
        </w:rPr>
      </w:pPr>
    </w:p>
    <w:p w14:paraId="76D1A394" w14:textId="77777777" w:rsidR="00E768F2" w:rsidRDefault="00E768F2" w:rsidP="00C96A23">
      <w:pPr>
        <w:pStyle w:val="ListParagraph"/>
        <w:numPr>
          <w:ilvl w:val="0"/>
          <w:numId w:val="30"/>
        </w:numPr>
        <w:jc w:val="both"/>
      </w:pPr>
      <w:r>
        <w:t>The networks named in Column 2 of Table 1 are routes and areas under this authorisation Notice for the purposes of section 9.</w:t>
      </w:r>
    </w:p>
    <w:p w14:paraId="0EC162E9" w14:textId="77777777" w:rsidR="007C5B7D" w:rsidRDefault="007C5B7D" w:rsidP="007C5B7D">
      <w:pPr>
        <w:pStyle w:val="ListParagraph"/>
        <w:ind w:left="1080"/>
        <w:jc w:val="both"/>
        <w:rPr>
          <w:lang w:val="en-US"/>
        </w:rPr>
      </w:pPr>
    </w:p>
    <w:p w14:paraId="6642A0EF" w14:textId="77777777" w:rsidR="007C5B7D" w:rsidRPr="007C5B7D" w:rsidRDefault="007C5B7D" w:rsidP="007C5B7D">
      <w:pPr>
        <w:jc w:val="both"/>
        <w:rPr>
          <w:lang w:val="en-US"/>
        </w:rPr>
      </w:pPr>
    </w:p>
    <w:p w14:paraId="65137FF6" w14:textId="77777777" w:rsidR="002E0CB1" w:rsidRPr="002E0CB1" w:rsidRDefault="002E0CB1" w:rsidP="006667A2">
      <w:pPr>
        <w:jc w:val="both"/>
        <w:rPr>
          <w:i/>
          <w:iCs/>
          <w:lang w:val="en-US"/>
        </w:rPr>
      </w:pPr>
    </w:p>
    <w:sectPr w:rsidR="002E0CB1" w:rsidRPr="002E0CB1" w:rsidSect="00AF2790">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8A06" w14:textId="77777777" w:rsidR="00D251E5" w:rsidRDefault="00D251E5" w:rsidP="00AF360A">
      <w:pPr>
        <w:spacing w:after="0" w:line="240" w:lineRule="auto"/>
      </w:pPr>
      <w:r>
        <w:separator/>
      </w:r>
    </w:p>
  </w:endnote>
  <w:endnote w:type="continuationSeparator" w:id="0">
    <w:p w14:paraId="4DA3F2EF" w14:textId="77777777" w:rsidR="00D251E5" w:rsidRDefault="00D251E5" w:rsidP="00AF360A">
      <w:pPr>
        <w:spacing w:after="0" w:line="240" w:lineRule="auto"/>
      </w:pPr>
      <w:r>
        <w:continuationSeparator/>
      </w:r>
    </w:p>
  </w:endnote>
  <w:endnote w:type="continuationNotice" w:id="1">
    <w:p w14:paraId="4105FFDB" w14:textId="77777777" w:rsidR="00D251E5" w:rsidRDefault="00D25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869810"/>
      <w:docPartObj>
        <w:docPartGallery w:val="Page Numbers (Bottom of Page)"/>
        <w:docPartUnique/>
      </w:docPartObj>
    </w:sdtPr>
    <w:sdtEndPr/>
    <w:sdtContent>
      <w:sdt>
        <w:sdtPr>
          <w:id w:val="-1769616900"/>
          <w:docPartObj>
            <w:docPartGallery w:val="Page Numbers (Top of Page)"/>
            <w:docPartUnique/>
          </w:docPartObj>
        </w:sdtPr>
        <w:sdtEndPr/>
        <w:sdtContent>
          <w:p w14:paraId="21125A73" w14:textId="77777777" w:rsidR="00AF360A" w:rsidRDefault="00AF360A" w:rsidP="00AF360A">
            <w:pPr>
              <w:pStyle w:val="Footer"/>
              <w:jc w:val="right"/>
            </w:pPr>
          </w:p>
          <w:p w14:paraId="1B926A14" w14:textId="0D60D790" w:rsidR="00AF360A" w:rsidRPr="00AF360A" w:rsidRDefault="00AF360A" w:rsidP="00AF360A">
            <w:pPr>
              <w:pStyle w:val="Footer"/>
              <w:jc w:val="right"/>
            </w:pPr>
            <w:r w:rsidRPr="00AF360A">
              <w:rPr>
                <w:lang w:val="en-US"/>
              </w:rPr>
              <w:t xml:space="preserve">National Class 2 Performance Based Standards (Tier 1) </w:t>
            </w:r>
            <w:proofErr w:type="spellStart"/>
            <w:r w:rsidRPr="00AF360A">
              <w:rPr>
                <w:lang w:val="en-US"/>
              </w:rPr>
              <w:t>Authorisation</w:t>
            </w:r>
            <w:proofErr w:type="spellEnd"/>
            <w:r w:rsidRPr="00AF360A">
              <w:rPr>
                <w:lang w:val="en-US"/>
              </w:rPr>
              <w:t xml:space="preserve"> Notice 202</w:t>
            </w:r>
            <w:r w:rsidR="00261C4E">
              <w:rPr>
                <w:lang w:val="en-US"/>
              </w:rPr>
              <w:t>2</w:t>
            </w:r>
            <w:r w:rsidR="00426668">
              <w:rPr>
                <w:lang w:val="en-US"/>
              </w:rPr>
              <w:t xml:space="preserve"> (No.</w:t>
            </w:r>
            <w:r w:rsidR="00CE767E">
              <w:rPr>
                <w:lang w:val="en-US"/>
              </w:rPr>
              <w:t>1</w:t>
            </w:r>
            <w:r w:rsidR="00426668">
              <w:rPr>
                <w:lang w:val="en-US"/>
              </w:rPr>
              <w:t>)</w:t>
            </w:r>
          </w:p>
          <w:p w14:paraId="716F95CE" w14:textId="7D1EA44F" w:rsidR="00AF360A" w:rsidRDefault="00AF360A" w:rsidP="00AF36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330384"/>
      <w:docPartObj>
        <w:docPartGallery w:val="Page Numbers (Top of Page)"/>
        <w:docPartUnique/>
      </w:docPartObj>
    </w:sdtPr>
    <w:sdtEndPr/>
    <w:sdtContent>
      <w:p w14:paraId="27084524" w14:textId="77777777" w:rsidR="00AF2790" w:rsidRDefault="00AF2790" w:rsidP="00AF2790">
        <w:pPr>
          <w:pStyle w:val="Footer"/>
          <w:jc w:val="right"/>
        </w:pPr>
      </w:p>
      <w:p w14:paraId="03514701" w14:textId="3BB01D59" w:rsidR="00AF2790" w:rsidRPr="00AF360A" w:rsidRDefault="00AF2790" w:rsidP="00AF2790">
        <w:pPr>
          <w:pStyle w:val="Footer"/>
          <w:jc w:val="right"/>
        </w:pPr>
        <w:r w:rsidRPr="00AF360A">
          <w:rPr>
            <w:lang w:val="en-US"/>
          </w:rPr>
          <w:t xml:space="preserve">National Class 2 Performance Based Standards (Tier 1) </w:t>
        </w:r>
        <w:proofErr w:type="spellStart"/>
        <w:r w:rsidRPr="00AF360A">
          <w:rPr>
            <w:lang w:val="en-US"/>
          </w:rPr>
          <w:t>Authorisation</w:t>
        </w:r>
        <w:proofErr w:type="spellEnd"/>
        <w:r w:rsidRPr="00AF360A">
          <w:rPr>
            <w:lang w:val="en-US"/>
          </w:rPr>
          <w:t xml:space="preserve"> Notice 202</w:t>
        </w:r>
        <w:r w:rsidR="00261C4E">
          <w:rPr>
            <w:lang w:val="en-US"/>
          </w:rPr>
          <w:t>2</w:t>
        </w:r>
        <w:r>
          <w:rPr>
            <w:lang w:val="en-US"/>
          </w:rPr>
          <w:t xml:space="preserve"> (No.</w:t>
        </w:r>
        <w:r w:rsidR="00CE767E">
          <w:rPr>
            <w:lang w:val="en-US"/>
          </w:rPr>
          <w:t>1</w:t>
        </w:r>
        <w:r>
          <w:rPr>
            <w:lang w:val="en-US"/>
          </w:rPr>
          <w:t>)</w:t>
        </w:r>
      </w:p>
      <w:p w14:paraId="0CE5EAD5" w14:textId="16A8A237" w:rsidR="00AF2790" w:rsidRDefault="00AF2790" w:rsidP="00AF27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A8D1" w14:textId="77777777" w:rsidR="00D251E5" w:rsidRDefault="00D251E5" w:rsidP="00AF360A">
      <w:pPr>
        <w:spacing w:after="0" w:line="240" w:lineRule="auto"/>
      </w:pPr>
      <w:r>
        <w:separator/>
      </w:r>
    </w:p>
  </w:footnote>
  <w:footnote w:type="continuationSeparator" w:id="0">
    <w:p w14:paraId="3B1ED6DB" w14:textId="77777777" w:rsidR="00D251E5" w:rsidRDefault="00D251E5" w:rsidP="00AF360A">
      <w:pPr>
        <w:spacing w:after="0" w:line="240" w:lineRule="auto"/>
      </w:pPr>
      <w:r>
        <w:continuationSeparator/>
      </w:r>
    </w:p>
  </w:footnote>
  <w:footnote w:type="continuationNotice" w:id="1">
    <w:p w14:paraId="1D06CBAF" w14:textId="77777777" w:rsidR="00D251E5" w:rsidRDefault="00D25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AF2790" w:rsidRPr="00CE796A" w14:paraId="748E180B" w14:textId="77777777" w:rsidTr="0086690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417227E" w14:textId="77777777" w:rsidR="00AF2790" w:rsidRPr="00CE796A" w:rsidRDefault="00AF2790" w:rsidP="00AF2790">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4EA79290" wp14:editId="0DAE6AF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6931190" w14:textId="77777777" w:rsidR="00AF2790" w:rsidRPr="00CE796A" w:rsidRDefault="00AF2790" w:rsidP="00AF2790">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315C0B2" w14:textId="77777777" w:rsidR="00AF2790" w:rsidRPr="00CE796A" w:rsidRDefault="00AF2790" w:rsidP="00AF2790">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F2790" w:rsidRPr="00CE796A" w14:paraId="72FF7E92" w14:textId="77777777" w:rsidTr="0086690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A3D64B9" w14:textId="77777777" w:rsidR="00AF2790" w:rsidRPr="00CE796A" w:rsidRDefault="00AF2790" w:rsidP="00AF2790">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4DC806" w14:textId="77777777" w:rsidR="00AF2790" w:rsidRPr="00840A06" w:rsidRDefault="00AF2790" w:rsidP="00AF2790">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410FFDA" w14:textId="77777777" w:rsidR="00BA6826" w:rsidRDefault="00BA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5F0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CF1A1C"/>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F664E4"/>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0B38D7"/>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4B4278"/>
    <w:multiLevelType w:val="hybridMultilevel"/>
    <w:tmpl w:val="61103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BE4D50"/>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22C67F1"/>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AE2D18"/>
    <w:multiLevelType w:val="hybridMultilevel"/>
    <w:tmpl w:val="D52EF4F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52973B9"/>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C40074"/>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6473FD"/>
    <w:multiLevelType w:val="hybridMultilevel"/>
    <w:tmpl w:val="9B00D55E"/>
    <w:lvl w:ilvl="0" w:tplc="B652FEBC">
      <w:start w:val="1"/>
      <w:numFmt w:val="decimal"/>
      <w:lvlText w:val="(%1)"/>
      <w:lvlJc w:val="left"/>
      <w:pPr>
        <w:ind w:left="108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B9F5DCE"/>
    <w:multiLevelType w:val="hybridMultilevel"/>
    <w:tmpl w:val="FCD8B2E8"/>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AA0058"/>
    <w:multiLevelType w:val="hybridMultilevel"/>
    <w:tmpl w:val="643810B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CF402D2"/>
    <w:multiLevelType w:val="hybridMultilevel"/>
    <w:tmpl w:val="B092696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D6A1F62"/>
    <w:multiLevelType w:val="hybridMultilevel"/>
    <w:tmpl w:val="52782E8E"/>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166075E"/>
    <w:multiLevelType w:val="hybridMultilevel"/>
    <w:tmpl w:val="72B29E0E"/>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A97278E"/>
    <w:multiLevelType w:val="hybridMultilevel"/>
    <w:tmpl w:val="406E1F5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AEB29E5"/>
    <w:multiLevelType w:val="hybridMultilevel"/>
    <w:tmpl w:val="D936892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55706A6"/>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B1015C8"/>
    <w:multiLevelType w:val="hybridMultilevel"/>
    <w:tmpl w:val="55C843E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E4D4FE6"/>
    <w:multiLevelType w:val="hybridMultilevel"/>
    <w:tmpl w:val="D08E8338"/>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1F214ED"/>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9451E14"/>
    <w:multiLevelType w:val="hybridMultilevel"/>
    <w:tmpl w:val="F260CCC6"/>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4C6CEF"/>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3CE5A2E"/>
    <w:multiLevelType w:val="hybridMultilevel"/>
    <w:tmpl w:val="9B00D55E"/>
    <w:lvl w:ilvl="0" w:tplc="B652FEBC">
      <w:start w:val="1"/>
      <w:numFmt w:val="decimal"/>
      <w:lvlText w:val="(%1)"/>
      <w:lvlJc w:val="left"/>
      <w:pPr>
        <w:ind w:left="108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652FEBC">
      <w:start w:val="1"/>
      <w:numFmt w:val="decimal"/>
      <w:lvlText w:val="(%2)"/>
      <w:lvlJc w:val="left"/>
      <w:pPr>
        <w:ind w:left="1800" w:hanging="360"/>
      </w:pPr>
      <w:rPr>
        <w:rFonts w:ascii="Calibri" w:eastAsia="Times New Roman" w:hAnsi="Calibri" w:cstheme="minorBidi"/>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3E70046"/>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DF681E"/>
    <w:multiLevelType w:val="hybridMultilevel"/>
    <w:tmpl w:val="5F5E0C7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F24322C"/>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3725E9D"/>
    <w:multiLevelType w:val="hybridMultilevel"/>
    <w:tmpl w:val="E112060C"/>
    <w:lvl w:ilvl="0" w:tplc="4640557E">
      <w:start w:val="1"/>
      <w:numFmt w:val="lowerLetter"/>
      <w:lvlText w:val="%1)"/>
      <w:lvlJc w:val="left"/>
      <w:pPr>
        <w:ind w:left="1800" w:hanging="360"/>
      </w:pPr>
      <w:rPr>
        <w:i w:val="0"/>
        <w:iCs w:val="0"/>
      </w:rPr>
    </w:lvl>
    <w:lvl w:ilvl="1" w:tplc="0C090017">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3797464"/>
    <w:multiLevelType w:val="hybridMultilevel"/>
    <w:tmpl w:val="4CA24CD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427793B"/>
    <w:multiLevelType w:val="hybridMultilevel"/>
    <w:tmpl w:val="16F41422"/>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C7D45EE"/>
    <w:multiLevelType w:val="hybridMultilevel"/>
    <w:tmpl w:val="1B5C1456"/>
    <w:lvl w:ilvl="0" w:tplc="0C090011">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ED94EE8"/>
    <w:multiLevelType w:val="hybridMultilevel"/>
    <w:tmpl w:val="5934A848"/>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92725E1"/>
    <w:multiLevelType w:val="hybridMultilevel"/>
    <w:tmpl w:val="A5F2A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6355054">
    <w:abstractNumId w:val="8"/>
  </w:num>
  <w:num w:numId="2" w16cid:durableId="156768647">
    <w:abstractNumId w:val="13"/>
  </w:num>
  <w:num w:numId="3" w16cid:durableId="1712532176">
    <w:abstractNumId w:val="34"/>
  </w:num>
  <w:num w:numId="4" w16cid:durableId="1907062557">
    <w:abstractNumId w:val="6"/>
  </w:num>
  <w:num w:numId="5" w16cid:durableId="150491019">
    <w:abstractNumId w:val="9"/>
  </w:num>
  <w:num w:numId="6" w16cid:durableId="1522627740">
    <w:abstractNumId w:val="4"/>
  </w:num>
  <w:num w:numId="7" w16cid:durableId="2147043352">
    <w:abstractNumId w:val="2"/>
  </w:num>
  <w:num w:numId="8" w16cid:durableId="88625095">
    <w:abstractNumId w:val="29"/>
  </w:num>
  <w:num w:numId="9" w16cid:durableId="1014502800">
    <w:abstractNumId w:val="10"/>
  </w:num>
  <w:num w:numId="10" w16cid:durableId="1157190039">
    <w:abstractNumId w:val="28"/>
  </w:num>
  <w:num w:numId="11" w16cid:durableId="1266697411">
    <w:abstractNumId w:val="7"/>
  </w:num>
  <w:num w:numId="12" w16cid:durableId="489685258">
    <w:abstractNumId w:val="30"/>
  </w:num>
  <w:num w:numId="13" w16cid:durableId="1352611059">
    <w:abstractNumId w:val="24"/>
  </w:num>
  <w:num w:numId="14" w16cid:durableId="1356736522">
    <w:abstractNumId w:val="25"/>
  </w:num>
  <w:num w:numId="15" w16cid:durableId="372771560">
    <w:abstractNumId w:val="17"/>
  </w:num>
  <w:num w:numId="16" w16cid:durableId="1525825039">
    <w:abstractNumId w:val="11"/>
  </w:num>
  <w:num w:numId="17" w16cid:durableId="823273944">
    <w:abstractNumId w:val="21"/>
  </w:num>
  <w:num w:numId="18" w16cid:durableId="1797138737">
    <w:abstractNumId w:val="14"/>
  </w:num>
  <w:num w:numId="19" w16cid:durableId="1797942310">
    <w:abstractNumId w:val="18"/>
  </w:num>
  <w:num w:numId="20" w16cid:durableId="666902003">
    <w:abstractNumId w:val="15"/>
  </w:num>
  <w:num w:numId="21" w16cid:durableId="198317841">
    <w:abstractNumId w:val="1"/>
  </w:num>
  <w:num w:numId="22" w16cid:durableId="1125152271">
    <w:abstractNumId w:val="3"/>
  </w:num>
  <w:num w:numId="23" w16cid:durableId="759107515">
    <w:abstractNumId w:val="0"/>
  </w:num>
  <w:num w:numId="24" w16cid:durableId="1196426877">
    <w:abstractNumId w:val="19"/>
  </w:num>
  <w:num w:numId="25" w16cid:durableId="1713115660">
    <w:abstractNumId w:val="33"/>
  </w:num>
  <w:num w:numId="26" w16cid:durableId="164396537">
    <w:abstractNumId w:val="22"/>
  </w:num>
  <w:num w:numId="27" w16cid:durableId="140706146">
    <w:abstractNumId w:val="16"/>
  </w:num>
  <w:num w:numId="28" w16cid:durableId="1093091935">
    <w:abstractNumId w:val="20"/>
  </w:num>
  <w:num w:numId="29" w16cid:durableId="1705054659">
    <w:abstractNumId w:val="27"/>
  </w:num>
  <w:num w:numId="30" w16cid:durableId="1650746484">
    <w:abstractNumId w:val="12"/>
  </w:num>
  <w:num w:numId="31" w16cid:durableId="213006253">
    <w:abstractNumId w:val="26"/>
  </w:num>
  <w:num w:numId="32" w16cid:durableId="1778333587">
    <w:abstractNumId w:val="5"/>
  </w:num>
  <w:num w:numId="33" w16cid:durableId="2004426041">
    <w:abstractNumId w:val="32"/>
  </w:num>
  <w:num w:numId="34" w16cid:durableId="522208175">
    <w:abstractNumId w:val="31"/>
  </w:num>
  <w:num w:numId="35" w16cid:durableId="82909650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9F"/>
    <w:rsid w:val="000000EF"/>
    <w:rsid w:val="00002A37"/>
    <w:rsid w:val="00002CFE"/>
    <w:rsid w:val="00003059"/>
    <w:rsid w:val="000031FC"/>
    <w:rsid w:val="000049FC"/>
    <w:rsid w:val="000135F9"/>
    <w:rsid w:val="000138E4"/>
    <w:rsid w:val="000162F0"/>
    <w:rsid w:val="0001746A"/>
    <w:rsid w:val="000204DC"/>
    <w:rsid w:val="0002119F"/>
    <w:rsid w:val="00022609"/>
    <w:rsid w:val="00025111"/>
    <w:rsid w:val="000273D4"/>
    <w:rsid w:val="0003214A"/>
    <w:rsid w:val="000334A8"/>
    <w:rsid w:val="00035AAF"/>
    <w:rsid w:val="00042B4F"/>
    <w:rsid w:val="0005162E"/>
    <w:rsid w:val="00052119"/>
    <w:rsid w:val="00056ACC"/>
    <w:rsid w:val="00057469"/>
    <w:rsid w:val="0006016D"/>
    <w:rsid w:val="000611F9"/>
    <w:rsid w:val="00065E67"/>
    <w:rsid w:val="00067A0C"/>
    <w:rsid w:val="00072E74"/>
    <w:rsid w:val="00076FAF"/>
    <w:rsid w:val="00082F89"/>
    <w:rsid w:val="00084AFA"/>
    <w:rsid w:val="00087AC9"/>
    <w:rsid w:val="000909F1"/>
    <w:rsid w:val="00091764"/>
    <w:rsid w:val="00095FAF"/>
    <w:rsid w:val="00096992"/>
    <w:rsid w:val="00096C13"/>
    <w:rsid w:val="000A0ED8"/>
    <w:rsid w:val="000A1FFE"/>
    <w:rsid w:val="000A3CC5"/>
    <w:rsid w:val="000A42C5"/>
    <w:rsid w:val="000A62CE"/>
    <w:rsid w:val="000A79B9"/>
    <w:rsid w:val="000B0CFB"/>
    <w:rsid w:val="000B1CE2"/>
    <w:rsid w:val="000B227A"/>
    <w:rsid w:val="000B4201"/>
    <w:rsid w:val="000B4484"/>
    <w:rsid w:val="000B6923"/>
    <w:rsid w:val="000B6E75"/>
    <w:rsid w:val="000B7368"/>
    <w:rsid w:val="000C1767"/>
    <w:rsid w:val="000D3737"/>
    <w:rsid w:val="000D4381"/>
    <w:rsid w:val="000D4C0F"/>
    <w:rsid w:val="000D5DDA"/>
    <w:rsid w:val="000E17A1"/>
    <w:rsid w:val="000E696B"/>
    <w:rsid w:val="000F0956"/>
    <w:rsid w:val="000F1B2E"/>
    <w:rsid w:val="000F343D"/>
    <w:rsid w:val="000F36ED"/>
    <w:rsid w:val="000F65D7"/>
    <w:rsid w:val="00101D90"/>
    <w:rsid w:val="00103745"/>
    <w:rsid w:val="00105472"/>
    <w:rsid w:val="00105492"/>
    <w:rsid w:val="00105E85"/>
    <w:rsid w:val="00106C7E"/>
    <w:rsid w:val="00107BA2"/>
    <w:rsid w:val="00107EAD"/>
    <w:rsid w:val="00111395"/>
    <w:rsid w:val="0011144F"/>
    <w:rsid w:val="00113953"/>
    <w:rsid w:val="001155D9"/>
    <w:rsid w:val="00116618"/>
    <w:rsid w:val="00121BE2"/>
    <w:rsid w:val="00121BF8"/>
    <w:rsid w:val="001222B1"/>
    <w:rsid w:val="00122F89"/>
    <w:rsid w:val="0012410C"/>
    <w:rsid w:val="00126901"/>
    <w:rsid w:val="00130016"/>
    <w:rsid w:val="001371AA"/>
    <w:rsid w:val="00137736"/>
    <w:rsid w:val="00144359"/>
    <w:rsid w:val="00145616"/>
    <w:rsid w:val="0015085A"/>
    <w:rsid w:val="00150ED4"/>
    <w:rsid w:val="00154760"/>
    <w:rsid w:val="00155125"/>
    <w:rsid w:val="0016079C"/>
    <w:rsid w:val="00162A44"/>
    <w:rsid w:val="001648D1"/>
    <w:rsid w:val="00164BEB"/>
    <w:rsid w:val="00167906"/>
    <w:rsid w:val="00170263"/>
    <w:rsid w:val="00170FA0"/>
    <w:rsid w:val="00177DB0"/>
    <w:rsid w:val="0018426A"/>
    <w:rsid w:val="001908B7"/>
    <w:rsid w:val="00190E79"/>
    <w:rsid w:val="00194F8A"/>
    <w:rsid w:val="001A47C2"/>
    <w:rsid w:val="001A5F53"/>
    <w:rsid w:val="001B1551"/>
    <w:rsid w:val="001B1C1C"/>
    <w:rsid w:val="001B283D"/>
    <w:rsid w:val="001B673A"/>
    <w:rsid w:val="001C1DC6"/>
    <w:rsid w:val="001C2037"/>
    <w:rsid w:val="001C28AB"/>
    <w:rsid w:val="001C3A56"/>
    <w:rsid w:val="001D0A26"/>
    <w:rsid w:val="001D10EE"/>
    <w:rsid w:val="001D5D74"/>
    <w:rsid w:val="001D5ECF"/>
    <w:rsid w:val="001E0245"/>
    <w:rsid w:val="001E1F53"/>
    <w:rsid w:val="001E359F"/>
    <w:rsid w:val="001E7122"/>
    <w:rsid w:val="001E7F0F"/>
    <w:rsid w:val="001F2301"/>
    <w:rsid w:val="001F25B2"/>
    <w:rsid w:val="001F2FCC"/>
    <w:rsid w:val="001F374B"/>
    <w:rsid w:val="001F3CCC"/>
    <w:rsid w:val="001F4F65"/>
    <w:rsid w:val="001F57DC"/>
    <w:rsid w:val="001F5A9C"/>
    <w:rsid w:val="001F6365"/>
    <w:rsid w:val="001F6CC3"/>
    <w:rsid w:val="001F6F62"/>
    <w:rsid w:val="001F7B66"/>
    <w:rsid w:val="00203855"/>
    <w:rsid w:val="00204581"/>
    <w:rsid w:val="00207016"/>
    <w:rsid w:val="00212D82"/>
    <w:rsid w:val="0021690D"/>
    <w:rsid w:val="00216D0A"/>
    <w:rsid w:val="0022171D"/>
    <w:rsid w:val="0022209A"/>
    <w:rsid w:val="002226C8"/>
    <w:rsid w:val="00225B97"/>
    <w:rsid w:val="00230C90"/>
    <w:rsid w:val="00233719"/>
    <w:rsid w:val="00233E31"/>
    <w:rsid w:val="00234693"/>
    <w:rsid w:val="0023484E"/>
    <w:rsid w:val="0023589A"/>
    <w:rsid w:val="00242893"/>
    <w:rsid w:val="002479C1"/>
    <w:rsid w:val="0025035D"/>
    <w:rsid w:val="00252419"/>
    <w:rsid w:val="00252679"/>
    <w:rsid w:val="00253AE0"/>
    <w:rsid w:val="00254234"/>
    <w:rsid w:val="00254DE8"/>
    <w:rsid w:val="002605B0"/>
    <w:rsid w:val="002609C8"/>
    <w:rsid w:val="00261C4E"/>
    <w:rsid w:val="00262764"/>
    <w:rsid w:val="00262A5F"/>
    <w:rsid w:val="002633C0"/>
    <w:rsid w:val="002642A9"/>
    <w:rsid w:val="00264FF2"/>
    <w:rsid w:val="00270097"/>
    <w:rsid w:val="00271C74"/>
    <w:rsid w:val="00272BD8"/>
    <w:rsid w:val="0027654A"/>
    <w:rsid w:val="0028178F"/>
    <w:rsid w:val="0028520C"/>
    <w:rsid w:val="00285342"/>
    <w:rsid w:val="0028570D"/>
    <w:rsid w:val="0029171A"/>
    <w:rsid w:val="00294B57"/>
    <w:rsid w:val="00294E74"/>
    <w:rsid w:val="00297DAD"/>
    <w:rsid w:val="002A4DD9"/>
    <w:rsid w:val="002B0046"/>
    <w:rsid w:val="002B2A18"/>
    <w:rsid w:val="002B332B"/>
    <w:rsid w:val="002B3B78"/>
    <w:rsid w:val="002B437C"/>
    <w:rsid w:val="002B4A9A"/>
    <w:rsid w:val="002B5CFB"/>
    <w:rsid w:val="002C7A1E"/>
    <w:rsid w:val="002D1664"/>
    <w:rsid w:val="002D43C2"/>
    <w:rsid w:val="002D43F6"/>
    <w:rsid w:val="002E03E3"/>
    <w:rsid w:val="002E0CB1"/>
    <w:rsid w:val="002E628C"/>
    <w:rsid w:val="002E7191"/>
    <w:rsid w:val="002F3E9E"/>
    <w:rsid w:val="002F4937"/>
    <w:rsid w:val="002F65E9"/>
    <w:rsid w:val="003022B0"/>
    <w:rsid w:val="00303BC3"/>
    <w:rsid w:val="0031000F"/>
    <w:rsid w:val="0031188F"/>
    <w:rsid w:val="00312773"/>
    <w:rsid w:val="00313A56"/>
    <w:rsid w:val="00315D41"/>
    <w:rsid w:val="0031608E"/>
    <w:rsid w:val="00320FAB"/>
    <w:rsid w:val="00323DC3"/>
    <w:rsid w:val="00323E7F"/>
    <w:rsid w:val="00325799"/>
    <w:rsid w:val="003311EF"/>
    <w:rsid w:val="0033177E"/>
    <w:rsid w:val="00332B1E"/>
    <w:rsid w:val="003337DD"/>
    <w:rsid w:val="00334D52"/>
    <w:rsid w:val="0034332F"/>
    <w:rsid w:val="003504DA"/>
    <w:rsid w:val="003518D1"/>
    <w:rsid w:val="00352A05"/>
    <w:rsid w:val="00361F12"/>
    <w:rsid w:val="00370349"/>
    <w:rsid w:val="003748DE"/>
    <w:rsid w:val="003751AD"/>
    <w:rsid w:val="00375B82"/>
    <w:rsid w:val="00383125"/>
    <w:rsid w:val="00387315"/>
    <w:rsid w:val="003912C1"/>
    <w:rsid w:val="00391535"/>
    <w:rsid w:val="00392835"/>
    <w:rsid w:val="00394580"/>
    <w:rsid w:val="00394EE6"/>
    <w:rsid w:val="0039627A"/>
    <w:rsid w:val="00396EF7"/>
    <w:rsid w:val="003A0823"/>
    <w:rsid w:val="003A112A"/>
    <w:rsid w:val="003A13B2"/>
    <w:rsid w:val="003A1D9D"/>
    <w:rsid w:val="003A287F"/>
    <w:rsid w:val="003A4D07"/>
    <w:rsid w:val="003A6C77"/>
    <w:rsid w:val="003B0C56"/>
    <w:rsid w:val="003B132F"/>
    <w:rsid w:val="003B3D36"/>
    <w:rsid w:val="003B6DA9"/>
    <w:rsid w:val="003C19BD"/>
    <w:rsid w:val="003C3B65"/>
    <w:rsid w:val="003C43EC"/>
    <w:rsid w:val="003C478E"/>
    <w:rsid w:val="003C66EA"/>
    <w:rsid w:val="003C6DC1"/>
    <w:rsid w:val="003C7B7A"/>
    <w:rsid w:val="003D003E"/>
    <w:rsid w:val="003D53AE"/>
    <w:rsid w:val="003D580D"/>
    <w:rsid w:val="003D6544"/>
    <w:rsid w:val="003D7C9B"/>
    <w:rsid w:val="003E0663"/>
    <w:rsid w:val="003E1387"/>
    <w:rsid w:val="003E2543"/>
    <w:rsid w:val="003E2CD1"/>
    <w:rsid w:val="003E37A3"/>
    <w:rsid w:val="003E67DD"/>
    <w:rsid w:val="003E727E"/>
    <w:rsid w:val="003E7546"/>
    <w:rsid w:val="003F010F"/>
    <w:rsid w:val="003F147E"/>
    <w:rsid w:val="003F24DA"/>
    <w:rsid w:val="003F3B25"/>
    <w:rsid w:val="003F3E78"/>
    <w:rsid w:val="003F4A20"/>
    <w:rsid w:val="003F6458"/>
    <w:rsid w:val="003F6B45"/>
    <w:rsid w:val="003F6F92"/>
    <w:rsid w:val="00401D64"/>
    <w:rsid w:val="00403067"/>
    <w:rsid w:val="004074C4"/>
    <w:rsid w:val="004127C8"/>
    <w:rsid w:val="004155DD"/>
    <w:rsid w:val="004159BC"/>
    <w:rsid w:val="00415F61"/>
    <w:rsid w:val="00425A0E"/>
    <w:rsid w:val="00426668"/>
    <w:rsid w:val="0043738D"/>
    <w:rsid w:val="00437619"/>
    <w:rsid w:val="004414EA"/>
    <w:rsid w:val="00443028"/>
    <w:rsid w:val="00443A92"/>
    <w:rsid w:val="0044492D"/>
    <w:rsid w:val="00451603"/>
    <w:rsid w:val="004660B8"/>
    <w:rsid w:val="0047351A"/>
    <w:rsid w:val="00474468"/>
    <w:rsid w:val="00474913"/>
    <w:rsid w:val="00474AAC"/>
    <w:rsid w:val="00475A33"/>
    <w:rsid w:val="00475BFB"/>
    <w:rsid w:val="004761D4"/>
    <w:rsid w:val="004828D0"/>
    <w:rsid w:val="004830C7"/>
    <w:rsid w:val="00484D26"/>
    <w:rsid w:val="004879E3"/>
    <w:rsid w:val="00487F38"/>
    <w:rsid w:val="004909F1"/>
    <w:rsid w:val="0049107E"/>
    <w:rsid w:val="00491EBC"/>
    <w:rsid w:val="0049342A"/>
    <w:rsid w:val="00494D65"/>
    <w:rsid w:val="00495CF0"/>
    <w:rsid w:val="00497B05"/>
    <w:rsid w:val="004A09EA"/>
    <w:rsid w:val="004A4C19"/>
    <w:rsid w:val="004A5717"/>
    <w:rsid w:val="004B10BF"/>
    <w:rsid w:val="004B117A"/>
    <w:rsid w:val="004B245C"/>
    <w:rsid w:val="004B2777"/>
    <w:rsid w:val="004B4ED9"/>
    <w:rsid w:val="004B5C8D"/>
    <w:rsid w:val="004B7363"/>
    <w:rsid w:val="004C6392"/>
    <w:rsid w:val="004D43F6"/>
    <w:rsid w:val="004D5EBA"/>
    <w:rsid w:val="004E0708"/>
    <w:rsid w:val="004E0CA2"/>
    <w:rsid w:val="004E56F5"/>
    <w:rsid w:val="004E6F18"/>
    <w:rsid w:val="004F19D0"/>
    <w:rsid w:val="004F42BA"/>
    <w:rsid w:val="005016FF"/>
    <w:rsid w:val="005054A8"/>
    <w:rsid w:val="00505EC0"/>
    <w:rsid w:val="00512E6C"/>
    <w:rsid w:val="005141BB"/>
    <w:rsid w:val="00517208"/>
    <w:rsid w:val="005215C0"/>
    <w:rsid w:val="00524838"/>
    <w:rsid w:val="00525CC8"/>
    <w:rsid w:val="00526FB4"/>
    <w:rsid w:val="0053259B"/>
    <w:rsid w:val="00542194"/>
    <w:rsid w:val="00543EE6"/>
    <w:rsid w:val="0054480C"/>
    <w:rsid w:val="0055470E"/>
    <w:rsid w:val="0055508E"/>
    <w:rsid w:val="005551FD"/>
    <w:rsid w:val="00557B5D"/>
    <w:rsid w:val="0056125B"/>
    <w:rsid w:val="00561831"/>
    <w:rsid w:val="00561A6B"/>
    <w:rsid w:val="00561F8C"/>
    <w:rsid w:val="00563E93"/>
    <w:rsid w:val="00565D43"/>
    <w:rsid w:val="00570BB5"/>
    <w:rsid w:val="0057246B"/>
    <w:rsid w:val="005725DB"/>
    <w:rsid w:val="00572EAC"/>
    <w:rsid w:val="00573322"/>
    <w:rsid w:val="00573524"/>
    <w:rsid w:val="005735B5"/>
    <w:rsid w:val="005757DA"/>
    <w:rsid w:val="00580BEB"/>
    <w:rsid w:val="00587071"/>
    <w:rsid w:val="00587AFB"/>
    <w:rsid w:val="005901ED"/>
    <w:rsid w:val="0059166F"/>
    <w:rsid w:val="00594CB3"/>
    <w:rsid w:val="005954FF"/>
    <w:rsid w:val="00596D54"/>
    <w:rsid w:val="00596EF7"/>
    <w:rsid w:val="005A2598"/>
    <w:rsid w:val="005A44E3"/>
    <w:rsid w:val="005A5984"/>
    <w:rsid w:val="005B0531"/>
    <w:rsid w:val="005B3570"/>
    <w:rsid w:val="005B3A22"/>
    <w:rsid w:val="005B5052"/>
    <w:rsid w:val="005C1CF5"/>
    <w:rsid w:val="005C79BF"/>
    <w:rsid w:val="005D3F18"/>
    <w:rsid w:val="005D5317"/>
    <w:rsid w:val="005E045B"/>
    <w:rsid w:val="005E0587"/>
    <w:rsid w:val="005E1E74"/>
    <w:rsid w:val="005E37F2"/>
    <w:rsid w:val="005E484C"/>
    <w:rsid w:val="005E7129"/>
    <w:rsid w:val="005F130E"/>
    <w:rsid w:val="005F339C"/>
    <w:rsid w:val="005F3FA3"/>
    <w:rsid w:val="005F4AE5"/>
    <w:rsid w:val="005F5D79"/>
    <w:rsid w:val="005F6C6E"/>
    <w:rsid w:val="0060185E"/>
    <w:rsid w:val="00601C03"/>
    <w:rsid w:val="00604339"/>
    <w:rsid w:val="006107AA"/>
    <w:rsid w:val="00612217"/>
    <w:rsid w:val="00612322"/>
    <w:rsid w:val="00613558"/>
    <w:rsid w:val="00615ABA"/>
    <w:rsid w:val="00616D51"/>
    <w:rsid w:val="006263BA"/>
    <w:rsid w:val="00637D73"/>
    <w:rsid w:val="006433D0"/>
    <w:rsid w:val="00644C50"/>
    <w:rsid w:val="00646A05"/>
    <w:rsid w:val="00652938"/>
    <w:rsid w:val="00654389"/>
    <w:rsid w:val="00654E70"/>
    <w:rsid w:val="00655975"/>
    <w:rsid w:val="00656136"/>
    <w:rsid w:val="00656462"/>
    <w:rsid w:val="00660789"/>
    <w:rsid w:val="006667A2"/>
    <w:rsid w:val="0067470E"/>
    <w:rsid w:val="006767B3"/>
    <w:rsid w:val="0068039F"/>
    <w:rsid w:val="0068183E"/>
    <w:rsid w:val="00685FF4"/>
    <w:rsid w:val="00686DF9"/>
    <w:rsid w:val="0068738A"/>
    <w:rsid w:val="00687770"/>
    <w:rsid w:val="00690468"/>
    <w:rsid w:val="00691A61"/>
    <w:rsid w:val="00691E95"/>
    <w:rsid w:val="0069280D"/>
    <w:rsid w:val="006956F2"/>
    <w:rsid w:val="00697D74"/>
    <w:rsid w:val="006A04C5"/>
    <w:rsid w:val="006A0F0F"/>
    <w:rsid w:val="006A31DC"/>
    <w:rsid w:val="006A32C8"/>
    <w:rsid w:val="006A393C"/>
    <w:rsid w:val="006A5514"/>
    <w:rsid w:val="006B03FD"/>
    <w:rsid w:val="006B0536"/>
    <w:rsid w:val="006B0B4B"/>
    <w:rsid w:val="006B1337"/>
    <w:rsid w:val="006B4028"/>
    <w:rsid w:val="006B4FFA"/>
    <w:rsid w:val="006B7B17"/>
    <w:rsid w:val="006B7E5F"/>
    <w:rsid w:val="006C0056"/>
    <w:rsid w:val="006C4D02"/>
    <w:rsid w:val="006C7802"/>
    <w:rsid w:val="006D05F4"/>
    <w:rsid w:val="006D14DB"/>
    <w:rsid w:val="006E0329"/>
    <w:rsid w:val="006E1D22"/>
    <w:rsid w:val="006E667B"/>
    <w:rsid w:val="006E6ED6"/>
    <w:rsid w:val="006F1A2A"/>
    <w:rsid w:val="006F2C4F"/>
    <w:rsid w:val="006F3B53"/>
    <w:rsid w:val="006F3E22"/>
    <w:rsid w:val="006F66BC"/>
    <w:rsid w:val="00700FFC"/>
    <w:rsid w:val="00701401"/>
    <w:rsid w:val="00703445"/>
    <w:rsid w:val="007064F9"/>
    <w:rsid w:val="00712C78"/>
    <w:rsid w:val="00724D7E"/>
    <w:rsid w:val="007303BD"/>
    <w:rsid w:val="007350D2"/>
    <w:rsid w:val="0073711F"/>
    <w:rsid w:val="00744885"/>
    <w:rsid w:val="00747A23"/>
    <w:rsid w:val="00751107"/>
    <w:rsid w:val="0075221A"/>
    <w:rsid w:val="00755177"/>
    <w:rsid w:val="00755835"/>
    <w:rsid w:val="0075610D"/>
    <w:rsid w:val="00756C95"/>
    <w:rsid w:val="007576F4"/>
    <w:rsid w:val="00762DDD"/>
    <w:rsid w:val="00772EEA"/>
    <w:rsid w:val="00772F82"/>
    <w:rsid w:val="007839FF"/>
    <w:rsid w:val="00787D6B"/>
    <w:rsid w:val="00787E56"/>
    <w:rsid w:val="007922D9"/>
    <w:rsid w:val="007928C0"/>
    <w:rsid w:val="007A0289"/>
    <w:rsid w:val="007A073C"/>
    <w:rsid w:val="007A0BA4"/>
    <w:rsid w:val="007A1420"/>
    <w:rsid w:val="007A3E86"/>
    <w:rsid w:val="007A4992"/>
    <w:rsid w:val="007B1DCF"/>
    <w:rsid w:val="007B5D60"/>
    <w:rsid w:val="007C087F"/>
    <w:rsid w:val="007C0EA0"/>
    <w:rsid w:val="007C4718"/>
    <w:rsid w:val="007C5B7D"/>
    <w:rsid w:val="007D25E6"/>
    <w:rsid w:val="007D3606"/>
    <w:rsid w:val="007D795E"/>
    <w:rsid w:val="007E2216"/>
    <w:rsid w:val="007E322F"/>
    <w:rsid w:val="007F04B8"/>
    <w:rsid w:val="007F0B98"/>
    <w:rsid w:val="007F0E19"/>
    <w:rsid w:val="00802690"/>
    <w:rsid w:val="00802822"/>
    <w:rsid w:val="00802E89"/>
    <w:rsid w:val="00803C38"/>
    <w:rsid w:val="00804CEE"/>
    <w:rsid w:val="00807097"/>
    <w:rsid w:val="00810706"/>
    <w:rsid w:val="00810C64"/>
    <w:rsid w:val="008117B2"/>
    <w:rsid w:val="00813B8A"/>
    <w:rsid w:val="0081404B"/>
    <w:rsid w:val="00815353"/>
    <w:rsid w:val="00816844"/>
    <w:rsid w:val="00821FD8"/>
    <w:rsid w:val="008223B4"/>
    <w:rsid w:val="00823B9D"/>
    <w:rsid w:val="00832AF6"/>
    <w:rsid w:val="00832F68"/>
    <w:rsid w:val="00833B41"/>
    <w:rsid w:val="008346AA"/>
    <w:rsid w:val="00836776"/>
    <w:rsid w:val="00851758"/>
    <w:rsid w:val="00852C5A"/>
    <w:rsid w:val="00852C71"/>
    <w:rsid w:val="00853501"/>
    <w:rsid w:val="00854CF1"/>
    <w:rsid w:val="00855FA6"/>
    <w:rsid w:val="008610A5"/>
    <w:rsid w:val="00863365"/>
    <w:rsid w:val="00863981"/>
    <w:rsid w:val="008667A3"/>
    <w:rsid w:val="008700B4"/>
    <w:rsid w:val="00870486"/>
    <w:rsid w:val="00871F5D"/>
    <w:rsid w:val="00872AAB"/>
    <w:rsid w:val="00875433"/>
    <w:rsid w:val="00882430"/>
    <w:rsid w:val="00884EFC"/>
    <w:rsid w:val="008938D1"/>
    <w:rsid w:val="00893D0D"/>
    <w:rsid w:val="00895E58"/>
    <w:rsid w:val="00896772"/>
    <w:rsid w:val="008A0BF6"/>
    <w:rsid w:val="008A33FF"/>
    <w:rsid w:val="008B3B93"/>
    <w:rsid w:val="008B7492"/>
    <w:rsid w:val="008B7C6C"/>
    <w:rsid w:val="008C221D"/>
    <w:rsid w:val="008C480D"/>
    <w:rsid w:val="008D0568"/>
    <w:rsid w:val="008D0933"/>
    <w:rsid w:val="008D1D58"/>
    <w:rsid w:val="008D299C"/>
    <w:rsid w:val="008D2C14"/>
    <w:rsid w:val="008D4298"/>
    <w:rsid w:val="008D44D5"/>
    <w:rsid w:val="008E0D91"/>
    <w:rsid w:val="008E14CD"/>
    <w:rsid w:val="008E19D3"/>
    <w:rsid w:val="008E6265"/>
    <w:rsid w:val="008E662E"/>
    <w:rsid w:val="008E676F"/>
    <w:rsid w:val="008E6BDD"/>
    <w:rsid w:val="008F0105"/>
    <w:rsid w:val="008F138A"/>
    <w:rsid w:val="008F1498"/>
    <w:rsid w:val="008F2671"/>
    <w:rsid w:val="008F7FA2"/>
    <w:rsid w:val="009017D7"/>
    <w:rsid w:val="009028D7"/>
    <w:rsid w:val="009034AD"/>
    <w:rsid w:val="00903589"/>
    <w:rsid w:val="00903EB2"/>
    <w:rsid w:val="009065C2"/>
    <w:rsid w:val="00907857"/>
    <w:rsid w:val="00907B54"/>
    <w:rsid w:val="00910B38"/>
    <w:rsid w:val="00911527"/>
    <w:rsid w:val="00913A91"/>
    <w:rsid w:val="00913EA8"/>
    <w:rsid w:val="0091712B"/>
    <w:rsid w:val="00917D1D"/>
    <w:rsid w:val="009220A5"/>
    <w:rsid w:val="009225D9"/>
    <w:rsid w:val="0092331E"/>
    <w:rsid w:val="009262A9"/>
    <w:rsid w:val="00927626"/>
    <w:rsid w:val="00942E15"/>
    <w:rsid w:val="009449A7"/>
    <w:rsid w:val="00947A82"/>
    <w:rsid w:val="009508F6"/>
    <w:rsid w:val="00951A4E"/>
    <w:rsid w:val="00951B0C"/>
    <w:rsid w:val="0095362C"/>
    <w:rsid w:val="00956127"/>
    <w:rsid w:val="009600D0"/>
    <w:rsid w:val="0096103F"/>
    <w:rsid w:val="0096142E"/>
    <w:rsid w:val="0096331C"/>
    <w:rsid w:val="00964322"/>
    <w:rsid w:val="0096633F"/>
    <w:rsid w:val="00971C8A"/>
    <w:rsid w:val="00972A18"/>
    <w:rsid w:val="009834C9"/>
    <w:rsid w:val="00985927"/>
    <w:rsid w:val="009914CA"/>
    <w:rsid w:val="00992CFA"/>
    <w:rsid w:val="009A139B"/>
    <w:rsid w:val="009A268F"/>
    <w:rsid w:val="009A70C9"/>
    <w:rsid w:val="009B35D2"/>
    <w:rsid w:val="009B6A1D"/>
    <w:rsid w:val="009C2BE6"/>
    <w:rsid w:val="009C41E1"/>
    <w:rsid w:val="009C5AB4"/>
    <w:rsid w:val="009C6FE4"/>
    <w:rsid w:val="009D0537"/>
    <w:rsid w:val="009D362C"/>
    <w:rsid w:val="009D4886"/>
    <w:rsid w:val="009E451E"/>
    <w:rsid w:val="009E4BF2"/>
    <w:rsid w:val="009E6B35"/>
    <w:rsid w:val="009F20F2"/>
    <w:rsid w:val="009F3A69"/>
    <w:rsid w:val="009F62AE"/>
    <w:rsid w:val="009F685C"/>
    <w:rsid w:val="009F6F33"/>
    <w:rsid w:val="00A009C2"/>
    <w:rsid w:val="00A013D8"/>
    <w:rsid w:val="00A019DD"/>
    <w:rsid w:val="00A06B07"/>
    <w:rsid w:val="00A07419"/>
    <w:rsid w:val="00A11AC2"/>
    <w:rsid w:val="00A146C4"/>
    <w:rsid w:val="00A163D5"/>
    <w:rsid w:val="00A16FAF"/>
    <w:rsid w:val="00A170CC"/>
    <w:rsid w:val="00A21F47"/>
    <w:rsid w:val="00A22CBF"/>
    <w:rsid w:val="00A26A35"/>
    <w:rsid w:val="00A27837"/>
    <w:rsid w:val="00A3156D"/>
    <w:rsid w:val="00A32B1D"/>
    <w:rsid w:val="00A3760B"/>
    <w:rsid w:val="00A37911"/>
    <w:rsid w:val="00A4093F"/>
    <w:rsid w:val="00A42BA8"/>
    <w:rsid w:val="00A43474"/>
    <w:rsid w:val="00A4412D"/>
    <w:rsid w:val="00A44A64"/>
    <w:rsid w:val="00A46E24"/>
    <w:rsid w:val="00A51CFD"/>
    <w:rsid w:val="00A52B15"/>
    <w:rsid w:val="00A54A01"/>
    <w:rsid w:val="00A54AFD"/>
    <w:rsid w:val="00A64A01"/>
    <w:rsid w:val="00A6515D"/>
    <w:rsid w:val="00A65953"/>
    <w:rsid w:val="00A67A26"/>
    <w:rsid w:val="00A7153B"/>
    <w:rsid w:val="00A73FAA"/>
    <w:rsid w:val="00A74AF0"/>
    <w:rsid w:val="00A76EF2"/>
    <w:rsid w:val="00A77173"/>
    <w:rsid w:val="00A82732"/>
    <w:rsid w:val="00A83C12"/>
    <w:rsid w:val="00A852B8"/>
    <w:rsid w:val="00A858F7"/>
    <w:rsid w:val="00A867DF"/>
    <w:rsid w:val="00A87378"/>
    <w:rsid w:val="00A875EE"/>
    <w:rsid w:val="00A87A23"/>
    <w:rsid w:val="00A901D0"/>
    <w:rsid w:val="00A946D3"/>
    <w:rsid w:val="00A94A07"/>
    <w:rsid w:val="00A9552A"/>
    <w:rsid w:val="00AA0551"/>
    <w:rsid w:val="00AA174C"/>
    <w:rsid w:val="00AA2DD6"/>
    <w:rsid w:val="00AA2F10"/>
    <w:rsid w:val="00AA2F2C"/>
    <w:rsid w:val="00AA46A6"/>
    <w:rsid w:val="00AB01ED"/>
    <w:rsid w:val="00AB2076"/>
    <w:rsid w:val="00AB3985"/>
    <w:rsid w:val="00AB4FFF"/>
    <w:rsid w:val="00AB5432"/>
    <w:rsid w:val="00AB5816"/>
    <w:rsid w:val="00AB727C"/>
    <w:rsid w:val="00AC25D8"/>
    <w:rsid w:val="00AC63F0"/>
    <w:rsid w:val="00AD10E4"/>
    <w:rsid w:val="00AD55F4"/>
    <w:rsid w:val="00AD6EA4"/>
    <w:rsid w:val="00AE02F7"/>
    <w:rsid w:val="00AE0AE7"/>
    <w:rsid w:val="00AE72C0"/>
    <w:rsid w:val="00AF2790"/>
    <w:rsid w:val="00AF2A2C"/>
    <w:rsid w:val="00AF360A"/>
    <w:rsid w:val="00AF39EA"/>
    <w:rsid w:val="00B0078C"/>
    <w:rsid w:val="00B016AF"/>
    <w:rsid w:val="00B0334E"/>
    <w:rsid w:val="00B04223"/>
    <w:rsid w:val="00B109F7"/>
    <w:rsid w:val="00B10ECF"/>
    <w:rsid w:val="00B11E05"/>
    <w:rsid w:val="00B13BD7"/>
    <w:rsid w:val="00B147DB"/>
    <w:rsid w:val="00B14C9A"/>
    <w:rsid w:val="00B1533D"/>
    <w:rsid w:val="00B15BFB"/>
    <w:rsid w:val="00B163D4"/>
    <w:rsid w:val="00B17D66"/>
    <w:rsid w:val="00B2113A"/>
    <w:rsid w:val="00B30132"/>
    <w:rsid w:val="00B3251A"/>
    <w:rsid w:val="00B33456"/>
    <w:rsid w:val="00B33665"/>
    <w:rsid w:val="00B33925"/>
    <w:rsid w:val="00B347FC"/>
    <w:rsid w:val="00B35BE0"/>
    <w:rsid w:val="00B37D3E"/>
    <w:rsid w:val="00B40F5C"/>
    <w:rsid w:val="00B42498"/>
    <w:rsid w:val="00B44B98"/>
    <w:rsid w:val="00B4719C"/>
    <w:rsid w:val="00B50BC5"/>
    <w:rsid w:val="00B51566"/>
    <w:rsid w:val="00B54FBF"/>
    <w:rsid w:val="00B5526A"/>
    <w:rsid w:val="00B6212D"/>
    <w:rsid w:val="00B700E2"/>
    <w:rsid w:val="00B71D8E"/>
    <w:rsid w:val="00B72765"/>
    <w:rsid w:val="00B76F7A"/>
    <w:rsid w:val="00B81755"/>
    <w:rsid w:val="00B83130"/>
    <w:rsid w:val="00B83F47"/>
    <w:rsid w:val="00B83F90"/>
    <w:rsid w:val="00B8480B"/>
    <w:rsid w:val="00B854D7"/>
    <w:rsid w:val="00B86152"/>
    <w:rsid w:val="00B864E1"/>
    <w:rsid w:val="00B91E09"/>
    <w:rsid w:val="00B96F9E"/>
    <w:rsid w:val="00BA24C1"/>
    <w:rsid w:val="00BA291D"/>
    <w:rsid w:val="00BA6826"/>
    <w:rsid w:val="00BA72FE"/>
    <w:rsid w:val="00BB1C53"/>
    <w:rsid w:val="00BB23C8"/>
    <w:rsid w:val="00BB31D4"/>
    <w:rsid w:val="00BB57A2"/>
    <w:rsid w:val="00BB6FF4"/>
    <w:rsid w:val="00BC0026"/>
    <w:rsid w:val="00BC187E"/>
    <w:rsid w:val="00BC2D66"/>
    <w:rsid w:val="00BC3FB8"/>
    <w:rsid w:val="00BC7C08"/>
    <w:rsid w:val="00BD5051"/>
    <w:rsid w:val="00BE2169"/>
    <w:rsid w:val="00BE22CB"/>
    <w:rsid w:val="00BE22F9"/>
    <w:rsid w:val="00BE266B"/>
    <w:rsid w:val="00BE6B11"/>
    <w:rsid w:val="00BF164C"/>
    <w:rsid w:val="00BF55F0"/>
    <w:rsid w:val="00BF5BAF"/>
    <w:rsid w:val="00BF6375"/>
    <w:rsid w:val="00BF65D9"/>
    <w:rsid w:val="00BF7125"/>
    <w:rsid w:val="00C070D1"/>
    <w:rsid w:val="00C11917"/>
    <w:rsid w:val="00C20196"/>
    <w:rsid w:val="00C20A10"/>
    <w:rsid w:val="00C22F71"/>
    <w:rsid w:val="00C23716"/>
    <w:rsid w:val="00C25D9F"/>
    <w:rsid w:val="00C308D9"/>
    <w:rsid w:val="00C33309"/>
    <w:rsid w:val="00C34A9C"/>
    <w:rsid w:val="00C3608D"/>
    <w:rsid w:val="00C40BD7"/>
    <w:rsid w:val="00C40F7F"/>
    <w:rsid w:val="00C41BA9"/>
    <w:rsid w:val="00C46775"/>
    <w:rsid w:val="00C469D0"/>
    <w:rsid w:val="00C51441"/>
    <w:rsid w:val="00C51A25"/>
    <w:rsid w:val="00C56DEC"/>
    <w:rsid w:val="00C644B5"/>
    <w:rsid w:val="00C70E50"/>
    <w:rsid w:val="00C751DE"/>
    <w:rsid w:val="00C75FDF"/>
    <w:rsid w:val="00C81154"/>
    <w:rsid w:val="00C845D1"/>
    <w:rsid w:val="00C865D9"/>
    <w:rsid w:val="00C91F87"/>
    <w:rsid w:val="00C96A23"/>
    <w:rsid w:val="00C97480"/>
    <w:rsid w:val="00CA2E83"/>
    <w:rsid w:val="00CA332C"/>
    <w:rsid w:val="00CA4D8A"/>
    <w:rsid w:val="00CA6D93"/>
    <w:rsid w:val="00CA737A"/>
    <w:rsid w:val="00CA7E42"/>
    <w:rsid w:val="00CB32A2"/>
    <w:rsid w:val="00CB4717"/>
    <w:rsid w:val="00CB4B8B"/>
    <w:rsid w:val="00CB7C1C"/>
    <w:rsid w:val="00CC0B0D"/>
    <w:rsid w:val="00CC13B7"/>
    <w:rsid w:val="00CC239E"/>
    <w:rsid w:val="00CC28A3"/>
    <w:rsid w:val="00CC2C16"/>
    <w:rsid w:val="00CC5D9B"/>
    <w:rsid w:val="00CD584E"/>
    <w:rsid w:val="00CE1E06"/>
    <w:rsid w:val="00CE394F"/>
    <w:rsid w:val="00CE5002"/>
    <w:rsid w:val="00CE767E"/>
    <w:rsid w:val="00CE77DA"/>
    <w:rsid w:val="00CE7F75"/>
    <w:rsid w:val="00CF1337"/>
    <w:rsid w:val="00CF190D"/>
    <w:rsid w:val="00CF3DDE"/>
    <w:rsid w:val="00CF7C2D"/>
    <w:rsid w:val="00D06872"/>
    <w:rsid w:val="00D06A5E"/>
    <w:rsid w:val="00D10EE3"/>
    <w:rsid w:val="00D131AF"/>
    <w:rsid w:val="00D16556"/>
    <w:rsid w:val="00D16962"/>
    <w:rsid w:val="00D20F81"/>
    <w:rsid w:val="00D211D8"/>
    <w:rsid w:val="00D21EAE"/>
    <w:rsid w:val="00D223A8"/>
    <w:rsid w:val="00D22B09"/>
    <w:rsid w:val="00D22B80"/>
    <w:rsid w:val="00D251E5"/>
    <w:rsid w:val="00D35A4D"/>
    <w:rsid w:val="00D42C66"/>
    <w:rsid w:val="00D4365C"/>
    <w:rsid w:val="00D4427D"/>
    <w:rsid w:val="00D5067C"/>
    <w:rsid w:val="00D50D65"/>
    <w:rsid w:val="00D520AA"/>
    <w:rsid w:val="00D52E60"/>
    <w:rsid w:val="00D55906"/>
    <w:rsid w:val="00D5749F"/>
    <w:rsid w:val="00D62A98"/>
    <w:rsid w:val="00D67790"/>
    <w:rsid w:val="00D67F36"/>
    <w:rsid w:val="00D7019F"/>
    <w:rsid w:val="00D7156D"/>
    <w:rsid w:val="00D76F53"/>
    <w:rsid w:val="00D77CE2"/>
    <w:rsid w:val="00D8094F"/>
    <w:rsid w:val="00D80D28"/>
    <w:rsid w:val="00D81D2B"/>
    <w:rsid w:val="00D83568"/>
    <w:rsid w:val="00D947BB"/>
    <w:rsid w:val="00D964ED"/>
    <w:rsid w:val="00DA0B2F"/>
    <w:rsid w:val="00DA2688"/>
    <w:rsid w:val="00DA2869"/>
    <w:rsid w:val="00DB0872"/>
    <w:rsid w:val="00DB1ADF"/>
    <w:rsid w:val="00DB618F"/>
    <w:rsid w:val="00DC314D"/>
    <w:rsid w:val="00DC508A"/>
    <w:rsid w:val="00DC5213"/>
    <w:rsid w:val="00DD034D"/>
    <w:rsid w:val="00DD0450"/>
    <w:rsid w:val="00DD239C"/>
    <w:rsid w:val="00DD3983"/>
    <w:rsid w:val="00DD62BA"/>
    <w:rsid w:val="00DE2140"/>
    <w:rsid w:val="00DE286F"/>
    <w:rsid w:val="00DE682E"/>
    <w:rsid w:val="00DE6A34"/>
    <w:rsid w:val="00DE716A"/>
    <w:rsid w:val="00DF6077"/>
    <w:rsid w:val="00DF631A"/>
    <w:rsid w:val="00E00576"/>
    <w:rsid w:val="00E02D58"/>
    <w:rsid w:val="00E04A25"/>
    <w:rsid w:val="00E100EF"/>
    <w:rsid w:val="00E10427"/>
    <w:rsid w:val="00E1560B"/>
    <w:rsid w:val="00E16BF2"/>
    <w:rsid w:val="00E24A32"/>
    <w:rsid w:val="00E254C5"/>
    <w:rsid w:val="00E26871"/>
    <w:rsid w:val="00E27333"/>
    <w:rsid w:val="00E308C3"/>
    <w:rsid w:val="00E30A16"/>
    <w:rsid w:val="00E313BA"/>
    <w:rsid w:val="00E33A9E"/>
    <w:rsid w:val="00E36E5F"/>
    <w:rsid w:val="00E37FED"/>
    <w:rsid w:val="00E417AD"/>
    <w:rsid w:val="00E42FA6"/>
    <w:rsid w:val="00E4382E"/>
    <w:rsid w:val="00E44642"/>
    <w:rsid w:val="00E5010A"/>
    <w:rsid w:val="00E519F3"/>
    <w:rsid w:val="00E52C5E"/>
    <w:rsid w:val="00E539B7"/>
    <w:rsid w:val="00E62860"/>
    <w:rsid w:val="00E64A9F"/>
    <w:rsid w:val="00E64F3E"/>
    <w:rsid w:val="00E656C7"/>
    <w:rsid w:val="00E65FD3"/>
    <w:rsid w:val="00E731F8"/>
    <w:rsid w:val="00E73A0C"/>
    <w:rsid w:val="00E73FF0"/>
    <w:rsid w:val="00E768F2"/>
    <w:rsid w:val="00E773E1"/>
    <w:rsid w:val="00E8057A"/>
    <w:rsid w:val="00E81F7D"/>
    <w:rsid w:val="00E83AA9"/>
    <w:rsid w:val="00E87363"/>
    <w:rsid w:val="00E90DCD"/>
    <w:rsid w:val="00E9110C"/>
    <w:rsid w:val="00E92C6A"/>
    <w:rsid w:val="00E93886"/>
    <w:rsid w:val="00E95A4E"/>
    <w:rsid w:val="00E96E9B"/>
    <w:rsid w:val="00EA090E"/>
    <w:rsid w:val="00EA1A93"/>
    <w:rsid w:val="00EA4AC7"/>
    <w:rsid w:val="00EA4C6D"/>
    <w:rsid w:val="00EA6F67"/>
    <w:rsid w:val="00EB118B"/>
    <w:rsid w:val="00EB1F38"/>
    <w:rsid w:val="00EB23F7"/>
    <w:rsid w:val="00EB4524"/>
    <w:rsid w:val="00EB6707"/>
    <w:rsid w:val="00EB701A"/>
    <w:rsid w:val="00EB732D"/>
    <w:rsid w:val="00EC09C5"/>
    <w:rsid w:val="00EC507D"/>
    <w:rsid w:val="00EC6622"/>
    <w:rsid w:val="00EC72FD"/>
    <w:rsid w:val="00ED696F"/>
    <w:rsid w:val="00EE2A3E"/>
    <w:rsid w:val="00EE2E6D"/>
    <w:rsid w:val="00EE41A2"/>
    <w:rsid w:val="00EE429B"/>
    <w:rsid w:val="00EE4314"/>
    <w:rsid w:val="00EE62A6"/>
    <w:rsid w:val="00EF0DA6"/>
    <w:rsid w:val="00EF3068"/>
    <w:rsid w:val="00EF361E"/>
    <w:rsid w:val="00EF3F35"/>
    <w:rsid w:val="00EF5B7F"/>
    <w:rsid w:val="00EF64FE"/>
    <w:rsid w:val="00EF78E0"/>
    <w:rsid w:val="00F001DC"/>
    <w:rsid w:val="00F00ADC"/>
    <w:rsid w:val="00F01BC9"/>
    <w:rsid w:val="00F0482A"/>
    <w:rsid w:val="00F050DF"/>
    <w:rsid w:val="00F112D3"/>
    <w:rsid w:val="00F11F0E"/>
    <w:rsid w:val="00F21FDD"/>
    <w:rsid w:val="00F23C2E"/>
    <w:rsid w:val="00F2463C"/>
    <w:rsid w:val="00F52111"/>
    <w:rsid w:val="00F60C4B"/>
    <w:rsid w:val="00F65576"/>
    <w:rsid w:val="00F729E9"/>
    <w:rsid w:val="00F7322B"/>
    <w:rsid w:val="00F74402"/>
    <w:rsid w:val="00F74BD9"/>
    <w:rsid w:val="00F755DA"/>
    <w:rsid w:val="00F770E3"/>
    <w:rsid w:val="00F77E8A"/>
    <w:rsid w:val="00F816C1"/>
    <w:rsid w:val="00F82060"/>
    <w:rsid w:val="00F82A39"/>
    <w:rsid w:val="00F84C77"/>
    <w:rsid w:val="00F85A04"/>
    <w:rsid w:val="00F91EFB"/>
    <w:rsid w:val="00F93B89"/>
    <w:rsid w:val="00F96361"/>
    <w:rsid w:val="00FA0CB9"/>
    <w:rsid w:val="00FA1051"/>
    <w:rsid w:val="00FA13A7"/>
    <w:rsid w:val="00FA1AAA"/>
    <w:rsid w:val="00FA451E"/>
    <w:rsid w:val="00FA4591"/>
    <w:rsid w:val="00FA5285"/>
    <w:rsid w:val="00FA554C"/>
    <w:rsid w:val="00FA5A86"/>
    <w:rsid w:val="00FA5BC3"/>
    <w:rsid w:val="00FA61F7"/>
    <w:rsid w:val="00FB14C0"/>
    <w:rsid w:val="00FB1856"/>
    <w:rsid w:val="00FB40A1"/>
    <w:rsid w:val="00FB43B3"/>
    <w:rsid w:val="00FB482F"/>
    <w:rsid w:val="00FB7A01"/>
    <w:rsid w:val="00FC3BFD"/>
    <w:rsid w:val="00FC4BC5"/>
    <w:rsid w:val="00FC7AEF"/>
    <w:rsid w:val="00FD17BA"/>
    <w:rsid w:val="00FD25E1"/>
    <w:rsid w:val="00FD291B"/>
    <w:rsid w:val="00FD42F2"/>
    <w:rsid w:val="00FE06C7"/>
    <w:rsid w:val="00FE10AB"/>
    <w:rsid w:val="00FE225F"/>
    <w:rsid w:val="00FE67FA"/>
    <w:rsid w:val="00FE684E"/>
    <w:rsid w:val="00FE7922"/>
    <w:rsid w:val="00FF0153"/>
    <w:rsid w:val="00FF0841"/>
    <w:rsid w:val="00FF4562"/>
    <w:rsid w:val="00FF6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828C"/>
  <w15:chartTrackingRefBased/>
  <w15:docId w15:val="{F32161B7-C9AE-4CE5-9678-215DEC98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9A"/>
    <w:pPr>
      <w:ind w:left="720"/>
      <w:contextualSpacing/>
    </w:pPr>
  </w:style>
  <w:style w:type="paragraph" w:styleId="BalloonText">
    <w:name w:val="Balloon Text"/>
    <w:basedOn w:val="Normal"/>
    <w:link w:val="BalloonTextChar"/>
    <w:uiPriority w:val="99"/>
    <w:semiHidden/>
    <w:unhideWhenUsed/>
    <w:rsid w:val="008B7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C6C"/>
    <w:rPr>
      <w:rFonts w:ascii="Segoe UI" w:hAnsi="Segoe UI" w:cs="Segoe UI"/>
      <w:sz w:val="18"/>
      <w:szCs w:val="18"/>
    </w:rPr>
  </w:style>
  <w:style w:type="paragraph" w:styleId="Header">
    <w:name w:val="header"/>
    <w:basedOn w:val="Normal"/>
    <w:link w:val="HeaderChar"/>
    <w:uiPriority w:val="99"/>
    <w:unhideWhenUsed/>
    <w:rsid w:val="00AF3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60A"/>
  </w:style>
  <w:style w:type="paragraph" w:styleId="Footer">
    <w:name w:val="footer"/>
    <w:basedOn w:val="Normal"/>
    <w:link w:val="FooterChar"/>
    <w:uiPriority w:val="99"/>
    <w:unhideWhenUsed/>
    <w:rsid w:val="00AF3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60A"/>
  </w:style>
  <w:style w:type="character" w:styleId="CommentReference">
    <w:name w:val="annotation reference"/>
    <w:basedOn w:val="DefaultParagraphFont"/>
    <w:uiPriority w:val="99"/>
    <w:semiHidden/>
    <w:unhideWhenUsed/>
    <w:rsid w:val="003D580D"/>
    <w:rPr>
      <w:sz w:val="16"/>
      <w:szCs w:val="16"/>
    </w:rPr>
  </w:style>
  <w:style w:type="paragraph" w:styleId="CommentText">
    <w:name w:val="annotation text"/>
    <w:basedOn w:val="Normal"/>
    <w:link w:val="CommentTextChar"/>
    <w:uiPriority w:val="99"/>
    <w:semiHidden/>
    <w:unhideWhenUsed/>
    <w:rsid w:val="003D580D"/>
    <w:pPr>
      <w:spacing w:line="240" w:lineRule="auto"/>
    </w:pPr>
    <w:rPr>
      <w:sz w:val="20"/>
      <w:szCs w:val="20"/>
    </w:rPr>
  </w:style>
  <w:style w:type="character" w:customStyle="1" w:styleId="CommentTextChar">
    <w:name w:val="Comment Text Char"/>
    <w:basedOn w:val="DefaultParagraphFont"/>
    <w:link w:val="CommentText"/>
    <w:uiPriority w:val="99"/>
    <w:semiHidden/>
    <w:rsid w:val="003D580D"/>
    <w:rPr>
      <w:sz w:val="20"/>
      <w:szCs w:val="20"/>
    </w:rPr>
  </w:style>
  <w:style w:type="paragraph" w:styleId="CommentSubject">
    <w:name w:val="annotation subject"/>
    <w:basedOn w:val="CommentText"/>
    <w:next w:val="CommentText"/>
    <w:link w:val="CommentSubjectChar"/>
    <w:uiPriority w:val="99"/>
    <w:semiHidden/>
    <w:unhideWhenUsed/>
    <w:rsid w:val="003D580D"/>
    <w:rPr>
      <w:b/>
      <w:bCs/>
    </w:rPr>
  </w:style>
  <w:style w:type="character" w:customStyle="1" w:styleId="CommentSubjectChar">
    <w:name w:val="Comment Subject Char"/>
    <w:basedOn w:val="CommentTextChar"/>
    <w:link w:val="CommentSubject"/>
    <w:uiPriority w:val="99"/>
    <w:semiHidden/>
    <w:rsid w:val="003D580D"/>
    <w:rPr>
      <w:b/>
      <w:bCs/>
      <w:sz w:val="20"/>
      <w:szCs w:val="20"/>
    </w:rPr>
  </w:style>
  <w:style w:type="table" w:styleId="TableGrid">
    <w:name w:val="Table Grid"/>
    <w:basedOn w:val="TableNormal"/>
    <w:uiPriority w:val="59"/>
    <w:rsid w:val="00A8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3549">
      <w:bodyDiv w:val="1"/>
      <w:marLeft w:val="0"/>
      <w:marRight w:val="0"/>
      <w:marTop w:val="0"/>
      <w:marBottom w:val="0"/>
      <w:divBdr>
        <w:top w:val="none" w:sz="0" w:space="0" w:color="auto"/>
        <w:left w:val="none" w:sz="0" w:space="0" w:color="auto"/>
        <w:bottom w:val="none" w:sz="0" w:space="0" w:color="auto"/>
        <w:right w:val="none" w:sz="0" w:space="0" w:color="auto"/>
      </w:divBdr>
    </w:div>
    <w:div w:id="897592533">
      <w:bodyDiv w:val="1"/>
      <w:marLeft w:val="0"/>
      <w:marRight w:val="0"/>
      <w:marTop w:val="0"/>
      <w:marBottom w:val="0"/>
      <w:divBdr>
        <w:top w:val="none" w:sz="0" w:space="0" w:color="auto"/>
        <w:left w:val="none" w:sz="0" w:space="0" w:color="auto"/>
        <w:bottom w:val="none" w:sz="0" w:space="0" w:color="auto"/>
        <w:right w:val="none" w:sz="0" w:space="0" w:color="auto"/>
      </w:divBdr>
      <w:divsChild>
        <w:div w:id="819882730">
          <w:marLeft w:val="0"/>
          <w:marRight w:val="0"/>
          <w:marTop w:val="0"/>
          <w:marBottom w:val="0"/>
          <w:divBdr>
            <w:top w:val="none" w:sz="0" w:space="0" w:color="auto"/>
            <w:left w:val="none" w:sz="0" w:space="0" w:color="auto"/>
            <w:bottom w:val="none" w:sz="0" w:space="0" w:color="auto"/>
            <w:right w:val="none" w:sz="0" w:space="0" w:color="auto"/>
          </w:divBdr>
          <w:divsChild>
            <w:div w:id="1373723652">
              <w:marLeft w:val="0"/>
              <w:marRight w:val="0"/>
              <w:marTop w:val="0"/>
              <w:marBottom w:val="0"/>
              <w:divBdr>
                <w:top w:val="none" w:sz="0" w:space="0" w:color="auto"/>
                <w:left w:val="none" w:sz="0" w:space="0" w:color="auto"/>
                <w:bottom w:val="none" w:sz="0" w:space="0" w:color="auto"/>
                <w:right w:val="none" w:sz="0" w:space="0" w:color="auto"/>
              </w:divBdr>
              <w:divsChild>
                <w:div w:id="1788040817">
                  <w:marLeft w:val="0"/>
                  <w:marRight w:val="0"/>
                  <w:marTop w:val="0"/>
                  <w:marBottom w:val="0"/>
                  <w:divBdr>
                    <w:top w:val="none" w:sz="0" w:space="0" w:color="auto"/>
                    <w:left w:val="none" w:sz="0" w:space="0" w:color="auto"/>
                    <w:bottom w:val="none" w:sz="0" w:space="0" w:color="auto"/>
                    <w:right w:val="none" w:sz="0" w:space="0" w:color="auto"/>
                  </w:divBdr>
                  <w:divsChild>
                    <w:div w:id="1799687912">
                      <w:marLeft w:val="0"/>
                      <w:marRight w:val="0"/>
                      <w:marTop w:val="0"/>
                      <w:marBottom w:val="0"/>
                      <w:divBdr>
                        <w:top w:val="none" w:sz="0" w:space="0" w:color="auto"/>
                        <w:left w:val="none" w:sz="0" w:space="0" w:color="auto"/>
                        <w:bottom w:val="none" w:sz="0" w:space="0" w:color="auto"/>
                        <w:right w:val="none" w:sz="0" w:space="0" w:color="auto"/>
                      </w:divBdr>
                      <w:divsChild>
                        <w:div w:id="1799908826">
                          <w:marLeft w:val="0"/>
                          <w:marRight w:val="0"/>
                          <w:marTop w:val="0"/>
                          <w:marBottom w:val="0"/>
                          <w:divBdr>
                            <w:top w:val="none" w:sz="0" w:space="0" w:color="auto"/>
                            <w:left w:val="none" w:sz="0" w:space="0" w:color="auto"/>
                            <w:bottom w:val="none" w:sz="0" w:space="0" w:color="auto"/>
                            <w:right w:val="none" w:sz="0" w:space="0" w:color="auto"/>
                          </w:divBdr>
                          <w:divsChild>
                            <w:div w:id="1250624722">
                              <w:marLeft w:val="0"/>
                              <w:marRight w:val="0"/>
                              <w:marTop w:val="0"/>
                              <w:marBottom w:val="0"/>
                              <w:divBdr>
                                <w:top w:val="none" w:sz="0" w:space="0" w:color="auto"/>
                                <w:left w:val="none" w:sz="0" w:space="0" w:color="auto"/>
                                <w:bottom w:val="none" w:sz="0" w:space="0" w:color="auto"/>
                                <w:right w:val="none" w:sz="0" w:space="0" w:color="auto"/>
                              </w:divBdr>
                              <w:divsChild>
                                <w:div w:id="1313952035">
                                  <w:marLeft w:val="0"/>
                                  <w:marRight w:val="0"/>
                                  <w:marTop w:val="0"/>
                                  <w:marBottom w:val="0"/>
                                  <w:divBdr>
                                    <w:top w:val="none" w:sz="0" w:space="0" w:color="auto"/>
                                    <w:left w:val="none" w:sz="0" w:space="0" w:color="auto"/>
                                    <w:bottom w:val="none" w:sz="0" w:space="0" w:color="auto"/>
                                    <w:right w:val="none" w:sz="0" w:space="0" w:color="auto"/>
                                  </w:divBdr>
                                  <w:divsChild>
                                    <w:div w:id="2094161582">
                                      <w:marLeft w:val="0"/>
                                      <w:marRight w:val="0"/>
                                      <w:marTop w:val="0"/>
                                      <w:marBottom w:val="0"/>
                                      <w:divBdr>
                                        <w:top w:val="none" w:sz="0" w:space="0" w:color="auto"/>
                                        <w:left w:val="none" w:sz="0" w:space="0" w:color="auto"/>
                                        <w:bottom w:val="none" w:sz="0" w:space="0" w:color="auto"/>
                                        <w:right w:val="none" w:sz="0" w:space="0" w:color="auto"/>
                                      </w:divBdr>
                                      <w:divsChild>
                                        <w:div w:id="661127718">
                                          <w:marLeft w:val="0"/>
                                          <w:marRight w:val="0"/>
                                          <w:marTop w:val="0"/>
                                          <w:marBottom w:val="0"/>
                                          <w:divBdr>
                                            <w:top w:val="none" w:sz="0" w:space="0" w:color="auto"/>
                                            <w:left w:val="none" w:sz="0" w:space="0" w:color="auto"/>
                                            <w:bottom w:val="none" w:sz="0" w:space="0" w:color="auto"/>
                                            <w:right w:val="none" w:sz="0" w:space="0" w:color="auto"/>
                                          </w:divBdr>
                                          <w:divsChild>
                                            <w:div w:id="971595300">
                                              <w:marLeft w:val="0"/>
                                              <w:marRight w:val="0"/>
                                              <w:marTop w:val="0"/>
                                              <w:marBottom w:val="0"/>
                                              <w:divBdr>
                                                <w:top w:val="none" w:sz="0" w:space="0" w:color="auto"/>
                                                <w:left w:val="none" w:sz="0" w:space="0" w:color="auto"/>
                                                <w:bottom w:val="none" w:sz="0" w:space="0" w:color="auto"/>
                                                <w:right w:val="none" w:sz="0" w:space="0" w:color="auto"/>
                                              </w:divBdr>
                                              <w:divsChild>
                                                <w:div w:id="1950967546">
                                                  <w:marLeft w:val="0"/>
                                                  <w:marRight w:val="0"/>
                                                  <w:marTop w:val="0"/>
                                                  <w:marBottom w:val="0"/>
                                                  <w:divBdr>
                                                    <w:top w:val="none" w:sz="0" w:space="0" w:color="auto"/>
                                                    <w:left w:val="none" w:sz="0" w:space="0" w:color="auto"/>
                                                    <w:bottom w:val="none" w:sz="0" w:space="0" w:color="auto"/>
                                                    <w:right w:val="none" w:sz="0" w:space="0" w:color="auto"/>
                                                  </w:divBdr>
                                                  <w:divsChild>
                                                    <w:div w:id="1039552090">
                                                      <w:marLeft w:val="0"/>
                                                      <w:marRight w:val="0"/>
                                                      <w:marTop w:val="0"/>
                                                      <w:marBottom w:val="0"/>
                                                      <w:divBdr>
                                                        <w:top w:val="none" w:sz="0" w:space="0" w:color="auto"/>
                                                        <w:left w:val="none" w:sz="0" w:space="0" w:color="auto"/>
                                                        <w:bottom w:val="none" w:sz="0" w:space="0" w:color="auto"/>
                                                        <w:right w:val="none" w:sz="0" w:space="0" w:color="auto"/>
                                                      </w:divBdr>
                                                      <w:divsChild>
                                                        <w:div w:id="440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3" ma:contentTypeDescription="Create a new document." ma:contentTypeScope="" ma:versionID="c803579983bb5164912507d9d7dad80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213BF18-8A06-404E-BA6A-7000F8CDEEA3}">
  <ds:schemaRefs>
    <ds:schemaRef ds:uri="http://schemas.microsoft.com/office/2006/metadata/properties"/>
    <ds:schemaRef ds:uri="http://schemas.microsoft.com/office/infopath/2007/PartnerControls"/>
    <ds:schemaRef ds:uri="45ab7314-6ee2-4801-b2cf-a27306d55ce5"/>
    <ds:schemaRef ds:uri="73f7d1ba-ac27-4bcb-a5b6-37981e86af6e"/>
  </ds:schemaRefs>
</ds:datastoreItem>
</file>

<file path=customXml/itemProps2.xml><?xml version="1.0" encoding="utf-8"?>
<ds:datastoreItem xmlns:ds="http://schemas.openxmlformats.org/officeDocument/2006/customXml" ds:itemID="{0CACFE53-B09B-4260-A247-36262DFFB86D}">
  <ds:schemaRefs>
    <ds:schemaRef ds:uri="http://schemas.openxmlformats.org/officeDocument/2006/bibliography"/>
  </ds:schemaRefs>
</ds:datastoreItem>
</file>

<file path=customXml/itemProps3.xml><?xml version="1.0" encoding="utf-8"?>
<ds:datastoreItem xmlns:ds="http://schemas.openxmlformats.org/officeDocument/2006/customXml" ds:itemID="{89981A55-DB14-4370-952C-4D7099600791}">
  <ds:schemaRefs>
    <ds:schemaRef ds:uri="http://schemas.microsoft.com/sharepoint/v3/contenttype/forms"/>
  </ds:schemaRefs>
</ds:datastoreItem>
</file>

<file path=customXml/itemProps4.xml><?xml version="1.0" encoding="utf-8"?>
<ds:datastoreItem xmlns:ds="http://schemas.openxmlformats.org/officeDocument/2006/customXml" ds:itemID="{6305CDCF-AC04-42F3-B93B-AA8FFD5B5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94693-23CC-4B40-9623-AA716730EB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Roneel Ram</cp:lastModifiedBy>
  <cp:revision>2</cp:revision>
  <dcterms:created xsi:type="dcterms:W3CDTF">2022-05-16T04:53:00Z</dcterms:created>
  <dcterms:modified xsi:type="dcterms:W3CDTF">2022-05-16T04:53:00Z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