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7A5">
        <w:rPr>
          <w:rFonts w:ascii="Times New Roman" w:hAnsi="Times New Roman" w:cs="Times New Roman"/>
          <w:i/>
          <w:sz w:val="24"/>
          <w:szCs w:val="24"/>
        </w:rPr>
        <w:t>Customs Tariff Act 1995</w:t>
      </w: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7A5">
        <w:rPr>
          <w:rFonts w:ascii="Times New Roman" w:hAnsi="Times New Roman" w:cs="Times New Roman"/>
          <w:b/>
          <w:sz w:val="24"/>
          <w:szCs w:val="24"/>
        </w:rPr>
        <w:t>NOTICE OF SUBSTITUTED RATES OF CUSTOMS DUTY FOR EXCISE-EQUIVALENT GOODS</w:t>
      </w: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 xml:space="preserve">NOTICE (No. </w:t>
      </w:r>
      <w:r w:rsidR="009E50FB">
        <w:rPr>
          <w:rFonts w:ascii="Times New Roman" w:hAnsi="Times New Roman" w:cs="Times New Roman"/>
          <w:sz w:val="24"/>
          <w:szCs w:val="24"/>
        </w:rPr>
        <w:t>1</w:t>
      </w:r>
      <w:r w:rsidRPr="007657A5">
        <w:rPr>
          <w:rFonts w:ascii="Times New Roman" w:hAnsi="Times New Roman" w:cs="Times New Roman"/>
          <w:sz w:val="24"/>
          <w:szCs w:val="24"/>
        </w:rPr>
        <w:t>) 202</w:t>
      </w:r>
      <w:r w:rsidR="00F35794">
        <w:rPr>
          <w:rFonts w:ascii="Times New Roman" w:hAnsi="Times New Roman" w:cs="Times New Roman"/>
          <w:sz w:val="24"/>
          <w:szCs w:val="24"/>
        </w:rPr>
        <w:t>0</w:t>
      </w:r>
    </w:p>
    <w:p w:rsidR="007657A5" w:rsidRPr="007657A5" w:rsidRDefault="007657A5" w:rsidP="00765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794" w:rsidRPr="00F35794" w:rsidRDefault="00F35794" w:rsidP="00F35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794">
        <w:rPr>
          <w:rFonts w:ascii="Times New Roman" w:hAnsi="Times New Roman" w:cs="Times New Roman"/>
          <w:sz w:val="24"/>
          <w:szCs w:val="24"/>
        </w:rPr>
        <w:t>I, Suzanne Ford, delegate of the Comptroller-General of Customs, in accordance with subsection 19(9) of the Customs Tariff Act 1995 (the Customs Tariff Act), give notice that, on and from 3 February 2020:</w:t>
      </w:r>
    </w:p>
    <w:p w:rsidR="007657A5" w:rsidRPr="007657A5" w:rsidRDefault="007657A5" w:rsidP="007657A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 xml:space="preserve">the increased rate of customs duty for excise-equivalent goods classified to each subheading of Schedule 3 to the Customs Tariff Act set out in Column 1 of the Table below is the rate in </w:t>
      </w:r>
      <w:r w:rsidRPr="007657A5">
        <w:rPr>
          <w:rFonts w:ascii="Times New Roman" w:hAnsi="Times New Roman" w:cs="Times New Roman"/>
          <w:sz w:val="24"/>
          <w:szCs w:val="24"/>
        </w:rPr>
        <w:br/>
        <w:t>Column 2 opposite that subheading;</w:t>
      </w:r>
    </w:p>
    <w:p w:rsidR="007657A5" w:rsidRPr="007657A5" w:rsidRDefault="007657A5" w:rsidP="007657A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 xml:space="preserve">the increased rate of customs duty for excise-equivalent goods classified to a subheading of Schedule 3 to the Customs Tariff Act, as specified in an item in the tables in Schedules: 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4A (Singaporean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5 (US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6 (Thai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7 (Chilean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8 (ASEAN-Australia-New Zealand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8B (Trans</w:t>
      </w:r>
      <w:r w:rsidRPr="007657A5">
        <w:rPr>
          <w:rFonts w:ascii="Times New Roman" w:hAnsi="Times New Roman" w:cs="Times New Roman"/>
          <w:sz w:val="24"/>
          <w:szCs w:val="24"/>
        </w:rPr>
        <w:noBreakHyphen/>
        <w:t>Pacific Partnership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9 (Malaysian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10 (Korean originating goods)</w:t>
      </w:r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 xml:space="preserve">11 (Japanese originating goods) </w:t>
      </w:r>
      <w:bookmarkStart w:id="0" w:name="_GoBack"/>
      <w:bookmarkEnd w:id="0"/>
    </w:p>
    <w:p w:rsidR="007657A5" w:rsidRPr="007657A5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12 (Chinese originating goods)</w:t>
      </w:r>
    </w:p>
    <w:p w:rsidR="009E50FB" w:rsidRDefault="007657A5" w:rsidP="007657A5">
      <w:pPr>
        <w:numPr>
          <w:ilvl w:val="2"/>
          <w:numId w:val="2"/>
        </w:numPr>
        <w:shd w:val="clear" w:color="auto" w:fill="FFFFFF"/>
        <w:tabs>
          <w:tab w:val="clear" w:pos="2160"/>
          <w:tab w:val="num" w:pos="1418"/>
        </w:tabs>
        <w:spacing w:before="120"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7657A5">
        <w:rPr>
          <w:rFonts w:ascii="Times New Roman" w:hAnsi="Times New Roman" w:cs="Times New Roman"/>
          <w:sz w:val="24"/>
          <w:szCs w:val="24"/>
        </w:rPr>
        <w:t>13 (Hong Kong originating goods)</w:t>
      </w:r>
    </w:p>
    <w:p w:rsidR="007657A5" w:rsidRPr="007657A5" w:rsidRDefault="007657A5" w:rsidP="007657A5">
      <w:pPr>
        <w:shd w:val="clear" w:color="auto" w:fill="FFFFFF"/>
        <w:spacing w:before="120" w:after="0" w:line="240" w:lineRule="auto"/>
        <w:ind w:left="426" w:firstLine="11"/>
        <w:rPr>
          <w:rFonts w:ascii="Times New Roman" w:hAnsi="Times New Roman" w:cs="Times New Roman"/>
          <w:sz w:val="24"/>
          <w:szCs w:val="24"/>
        </w:rPr>
      </w:pPr>
      <w:proofErr w:type="gramStart"/>
      <w:r w:rsidRPr="007657A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657A5">
        <w:rPr>
          <w:rFonts w:ascii="Times New Roman" w:hAnsi="Times New Roman" w:cs="Times New Roman"/>
          <w:sz w:val="24"/>
          <w:szCs w:val="24"/>
        </w:rPr>
        <w:t xml:space="preserve"> the Customs Tariff Act, is the rate in Column 2 of the Table below opposite that subheading.</w:t>
      </w:r>
    </w:p>
    <w:p w:rsidR="00F35794" w:rsidRDefault="00F35794" w:rsidP="007657A5">
      <w:pPr>
        <w:spacing w:after="0" w:line="240" w:lineRule="auto"/>
        <w:rPr>
          <w:b/>
          <w:bCs/>
          <w:sz w:val="20"/>
        </w:rPr>
      </w:pPr>
    </w:p>
    <w:p w:rsidR="00F35794" w:rsidRDefault="007657A5" w:rsidP="00F35794">
      <w:pPr>
        <w:pStyle w:val="ACS"/>
        <w:ind w:left="993" w:hanging="993"/>
        <w:rPr>
          <w:rFonts w:ascii="Times New Roman" w:hAnsi="Times New Roman"/>
          <w:b/>
          <w:bCs/>
        </w:rPr>
      </w:pPr>
      <w:r w:rsidRPr="007657A5">
        <w:rPr>
          <w:rFonts w:ascii="Times New Roman" w:hAnsi="Times New Roman"/>
          <w:b/>
          <w:bCs/>
        </w:rPr>
        <w:t>TABLE:</w:t>
      </w:r>
      <w:r w:rsidRPr="007657A5">
        <w:rPr>
          <w:rFonts w:ascii="Times New Roman" w:hAnsi="Times New Roman"/>
          <w:b/>
          <w:bCs/>
        </w:rPr>
        <w:tab/>
      </w:r>
      <w:r w:rsidR="00F35794">
        <w:rPr>
          <w:rFonts w:ascii="Times New Roman" w:hAnsi="Times New Roman"/>
          <w:b/>
          <w:bCs/>
          <w:iCs/>
        </w:rPr>
        <w:t>THE CUSTOMS TARIFF ACT</w:t>
      </w:r>
      <w:r w:rsidR="00F35794" w:rsidRPr="00C31E36">
        <w:rPr>
          <w:rFonts w:ascii="Times New Roman" w:hAnsi="Times New Roman"/>
          <w:b/>
          <w:bCs/>
        </w:rPr>
        <w:t xml:space="preserve"> - TARIFF SUBHEADINGS AFFECTED BY</w:t>
      </w:r>
    </w:p>
    <w:p w:rsidR="00F35794" w:rsidRDefault="00F35794" w:rsidP="00F35794">
      <w:pPr>
        <w:pStyle w:val="ACS"/>
        <w:ind w:left="1440" w:hanging="4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 FEB</w:t>
      </w:r>
      <w:r w:rsidR="00F74255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 xml:space="preserve">UARY 2020 </w:t>
      </w:r>
      <w:r w:rsidRPr="00C31E36">
        <w:rPr>
          <w:rFonts w:ascii="Times New Roman" w:hAnsi="Times New Roman"/>
          <w:b/>
          <w:bCs/>
        </w:rPr>
        <w:t>CPI INDEXATION</w:t>
      </w:r>
    </w:p>
    <w:p w:rsidR="00F35794" w:rsidRPr="00F35794" w:rsidRDefault="00F35794" w:rsidP="00F35794">
      <w:pPr>
        <w:spacing w:after="0"/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1116"/>
        <w:gridCol w:w="44"/>
        <w:gridCol w:w="1103"/>
        <w:gridCol w:w="137"/>
        <w:gridCol w:w="6460"/>
        <w:gridCol w:w="768"/>
      </w:tblGrid>
      <w:tr w:rsidR="00F35794" w:rsidRPr="00680F46" w:rsidTr="00F35794">
        <w:trPr>
          <w:trHeight w:val="30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  <w:t>Column 1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  <w:t>Column 2</w:t>
            </w:r>
          </w:p>
        </w:tc>
      </w:tr>
      <w:tr w:rsidR="00F35794" w:rsidRPr="00680F46" w:rsidTr="00F35794">
        <w:trPr>
          <w:trHeight w:val="481"/>
        </w:trPr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  <w:t>Customs Tariff Subheading</w:t>
            </w:r>
          </w:p>
        </w:tc>
        <w:tc>
          <w:tcPr>
            <w:tcW w:w="7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  <w:t>New Rates of Duty Operative on and from 3 February 2020</w:t>
            </w:r>
          </w:p>
        </w:tc>
      </w:tr>
      <w:tr w:rsidR="00F35794" w:rsidRPr="00680F46" w:rsidTr="00F35794">
        <w:trPr>
          <w:trHeight w:val="509"/>
        </w:trPr>
        <w:tc>
          <w:tcPr>
            <w:tcW w:w="22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794" w:rsidRPr="00F35794" w:rsidRDefault="00F35794" w:rsidP="00A525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7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794" w:rsidRPr="00F35794" w:rsidRDefault="00F35794" w:rsidP="00A5257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</w:p>
        </w:tc>
      </w:tr>
      <w:tr w:rsidR="00F35794" w:rsidRPr="00680F46" w:rsidTr="00F35794">
        <w:trPr>
          <w:trHeight w:val="4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794" w:rsidRPr="00F35794" w:rsidRDefault="00F35794" w:rsidP="00A525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2203.00.64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A525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2206.00.73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$44.05/L of alcohol, calculated on that alcohol content by which the percentage by volume of alcohol of the goods exceeds 1.15</w:t>
            </w:r>
          </w:p>
        </w:tc>
      </w:tr>
      <w:tr w:rsidR="00F35794" w:rsidRPr="00680F46" w:rsidTr="00F35794">
        <w:trPr>
          <w:trHeight w:val="47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794" w:rsidRPr="00F35794" w:rsidRDefault="00F35794" w:rsidP="00A525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2203.00.66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A525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2206.00.77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$51.31/L of alcohol, calculated on that alcohol content by which by which the percentage by volume of alcohol of the goods exceeds 1.15</w:t>
            </w:r>
          </w:p>
        </w:tc>
      </w:tr>
      <w:tr w:rsidR="00F35794" w:rsidRPr="00680F46" w:rsidTr="00F35794">
        <w:trPr>
          <w:trHeight w:val="42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35794" w:rsidRPr="00F35794" w:rsidRDefault="00F35794" w:rsidP="00A525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2203.00.69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A525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2206.00.79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F357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$51.31/L of alcohol, calculated on that alcohol content by which the percentage by volume of alcohol of the goods exceeds 1.15 </w:t>
            </w:r>
          </w:p>
        </w:tc>
      </w:tr>
      <w:tr w:rsidR="00F35794" w:rsidRPr="008A2660" w:rsidTr="00F35794">
        <w:trPr>
          <w:gridAfter w:val="1"/>
          <w:wAfter w:w="768" w:type="dxa"/>
          <w:trHeight w:val="481"/>
        </w:trPr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94" w:rsidRPr="00F35794" w:rsidRDefault="00F35794" w:rsidP="00A5257C">
            <w:pPr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  <w:lastRenderedPageBreak/>
              <w:t>Customs Tariff Subheading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94" w:rsidRPr="00F35794" w:rsidRDefault="00F35794" w:rsidP="00A5257C">
            <w:pPr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  <w:t>New Rates of Duty Operative on and from 3 February 2020</w:t>
            </w:r>
          </w:p>
        </w:tc>
      </w:tr>
      <w:tr w:rsidR="00F35794" w:rsidRPr="008A2660" w:rsidTr="00F35794">
        <w:trPr>
          <w:gridAfter w:val="1"/>
          <w:wAfter w:w="768" w:type="dxa"/>
          <w:trHeight w:val="517"/>
        </w:trPr>
        <w:tc>
          <w:tcPr>
            <w:tcW w:w="2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794" w:rsidRPr="00F35794" w:rsidRDefault="00F35794" w:rsidP="00A5257C">
            <w:pPr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</w:pPr>
          </w:p>
        </w:tc>
        <w:tc>
          <w:tcPr>
            <w:tcW w:w="6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794" w:rsidRPr="00F35794" w:rsidRDefault="00F35794" w:rsidP="00A5257C">
            <w:pPr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294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2203.00.63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2006.00.72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$8.81/L of alcohol, calculated on that alcohol content by which the percentage by volume of alcohol of the goods exceeds 1.15</w:t>
            </w:r>
          </w:p>
        </w:tc>
      </w:tr>
      <w:tr w:rsidR="00F35794" w:rsidRPr="008A2660" w:rsidTr="00F35794">
        <w:trPr>
          <w:gridAfter w:val="1"/>
          <w:wAfter w:w="768" w:type="dxa"/>
          <w:trHeight w:val="294"/>
        </w:trPr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2203.00.71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2206.00.82</w:t>
            </w:r>
          </w:p>
        </w:tc>
        <w:tc>
          <w:tcPr>
            <w:tcW w:w="6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294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2203.00.65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2206.00.76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$27.59/L of alcohol, calculated on that alcohol content by which by which the percentage by volume of alcohol of the goods exceeds 1.15</w:t>
            </w:r>
          </w:p>
        </w:tc>
      </w:tr>
      <w:tr w:rsidR="00F35794" w:rsidRPr="008A2660" w:rsidTr="00F35794">
        <w:trPr>
          <w:gridAfter w:val="1"/>
          <w:wAfter w:w="768" w:type="dxa"/>
          <w:trHeight w:val="294"/>
        </w:trPr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2203.00.72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2206.00.83</w:t>
            </w:r>
          </w:p>
        </w:tc>
        <w:tc>
          <w:tcPr>
            <w:tcW w:w="6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294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2203.00.67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2206.00.78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$36.14/L of alcohol, calculated on that alcohol content by which the percentage by volume of alcohol of the goods exceeds 1.15</w:t>
            </w:r>
          </w:p>
        </w:tc>
      </w:tr>
      <w:tr w:rsidR="00F35794" w:rsidRPr="008A2660" w:rsidTr="00F35794">
        <w:trPr>
          <w:gridAfter w:val="1"/>
          <w:wAfter w:w="768" w:type="dxa"/>
          <w:trHeight w:val="294"/>
        </w:trPr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2203.00.79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</w:rPr>
              <w:t>2206.00.89</w:t>
            </w:r>
          </w:p>
        </w:tc>
        <w:tc>
          <w:tcPr>
            <w:tcW w:w="6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2203.00.91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2206.00.14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$86.90 /L of alcohol</w:t>
            </w: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2203.00.99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2206.00.92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2206.00.99</w:t>
            </w:r>
          </w:p>
        </w:tc>
        <w:tc>
          <w:tcPr>
            <w:tcW w:w="64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2204.10.23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2206.00.23</w:t>
            </w:r>
          </w:p>
        </w:tc>
        <w:tc>
          <w:tcPr>
            <w:tcW w:w="6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 xml:space="preserve">$86.90/L of alcohol, plus customs duty where applicable </w:t>
            </w: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2204.10.29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2206.00.24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794" w:rsidRPr="008A2660" w:rsidRDefault="00F35794" w:rsidP="002C1218">
            <w:pPr>
              <w:spacing w:after="0"/>
              <w:jc w:val="center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2204.10.83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2206.00.52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2204.10.89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2206.00.59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2204.21.30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2206.00.62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2204.21.90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2206.00.69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2204.22.30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2207.10.00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2204.22.90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2208.20.90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2204.29.30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2208.30.00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2204.29.90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2208.40.00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2205.10.30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2208.50.00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2205.10.90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2208.60.00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2205.90.30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2208.70.00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2205.90.90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2208.90.20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2208.90.90</w:t>
            </w:r>
          </w:p>
        </w:tc>
        <w:tc>
          <w:tcPr>
            <w:tcW w:w="646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35794" w:rsidRPr="008A2660" w:rsidRDefault="00F35794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2206.00.22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</w:p>
        </w:tc>
      </w:tr>
      <w:tr w:rsidR="00F35794" w:rsidRPr="008A2660" w:rsidTr="00F35794">
        <w:trPr>
          <w:gridAfter w:val="1"/>
          <w:wAfter w:w="768" w:type="dxa"/>
          <w:trHeight w:val="30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2208.20.10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794" w:rsidRPr="00F35794" w:rsidRDefault="00F35794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794" w:rsidRPr="00F35794" w:rsidRDefault="00F35794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F35794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 xml:space="preserve"> $81.16/L of alcohol, plus customs duty where applicable</w:t>
            </w:r>
          </w:p>
        </w:tc>
      </w:tr>
    </w:tbl>
    <w:p w:rsidR="00F35794" w:rsidRDefault="00F35794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p w:rsidR="002C1218" w:rsidRDefault="002C1218" w:rsidP="00F35794"/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240"/>
        <w:gridCol w:w="6460"/>
      </w:tblGrid>
      <w:tr w:rsidR="002C1218" w:rsidRPr="008A2660" w:rsidTr="00A5257C">
        <w:trPr>
          <w:trHeight w:val="481"/>
        </w:trPr>
        <w:tc>
          <w:tcPr>
            <w:tcW w:w="24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  <w:lastRenderedPageBreak/>
              <w:t>Customs Tariff Subheading</w:t>
            </w:r>
          </w:p>
        </w:tc>
        <w:tc>
          <w:tcPr>
            <w:tcW w:w="6460" w:type="dxa"/>
            <w:vMerge w:val="restart"/>
            <w:shd w:val="clear" w:color="auto" w:fill="auto"/>
            <w:noWrap/>
            <w:vAlign w:val="center"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  <w:t>New Rates of Duty Operative on and from 3 February 2020</w:t>
            </w:r>
          </w:p>
        </w:tc>
      </w:tr>
      <w:tr w:rsidR="002C1218" w:rsidRPr="008A2660" w:rsidTr="00A5257C">
        <w:trPr>
          <w:trHeight w:val="517"/>
        </w:trPr>
        <w:tc>
          <w:tcPr>
            <w:tcW w:w="240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6460" w:type="dxa"/>
            <w:vMerge/>
            <w:vAlign w:val="center"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u w:val="single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2207.20.10</w:t>
            </w:r>
          </w:p>
        </w:tc>
        <w:tc>
          <w:tcPr>
            <w:tcW w:w="1240" w:type="dxa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2710.91.69</w:t>
            </w:r>
          </w:p>
        </w:tc>
        <w:tc>
          <w:tcPr>
            <w:tcW w:w="6460" w:type="dxa"/>
            <w:vMerge w:val="restart"/>
            <w:shd w:val="clear" w:color="auto" w:fill="auto"/>
            <w:noWrap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$0.423/L of petroleum fuels including diesel, ethanol and biodiesel, and blends thereof, plus customs duty where applicable</w:t>
            </w:r>
          </w:p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2707.10.00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2710.91.70</w:t>
            </w:r>
          </w:p>
        </w:tc>
        <w:tc>
          <w:tcPr>
            <w:tcW w:w="6460" w:type="dxa"/>
            <w:vMerge/>
            <w:shd w:val="clear" w:color="auto" w:fill="auto"/>
            <w:noWrap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2707.20.00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2710.91.80</w:t>
            </w:r>
          </w:p>
        </w:tc>
        <w:tc>
          <w:tcPr>
            <w:tcW w:w="6460" w:type="dxa"/>
            <w:vMerge/>
            <w:shd w:val="clear" w:color="auto" w:fill="auto"/>
            <w:noWrap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2707.30.00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2710.99.16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2707.50.00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2710.99.22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2709.00.90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2710.99.28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2710.12.62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2710.99.51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2710.12.69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2710.99.52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2710.12.70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2710.99.53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2710.99.62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2710.99.69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2710.99.70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2710.99.80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2902.20.00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2902.30.00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2710.19.70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2902.41.00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2710.20.00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2902.42.00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2902.43.00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2902.44.00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3817.00.10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3824.99.30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3824.99.40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3826.00.10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2710.91.62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3826.00.20</w:t>
            </w:r>
          </w:p>
        </w:tc>
        <w:tc>
          <w:tcPr>
            <w:tcW w:w="6460" w:type="dxa"/>
            <w:vMerge/>
            <w:hideMark/>
          </w:tcPr>
          <w:p w:rsidR="002C1218" w:rsidRPr="008A2660" w:rsidRDefault="002C1218" w:rsidP="002C1218">
            <w:pPr>
              <w:spacing w:after="0"/>
              <w:rPr>
                <w:color w:val="000000"/>
                <w:sz w:val="20"/>
                <w:lang w:eastAsia="en-AU"/>
              </w:rPr>
            </w:pP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2711.11.00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60" w:type="dxa"/>
            <w:shd w:val="clear" w:color="auto" w:fill="auto"/>
            <w:noWrap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 xml:space="preserve"> $0.290/kg of liquefied natural gas</w:t>
            </w: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2711.21.10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460" w:type="dxa"/>
            <w:shd w:val="clear" w:color="auto" w:fill="auto"/>
            <w:noWrap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 xml:space="preserve"> $0.290/kg of compressed natural gas</w:t>
            </w:r>
          </w:p>
        </w:tc>
      </w:tr>
      <w:tr w:rsidR="002C1218" w:rsidRPr="008A2660" w:rsidTr="00A5257C">
        <w:trPr>
          <w:trHeight w:val="300"/>
        </w:trPr>
        <w:tc>
          <w:tcPr>
            <w:tcW w:w="116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2711.12.10</w:t>
            </w:r>
          </w:p>
        </w:tc>
        <w:tc>
          <w:tcPr>
            <w:tcW w:w="1240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C1218" w:rsidRPr="002C1218" w:rsidRDefault="002C1218" w:rsidP="002C12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AU"/>
              </w:rPr>
              <w:t>2711.13.10</w:t>
            </w:r>
          </w:p>
        </w:tc>
        <w:tc>
          <w:tcPr>
            <w:tcW w:w="6460" w:type="dxa"/>
            <w:shd w:val="clear" w:color="auto" w:fill="auto"/>
            <w:noWrap/>
            <w:hideMark/>
          </w:tcPr>
          <w:p w:rsidR="002C1218" w:rsidRPr="002C1218" w:rsidRDefault="002C1218" w:rsidP="002C12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</w:pPr>
            <w:r w:rsidRPr="002C1218">
              <w:rPr>
                <w:rFonts w:ascii="Times New Roman" w:hAnsi="Times New Roman" w:cs="Times New Roman"/>
                <w:color w:val="000000"/>
                <w:sz w:val="20"/>
                <w:lang w:eastAsia="en-AU"/>
              </w:rPr>
              <w:t xml:space="preserve"> $0.138/L of liquefied petroleum gas </w:t>
            </w:r>
          </w:p>
        </w:tc>
      </w:tr>
    </w:tbl>
    <w:p w:rsidR="002C1218" w:rsidRPr="00F35794" w:rsidRDefault="002C1218" w:rsidP="002C1218">
      <w:pPr>
        <w:spacing w:after="0"/>
      </w:pPr>
    </w:p>
    <w:p w:rsidR="007657A5" w:rsidRDefault="007657A5" w:rsidP="002C1218">
      <w:pPr>
        <w:pStyle w:val="ACS"/>
        <w:ind w:left="993" w:hanging="993"/>
        <w:rPr>
          <w:rFonts w:cs="Arial"/>
        </w:rPr>
      </w:pPr>
    </w:p>
    <w:p w:rsidR="002C1218" w:rsidRPr="002C1218" w:rsidRDefault="002C1218" w:rsidP="002C1218">
      <w:pPr>
        <w:spacing w:after="0"/>
      </w:pPr>
    </w:p>
    <w:p w:rsidR="007657A5" w:rsidRPr="001079B5" w:rsidRDefault="009E50FB" w:rsidP="007657A5">
      <w:pPr>
        <w:tabs>
          <w:tab w:val="left" w:pos="2835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AF6ADB">
        <w:rPr>
          <w:rFonts w:ascii="Times New Roman" w:hAnsi="Times New Roman" w:cs="Times New Roman"/>
          <w:sz w:val="24"/>
          <w:szCs w:val="24"/>
        </w:rPr>
        <w:t>2</w:t>
      </w:r>
      <w:r w:rsidR="002C1218">
        <w:rPr>
          <w:rFonts w:ascii="Times New Roman" w:hAnsi="Times New Roman" w:cs="Times New Roman"/>
          <w:sz w:val="24"/>
          <w:szCs w:val="24"/>
        </w:rPr>
        <w:t>9</w:t>
      </w:r>
      <w:r w:rsidR="00AF6ADB" w:rsidRPr="00AF6A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6ADB">
        <w:rPr>
          <w:rFonts w:ascii="Times New Roman" w:hAnsi="Times New Roman" w:cs="Times New Roman"/>
          <w:sz w:val="24"/>
          <w:szCs w:val="24"/>
        </w:rPr>
        <w:t xml:space="preserve"> </w:t>
      </w:r>
      <w:r w:rsidR="007657A5" w:rsidRPr="001079B5">
        <w:rPr>
          <w:rFonts w:ascii="Times New Roman" w:hAnsi="Times New Roman" w:cs="Times New Roman"/>
          <w:sz w:val="24"/>
          <w:szCs w:val="24"/>
        </w:rPr>
        <w:t>day of J</w:t>
      </w:r>
      <w:r>
        <w:rPr>
          <w:rFonts w:ascii="Times New Roman" w:hAnsi="Times New Roman" w:cs="Times New Roman"/>
          <w:sz w:val="24"/>
          <w:szCs w:val="24"/>
        </w:rPr>
        <w:t>anuary</w:t>
      </w:r>
      <w:r w:rsidR="007657A5" w:rsidRPr="001079B5">
        <w:rPr>
          <w:rFonts w:ascii="Times New Roman" w:hAnsi="Times New Roman" w:cs="Times New Roman"/>
          <w:sz w:val="24"/>
          <w:szCs w:val="24"/>
        </w:rPr>
        <w:t xml:space="preserve"> 202</w:t>
      </w:r>
      <w:r w:rsidR="002C1218">
        <w:rPr>
          <w:rFonts w:ascii="Times New Roman" w:hAnsi="Times New Roman" w:cs="Times New Roman"/>
          <w:sz w:val="24"/>
          <w:szCs w:val="24"/>
        </w:rPr>
        <w:t>0</w:t>
      </w:r>
      <w:r w:rsidR="007657A5" w:rsidRPr="001079B5">
        <w:rPr>
          <w:rFonts w:ascii="Times New Roman" w:hAnsi="Times New Roman" w:cs="Times New Roman"/>
          <w:sz w:val="24"/>
          <w:szCs w:val="24"/>
        </w:rPr>
        <w:t>.</w:t>
      </w:r>
    </w:p>
    <w:p w:rsidR="007657A5" w:rsidRPr="001079B5" w:rsidRDefault="007657A5" w:rsidP="007657A5">
      <w:pPr>
        <w:tabs>
          <w:tab w:val="left" w:pos="2835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A5" w:rsidRPr="001079B5" w:rsidRDefault="007657A5" w:rsidP="007657A5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7657A5" w:rsidRPr="001079B5" w:rsidRDefault="007657A5" w:rsidP="007657A5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7657A5" w:rsidRPr="001079B5" w:rsidRDefault="007657A5" w:rsidP="007657A5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7657A5" w:rsidRPr="001079B5" w:rsidRDefault="007657A5" w:rsidP="007657A5">
      <w:pPr>
        <w:pStyle w:val="BodyText2"/>
        <w:ind w:right="999"/>
        <w:rPr>
          <w:szCs w:val="24"/>
        </w:rPr>
      </w:pPr>
    </w:p>
    <w:p w:rsidR="007657A5" w:rsidRPr="001079B5" w:rsidRDefault="00AF6ADB" w:rsidP="007657A5">
      <w:pPr>
        <w:pStyle w:val="BodyText2"/>
        <w:ind w:right="999"/>
        <w:rPr>
          <w:szCs w:val="24"/>
        </w:rPr>
      </w:pPr>
      <w:r>
        <w:rPr>
          <w:szCs w:val="24"/>
        </w:rPr>
        <w:t>[Signed]</w:t>
      </w:r>
      <w:r w:rsidR="007657A5" w:rsidRPr="001079B5">
        <w:rPr>
          <w:szCs w:val="24"/>
        </w:rPr>
        <w:br/>
      </w:r>
      <w:r w:rsidR="002C1218">
        <w:rPr>
          <w:szCs w:val="24"/>
        </w:rPr>
        <w:t>Suzanne Ford</w:t>
      </w:r>
    </w:p>
    <w:p w:rsidR="007657A5" w:rsidRPr="001079B5" w:rsidRDefault="007657A5" w:rsidP="007657A5">
      <w:pPr>
        <w:pStyle w:val="BodyText2"/>
        <w:ind w:right="999"/>
        <w:rPr>
          <w:szCs w:val="24"/>
        </w:rPr>
      </w:pPr>
      <w:r w:rsidRPr="001079B5">
        <w:rPr>
          <w:szCs w:val="24"/>
        </w:rPr>
        <w:t>Delegate of the</w:t>
      </w:r>
    </w:p>
    <w:p w:rsidR="007657A5" w:rsidRPr="001079B5" w:rsidRDefault="007657A5" w:rsidP="007657A5">
      <w:pPr>
        <w:pStyle w:val="BodyText2"/>
        <w:ind w:right="999"/>
        <w:rPr>
          <w:szCs w:val="24"/>
        </w:rPr>
      </w:pPr>
      <w:r w:rsidRPr="001079B5">
        <w:rPr>
          <w:szCs w:val="24"/>
        </w:rPr>
        <w:t xml:space="preserve">Comptroller-General </w:t>
      </w:r>
    </w:p>
    <w:p w:rsidR="007657A5" w:rsidRPr="001079B5" w:rsidRDefault="007657A5" w:rsidP="007657A5">
      <w:pPr>
        <w:pStyle w:val="BodyText2"/>
        <w:ind w:right="999"/>
        <w:rPr>
          <w:szCs w:val="24"/>
        </w:rPr>
      </w:pPr>
      <w:r w:rsidRPr="001079B5">
        <w:rPr>
          <w:szCs w:val="24"/>
        </w:rPr>
        <w:t>of Customs</w:t>
      </w:r>
    </w:p>
    <w:p w:rsidR="004B2753" w:rsidRPr="001079B5" w:rsidRDefault="004B2753" w:rsidP="0076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2753" w:rsidRPr="001079B5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328D"/>
    <w:multiLevelType w:val="multilevel"/>
    <w:tmpl w:val="1390FECC"/>
    <w:lvl w:ilvl="0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776"/>
        </w:tabs>
        <w:ind w:left="776" w:hanging="567"/>
      </w:pPr>
      <w:rPr>
        <w:rFonts w:ascii="Times" w:hAnsi="Times" w:hint="default"/>
      </w:rPr>
    </w:lvl>
    <w:lvl w:ilvl="1" w:tplc="0C0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70A0E"/>
    <w:rsid w:val="000E1F2B"/>
    <w:rsid w:val="001079B5"/>
    <w:rsid w:val="001C2AAD"/>
    <w:rsid w:val="001F6E54"/>
    <w:rsid w:val="00280BCD"/>
    <w:rsid w:val="002C1218"/>
    <w:rsid w:val="00321589"/>
    <w:rsid w:val="003A707F"/>
    <w:rsid w:val="003B0EC1"/>
    <w:rsid w:val="003B573B"/>
    <w:rsid w:val="003F2CBD"/>
    <w:rsid w:val="003F6DDD"/>
    <w:rsid w:val="00424B97"/>
    <w:rsid w:val="00434684"/>
    <w:rsid w:val="004B2753"/>
    <w:rsid w:val="00520873"/>
    <w:rsid w:val="00573D44"/>
    <w:rsid w:val="007657A5"/>
    <w:rsid w:val="00840A06"/>
    <w:rsid w:val="008439B7"/>
    <w:rsid w:val="0087253F"/>
    <w:rsid w:val="00896507"/>
    <w:rsid w:val="008E4F6C"/>
    <w:rsid w:val="009539C7"/>
    <w:rsid w:val="009E50FB"/>
    <w:rsid w:val="00A00F21"/>
    <w:rsid w:val="00AF6ADB"/>
    <w:rsid w:val="00B03EA7"/>
    <w:rsid w:val="00B84226"/>
    <w:rsid w:val="00BE7780"/>
    <w:rsid w:val="00C63C4E"/>
    <w:rsid w:val="00C72C30"/>
    <w:rsid w:val="00D229E5"/>
    <w:rsid w:val="00D77A88"/>
    <w:rsid w:val="00DB7080"/>
    <w:rsid w:val="00F03910"/>
    <w:rsid w:val="00F35794"/>
    <w:rsid w:val="00F40885"/>
    <w:rsid w:val="00F7425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B95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7657A5"/>
    <w:pPr>
      <w:tabs>
        <w:tab w:val="left" w:pos="2835"/>
        <w:tab w:val="left" w:pos="5954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657A5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7657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02A8-CDD6-4C9E-806D-331051B2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2022-02-24T00:58:00Z</dcterms:created>
  <dcterms:modified xsi:type="dcterms:W3CDTF">2022-08-05T05:45:00Z</dcterms:modified>
  <cp:category/>
  <cp:contentStatus/>
  <dc:language/>
  <cp:version/>
</cp:coreProperties>
</file>