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1EC0" w14:textId="77777777" w:rsidR="00375636" w:rsidRDefault="00375636">
      <w:pPr>
        <w:pStyle w:val="BodyText"/>
        <w:spacing w:before="9" w:after="1"/>
        <w:rPr>
          <w:rFonts w:ascii="Times New Roman"/>
          <w:sz w:val="9"/>
        </w:rPr>
      </w:pPr>
    </w:p>
    <w:p w14:paraId="20131EC3" w14:textId="77777777" w:rsidR="00375636" w:rsidRDefault="00375636">
      <w:pPr>
        <w:pStyle w:val="BodyText"/>
        <w:rPr>
          <w:rFonts w:ascii="Times New Roman"/>
          <w:sz w:val="16"/>
        </w:rPr>
      </w:pPr>
    </w:p>
    <w:p w14:paraId="20131EC4" w14:textId="77777777" w:rsidR="00375636" w:rsidRDefault="00A872A6">
      <w:pPr>
        <w:spacing w:before="87"/>
        <w:ind w:left="140"/>
        <w:rPr>
          <w:b/>
          <w:sz w:val="40"/>
        </w:rPr>
      </w:pPr>
      <w:r>
        <w:rPr>
          <w:b/>
          <w:sz w:val="40"/>
        </w:rPr>
        <w:t>Authority to be a NOHC of an ADI 2022 – ANZ Group Holdings Limited</w:t>
      </w:r>
    </w:p>
    <w:p w14:paraId="20131EC5" w14:textId="718C1788" w:rsidR="00375636" w:rsidRDefault="00A872A6">
      <w:pPr>
        <w:pBdr>
          <w:bottom w:val="single" w:sz="6" w:space="1" w:color="auto"/>
        </w:pBdr>
        <w:spacing w:before="361"/>
        <w:ind w:left="140"/>
        <w:rPr>
          <w:i/>
          <w:sz w:val="28"/>
        </w:rPr>
      </w:pPr>
      <w:r>
        <w:rPr>
          <w:i/>
          <w:sz w:val="28"/>
        </w:rPr>
        <w:t>Banking Act 1959</w:t>
      </w:r>
    </w:p>
    <w:p w14:paraId="20131EC6" w14:textId="77777777" w:rsidR="00375636" w:rsidRPr="00A872A6" w:rsidRDefault="00375636">
      <w:pPr>
        <w:pStyle w:val="BodyText"/>
        <w:spacing w:before="10"/>
        <w:rPr>
          <w:sz w:val="9"/>
        </w:rPr>
      </w:pPr>
    </w:p>
    <w:p w14:paraId="20131EC7" w14:textId="77777777" w:rsidR="00375636" w:rsidRDefault="00A872A6">
      <w:pPr>
        <w:pStyle w:val="BodyText"/>
        <w:spacing w:before="93"/>
        <w:ind w:left="140"/>
      </w:pPr>
      <w:r>
        <w:t>To: ANZ Group Holdings Limited ACN 659 510 791 (the NOHC)</w:t>
      </w:r>
    </w:p>
    <w:p w14:paraId="20131EC8" w14:textId="77777777" w:rsidR="00375636" w:rsidRDefault="00375636">
      <w:pPr>
        <w:pStyle w:val="BodyText"/>
        <w:spacing w:before="2"/>
      </w:pPr>
    </w:p>
    <w:p w14:paraId="20131EC9" w14:textId="77777777" w:rsidR="00375636" w:rsidRDefault="00A872A6">
      <w:pPr>
        <w:pStyle w:val="BodyText"/>
        <w:ind w:left="140"/>
      </w:pPr>
      <w:r>
        <w:t xml:space="preserve">I, Therese McCarthy Hockey, a delegate of APRA, under subsection 11AA(2) of the </w:t>
      </w:r>
      <w:r>
        <w:rPr>
          <w:i/>
        </w:rPr>
        <w:t xml:space="preserve">Banking Act 1959 </w:t>
      </w:r>
      <w:r>
        <w:t>(the Act), GRANT the NOHC an authority to be a NOHC of an ADI.</w:t>
      </w:r>
    </w:p>
    <w:p w14:paraId="20131ECA" w14:textId="77777777" w:rsidR="00375636" w:rsidRDefault="00375636">
      <w:pPr>
        <w:pStyle w:val="BodyText"/>
        <w:spacing w:before="10"/>
        <w:rPr>
          <w:sz w:val="21"/>
        </w:rPr>
      </w:pPr>
    </w:p>
    <w:p w14:paraId="20131ECB" w14:textId="77777777" w:rsidR="00375636" w:rsidRDefault="00A872A6">
      <w:pPr>
        <w:pStyle w:val="BodyText"/>
        <w:ind w:left="140"/>
      </w:pPr>
      <w:r>
        <w:t xml:space="preserve">Under subsection 11AAA(1) of the Act, I IMPOSE on this NOHC authority the conditions specified </w:t>
      </w:r>
      <w:r>
        <w:t>in the schedule.</w:t>
      </w:r>
    </w:p>
    <w:p w14:paraId="20131ECC" w14:textId="77777777" w:rsidR="00375636" w:rsidRDefault="00375636">
      <w:pPr>
        <w:pStyle w:val="BodyText"/>
        <w:spacing w:before="1"/>
      </w:pPr>
    </w:p>
    <w:p w14:paraId="20131ECD" w14:textId="77777777" w:rsidR="00375636" w:rsidRDefault="00A872A6">
      <w:pPr>
        <w:pStyle w:val="BodyText"/>
        <w:spacing w:line="480" w:lineRule="auto"/>
        <w:ind w:left="140" w:right="1275"/>
      </w:pPr>
      <w:r>
        <w:t>This instrument commences on the day the restructure arrangement takes effect. Dated: 4 October 2022</w:t>
      </w:r>
    </w:p>
    <w:p w14:paraId="20131ECE" w14:textId="77777777" w:rsidR="00375636" w:rsidRDefault="00375636">
      <w:pPr>
        <w:pStyle w:val="BodyText"/>
        <w:rPr>
          <w:sz w:val="24"/>
        </w:rPr>
      </w:pPr>
    </w:p>
    <w:p w14:paraId="20131ECF" w14:textId="77777777" w:rsidR="00375636" w:rsidRDefault="00375636">
      <w:pPr>
        <w:pStyle w:val="BodyText"/>
        <w:spacing w:before="11"/>
        <w:rPr>
          <w:sz w:val="21"/>
        </w:rPr>
      </w:pPr>
    </w:p>
    <w:p w14:paraId="20131ED0" w14:textId="77777777" w:rsidR="00375636" w:rsidRDefault="00A872A6">
      <w:pPr>
        <w:pStyle w:val="BodyText"/>
        <w:ind w:left="140" w:right="6558"/>
      </w:pPr>
      <w:r>
        <w:t>Therese McCarthy Hockey Executive Director Banking</w:t>
      </w:r>
      <w:r>
        <w:rPr>
          <w:spacing w:val="-2"/>
        </w:rPr>
        <w:t xml:space="preserve"> </w:t>
      </w:r>
      <w:r>
        <w:t>Division</w:t>
      </w:r>
    </w:p>
    <w:p w14:paraId="20131ED1" w14:textId="77777777" w:rsidR="00375636" w:rsidRDefault="00375636">
      <w:pPr>
        <w:pStyle w:val="BodyText"/>
        <w:rPr>
          <w:sz w:val="24"/>
        </w:rPr>
      </w:pPr>
    </w:p>
    <w:p w14:paraId="20131ED2" w14:textId="77777777" w:rsidR="00375636" w:rsidRDefault="00A872A6">
      <w:pPr>
        <w:pStyle w:val="Heading1"/>
        <w:spacing w:before="205"/>
      </w:pPr>
      <w:r>
        <w:t>Interpretation</w:t>
      </w:r>
    </w:p>
    <w:p w14:paraId="20131ED3" w14:textId="77777777" w:rsidR="00375636" w:rsidRDefault="00A872A6">
      <w:pPr>
        <w:pStyle w:val="BodyText"/>
        <w:spacing w:before="120"/>
        <w:ind w:left="140"/>
      </w:pPr>
      <w:r>
        <w:t>In this instrument:</w:t>
      </w:r>
    </w:p>
    <w:p w14:paraId="20131ED4" w14:textId="77777777" w:rsidR="00375636" w:rsidRDefault="00A872A6">
      <w:pPr>
        <w:pStyle w:val="BodyText"/>
        <w:spacing w:before="119"/>
        <w:ind w:left="140"/>
      </w:pPr>
      <w:r>
        <w:rPr>
          <w:b/>
          <w:i/>
        </w:rPr>
        <w:t xml:space="preserve">APRA </w:t>
      </w:r>
      <w:r>
        <w:t>means the Australian Prudential Regulation Authority.</w:t>
      </w:r>
    </w:p>
    <w:p w14:paraId="20131ED5" w14:textId="77777777" w:rsidR="00375636" w:rsidRDefault="00A872A6">
      <w:pPr>
        <w:pStyle w:val="BodyText"/>
        <w:spacing w:before="120"/>
        <w:ind w:left="140"/>
      </w:pPr>
      <w:r>
        <w:rPr>
          <w:b/>
          <w:i/>
        </w:rPr>
        <w:t xml:space="preserve">ADI </w:t>
      </w:r>
      <w:r>
        <w:t>has the meaning given in subsection 5(1) of the Act.</w:t>
      </w:r>
    </w:p>
    <w:p w14:paraId="20131ED6" w14:textId="77777777" w:rsidR="00375636" w:rsidRDefault="00A872A6">
      <w:pPr>
        <w:pStyle w:val="BodyText"/>
        <w:spacing w:before="122"/>
        <w:ind w:left="140"/>
      </w:pPr>
      <w:r>
        <w:rPr>
          <w:b/>
          <w:i/>
        </w:rPr>
        <w:t xml:space="preserve">NOHC </w:t>
      </w:r>
      <w:r>
        <w:t>has the meaning given in subsection 5(1) of the Act.</w:t>
      </w:r>
    </w:p>
    <w:p w14:paraId="20131ED7" w14:textId="77777777" w:rsidR="00375636" w:rsidRDefault="00A872A6">
      <w:pPr>
        <w:spacing w:before="120"/>
        <w:ind w:left="140"/>
      </w:pPr>
      <w:r>
        <w:rPr>
          <w:b/>
          <w:i/>
        </w:rPr>
        <w:t xml:space="preserve">NOHC authority </w:t>
      </w:r>
      <w:r>
        <w:t>has the meaning given in subsection 5(1) of the Act.</w:t>
      </w:r>
    </w:p>
    <w:p w14:paraId="20131ED8" w14:textId="77777777" w:rsidR="00375636" w:rsidRDefault="00A872A6">
      <w:pPr>
        <w:pStyle w:val="BodyText"/>
        <w:spacing w:before="119"/>
        <w:ind w:left="140"/>
      </w:pPr>
      <w:r>
        <w:rPr>
          <w:b/>
          <w:i/>
        </w:rPr>
        <w:t>restructure arrange</w:t>
      </w:r>
      <w:r>
        <w:rPr>
          <w:b/>
          <w:i/>
        </w:rPr>
        <w:t xml:space="preserve">ment </w:t>
      </w:r>
      <w:r>
        <w:t>means the arrangement set out in the Federal Court of Australia matter of Australia and New Zealand Banking Group Limited (File number VID536/2022).</w:t>
      </w:r>
    </w:p>
    <w:p w14:paraId="20131ED9" w14:textId="77777777" w:rsidR="00375636" w:rsidRDefault="00375636">
      <w:pPr>
        <w:pStyle w:val="BodyText"/>
        <w:spacing w:before="7"/>
        <w:rPr>
          <w:sz w:val="20"/>
        </w:rPr>
      </w:pPr>
    </w:p>
    <w:p w14:paraId="20131EDA" w14:textId="77777777" w:rsidR="00375636" w:rsidRDefault="00A872A6">
      <w:pPr>
        <w:ind w:left="140"/>
        <w:rPr>
          <w:b/>
          <w:sz w:val="18"/>
        </w:rPr>
      </w:pPr>
      <w:r>
        <w:rPr>
          <w:b/>
          <w:sz w:val="18"/>
        </w:rPr>
        <w:t>Notes</w:t>
      </w:r>
    </w:p>
    <w:p w14:paraId="20131EDB" w14:textId="77777777" w:rsidR="00375636" w:rsidRDefault="00A872A6">
      <w:pPr>
        <w:spacing w:before="123"/>
        <w:ind w:left="140"/>
        <w:rPr>
          <w:sz w:val="18"/>
        </w:rPr>
      </w:pPr>
      <w:r>
        <w:rPr>
          <w:sz w:val="18"/>
        </w:rPr>
        <w:t xml:space="preserve">APRA is required to publish this instrument in the </w:t>
      </w:r>
      <w:r>
        <w:rPr>
          <w:i/>
          <w:sz w:val="18"/>
        </w:rPr>
        <w:t>Gazette</w:t>
      </w:r>
      <w:r>
        <w:rPr>
          <w:sz w:val="18"/>
        </w:rPr>
        <w:t>, and may also publish this instrument in any other way that APRA considers appropriate.</w:t>
      </w:r>
    </w:p>
    <w:p w14:paraId="20131EDC" w14:textId="77777777" w:rsidR="00375636" w:rsidRDefault="00A872A6">
      <w:pPr>
        <w:spacing w:before="121"/>
        <w:ind w:left="140"/>
        <w:rPr>
          <w:sz w:val="18"/>
        </w:rPr>
      </w:pPr>
      <w:r>
        <w:rPr>
          <w:sz w:val="18"/>
        </w:rPr>
        <w:t>This NOHC authority operates as an authority in relation to the NOHC and any ADIs that are subsidiaries of th</w:t>
      </w:r>
      <w:r>
        <w:rPr>
          <w:sz w:val="18"/>
        </w:rPr>
        <w:t>e NOHC from time to time.</w:t>
      </w:r>
    </w:p>
    <w:p w14:paraId="20131EDD" w14:textId="77777777" w:rsidR="00375636" w:rsidRDefault="00A872A6">
      <w:pPr>
        <w:spacing w:before="118"/>
        <w:ind w:left="140"/>
        <w:rPr>
          <w:sz w:val="18"/>
        </w:rPr>
      </w:pPr>
      <w:r>
        <w:rPr>
          <w:sz w:val="18"/>
        </w:rPr>
        <w:t>A decision to impose conditions on a NOHC authority is a decision to which Part VI of the Act applies. You may request APRA reconsider the decision in accordance with subsection 51B(1) of the Act. The request for</w:t>
      </w:r>
    </w:p>
    <w:p w14:paraId="20131EDE" w14:textId="77777777" w:rsidR="00375636" w:rsidRDefault="00375636">
      <w:pPr>
        <w:rPr>
          <w:sz w:val="18"/>
        </w:rPr>
        <w:sectPr w:rsidR="00375636" w:rsidSect="00A872A6">
          <w:headerReference w:type="default" r:id="rId12"/>
          <w:headerReference w:type="first" r:id="rId13"/>
          <w:type w:val="continuous"/>
          <w:pgSz w:w="11910" w:h="16840"/>
          <w:pgMar w:top="1580" w:right="1300" w:bottom="280" w:left="1300" w:header="720" w:footer="720" w:gutter="0"/>
          <w:cols w:space="720"/>
          <w:titlePg/>
          <w:docGrid w:linePitch="299"/>
        </w:sectPr>
      </w:pPr>
    </w:p>
    <w:p w14:paraId="20131EDF" w14:textId="77777777" w:rsidR="00375636" w:rsidRDefault="00A872A6">
      <w:pPr>
        <w:spacing w:before="74"/>
        <w:ind w:left="140" w:right="135"/>
        <w:jc w:val="both"/>
        <w:rPr>
          <w:sz w:val="18"/>
        </w:rPr>
      </w:pPr>
      <w:r>
        <w:rPr>
          <w:sz w:val="18"/>
        </w:rPr>
        <w:lastRenderedPageBreak/>
        <w:t>r</w:t>
      </w:r>
      <w:r>
        <w:rPr>
          <w:sz w:val="18"/>
        </w:rPr>
        <w:t>econsideration</w:t>
      </w:r>
      <w:r>
        <w:rPr>
          <w:spacing w:val="-7"/>
          <w:sz w:val="18"/>
        </w:rPr>
        <w:t xml:space="preserve"> </w:t>
      </w:r>
      <w:r>
        <w:rPr>
          <w:sz w:val="18"/>
        </w:rPr>
        <w:t>must</w:t>
      </w:r>
      <w:r>
        <w:rPr>
          <w:spacing w:val="-7"/>
          <w:sz w:val="18"/>
        </w:rPr>
        <w:t xml:space="preserve"> </w:t>
      </w:r>
      <w:r>
        <w:rPr>
          <w:sz w:val="18"/>
        </w:rPr>
        <w:t>be</w:t>
      </w:r>
      <w:r>
        <w:rPr>
          <w:spacing w:val="-4"/>
          <w:sz w:val="18"/>
        </w:rPr>
        <w:t xml:space="preserve"> </w:t>
      </w:r>
      <w:r>
        <w:rPr>
          <w:sz w:val="18"/>
        </w:rPr>
        <w:t>made</w:t>
      </w:r>
      <w:r>
        <w:rPr>
          <w:spacing w:val="-7"/>
          <w:sz w:val="18"/>
        </w:rPr>
        <w:t xml:space="preserve"> </w:t>
      </w:r>
      <w:r>
        <w:rPr>
          <w:sz w:val="18"/>
        </w:rPr>
        <w:t>in</w:t>
      </w:r>
      <w:r>
        <w:rPr>
          <w:spacing w:val="-7"/>
          <w:sz w:val="18"/>
        </w:rPr>
        <w:t xml:space="preserve"> </w:t>
      </w:r>
      <w:r>
        <w:rPr>
          <w:sz w:val="18"/>
        </w:rPr>
        <w:t>writing,</w:t>
      </w:r>
      <w:r>
        <w:rPr>
          <w:spacing w:val="-4"/>
          <w:sz w:val="18"/>
        </w:rPr>
        <w:t xml:space="preserve"> </w:t>
      </w:r>
      <w:r>
        <w:rPr>
          <w:sz w:val="18"/>
        </w:rPr>
        <w:t>must</w:t>
      </w:r>
      <w:r>
        <w:rPr>
          <w:spacing w:val="-7"/>
          <w:sz w:val="18"/>
        </w:rPr>
        <w:t xml:space="preserve"> </w:t>
      </w:r>
      <w:r>
        <w:rPr>
          <w:sz w:val="18"/>
        </w:rPr>
        <w:t>state</w:t>
      </w:r>
      <w:r>
        <w:rPr>
          <w:spacing w:val="-7"/>
          <w:sz w:val="18"/>
        </w:rPr>
        <w:t xml:space="preserve"> </w:t>
      </w:r>
      <w:r>
        <w:rPr>
          <w:sz w:val="18"/>
        </w:rPr>
        <w:t>the</w:t>
      </w:r>
      <w:r>
        <w:rPr>
          <w:spacing w:val="-7"/>
          <w:sz w:val="18"/>
        </w:rPr>
        <w:t xml:space="preserve"> </w:t>
      </w:r>
      <w:r>
        <w:rPr>
          <w:sz w:val="18"/>
        </w:rPr>
        <w:t>reasons</w:t>
      </w:r>
      <w:r>
        <w:rPr>
          <w:spacing w:val="-7"/>
          <w:sz w:val="18"/>
        </w:rPr>
        <w:t xml:space="preserve"> </w:t>
      </w:r>
      <w:r>
        <w:rPr>
          <w:sz w:val="18"/>
        </w:rPr>
        <w:t>for</w:t>
      </w:r>
      <w:r>
        <w:rPr>
          <w:spacing w:val="-9"/>
          <w:sz w:val="18"/>
        </w:rPr>
        <w:t xml:space="preserve"> </w:t>
      </w:r>
      <w:r>
        <w:rPr>
          <w:sz w:val="18"/>
        </w:rPr>
        <w:t>the</w:t>
      </w:r>
      <w:r>
        <w:rPr>
          <w:spacing w:val="-7"/>
          <w:sz w:val="18"/>
        </w:rPr>
        <w:t xml:space="preserve"> </w:t>
      </w:r>
      <w:r>
        <w:rPr>
          <w:sz w:val="18"/>
        </w:rPr>
        <w:t>request,</w:t>
      </w:r>
      <w:r>
        <w:rPr>
          <w:spacing w:val="-7"/>
          <w:sz w:val="18"/>
        </w:rPr>
        <w:t xml:space="preserve"> </w:t>
      </w:r>
      <w:r>
        <w:rPr>
          <w:sz w:val="18"/>
        </w:rPr>
        <w:t>and</w:t>
      </w:r>
      <w:r>
        <w:rPr>
          <w:spacing w:val="-7"/>
          <w:sz w:val="18"/>
        </w:rPr>
        <w:t xml:space="preserve"> </w:t>
      </w:r>
      <w:r>
        <w:rPr>
          <w:sz w:val="18"/>
        </w:rPr>
        <w:t>must</w:t>
      </w:r>
      <w:r>
        <w:rPr>
          <w:spacing w:val="-7"/>
          <w:sz w:val="18"/>
        </w:rPr>
        <w:t xml:space="preserve"> </w:t>
      </w:r>
      <w:r>
        <w:rPr>
          <w:sz w:val="18"/>
        </w:rPr>
        <w:t>be</w:t>
      </w:r>
      <w:r>
        <w:rPr>
          <w:spacing w:val="-7"/>
          <w:sz w:val="18"/>
        </w:rPr>
        <w:t xml:space="preserve"> </w:t>
      </w:r>
      <w:r>
        <w:rPr>
          <w:sz w:val="18"/>
        </w:rPr>
        <w:t>given</w:t>
      </w:r>
      <w:r>
        <w:rPr>
          <w:spacing w:val="-7"/>
          <w:sz w:val="18"/>
        </w:rPr>
        <w:t xml:space="preserve"> </w:t>
      </w:r>
      <w:r>
        <w:rPr>
          <w:sz w:val="18"/>
        </w:rPr>
        <w:t>to</w:t>
      </w:r>
      <w:r>
        <w:rPr>
          <w:spacing w:val="-7"/>
          <w:sz w:val="18"/>
        </w:rPr>
        <w:t xml:space="preserve"> </w:t>
      </w:r>
      <w:r>
        <w:rPr>
          <w:sz w:val="18"/>
        </w:rPr>
        <w:t>APRA</w:t>
      </w:r>
      <w:r>
        <w:rPr>
          <w:spacing w:val="-7"/>
          <w:sz w:val="18"/>
        </w:rPr>
        <w:t xml:space="preserve"> </w:t>
      </w:r>
      <w:r>
        <w:rPr>
          <w:sz w:val="18"/>
        </w:rPr>
        <w:t>within 21 days after the day on which you first received notice of this decision, or within such further period as APRA allows. If you are dissatisfie</w:t>
      </w:r>
      <w:r>
        <w:rPr>
          <w:sz w:val="18"/>
        </w:rPr>
        <w:t xml:space="preserve">d with the outcome of APRA’s reconsideration of the decision, you may, subject to the </w:t>
      </w:r>
      <w:r>
        <w:rPr>
          <w:i/>
          <w:sz w:val="18"/>
        </w:rPr>
        <w:t>Administrative Appeals Tribunal Act 1975</w:t>
      </w:r>
      <w:r>
        <w:rPr>
          <w:sz w:val="18"/>
        </w:rPr>
        <w:t>, apply to the Administrative Appeals Tribunal for review of the reconsidered</w:t>
      </w:r>
      <w:r>
        <w:rPr>
          <w:spacing w:val="-12"/>
          <w:sz w:val="18"/>
        </w:rPr>
        <w:t xml:space="preserve"> </w:t>
      </w:r>
      <w:r>
        <w:rPr>
          <w:sz w:val="18"/>
        </w:rPr>
        <w:t>decision.</w:t>
      </w:r>
      <w:r>
        <w:rPr>
          <w:spacing w:val="-12"/>
          <w:sz w:val="18"/>
        </w:rPr>
        <w:t xml:space="preserve"> </w:t>
      </w:r>
      <w:r>
        <w:rPr>
          <w:sz w:val="18"/>
        </w:rPr>
        <w:t>The</w:t>
      </w:r>
      <w:r>
        <w:rPr>
          <w:spacing w:val="-14"/>
          <w:sz w:val="18"/>
        </w:rPr>
        <w:t xml:space="preserve"> </w:t>
      </w:r>
      <w:r>
        <w:rPr>
          <w:sz w:val="18"/>
        </w:rPr>
        <w:t>address</w:t>
      </w:r>
      <w:r>
        <w:rPr>
          <w:spacing w:val="-12"/>
          <w:sz w:val="18"/>
        </w:rPr>
        <w:t xml:space="preserve"> </w:t>
      </w:r>
      <w:r>
        <w:rPr>
          <w:sz w:val="18"/>
        </w:rPr>
        <w:t>where</w:t>
      </w:r>
      <w:r>
        <w:rPr>
          <w:spacing w:val="-12"/>
          <w:sz w:val="18"/>
        </w:rPr>
        <w:t xml:space="preserve"> </w:t>
      </w:r>
      <w:r>
        <w:rPr>
          <w:sz w:val="18"/>
        </w:rPr>
        <w:t>written</w:t>
      </w:r>
      <w:r>
        <w:rPr>
          <w:spacing w:val="-12"/>
          <w:sz w:val="18"/>
        </w:rPr>
        <w:t xml:space="preserve"> </w:t>
      </w:r>
      <w:r>
        <w:rPr>
          <w:sz w:val="18"/>
        </w:rPr>
        <w:t>notice</w:t>
      </w:r>
      <w:r>
        <w:rPr>
          <w:spacing w:val="-9"/>
          <w:sz w:val="18"/>
        </w:rPr>
        <w:t xml:space="preserve"> </w:t>
      </w:r>
      <w:r>
        <w:rPr>
          <w:sz w:val="18"/>
        </w:rPr>
        <w:t>may</w:t>
      </w:r>
      <w:r>
        <w:rPr>
          <w:spacing w:val="-13"/>
          <w:sz w:val="18"/>
        </w:rPr>
        <w:t xml:space="preserve"> </w:t>
      </w:r>
      <w:r>
        <w:rPr>
          <w:sz w:val="18"/>
        </w:rPr>
        <w:t>be</w:t>
      </w:r>
      <w:r>
        <w:rPr>
          <w:spacing w:val="-12"/>
          <w:sz w:val="18"/>
        </w:rPr>
        <w:t xml:space="preserve"> </w:t>
      </w:r>
      <w:r>
        <w:rPr>
          <w:sz w:val="18"/>
        </w:rPr>
        <w:t>gi</w:t>
      </w:r>
      <w:r>
        <w:rPr>
          <w:sz w:val="18"/>
        </w:rPr>
        <w:t>ven</w:t>
      </w:r>
      <w:r>
        <w:rPr>
          <w:spacing w:val="-12"/>
          <w:sz w:val="18"/>
        </w:rPr>
        <w:t xml:space="preserve"> </w:t>
      </w:r>
      <w:r>
        <w:rPr>
          <w:sz w:val="18"/>
        </w:rPr>
        <w:t>to</w:t>
      </w:r>
      <w:r>
        <w:rPr>
          <w:spacing w:val="-14"/>
          <w:sz w:val="18"/>
        </w:rPr>
        <w:t xml:space="preserve"> </w:t>
      </w:r>
      <w:r>
        <w:rPr>
          <w:sz w:val="18"/>
        </w:rPr>
        <w:t>APRA</w:t>
      </w:r>
      <w:r>
        <w:rPr>
          <w:spacing w:val="-12"/>
          <w:sz w:val="18"/>
        </w:rPr>
        <w:t xml:space="preserve"> </w:t>
      </w:r>
      <w:r>
        <w:rPr>
          <w:sz w:val="18"/>
        </w:rPr>
        <w:t>is</w:t>
      </w:r>
      <w:r>
        <w:rPr>
          <w:spacing w:val="-12"/>
          <w:sz w:val="18"/>
        </w:rPr>
        <w:t xml:space="preserve"> </w:t>
      </w:r>
      <w:r>
        <w:rPr>
          <w:sz w:val="18"/>
        </w:rPr>
        <w:t>Level</w:t>
      </w:r>
      <w:r>
        <w:rPr>
          <w:spacing w:val="-14"/>
          <w:sz w:val="18"/>
        </w:rPr>
        <w:t xml:space="preserve"> </w:t>
      </w:r>
      <w:r>
        <w:rPr>
          <w:sz w:val="18"/>
        </w:rPr>
        <w:t>12,</w:t>
      </w:r>
      <w:r>
        <w:rPr>
          <w:spacing w:val="-11"/>
          <w:sz w:val="18"/>
        </w:rPr>
        <w:t xml:space="preserve"> </w:t>
      </w:r>
      <w:r>
        <w:rPr>
          <w:sz w:val="18"/>
        </w:rPr>
        <w:t>1</w:t>
      </w:r>
      <w:r>
        <w:rPr>
          <w:spacing w:val="-12"/>
          <w:sz w:val="18"/>
        </w:rPr>
        <w:t xml:space="preserve"> </w:t>
      </w:r>
      <w:r>
        <w:rPr>
          <w:sz w:val="18"/>
        </w:rPr>
        <w:t>Martin</w:t>
      </w:r>
      <w:r>
        <w:rPr>
          <w:spacing w:val="-12"/>
          <w:sz w:val="18"/>
        </w:rPr>
        <w:t xml:space="preserve"> </w:t>
      </w:r>
      <w:r>
        <w:rPr>
          <w:sz w:val="18"/>
        </w:rPr>
        <w:t>Place,</w:t>
      </w:r>
      <w:r>
        <w:rPr>
          <w:spacing w:val="-12"/>
          <w:sz w:val="18"/>
        </w:rPr>
        <w:t xml:space="preserve"> </w:t>
      </w:r>
      <w:r>
        <w:rPr>
          <w:sz w:val="18"/>
        </w:rPr>
        <w:t>Sydney NSW</w:t>
      </w:r>
      <w:r>
        <w:rPr>
          <w:spacing w:val="6"/>
          <w:sz w:val="18"/>
        </w:rPr>
        <w:t xml:space="preserve"> </w:t>
      </w:r>
      <w:r>
        <w:rPr>
          <w:sz w:val="18"/>
        </w:rPr>
        <w:t>2000.</w:t>
      </w:r>
    </w:p>
    <w:p w14:paraId="20131EE0" w14:textId="77777777" w:rsidR="00375636" w:rsidRDefault="00375636">
      <w:pPr>
        <w:pStyle w:val="BodyText"/>
        <w:rPr>
          <w:sz w:val="20"/>
        </w:rPr>
      </w:pPr>
    </w:p>
    <w:p w14:paraId="20131EE1" w14:textId="77777777" w:rsidR="00375636" w:rsidRDefault="00375636">
      <w:pPr>
        <w:pStyle w:val="BodyText"/>
        <w:rPr>
          <w:sz w:val="20"/>
        </w:rPr>
      </w:pPr>
    </w:p>
    <w:p w14:paraId="20131EE2" w14:textId="77777777" w:rsidR="00375636" w:rsidRDefault="00A872A6">
      <w:pPr>
        <w:spacing w:before="147"/>
        <w:ind w:left="140"/>
        <w:jc w:val="both"/>
        <w:rPr>
          <w:b/>
          <w:sz w:val="32"/>
        </w:rPr>
      </w:pPr>
      <w:r>
        <w:rPr>
          <w:b/>
          <w:sz w:val="32"/>
        </w:rPr>
        <w:t>Schedule – conditions on the NOHC authority</w:t>
      </w:r>
    </w:p>
    <w:p w14:paraId="20131EE3" w14:textId="77777777" w:rsidR="00375636" w:rsidRDefault="00A872A6">
      <w:pPr>
        <w:pStyle w:val="Heading1"/>
        <w:spacing w:before="241"/>
      </w:pPr>
      <w:r>
        <w:t>Capital</w:t>
      </w:r>
    </w:p>
    <w:p w14:paraId="20131EE4" w14:textId="77777777" w:rsidR="00375636" w:rsidRDefault="00375636">
      <w:pPr>
        <w:pStyle w:val="BodyText"/>
        <w:spacing w:before="10"/>
        <w:rPr>
          <w:b/>
          <w:sz w:val="21"/>
        </w:rPr>
      </w:pPr>
    </w:p>
    <w:p w14:paraId="20131EE5" w14:textId="77777777" w:rsidR="00375636" w:rsidRDefault="00A872A6">
      <w:pPr>
        <w:pStyle w:val="ListParagraph"/>
        <w:numPr>
          <w:ilvl w:val="0"/>
          <w:numId w:val="1"/>
        </w:numPr>
        <w:tabs>
          <w:tab w:val="left" w:pos="708"/>
        </w:tabs>
        <w:ind w:right="133"/>
        <w:jc w:val="both"/>
      </w:pPr>
      <w:r>
        <w:t>The NOHC must calculate and manage capital for the Non-Bank Group in accordance with</w:t>
      </w:r>
      <w:r>
        <w:rPr>
          <w:spacing w:val="-5"/>
        </w:rPr>
        <w:t xml:space="preserve"> </w:t>
      </w:r>
      <w:r>
        <w:t>an</w:t>
      </w:r>
      <w:r>
        <w:rPr>
          <w:spacing w:val="-5"/>
        </w:rPr>
        <w:t xml:space="preserve"> </w:t>
      </w:r>
      <w:r>
        <w:t>Economic</w:t>
      </w:r>
      <w:r>
        <w:rPr>
          <w:spacing w:val="-5"/>
        </w:rPr>
        <w:t xml:space="preserve"> </w:t>
      </w:r>
      <w:r>
        <w:t>Capital</w:t>
      </w:r>
      <w:r>
        <w:rPr>
          <w:spacing w:val="-7"/>
        </w:rPr>
        <w:t xml:space="preserve"> </w:t>
      </w:r>
      <w:r>
        <w:t>Model</w:t>
      </w:r>
      <w:r>
        <w:rPr>
          <w:spacing w:val="-3"/>
        </w:rPr>
        <w:t xml:space="preserve"> </w:t>
      </w:r>
      <w:r>
        <w:t>(ECM).</w:t>
      </w:r>
      <w:r>
        <w:rPr>
          <w:spacing w:val="-6"/>
        </w:rPr>
        <w:t xml:space="preserve"> </w:t>
      </w:r>
      <w:r>
        <w:t>The</w:t>
      </w:r>
      <w:r>
        <w:rPr>
          <w:spacing w:val="-5"/>
        </w:rPr>
        <w:t xml:space="preserve"> </w:t>
      </w:r>
      <w:r>
        <w:t>NOHC</w:t>
      </w:r>
      <w:r>
        <w:rPr>
          <w:spacing w:val="-4"/>
        </w:rPr>
        <w:t xml:space="preserve"> </w:t>
      </w:r>
      <w:r>
        <w:t>must</w:t>
      </w:r>
      <w:r>
        <w:rPr>
          <w:spacing w:val="-5"/>
        </w:rPr>
        <w:t xml:space="preserve"> </w:t>
      </w:r>
      <w:r>
        <w:t>ensure</w:t>
      </w:r>
      <w:r>
        <w:rPr>
          <w:spacing w:val="-5"/>
        </w:rPr>
        <w:t xml:space="preserve"> </w:t>
      </w:r>
      <w:r>
        <w:t>that</w:t>
      </w:r>
      <w:r>
        <w:rPr>
          <w:spacing w:val="-4"/>
        </w:rPr>
        <w:t xml:space="preserve"> </w:t>
      </w:r>
      <w:r>
        <w:t>the</w:t>
      </w:r>
      <w:r>
        <w:rPr>
          <w:spacing w:val="-5"/>
        </w:rPr>
        <w:t xml:space="preserve"> </w:t>
      </w:r>
      <w:r>
        <w:t>capital</w:t>
      </w:r>
      <w:r>
        <w:rPr>
          <w:spacing w:val="3"/>
        </w:rPr>
        <w:t xml:space="preserve"> </w:t>
      </w:r>
      <w:r>
        <w:t>is</w:t>
      </w:r>
      <w:r>
        <w:rPr>
          <w:spacing w:val="-5"/>
        </w:rPr>
        <w:t xml:space="preserve"> </w:t>
      </w:r>
      <w:r>
        <w:t xml:space="preserve">held as Common Equity Tier 1 Capital within the Non-Bank Group at all times and that the ability </w:t>
      </w:r>
      <w:r>
        <w:t>of the NOHC’s prudentially regulated subsidiaries to meet their obligations to depositors, policy holders or beneficiaries is not adversely impacted by risks</w:t>
      </w:r>
      <w:r>
        <w:rPr>
          <w:spacing w:val="-37"/>
        </w:rPr>
        <w:t xml:space="preserve"> </w:t>
      </w:r>
      <w:r>
        <w:t>emanating from the Non-Bank</w:t>
      </w:r>
      <w:r>
        <w:rPr>
          <w:spacing w:val="-1"/>
        </w:rPr>
        <w:t xml:space="preserve"> </w:t>
      </w:r>
      <w:r>
        <w:t>Group.</w:t>
      </w:r>
    </w:p>
    <w:p w14:paraId="20131EE6" w14:textId="77777777" w:rsidR="00375636" w:rsidRDefault="00375636">
      <w:pPr>
        <w:pStyle w:val="BodyText"/>
      </w:pPr>
    </w:p>
    <w:p w14:paraId="20131EE7" w14:textId="77777777" w:rsidR="00375636" w:rsidRDefault="00A872A6">
      <w:pPr>
        <w:pStyle w:val="ListParagraph"/>
        <w:numPr>
          <w:ilvl w:val="0"/>
          <w:numId w:val="1"/>
        </w:numPr>
        <w:tabs>
          <w:tab w:val="left" w:pos="708"/>
        </w:tabs>
        <w:ind w:right="138"/>
        <w:jc w:val="both"/>
      </w:pPr>
      <w:r>
        <w:t>The ECM must be subject to appropriate governance, oversight a</w:t>
      </w:r>
      <w:r>
        <w:t>nd independent assurance.</w:t>
      </w:r>
    </w:p>
    <w:p w14:paraId="20131EE8" w14:textId="77777777" w:rsidR="00375636" w:rsidRDefault="00375636">
      <w:pPr>
        <w:pStyle w:val="BodyText"/>
        <w:spacing w:before="1"/>
      </w:pPr>
    </w:p>
    <w:p w14:paraId="20131EE9" w14:textId="77777777" w:rsidR="00375636" w:rsidRDefault="00A872A6">
      <w:pPr>
        <w:pStyle w:val="ListParagraph"/>
        <w:numPr>
          <w:ilvl w:val="0"/>
          <w:numId w:val="1"/>
        </w:numPr>
        <w:tabs>
          <w:tab w:val="left" w:pos="708"/>
        </w:tabs>
        <w:ind w:right="136"/>
        <w:jc w:val="both"/>
      </w:pPr>
      <w:r>
        <w:t>The NOHC must always ensure that the quality and quantity of the total capital of the NOHC’s Level 3 group is equivalent to, or greater than, the quality and quantity of the sum of the total capital of the consolidated Bank Group</w:t>
      </w:r>
      <w:r>
        <w:t xml:space="preserve"> and the consolidated</w:t>
      </w:r>
      <w:r>
        <w:rPr>
          <w:spacing w:val="-38"/>
        </w:rPr>
        <w:t xml:space="preserve"> </w:t>
      </w:r>
      <w:r>
        <w:t>Non-Bank Group (adjusted as required to exclude any external capital raised directly by any</w:t>
      </w:r>
      <w:r>
        <w:rPr>
          <w:spacing w:val="-32"/>
        </w:rPr>
        <w:t xml:space="preserve"> </w:t>
      </w:r>
      <w:r>
        <w:t>Level 3 institution), unless otherwise agreed with</w:t>
      </w:r>
      <w:r>
        <w:rPr>
          <w:spacing w:val="-7"/>
        </w:rPr>
        <w:t xml:space="preserve"> </w:t>
      </w:r>
      <w:r>
        <w:t>APRA.</w:t>
      </w:r>
    </w:p>
    <w:p w14:paraId="20131EEA" w14:textId="77777777" w:rsidR="00375636" w:rsidRDefault="00375636">
      <w:pPr>
        <w:pStyle w:val="BodyText"/>
      </w:pPr>
    </w:p>
    <w:p w14:paraId="20131EEB" w14:textId="77777777" w:rsidR="00375636" w:rsidRDefault="00A872A6">
      <w:pPr>
        <w:pStyle w:val="ListParagraph"/>
        <w:numPr>
          <w:ilvl w:val="0"/>
          <w:numId w:val="1"/>
        </w:numPr>
        <w:tabs>
          <w:tab w:val="left" w:pos="708"/>
        </w:tabs>
        <w:ind w:right="138"/>
        <w:jc w:val="both"/>
      </w:pPr>
      <w:r>
        <w:t>The NOHC must ensure that the Internal Capital Adequacy Assessment Process (ICAAP)</w:t>
      </w:r>
      <w:r>
        <w:rPr>
          <w:spacing w:val="-8"/>
        </w:rPr>
        <w:t xml:space="preserve"> </w:t>
      </w:r>
      <w:r>
        <w:t>f</w:t>
      </w:r>
      <w:r>
        <w:t>or</w:t>
      </w:r>
      <w:r>
        <w:rPr>
          <w:spacing w:val="-5"/>
        </w:rPr>
        <w:t xml:space="preserve"> </w:t>
      </w:r>
      <w:r>
        <w:t>the</w:t>
      </w:r>
      <w:r>
        <w:rPr>
          <w:spacing w:val="-6"/>
        </w:rPr>
        <w:t xml:space="preserve"> </w:t>
      </w:r>
      <w:r>
        <w:t>Bank</w:t>
      </w:r>
      <w:r>
        <w:rPr>
          <w:spacing w:val="-5"/>
        </w:rPr>
        <w:t xml:space="preserve"> </w:t>
      </w:r>
      <w:r>
        <w:t>Group</w:t>
      </w:r>
      <w:r>
        <w:rPr>
          <w:spacing w:val="-6"/>
        </w:rPr>
        <w:t xml:space="preserve"> </w:t>
      </w:r>
      <w:r>
        <w:t>includes</w:t>
      </w:r>
      <w:r>
        <w:rPr>
          <w:spacing w:val="-6"/>
        </w:rPr>
        <w:t xml:space="preserve"> </w:t>
      </w:r>
      <w:r>
        <w:t>an</w:t>
      </w:r>
      <w:r>
        <w:rPr>
          <w:spacing w:val="-7"/>
        </w:rPr>
        <w:t xml:space="preserve"> </w:t>
      </w:r>
      <w:r>
        <w:t>assessment</w:t>
      </w:r>
      <w:r>
        <w:rPr>
          <w:spacing w:val="-7"/>
        </w:rPr>
        <w:t xml:space="preserve"> </w:t>
      </w:r>
      <w:r>
        <w:t>of</w:t>
      </w:r>
      <w:r>
        <w:rPr>
          <w:spacing w:val="-5"/>
        </w:rPr>
        <w:t xml:space="preserve"> </w:t>
      </w:r>
      <w:r>
        <w:t>contagion</w:t>
      </w:r>
      <w:r>
        <w:rPr>
          <w:spacing w:val="-6"/>
        </w:rPr>
        <w:t xml:space="preserve"> </w:t>
      </w:r>
      <w:r>
        <w:t>risk</w:t>
      </w:r>
      <w:r>
        <w:rPr>
          <w:spacing w:val="-5"/>
        </w:rPr>
        <w:t xml:space="preserve"> </w:t>
      </w:r>
      <w:r>
        <w:t>from</w:t>
      </w:r>
      <w:r>
        <w:rPr>
          <w:spacing w:val="-5"/>
        </w:rPr>
        <w:t xml:space="preserve"> </w:t>
      </w:r>
      <w:r>
        <w:t>exposure</w:t>
      </w:r>
      <w:r>
        <w:rPr>
          <w:spacing w:val="-7"/>
        </w:rPr>
        <w:t xml:space="preserve"> </w:t>
      </w:r>
      <w:r>
        <w:t>to the NOHC and the Non-Bank</w:t>
      </w:r>
      <w:r>
        <w:rPr>
          <w:spacing w:val="-3"/>
        </w:rPr>
        <w:t xml:space="preserve"> </w:t>
      </w:r>
      <w:r>
        <w:t>Group.</w:t>
      </w:r>
    </w:p>
    <w:p w14:paraId="20131EEC" w14:textId="77777777" w:rsidR="00375636" w:rsidRDefault="00375636">
      <w:pPr>
        <w:pStyle w:val="BodyText"/>
      </w:pPr>
    </w:p>
    <w:p w14:paraId="20131EED" w14:textId="77777777" w:rsidR="00375636" w:rsidRDefault="00A872A6">
      <w:pPr>
        <w:pStyle w:val="ListParagraph"/>
        <w:numPr>
          <w:ilvl w:val="0"/>
          <w:numId w:val="1"/>
        </w:numPr>
        <w:tabs>
          <w:tab w:val="left" w:pos="708"/>
        </w:tabs>
        <w:ind w:right="133"/>
        <w:jc w:val="both"/>
      </w:pPr>
      <w:r>
        <w:t>The NOHC must provide any information requested by APRA that APRA considers necessary to assess the prudential risks of the NOHC’s Level 3 group, including any information</w:t>
      </w:r>
      <w:r>
        <w:rPr>
          <w:spacing w:val="-11"/>
        </w:rPr>
        <w:t xml:space="preserve"> </w:t>
      </w:r>
      <w:r>
        <w:t>about</w:t>
      </w:r>
      <w:r>
        <w:rPr>
          <w:spacing w:val="-12"/>
        </w:rPr>
        <w:t xml:space="preserve"> </w:t>
      </w:r>
      <w:r>
        <w:t>the</w:t>
      </w:r>
      <w:r>
        <w:rPr>
          <w:spacing w:val="-10"/>
        </w:rPr>
        <w:t xml:space="preserve"> </w:t>
      </w:r>
      <w:r>
        <w:t>NOHC</w:t>
      </w:r>
      <w:r>
        <w:rPr>
          <w:spacing w:val="-10"/>
        </w:rPr>
        <w:t xml:space="preserve"> </w:t>
      </w:r>
      <w:r>
        <w:t>or</w:t>
      </w:r>
      <w:r>
        <w:rPr>
          <w:spacing w:val="-11"/>
        </w:rPr>
        <w:t xml:space="preserve"> </w:t>
      </w:r>
      <w:r>
        <w:t>the</w:t>
      </w:r>
      <w:r>
        <w:rPr>
          <w:spacing w:val="-11"/>
        </w:rPr>
        <w:t xml:space="preserve"> </w:t>
      </w:r>
      <w:r>
        <w:t>Non-Bank</w:t>
      </w:r>
      <w:r>
        <w:rPr>
          <w:spacing w:val="-9"/>
        </w:rPr>
        <w:t xml:space="preserve"> </w:t>
      </w:r>
      <w:r>
        <w:t>Group.</w:t>
      </w:r>
      <w:r>
        <w:rPr>
          <w:spacing w:val="-11"/>
        </w:rPr>
        <w:t xml:space="preserve"> </w:t>
      </w:r>
      <w:r>
        <w:t>The</w:t>
      </w:r>
      <w:r>
        <w:rPr>
          <w:spacing w:val="-11"/>
        </w:rPr>
        <w:t xml:space="preserve"> </w:t>
      </w:r>
      <w:r>
        <w:t>NOHC</w:t>
      </w:r>
      <w:r>
        <w:rPr>
          <w:spacing w:val="-9"/>
        </w:rPr>
        <w:t xml:space="preserve"> </w:t>
      </w:r>
      <w:r>
        <w:t>must</w:t>
      </w:r>
      <w:r>
        <w:rPr>
          <w:spacing w:val="-12"/>
        </w:rPr>
        <w:t xml:space="preserve"> </w:t>
      </w:r>
      <w:r>
        <w:t>provide</w:t>
      </w:r>
      <w:r>
        <w:rPr>
          <w:spacing w:val="-10"/>
        </w:rPr>
        <w:t xml:space="preserve"> </w:t>
      </w:r>
      <w:r>
        <w:t>quarterly reports</w:t>
      </w:r>
      <w:r>
        <w:rPr>
          <w:spacing w:val="-13"/>
        </w:rPr>
        <w:t xml:space="preserve"> </w:t>
      </w:r>
      <w:r>
        <w:t>to</w:t>
      </w:r>
      <w:r>
        <w:rPr>
          <w:spacing w:val="-15"/>
        </w:rPr>
        <w:t xml:space="preserve"> </w:t>
      </w:r>
      <w:r>
        <w:t>APR</w:t>
      </w:r>
      <w:r>
        <w:t>A,</w:t>
      </w:r>
      <w:r>
        <w:rPr>
          <w:spacing w:val="-15"/>
        </w:rPr>
        <w:t xml:space="preserve"> </w:t>
      </w:r>
      <w:r>
        <w:t>in</w:t>
      </w:r>
      <w:r>
        <w:rPr>
          <w:spacing w:val="-15"/>
        </w:rPr>
        <w:t xml:space="preserve"> </w:t>
      </w:r>
      <w:r>
        <w:t>a</w:t>
      </w:r>
      <w:r>
        <w:rPr>
          <w:spacing w:val="-15"/>
        </w:rPr>
        <w:t xml:space="preserve"> </w:t>
      </w:r>
      <w:r>
        <w:t>form</w:t>
      </w:r>
      <w:r>
        <w:rPr>
          <w:spacing w:val="-11"/>
        </w:rPr>
        <w:t xml:space="preserve"> </w:t>
      </w:r>
      <w:r>
        <w:t>acceptable</w:t>
      </w:r>
      <w:r>
        <w:rPr>
          <w:spacing w:val="-15"/>
        </w:rPr>
        <w:t xml:space="preserve"> </w:t>
      </w:r>
      <w:r>
        <w:t>to</w:t>
      </w:r>
      <w:r>
        <w:rPr>
          <w:spacing w:val="-14"/>
        </w:rPr>
        <w:t xml:space="preserve"> </w:t>
      </w:r>
      <w:r>
        <w:t>APRA</w:t>
      </w:r>
      <w:r>
        <w:rPr>
          <w:spacing w:val="-11"/>
        </w:rPr>
        <w:t xml:space="preserve"> </w:t>
      </w:r>
      <w:r>
        <w:t>and</w:t>
      </w:r>
      <w:r>
        <w:rPr>
          <w:spacing w:val="-15"/>
        </w:rPr>
        <w:t xml:space="preserve"> </w:t>
      </w:r>
      <w:r>
        <w:t>commencing</w:t>
      </w:r>
      <w:r>
        <w:rPr>
          <w:spacing w:val="-13"/>
        </w:rPr>
        <w:t xml:space="preserve"> </w:t>
      </w:r>
      <w:r>
        <w:t>with</w:t>
      </w:r>
      <w:r>
        <w:rPr>
          <w:spacing w:val="-15"/>
        </w:rPr>
        <w:t xml:space="preserve"> </w:t>
      </w:r>
      <w:r>
        <w:t>the</w:t>
      </w:r>
      <w:r>
        <w:rPr>
          <w:spacing w:val="-15"/>
        </w:rPr>
        <w:t xml:space="preserve"> </w:t>
      </w:r>
      <w:r>
        <w:t>quarter</w:t>
      </w:r>
      <w:r>
        <w:rPr>
          <w:spacing w:val="-15"/>
        </w:rPr>
        <w:t xml:space="preserve"> </w:t>
      </w:r>
      <w:r>
        <w:t>ending 31 March 2023, on capital adequacy, funding and exposures (a) between the Bank Group</w:t>
      </w:r>
      <w:r>
        <w:rPr>
          <w:spacing w:val="-10"/>
        </w:rPr>
        <w:t xml:space="preserve"> </w:t>
      </w:r>
      <w:r>
        <w:t>and</w:t>
      </w:r>
      <w:r>
        <w:rPr>
          <w:spacing w:val="-8"/>
        </w:rPr>
        <w:t xml:space="preserve"> </w:t>
      </w:r>
      <w:r>
        <w:t>the</w:t>
      </w:r>
      <w:r>
        <w:rPr>
          <w:spacing w:val="-10"/>
        </w:rPr>
        <w:t xml:space="preserve"> </w:t>
      </w:r>
      <w:r>
        <w:t>NOHC,</w:t>
      </w:r>
      <w:r>
        <w:rPr>
          <w:spacing w:val="-11"/>
        </w:rPr>
        <w:t xml:space="preserve"> </w:t>
      </w:r>
      <w:r>
        <w:t>and</w:t>
      </w:r>
      <w:r>
        <w:rPr>
          <w:spacing w:val="-10"/>
        </w:rPr>
        <w:t xml:space="preserve"> </w:t>
      </w:r>
      <w:r>
        <w:t>(b)</w:t>
      </w:r>
      <w:r>
        <w:rPr>
          <w:spacing w:val="-8"/>
        </w:rPr>
        <w:t xml:space="preserve"> </w:t>
      </w:r>
      <w:r>
        <w:t>between</w:t>
      </w:r>
      <w:r>
        <w:rPr>
          <w:spacing w:val="-7"/>
        </w:rPr>
        <w:t xml:space="preserve"> </w:t>
      </w:r>
      <w:r>
        <w:t>the</w:t>
      </w:r>
      <w:r>
        <w:rPr>
          <w:spacing w:val="-7"/>
        </w:rPr>
        <w:t xml:space="preserve"> </w:t>
      </w:r>
      <w:r>
        <w:t>Bank</w:t>
      </w:r>
      <w:r>
        <w:rPr>
          <w:spacing w:val="-7"/>
        </w:rPr>
        <w:t xml:space="preserve"> </w:t>
      </w:r>
      <w:r>
        <w:t>Group</w:t>
      </w:r>
      <w:r>
        <w:rPr>
          <w:spacing w:val="-10"/>
        </w:rPr>
        <w:t xml:space="preserve"> </w:t>
      </w:r>
      <w:r>
        <w:t>and</w:t>
      </w:r>
      <w:r>
        <w:rPr>
          <w:spacing w:val="-10"/>
        </w:rPr>
        <w:t xml:space="preserve"> </w:t>
      </w:r>
      <w:r>
        <w:t>the</w:t>
      </w:r>
      <w:r>
        <w:rPr>
          <w:spacing w:val="-7"/>
        </w:rPr>
        <w:t xml:space="preserve"> </w:t>
      </w:r>
      <w:r>
        <w:t>Non-Bank</w:t>
      </w:r>
      <w:r>
        <w:rPr>
          <w:spacing w:val="-7"/>
        </w:rPr>
        <w:t xml:space="preserve"> </w:t>
      </w:r>
      <w:r>
        <w:t>Group.</w:t>
      </w:r>
      <w:r>
        <w:rPr>
          <w:spacing w:val="-11"/>
        </w:rPr>
        <w:t xml:space="preserve"> </w:t>
      </w:r>
      <w:r>
        <w:t>Each report must be provided within 20 business days of the end of the quarter to which it relates, or within such further time as APRA may agree in</w:t>
      </w:r>
      <w:r>
        <w:rPr>
          <w:spacing w:val="-14"/>
        </w:rPr>
        <w:t xml:space="preserve"> </w:t>
      </w:r>
      <w:r>
        <w:t>writing.</w:t>
      </w:r>
    </w:p>
    <w:p w14:paraId="20131EEE" w14:textId="77777777" w:rsidR="00375636" w:rsidRDefault="00375636">
      <w:pPr>
        <w:pStyle w:val="BodyText"/>
        <w:spacing w:before="1"/>
      </w:pPr>
    </w:p>
    <w:p w14:paraId="20131EEF" w14:textId="77777777" w:rsidR="00375636" w:rsidRDefault="00A872A6">
      <w:pPr>
        <w:pStyle w:val="Heading1"/>
        <w:spacing w:before="1"/>
      </w:pPr>
      <w:r>
        <w:t>Governance</w:t>
      </w:r>
    </w:p>
    <w:p w14:paraId="20131EF0" w14:textId="77777777" w:rsidR="00375636" w:rsidRDefault="00375636">
      <w:pPr>
        <w:pStyle w:val="BodyText"/>
        <w:spacing w:before="10"/>
        <w:rPr>
          <w:b/>
          <w:sz w:val="21"/>
        </w:rPr>
      </w:pPr>
    </w:p>
    <w:p w14:paraId="20131EF1" w14:textId="77777777" w:rsidR="00375636" w:rsidRDefault="00A872A6">
      <w:pPr>
        <w:pStyle w:val="ListParagraph"/>
        <w:numPr>
          <w:ilvl w:val="0"/>
          <w:numId w:val="1"/>
        </w:numPr>
        <w:tabs>
          <w:tab w:val="left" w:pos="708"/>
        </w:tabs>
        <w:ind w:right="136"/>
        <w:jc w:val="both"/>
      </w:pPr>
      <w:r>
        <w:t>The NOHC must ensure that the Boards of the ADI and the Bank Holding Company each hav</w:t>
      </w:r>
      <w:r>
        <w:t>e at least one independent director who is not also a director of the NOHC or a company in the Non-Bank Group. The NOHC must ensure that the Chair, and a majority of the members, of the Board of the NOHC are not executives of any Level 3 institution.</w:t>
      </w:r>
    </w:p>
    <w:p w14:paraId="20131EF2" w14:textId="77777777" w:rsidR="00375636" w:rsidRDefault="00375636">
      <w:pPr>
        <w:pStyle w:val="BodyText"/>
      </w:pPr>
    </w:p>
    <w:p w14:paraId="20131EF3" w14:textId="77777777" w:rsidR="00375636" w:rsidRDefault="00A872A6">
      <w:pPr>
        <w:pStyle w:val="Heading1"/>
      </w:pPr>
      <w:r>
        <w:t>Acti</w:t>
      </w:r>
      <w:r>
        <w:t>vities</w:t>
      </w:r>
    </w:p>
    <w:p w14:paraId="20131EF4" w14:textId="77777777" w:rsidR="00375636" w:rsidRDefault="00375636">
      <w:pPr>
        <w:pStyle w:val="BodyText"/>
        <w:spacing w:before="1"/>
        <w:rPr>
          <w:b/>
        </w:rPr>
      </w:pPr>
    </w:p>
    <w:p w14:paraId="20131EF5" w14:textId="77777777" w:rsidR="00375636" w:rsidRDefault="00A872A6">
      <w:pPr>
        <w:pStyle w:val="ListParagraph"/>
        <w:numPr>
          <w:ilvl w:val="0"/>
          <w:numId w:val="1"/>
        </w:numPr>
        <w:tabs>
          <w:tab w:val="left" w:pos="708"/>
        </w:tabs>
        <w:ind w:right="142"/>
        <w:jc w:val="both"/>
      </w:pPr>
      <w:r>
        <w:t>The</w:t>
      </w:r>
      <w:r>
        <w:rPr>
          <w:spacing w:val="-10"/>
        </w:rPr>
        <w:t xml:space="preserve"> </w:t>
      </w:r>
      <w:r>
        <w:t>NOHC</w:t>
      </w:r>
      <w:r>
        <w:rPr>
          <w:spacing w:val="-8"/>
        </w:rPr>
        <w:t xml:space="preserve"> </w:t>
      </w:r>
      <w:r>
        <w:t>must</w:t>
      </w:r>
      <w:r>
        <w:rPr>
          <w:spacing w:val="-10"/>
        </w:rPr>
        <w:t xml:space="preserve"> </w:t>
      </w:r>
      <w:r>
        <w:t>not</w:t>
      </w:r>
      <w:r>
        <w:rPr>
          <w:spacing w:val="-7"/>
        </w:rPr>
        <w:t xml:space="preserve"> </w:t>
      </w:r>
      <w:r>
        <w:t>undertake</w:t>
      </w:r>
      <w:r>
        <w:rPr>
          <w:spacing w:val="-9"/>
        </w:rPr>
        <w:t xml:space="preserve"> </w:t>
      </w:r>
      <w:r>
        <w:t>any</w:t>
      </w:r>
      <w:r>
        <w:rPr>
          <w:spacing w:val="-9"/>
        </w:rPr>
        <w:t xml:space="preserve"> </w:t>
      </w:r>
      <w:r>
        <w:t>activities,</w:t>
      </w:r>
      <w:r>
        <w:rPr>
          <w:spacing w:val="-8"/>
        </w:rPr>
        <w:t xml:space="preserve"> </w:t>
      </w:r>
      <w:r>
        <w:t>other</w:t>
      </w:r>
      <w:r>
        <w:rPr>
          <w:spacing w:val="-7"/>
        </w:rPr>
        <w:t xml:space="preserve"> </w:t>
      </w:r>
      <w:r>
        <w:t>than</w:t>
      </w:r>
      <w:r>
        <w:rPr>
          <w:spacing w:val="-9"/>
        </w:rPr>
        <w:t xml:space="preserve"> </w:t>
      </w:r>
      <w:r>
        <w:t>those</w:t>
      </w:r>
      <w:r>
        <w:rPr>
          <w:spacing w:val="-6"/>
        </w:rPr>
        <w:t xml:space="preserve"> </w:t>
      </w:r>
      <w:r>
        <w:t>set</w:t>
      </w:r>
      <w:r>
        <w:rPr>
          <w:spacing w:val="-8"/>
        </w:rPr>
        <w:t xml:space="preserve"> </w:t>
      </w:r>
      <w:r>
        <w:t>out</w:t>
      </w:r>
      <w:r>
        <w:rPr>
          <w:spacing w:val="-10"/>
        </w:rPr>
        <w:t xml:space="preserve"> </w:t>
      </w:r>
      <w:r>
        <w:t>below,</w:t>
      </w:r>
      <w:r>
        <w:rPr>
          <w:spacing w:val="-8"/>
        </w:rPr>
        <w:t xml:space="preserve"> </w:t>
      </w:r>
      <w:r>
        <w:t>unless</w:t>
      </w:r>
      <w:r>
        <w:rPr>
          <w:spacing w:val="-9"/>
        </w:rPr>
        <w:t xml:space="preserve"> </w:t>
      </w:r>
      <w:r>
        <w:t>the NOHC has obtained prior written agreement from</w:t>
      </w:r>
      <w:r>
        <w:rPr>
          <w:spacing w:val="-6"/>
        </w:rPr>
        <w:t xml:space="preserve"> </w:t>
      </w:r>
      <w:r>
        <w:t>APRA:</w:t>
      </w:r>
    </w:p>
    <w:p w14:paraId="20131EF6" w14:textId="77777777" w:rsidR="00375636" w:rsidRDefault="00A872A6">
      <w:pPr>
        <w:pStyle w:val="ListParagraph"/>
        <w:numPr>
          <w:ilvl w:val="1"/>
          <w:numId w:val="1"/>
        </w:numPr>
        <w:tabs>
          <w:tab w:val="left" w:pos="1275"/>
          <w:tab w:val="left" w:pos="1276"/>
        </w:tabs>
        <w:spacing w:before="119"/>
      </w:pPr>
      <w:r>
        <w:t>hold investments in its</w:t>
      </w:r>
      <w:r>
        <w:rPr>
          <w:spacing w:val="-7"/>
        </w:rPr>
        <w:t xml:space="preserve"> </w:t>
      </w:r>
      <w:r>
        <w:t>subsidiaries;</w:t>
      </w:r>
    </w:p>
    <w:p w14:paraId="20131EF7" w14:textId="77777777" w:rsidR="00375636" w:rsidRDefault="00375636">
      <w:pPr>
        <w:sectPr w:rsidR="00375636">
          <w:footerReference w:type="default" r:id="rId14"/>
          <w:pgSz w:w="11910" w:h="16840"/>
          <w:pgMar w:top="1580" w:right="1300" w:bottom="900" w:left="1300" w:header="0" w:footer="710" w:gutter="0"/>
          <w:pgNumType w:start="2"/>
          <w:cols w:space="720"/>
        </w:sectPr>
      </w:pPr>
    </w:p>
    <w:p w14:paraId="20131EF8" w14:textId="77777777" w:rsidR="00375636" w:rsidRDefault="00A872A6">
      <w:pPr>
        <w:pStyle w:val="ListParagraph"/>
        <w:numPr>
          <w:ilvl w:val="1"/>
          <w:numId w:val="1"/>
        </w:numPr>
        <w:tabs>
          <w:tab w:val="left" w:pos="1275"/>
          <w:tab w:val="left" w:pos="1276"/>
        </w:tabs>
        <w:spacing w:before="74"/>
      </w:pPr>
      <w:r>
        <w:lastRenderedPageBreak/>
        <w:t>raise funds to invest in, or to provide support to, its</w:t>
      </w:r>
      <w:r>
        <w:rPr>
          <w:spacing w:val="-10"/>
        </w:rPr>
        <w:t xml:space="preserve"> </w:t>
      </w:r>
      <w:r>
        <w:t>subsidiaries;</w:t>
      </w:r>
    </w:p>
    <w:p w14:paraId="20131EF9" w14:textId="77777777" w:rsidR="00375636" w:rsidRDefault="00A872A6">
      <w:pPr>
        <w:pStyle w:val="ListParagraph"/>
        <w:numPr>
          <w:ilvl w:val="1"/>
          <w:numId w:val="1"/>
        </w:numPr>
        <w:tabs>
          <w:tab w:val="left" w:pos="1275"/>
          <w:tab w:val="left" w:pos="1276"/>
        </w:tabs>
        <w:spacing w:before="119"/>
      </w:pPr>
      <w:r>
        <w:t>hold properties used by other Level 3</w:t>
      </w:r>
      <w:r>
        <w:rPr>
          <w:spacing w:val="-10"/>
        </w:rPr>
        <w:t xml:space="preserve"> </w:t>
      </w:r>
      <w:r>
        <w:t>institutions;</w:t>
      </w:r>
    </w:p>
    <w:p w14:paraId="20131EFA" w14:textId="77777777" w:rsidR="00375636" w:rsidRDefault="00A872A6">
      <w:pPr>
        <w:pStyle w:val="ListParagraph"/>
        <w:numPr>
          <w:ilvl w:val="1"/>
          <w:numId w:val="1"/>
        </w:numPr>
        <w:tabs>
          <w:tab w:val="left" w:pos="1275"/>
          <w:tab w:val="left" w:pos="1276"/>
        </w:tabs>
        <w:spacing w:before="120"/>
      </w:pPr>
      <w:r>
        <w:t>raise funds to conduct activities permitted under these</w:t>
      </w:r>
      <w:r>
        <w:rPr>
          <w:spacing w:val="-9"/>
        </w:rPr>
        <w:t xml:space="preserve"> </w:t>
      </w:r>
      <w:r>
        <w:t>conditions;</w:t>
      </w:r>
    </w:p>
    <w:p w14:paraId="20131EFB" w14:textId="77777777" w:rsidR="00375636" w:rsidRDefault="00A872A6">
      <w:pPr>
        <w:pStyle w:val="ListParagraph"/>
        <w:numPr>
          <w:ilvl w:val="1"/>
          <w:numId w:val="1"/>
        </w:numPr>
        <w:tabs>
          <w:tab w:val="left" w:pos="1275"/>
          <w:tab w:val="left" w:pos="1276"/>
        </w:tabs>
        <w:spacing w:before="119"/>
      </w:pPr>
      <w:r>
        <w:t>invest funds on behalf of the NOHC’s Level 3</w:t>
      </w:r>
      <w:r>
        <w:rPr>
          <w:spacing w:val="-5"/>
        </w:rPr>
        <w:t xml:space="preserve"> </w:t>
      </w:r>
      <w:r>
        <w:t>group;</w:t>
      </w:r>
    </w:p>
    <w:p w14:paraId="20131EFC" w14:textId="77777777" w:rsidR="00375636" w:rsidRDefault="00A872A6">
      <w:pPr>
        <w:pStyle w:val="ListParagraph"/>
        <w:numPr>
          <w:ilvl w:val="1"/>
          <w:numId w:val="1"/>
        </w:numPr>
        <w:tabs>
          <w:tab w:val="left" w:pos="1275"/>
          <w:tab w:val="left" w:pos="1276"/>
        </w:tabs>
        <w:spacing w:before="120"/>
      </w:pPr>
      <w:r>
        <w:t>provide executive leadership across the NOHC’s Level 3</w:t>
      </w:r>
      <w:r>
        <w:rPr>
          <w:spacing w:val="-8"/>
        </w:rPr>
        <w:t xml:space="preserve"> </w:t>
      </w:r>
      <w:r>
        <w:t>group;</w:t>
      </w:r>
    </w:p>
    <w:p w14:paraId="20131EFD" w14:textId="77777777" w:rsidR="00375636" w:rsidRDefault="00A872A6">
      <w:pPr>
        <w:pStyle w:val="ListParagraph"/>
        <w:numPr>
          <w:ilvl w:val="1"/>
          <w:numId w:val="1"/>
        </w:numPr>
        <w:tabs>
          <w:tab w:val="left" w:pos="1276"/>
        </w:tabs>
        <w:spacing w:before="122"/>
        <w:ind w:right="132"/>
        <w:jc w:val="both"/>
      </w:pPr>
      <w:r>
        <w:t>activities</w:t>
      </w:r>
      <w:r>
        <w:rPr>
          <w:spacing w:val="-5"/>
        </w:rPr>
        <w:t xml:space="preserve"> </w:t>
      </w:r>
      <w:r>
        <w:t>that</w:t>
      </w:r>
      <w:r>
        <w:rPr>
          <w:spacing w:val="-6"/>
        </w:rPr>
        <w:t xml:space="preserve"> </w:t>
      </w:r>
      <w:r>
        <w:t>must</w:t>
      </w:r>
      <w:r>
        <w:rPr>
          <w:spacing w:val="-5"/>
        </w:rPr>
        <w:t xml:space="preserve"> </w:t>
      </w:r>
      <w:r>
        <w:t>be</w:t>
      </w:r>
      <w:r>
        <w:rPr>
          <w:spacing w:val="-3"/>
        </w:rPr>
        <w:t xml:space="preserve"> </w:t>
      </w:r>
      <w:r>
        <w:t>undertaken</w:t>
      </w:r>
      <w:r>
        <w:rPr>
          <w:spacing w:val="-4"/>
        </w:rPr>
        <w:t xml:space="preserve"> </w:t>
      </w:r>
      <w:r>
        <w:t>by</w:t>
      </w:r>
      <w:r>
        <w:rPr>
          <w:spacing w:val="-8"/>
        </w:rPr>
        <w:t xml:space="preserve"> </w:t>
      </w:r>
      <w:r>
        <w:t>a</w:t>
      </w:r>
      <w:r>
        <w:rPr>
          <w:spacing w:val="-2"/>
        </w:rPr>
        <w:t xml:space="preserve"> </w:t>
      </w:r>
      <w:r>
        <w:t>Level</w:t>
      </w:r>
      <w:r>
        <w:rPr>
          <w:spacing w:val="-4"/>
        </w:rPr>
        <w:t xml:space="preserve"> </w:t>
      </w:r>
      <w:r>
        <w:t>3</w:t>
      </w:r>
      <w:r>
        <w:rPr>
          <w:spacing w:val="-4"/>
        </w:rPr>
        <w:t xml:space="preserve"> </w:t>
      </w:r>
      <w:r>
        <w:t>Head</w:t>
      </w:r>
      <w:r>
        <w:rPr>
          <w:spacing w:val="-2"/>
        </w:rPr>
        <w:t xml:space="preserve"> </w:t>
      </w:r>
      <w:r>
        <w:t>to</w:t>
      </w:r>
      <w:r>
        <w:rPr>
          <w:spacing w:val="-5"/>
        </w:rPr>
        <w:t xml:space="preserve"> </w:t>
      </w:r>
      <w:r>
        <w:t>meet</w:t>
      </w:r>
      <w:r>
        <w:rPr>
          <w:spacing w:val="-3"/>
        </w:rPr>
        <w:t xml:space="preserve"> </w:t>
      </w:r>
      <w:r>
        <w:t>its</w:t>
      </w:r>
      <w:r>
        <w:rPr>
          <w:spacing w:val="-5"/>
        </w:rPr>
        <w:t xml:space="preserve"> </w:t>
      </w:r>
      <w:r>
        <w:t>obligations</w:t>
      </w:r>
      <w:r>
        <w:rPr>
          <w:spacing w:val="3"/>
        </w:rPr>
        <w:t xml:space="preserve"> </w:t>
      </w:r>
      <w:r>
        <w:t>under APRA’s Prudential Standards, activities that the NOHC is required to undertake under a law, listing rule or requirement of any governmental agency or regulatory body;</w:t>
      </w:r>
      <w:r>
        <w:rPr>
          <w:spacing w:val="-1"/>
        </w:rPr>
        <w:t xml:space="preserve"> </w:t>
      </w:r>
      <w:r>
        <w:t>and</w:t>
      </w:r>
    </w:p>
    <w:p w14:paraId="20131EFE" w14:textId="77777777" w:rsidR="00375636" w:rsidRDefault="00A872A6">
      <w:pPr>
        <w:pStyle w:val="ListParagraph"/>
        <w:numPr>
          <w:ilvl w:val="1"/>
          <w:numId w:val="1"/>
        </w:numPr>
        <w:tabs>
          <w:tab w:val="left" w:pos="1276"/>
        </w:tabs>
        <w:spacing w:before="118"/>
        <w:ind w:right="134"/>
        <w:jc w:val="both"/>
      </w:pPr>
      <w:r>
        <w:t xml:space="preserve">activities that relate to undertaking a ‘corporate </w:t>
      </w:r>
      <w:proofErr w:type="spellStart"/>
      <w:r>
        <w:t>centre</w:t>
      </w:r>
      <w:proofErr w:type="spellEnd"/>
      <w:r>
        <w:t>’ role including group</w:t>
      </w:r>
      <w:r>
        <w:t xml:space="preserve"> financial control, group treasury activities, risk management, settlements, information technology, human resources, financial reporting, taxation and other group services such as company secretarial services. These roles may be performed by companies in </w:t>
      </w:r>
      <w:r>
        <w:t>the Bank Group or service subsidiaries of the NOHC formed for that</w:t>
      </w:r>
      <w:r>
        <w:rPr>
          <w:spacing w:val="-5"/>
        </w:rPr>
        <w:t xml:space="preserve"> </w:t>
      </w:r>
      <w:r>
        <w:t>purpose.</w:t>
      </w:r>
    </w:p>
    <w:p w14:paraId="20131EFF" w14:textId="77777777" w:rsidR="00375636" w:rsidRDefault="00375636">
      <w:pPr>
        <w:pStyle w:val="BodyText"/>
        <w:spacing w:before="2"/>
      </w:pPr>
    </w:p>
    <w:p w14:paraId="20131F00" w14:textId="77777777" w:rsidR="00375636" w:rsidRDefault="00A872A6">
      <w:pPr>
        <w:pStyle w:val="ListParagraph"/>
        <w:numPr>
          <w:ilvl w:val="0"/>
          <w:numId w:val="1"/>
        </w:numPr>
        <w:tabs>
          <w:tab w:val="left" w:pos="708"/>
        </w:tabs>
        <w:jc w:val="both"/>
      </w:pPr>
      <w:r>
        <w:t>The NOHC must</w:t>
      </w:r>
      <w:r>
        <w:rPr>
          <w:spacing w:val="-5"/>
        </w:rPr>
        <w:t xml:space="preserve"> </w:t>
      </w:r>
      <w:r>
        <w:t>not:</w:t>
      </w:r>
    </w:p>
    <w:p w14:paraId="20131F01" w14:textId="77777777" w:rsidR="00375636" w:rsidRDefault="00A872A6">
      <w:pPr>
        <w:pStyle w:val="ListParagraph"/>
        <w:numPr>
          <w:ilvl w:val="1"/>
          <w:numId w:val="1"/>
        </w:numPr>
        <w:tabs>
          <w:tab w:val="left" w:pos="1276"/>
        </w:tabs>
        <w:spacing w:before="120"/>
        <w:jc w:val="both"/>
      </w:pPr>
      <w:r>
        <w:t>itself issue deposit</w:t>
      </w:r>
      <w:r>
        <w:rPr>
          <w:spacing w:val="-5"/>
        </w:rPr>
        <w:t xml:space="preserve"> </w:t>
      </w:r>
      <w:r>
        <w:t>liabilities;</w:t>
      </w:r>
    </w:p>
    <w:p w14:paraId="20131F02" w14:textId="77777777" w:rsidR="00375636" w:rsidRDefault="00A872A6">
      <w:pPr>
        <w:pStyle w:val="ListParagraph"/>
        <w:numPr>
          <w:ilvl w:val="1"/>
          <w:numId w:val="1"/>
        </w:numPr>
        <w:tabs>
          <w:tab w:val="left" w:pos="1276"/>
        </w:tabs>
        <w:spacing w:before="119"/>
        <w:ind w:right="146"/>
        <w:jc w:val="both"/>
      </w:pPr>
      <w:r>
        <w:t xml:space="preserve">trade in financial instruments (other than for hedging for the purposes of carrying on the activities specified in paragraphs </w:t>
      </w:r>
      <w:r>
        <w:t>(a) to (e) of condition</w:t>
      </w:r>
      <w:r>
        <w:rPr>
          <w:spacing w:val="-9"/>
        </w:rPr>
        <w:t xml:space="preserve"> </w:t>
      </w:r>
      <w:r>
        <w:t>7);</w:t>
      </w:r>
    </w:p>
    <w:p w14:paraId="20131F03" w14:textId="77777777" w:rsidR="00375636" w:rsidRDefault="00A872A6">
      <w:pPr>
        <w:pStyle w:val="ListParagraph"/>
        <w:numPr>
          <w:ilvl w:val="1"/>
          <w:numId w:val="1"/>
        </w:numPr>
        <w:tabs>
          <w:tab w:val="left" w:pos="1276"/>
        </w:tabs>
        <w:spacing w:before="119" w:line="242" w:lineRule="auto"/>
        <w:ind w:right="139"/>
        <w:jc w:val="both"/>
      </w:pPr>
      <w:r>
        <w:t>provide security over investments in its subsidiaries except with APRA’s prior written agreement;</w:t>
      </w:r>
    </w:p>
    <w:p w14:paraId="20131F04" w14:textId="77777777" w:rsidR="00375636" w:rsidRDefault="00A872A6">
      <w:pPr>
        <w:pStyle w:val="ListParagraph"/>
        <w:numPr>
          <w:ilvl w:val="1"/>
          <w:numId w:val="1"/>
        </w:numPr>
        <w:tabs>
          <w:tab w:val="left" w:pos="1276"/>
        </w:tabs>
        <w:spacing w:before="117"/>
        <w:ind w:right="139"/>
        <w:jc w:val="both"/>
      </w:pPr>
      <w:r>
        <w:t>conduct</w:t>
      </w:r>
      <w:r>
        <w:rPr>
          <w:spacing w:val="-7"/>
        </w:rPr>
        <w:t xml:space="preserve"> </w:t>
      </w:r>
      <w:r>
        <w:t>any</w:t>
      </w:r>
      <w:r>
        <w:rPr>
          <w:spacing w:val="-7"/>
        </w:rPr>
        <w:t xml:space="preserve"> </w:t>
      </w:r>
      <w:r>
        <w:t>other</w:t>
      </w:r>
      <w:r>
        <w:rPr>
          <w:spacing w:val="-5"/>
        </w:rPr>
        <w:t xml:space="preserve"> </w:t>
      </w:r>
      <w:r>
        <w:t>business</w:t>
      </w:r>
      <w:r>
        <w:rPr>
          <w:spacing w:val="-5"/>
        </w:rPr>
        <w:t xml:space="preserve"> </w:t>
      </w:r>
      <w:r>
        <w:t>that</w:t>
      </w:r>
      <w:r>
        <w:rPr>
          <w:spacing w:val="-6"/>
        </w:rPr>
        <w:t xml:space="preserve"> </w:t>
      </w:r>
      <w:r>
        <w:t>is</w:t>
      </w:r>
      <w:r>
        <w:rPr>
          <w:spacing w:val="-5"/>
        </w:rPr>
        <w:t xml:space="preserve"> </w:t>
      </w:r>
      <w:r>
        <w:t>not</w:t>
      </w:r>
      <w:r>
        <w:rPr>
          <w:spacing w:val="-6"/>
        </w:rPr>
        <w:t xml:space="preserve"> </w:t>
      </w:r>
      <w:r>
        <w:t>in</w:t>
      </w:r>
      <w:r>
        <w:rPr>
          <w:spacing w:val="-5"/>
        </w:rPr>
        <w:t xml:space="preserve"> </w:t>
      </w:r>
      <w:r>
        <w:t>connection</w:t>
      </w:r>
      <w:r>
        <w:rPr>
          <w:spacing w:val="-5"/>
        </w:rPr>
        <w:t xml:space="preserve"> </w:t>
      </w:r>
      <w:r>
        <w:t>with</w:t>
      </w:r>
      <w:r>
        <w:rPr>
          <w:spacing w:val="-5"/>
        </w:rPr>
        <w:t xml:space="preserve"> </w:t>
      </w:r>
      <w:r>
        <w:t>the</w:t>
      </w:r>
      <w:r>
        <w:rPr>
          <w:spacing w:val="-5"/>
        </w:rPr>
        <w:t xml:space="preserve"> </w:t>
      </w:r>
      <w:r>
        <w:t>activities</w:t>
      </w:r>
      <w:r>
        <w:rPr>
          <w:spacing w:val="-5"/>
        </w:rPr>
        <w:t xml:space="preserve"> </w:t>
      </w:r>
      <w:r>
        <w:t>specified</w:t>
      </w:r>
      <w:r>
        <w:rPr>
          <w:spacing w:val="-5"/>
        </w:rPr>
        <w:t xml:space="preserve"> </w:t>
      </w:r>
      <w:r>
        <w:t>in condition 7;</w:t>
      </w:r>
      <w:r>
        <w:rPr>
          <w:spacing w:val="-4"/>
        </w:rPr>
        <w:t xml:space="preserve"> </w:t>
      </w:r>
      <w:r>
        <w:t>and</w:t>
      </w:r>
    </w:p>
    <w:p w14:paraId="20131F05" w14:textId="77777777" w:rsidR="00375636" w:rsidRDefault="00A872A6">
      <w:pPr>
        <w:pStyle w:val="ListParagraph"/>
        <w:numPr>
          <w:ilvl w:val="1"/>
          <w:numId w:val="1"/>
        </w:numPr>
        <w:tabs>
          <w:tab w:val="left" w:pos="1276"/>
        </w:tabs>
        <w:spacing w:before="119"/>
        <w:ind w:right="141"/>
        <w:jc w:val="both"/>
      </w:pPr>
      <w:r>
        <w:t>provide material guarantees</w:t>
      </w:r>
      <w:r>
        <w:t xml:space="preserve"> of the obligations of its subsidiaries except with APRA’s prior written agreement (including any related or similar guarantees that may be collectively</w:t>
      </w:r>
      <w:r>
        <w:rPr>
          <w:spacing w:val="-10"/>
        </w:rPr>
        <w:t xml:space="preserve"> </w:t>
      </w:r>
      <w:r>
        <w:t>material).</w:t>
      </w:r>
    </w:p>
    <w:p w14:paraId="20131F06" w14:textId="77777777" w:rsidR="00375636" w:rsidRDefault="00375636">
      <w:pPr>
        <w:pStyle w:val="BodyText"/>
        <w:spacing w:before="1"/>
      </w:pPr>
    </w:p>
    <w:p w14:paraId="20131F07" w14:textId="77777777" w:rsidR="00375636" w:rsidRDefault="00A872A6">
      <w:pPr>
        <w:pStyle w:val="ListParagraph"/>
        <w:numPr>
          <w:ilvl w:val="0"/>
          <w:numId w:val="1"/>
        </w:numPr>
        <w:tabs>
          <w:tab w:val="left" w:pos="708"/>
        </w:tabs>
        <w:ind w:right="132"/>
        <w:jc w:val="both"/>
      </w:pPr>
      <w:r>
        <w:t>The NOHC must not start any material business activity in the Non-Bank Group unless the</w:t>
      </w:r>
      <w:r>
        <w:rPr>
          <w:spacing w:val="-12"/>
        </w:rPr>
        <w:t xml:space="preserve"> </w:t>
      </w:r>
      <w:r>
        <w:t>NOHC</w:t>
      </w:r>
      <w:r>
        <w:rPr>
          <w:spacing w:val="-11"/>
        </w:rPr>
        <w:t xml:space="preserve"> </w:t>
      </w:r>
      <w:r>
        <w:t>has</w:t>
      </w:r>
      <w:r>
        <w:rPr>
          <w:spacing w:val="-11"/>
        </w:rPr>
        <w:t xml:space="preserve"> </w:t>
      </w:r>
      <w:r>
        <w:t>obtained</w:t>
      </w:r>
      <w:r>
        <w:rPr>
          <w:spacing w:val="-11"/>
        </w:rPr>
        <w:t xml:space="preserve"> </w:t>
      </w:r>
      <w:r>
        <w:t>prior</w:t>
      </w:r>
      <w:r>
        <w:rPr>
          <w:spacing w:val="-12"/>
        </w:rPr>
        <w:t xml:space="preserve"> </w:t>
      </w:r>
      <w:r>
        <w:t>written</w:t>
      </w:r>
      <w:r>
        <w:rPr>
          <w:spacing w:val="-11"/>
        </w:rPr>
        <w:t xml:space="preserve"> </w:t>
      </w:r>
      <w:r>
        <w:t>confirmation</w:t>
      </w:r>
      <w:r>
        <w:rPr>
          <w:spacing w:val="-11"/>
        </w:rPr>
        <w:t xml:space="preserve"> </w:t>
      </w:r>
      <w:r>
        <w:t>that</w:t>
      </w:r>
      <w:r>
        <w:rPr>
          <w:spacing w:val="-13"/>
        </w:rPr>
        <w:t xml:space="preserve"> </w:t>
      </w:r>
      <w:r>
        <w:t>APRA</w:t>
      </w:r>
      <w:r>
        <w:rPr>
          <w:spacing w:val="-11"/>
        </w:rPr>
        <w:t xml:space="preserve"> </w:t>
      </w:r>
      <w:r>
        <w:t>has</w:t>
      </w:r>
      <w:r>
        <w:rPr>
          <w:spacing w:val="-11"/>
        </w:rPr>
        <w:t xml:space="preserve"> </w:t>
      </w:r>
      <w:r>
        <w:t>no</w:t>
      </w:r>
      <w:r>
        <w:rPr>
          <w:spacing w:val="-11"/>
        </w:rPr>
        <w:t xml:space="preserve"> </w:t>
      </w:r>
      <w:r>
        <w:t>objection,</w:t>
      </w:r>
      <w:r>
        <w:rPr>
          <w:spacing w:val="-8"/>
        </w:rPr>
        <w:t xml:space="preserve"> </w:t>
      </w:r>
      <w:r>
        <w:t>and</w:t>
      </w:r>
      <w:r>
        <w:rPr>
          <w:spacing w:val="-12"/>
        </w:rPr>
        <w:t xml:space="preserve"> </w:t>
      </w:r>
      <w:r>
        <w:t>must consult with APRA in relation to any business in the Non-Bank Group that becomes material over time. The NOHC must ensure that the Non-Bank Group transfers to the Bank Group any activity that APRA notifies in writing to constitute an activity APRA det</w:t>
      </w:r>
      <w:r>
        <w:t>ermines may give rise to a prudential risk if retained by the Non-Bank</w:t>
      </w:r>
      <w:r>
        <w:rPr>
          <w:spacing w:val="-10"/>
        </w:rPr>
        <w:t xml:space="preserve"> </w:t>
      </w:r>
      <w:r>
        <w:t>Group.</w:t>
      </w:r>
    </w:p>
    <w:p w14:paraId="20131F08" w14:textId="77777777" w:rsidR="00375636" w:rsidRDefault="00375636">
      <w:pPr>
        <w:pStyle w:val="BodyText"/>
        <w:spacing w:before="11"/>
        <w:rPr>
          <w:sz w:val="21"/>
        </w:rPr>
      </w:pPr>
    </w:p>
    <w:p w14:paraId="20131F09" w14:textId="77777777" w:rsidR="00375636" w:rsidRDefault="00A872A6">
      <w:pPr>
        <w:pStyle w:val="ListParagraph"/>
        <w:numPr>
          <w:ilvl w:val="0"/>
          <w:numId w:val="1"/>
        </w:numPr>
        <w:tabs>
          <w:tab w:val="left" w:pos="708"/>
        </w:tabs>
        <w:ind w:right="137"/>
        <w:jc w:val="both"/>
      </w:pPr>
      <w:r>
        <w:t>The NOHC must ensure that all services that are, or business that is, critical to the operations</w:t>
      </w:r>
      <w:r>
        <w:rPr>
          <w:spacing w:val="-6"/>
        </w:rPr>
        <w:t xml:space="preserve"> </w:t>
      </w:r>
      <w:r>
        <w:t>of</w:t>
      </w:r>
      <w:r>
        <w:rPr>
          <w:spacing w:val="-4"/>
        </w:rPr>
        <w:t xml:space="preserve"> </w:t>
      </w:r>
      <w:r>
        <w:t>the</w:t>
      </w:r>
      <w:r>
        <w:rPr>
          <w:spacing w:val="-4"/>
        </w:rPr>
        <w:t xml:space="preserve"> </w:t>
      </w:r>
      <w:r>
        <w:t>ADI</w:t>
      </w:r>
      <w:r>
        <w:rPr>
          <w:spacing w:val="-6"/>
        </w:rPr>
        <w:t xml:space="preserve"> </w:t>
      </w:r>
      <w:r>
        <w:t>are</w:t>
      </w:r>
      <w:r>
        <w:rPr>
          <w:spacing w:val="-2"/>
        </w:rPr>
        <w:t xml:space="preserve"> </w:t>
      </w:r>
      <w:r>
        <w:t>conducted</w:t>
      </w:r>
      <w:r>
        <w:rPr>
          <w:spacing w:val="-5"/>
        </w:rPr>
        <w:t xml:space="preserve"> </w:t>
      </w:r>
      <w:r>
        <w:t>within</w:t>
      </w:r>
      <w:r>
        <w:rPr>
          <w:spacing w:val="-2"/>
        </w:rPr>
        <w:t xml:space="preserve"> </w:t>
      </w:r>
      <w:r>
        <w:t>the</w:t>
      </w:r>
      <w:r>
        <w:rPr>
          <w:spacing w:val="-6"/>
        </w:rPr>
        <w:t xml:space="preserve"> </w:t>
      </w:r>
      <w:r>
        <w:t>ADI,</w:t>
      </w:r>
      <w:r>
        <w:rPr>
          <w:spacing w:val="-1"/>
        </w:rPr>
        <w:t xml:space="preserve"> </w:t>
      </w:r>
      <w:r>
        <w:t>or</w:t>
      </w:r>
      <w:r>
        <w:rPr>
          <w:spacing w:val="-6"/>
        </w:rPr>
        <w:t xml:space="preserve"> </w:t>
      </w:r>
      <w:r>
        <w:t>that</w:t>
      </w:r>
      <w:r>
        <w:rPr>
          <w:spacing w:val="-4"/>
        </w:rPr>
        <w:t xml:space="preserve"> </w:t>
      </w:r>
      <w:r>
        <w:t>the</w:t>
      </w:r>
      <w:r>
        <w:rPr>
          <w:spacing w:val="-5"/>
        </w:rPr>
        <w:t xml:space="preserve"> </w:t>
      </w:r>
      <w:r>
        <w:t>ADI</w:t>
      </w:r>
      <w:r>
        <w:rPr>
          <w:spacing w:val="-4"/>
        </w:rPr>
        <w:t xml:space="preserve"> </w:t>
      </w:r>
      <w:r>
        <w:t>will</w:t>
      </w:r>
      <w:r>
        <w:rPr>
          <w:spacing w:val="-4"/>
        </w:rPr>
        <w:t xml:space="preserve"> </w:t>
      </w:r>
      <w:r>
        <w:t>at</w:t>
      </w:r>
      <w:r>
        <w:rPr>
          <w:spacing w:val="-6"/>
        </w:rPr>
        <w:t xml:space="preserve"> </w:t>
      </w:r>
      <w:r>
        <w:t>all</w:t>
      </w:r>
      <w:r>
        <w:rPr>
          <w:spacing w:val="-5"/>
        </w:rPr>
        <w:t xml:space="preserve"> </w:t>
      </w:r>
      <w:r>
        <w:t>times</w:t>
      </w:r>
      <w:r>
        <w:rPr>
          <w:spacing w:val="-5"/>
        </w:rPr>
        <w:t xml:space="preserve"> </w:t>
      </w:r>
      <w:r>
        <w:t xml:space="preserve">have </w:t>
      </w:r>
      <w:r>
        <w:t>satisfactory access to the services or business if they are provided by third parties, including in the event of the exercise of APRA’s resolution</w:t>
      </w:r>
      <w:r>
        <w:rPr>
          <w:spacing w:val="-17"/>
        </w:rPr>
        <w:t xml:space="preserve"> </w:t>
      </w:r>
      <w:r>
        <w:t>powers.</w:t>
      </w:r>
    </w:p>
    <w:p w14:paraId="20131F0A" w14:textId="77777777" w:rsidR="00375636" w:rsidRDefault="00375636">
      <w:pPr>
        <w:pStyle w:val="BodyText"/>
      </w:pPr>
    </w:p>
    <w:p w14:paraId="20131F0B" w14:textId="77777777" w:rsidR="00375636" w:rsidRDefault="00A872A6">
      <w:pPr>
        <w:pStyle w:val="ListParagraph"/>
        <w:numPr>
          <w:ilvl w:val="0"/>
          <w:numId w:val="1"/>
        </w:numPr>
        <w:tabs>
          <w:tab w:val="left" w:pos="708"/>
        </w:tabs>
        <w:ind w:right="136"/>
        <w:jc w:val="both"/>
      </w:pPr>
      <w:r>
        <w:t>The</w:t>
      </w:r>
      <w:r>
        <w:rPr>
          <w:spacing w:val="-7"/>
        </w:rPr>
        <w:t xml:space="preserve"> </w:t>
      </w:r>
      <w:r>
        <w:t>NOHC</w:t>
      </w:r>
      <w:r>
        <w:rPr>
          <w:spacing w:val="-6"/>
        </w:rPr>
        <w:t xml:space="preserve"> </w:t>
      </w:r>
      <w:r>
        <w:t>must</w:t>
      </w:r>
      <w:r>
        <w:rPr>
          <w:spacing w:val="-8"/>
        </w:rPr>
        <w:t xml:space="preserve"> </w:t>
      </w:r>
      <w:r>
        <w:t>ensure</w:t>
      </w:r>
      <w:r>
        <w:rPr>
          <w:spacing w:val="-7"/>
        </w:rPr>
        <w:t xml:space="preserve"> </w:t>
      </w:r>
      <w:r>
        <w:t>that</w:t>
      </w:r>
      <w:r>
        <w:rPr>
          <w:spacing w:val="-8"/>
        </w:rPr>
        <w:t xml:space="preserve"> </w:t>
      </w:r>
      <w:r>
        <w:t>all</w:t>
      </w:r>
      <w:r>
        <w:rPr>
          <w:spacing w:val="-6"/>
        </w:rPr>
        <w:t xml:space="preserve"> </w:t>
      </w:r>
      <w:r>
        <w:t>critical</w:t>
      </w:r>
      <w:r>
        <w:rPr>
          <w:spacing w:val="-7"/>
        </w:rPr>
        <w:t xml:space="preserve"> </w:t>
      </w:r>
      <w:r>
        <w:t>functions</w:t>
      </w:r>
      <w:r>
        <w:rPr>
          <w:spacing w:val="-6"/>
        </w:rPr>
        <w:t xml:space="preserve"> </w:t>
      </w:r>
      <w:r>
        <w:t>are</w:t>
      </w:r>
      <w:r>
        <w:rPr>
          <w:spacing w:val="-7"/>
        </w:rPr>
        <w:t xml:space="preserve"> </w:t>
      </w:r>
      <w:r>
        <w:t>conducted</w:t>
      </w:r>
      <w:r>
        <w:rPr>
          <w:spacing w:val="-4"/>
        </w:rPr>
        <w:t xml:space="preserve"> </w:t>
      </w:r>
      <w:r>
        <w:t>within</w:t>
      </w:r>
      <w:r>
        <w:rPr>
          <w:spacing w:val="-7"/>
        </w:rPr>
        <w:t xml:space="preserve"> </w:t>
      </w:r>
      <w:r>
        <w:t>the</w:t>
      </w:r>
      <w:r>
        <w:rPr>
          <w:spacing w:val="-4"/>
        </w:rPr>
        <w:t xml:space="preserve"> </w:t>
      </w:r>
      <w:r>
        <w:t>ADI.</w:t>
      </w:r>
      <w:r>
        <w:rPr>
          <w:spacing w:val="-9"/>
        </w:rPr>
        <w:t xml:space="preserve"> </w:t>
      </w:r>
      <w:r>
        <w:t>Where</w:t>
      </w:r>
      <w:r>
        <w:rPr>
          <w:spacing w:val="-7"/>
        </w:rPr>
        <w:t xml:space="preserve"> </w:t>
      </w:r>
      <w:r>
        <w:t>a function</w:t>
      </w:r>
      <w:r>
        <w:rPr>
          <w:spacing w:val="-7"/>
        </w:rPr>
        <w:t xml:space="preserve"> </w:t>
      </w:r>
      <w:r>
        <w:t>is</w:t>
      </w:r>
      <w:r>
        <w:rPr>
          <w:spacing w:val="-8"/>
        </w:rPr>
        <w:t xml:space="preserve"> </w:t>
      </w:r>
      <w:r>
        <w:t>developed</w:t>
      </w:r>
      <w:r>
        <w:rPr>
          <w:spacing w:val="-7"/>
        </w:rPr>
        <w:t xml:space="preserve"> </w:t>
      </w:r>
      <w:r>
        <w:t>in</w:t>
      </w:r>
      <w:r>
        <w:rPr>
          <w:spacing w:val="-5"/>
        </w:rPr>
        <w:t xml:space="preserve"> </w:t>
      </w:r>
      <w:r>
        <w:t>the</w:t>
      </w:r>
      <w:r>
        <w:rPr>
          <w:spacing w:val="-7"/>
        </w:rPr>
        <w:t xml:space="preserve"> </w:t>
      </w:r>
      <w:r>
        <w:t>Non-Bank</w:t>
      </w:r>
      <w:r>
        <w:rPr>
          <w:spacing w:val="-5"/>
        </w:rPr>
        <w:t xml:space="preserve"> </w:t>
      </w:r>
      <w:r>
        <w:t>Group</w:t>
      </w:r>
      <w:r>
        <w:rPr>
          <w:spacing w:val="-6"/>
        </w:rPr>
        <w:t xml:space="preserve"> </w:t>
      </w:r>
      <w:r>
        <w:t>that</w:t>
      </w:r>
      <w:r>
        <w:rPr>
          <w:spacing w:val="-8"/>
        </w:rPr>
        <w:t xml:space="preserve"> </w:t>
      </w:r>
      <w:r>
        <w:t>becomes</w:t>
      </w:r>
      <w:r>
        <w:rPr>
          <w:spacing w:val="-7"/>
        </w:rPr>
        <w:t xml:space="preserve"> </w:t>
      </w:r>
      <w:r>
        <w:t>a</w:t>
      </w:r>
      <w:r>
        <w:rPr>
          <w:spacing w:val="-7"/>
        </w:rPr>
        <w:t xml:space="preserve"> </w:t>
      </w:r>
      <w:r>
        <w:t>critical</w:t>
      </w:r>
      <w:r>
        <w:rPr>
          <w:spacing w:val="-6"/>
        </w:rPr>
        <w:t xml:space="preserve"> </w:t>
      </w:r>
      <w:r>
        <w:t>function,</w:t>
      </w:r>
      <w:r>
        <w:rPr>
          <w:spacing w:val="-8"/>
        </w:rPr>
        <w:t xml:space="preserve"> </w:t>
      </w:r>
      <w:r>
        <w:t>it</w:t>
      </w:r>
      <w:r>
        <w:rPr>
          <w:spacing w:val="-9"/>
        </w:rPr>
        <w:t xml:space="preserve"> </w:t>
      </w:r>
      <w:r>
        <w:t>must</w:t>
      </w:r>
      <w:r>
        <w:rPr>
          <w:spacing w:val="-8"/>
        </w:rPr>
        <w:t xml:space="preserve"> </w:t>
      </w:r>
      <w:r>
        <w:t>be expeditiously transferred into the Bank</w:t>
      </w:r>
      <w:r>
        <w:rPr>
          <w:spacing w:val="-5"/>
        </w:rPr>
        <w:t xml:space="preserve"> </w:t>
      </w:r>
      <w:r>
        <w:t>Group.</w:t>
      </w:r>
    </w:p>
    <w:p w14:paraId="20131F0C" w14:textId="77777777" w:rsidR="00375636" w:rsidRDefault="00375636">
      <w:pPr>
        <w:pStyle w:val="BodyText"/>
        <w:spacing w:before="1"/>
      </w:pPr>
    </w:p>
    <w:p w14:paraId="20131F0D" w14:textId="77777777" w:rsidR="00375636" w:rsidRDefault="00A872A6">
      <w:pPr>
        <w:pStyle w:val="ListParagraph"/>
        <w:numPr>
          <w:ilvl w:val="0"/>
          <w:numId w:val="1"/>
        </w:numPr>
        <w:tabs>
          <w:tab w:val="left" w:pos="708"/>
        </w:tabs>
        <w:ind w:right="137"/>
        <w:jc w:val="both"/>
      </w:pPr>
      <w:r>
        <w:t>The NOHC must ensure that all activities of the Non-Bank Group that are not required or</w:t>
      </w:r>
      <w:r>
        <w:rPr>
          <w:spacing w:val="-6"/>
        </w:rPr>
        <w:t xml:space="preserve"> </w:t>
      </w:r>
      <w:r>
        <w:t>related</w:t>
      </w:r>
      <w:r>
        <w:rPr>
          <w:spacing w:val="-2"/>
        </w:rPr>
        <w:t xml:space="preserve"> </w:t>
      </w:r>
      <w:r>
        <w:t>to</w:t>
      </w:r>
      <w:r>
        <w:rPr>
          <w:spacing w:val="-1"/>
        </w:rPr>
        <w:t xml:space="preserve"> </w:t>
      </w:r>
      <w:r>
        <w:t>the</w:t>
      </w:r>
      <w:r>
        <w:rPr>
          <w:spacing w:val="-5"/>
        </w:rPr>
        <w:t xml:space="preserve"> </w:t>
      </w:r>
      <w:r>
        <w:t>business</w:t>
      </w:r>
      <w:r>
        <w:rPr>
          <w:spacing w:val="-2"/>
        </w:rPr>
        <w:t xml:space="preserve"> </w:t>
      </w:r>
      <w:r>
        <w:t>of</w:t>
      </w:r>
      <w:r>
        <w:rPr>
          <w:spacing w:val="-3"/>
        </w:rPr>
        <w:t xml:space="preserve"> </w:t>
      </w:r>
      <w:r>
        <w:t>th</w:t>
      </w:r>
      <w:r>
        <w:t>e</w:t>
      </w:r>
      <w:r>
        <w:rPr>
          <w:spacing w:val="-5"/>
        </w:rPr>
        <w:t xml:space="preserve"> </w:t>
      </w:r>
      <w:r>
        <w:t>Bank</w:t>
      </w:r>
      <w:r>
        <w:rPr>
          <w:spacing w:val="-3"/>
        </w:rPr>
        <w:t xml:space="preserve"> </w:t>
      </w:r>
      <w:r>
        <w:t>Group</w:t>
      </w:r>
      <w:r>
        <w:rPr>
          <w:spacing w:val="-4"/>
        </w:rPr>
        <w:t xml:space="preserve"> </w:t>
      </w:r>
      <w:r>
        <w:t>are</w:t>
      </w:r>
      <w:r>
        <w:rPr>
          <w:spacing w:val="-3"/>
        </w:rPr>
        <w:t xml:space="preserve"> </w:t>
      </w:r>
      <w:r>
        <w:t>financially</w:t>
      </w:r>
      <w:r>
        <w:rPr>
          <w:spacing w:val="-7"/>
        </w:rPr>
        <w:t xml:space="preserve"> </w:t>
      </w:r>
      <w:r>
        <w:t>and</w:t>
      </w:r>
      <w:r>
        <w:rPr>
          <w:spacing w:val="-5"/>
        </w:rPr>
        <w:t xml:space="preserve"> </w:t>
      </w:r>
      <w:r>
        <w:t>operationally</w:t>
      </w:r>
      <w:r>
        <w:rPr>
          <w:spacing w:val="-5"/>
        </w:rPr>
        <w:t xml:space="preserve"> </w:t>
      </w:r>
      <w:r>
        <w:t>separable from the Bank Group immediately in</w:t>
      </w:r>
      <w:r>
        <w:rPr>
          <w:spacing w:val="-6"/>
        </w:rPr>
        <w:t xml:space="preserve"> </w:t>
      </w:r>
      <w:r>
        <w:t>resolution.</w:t>
      </w:r>
    </w:p>
    <w:p w14:paraId="20131F0E" w14:textId="77777777" w:rsidR="00375636" w:rsidRDefault="00375636">
      <w:pPr>
        <w:jc w:val="both"/>
        <w:sectPr w:rsidR="00375636">
          <w:pgSz w:w="11910" w:h="16840"/>
          <w:pgMar w:top="1580" w:right="1300" w:bottom="900" w:left="1300" w:header="0" w:footer="710" w:gutter="0"/>
          <w:cols w:space="720"/>
        </w:sectPr>
      </w:pPr>
    </w:p>
    <w:p w14:paraId="20131F0F" w14:textId="77777777" w:rsidR="00375636" w:rsidRDefault="00A872A6">
      <w:pPr>
        <w:pStyle w:val="ListParagraph"/>
        <w:numPr>
          <w:ilvl w:val="0"/>
          <w:numId w:val="1"/>
        </w:numPr>
        <w:tabs>
          <w:tab w:val="left" w:pos="708"/>
        </w:tabs>
        <w:spacing w:before="74"/>
        <w:ind w:right="137"/>
        <w:jc w:val="both"/>
      </w:pPr>
      <w:r>
        <w:lastRenderedPageBreak/>
        <w:t>The</w:t>
      </w:r>
      <w:r>
        <w:rPr>
          <w:spacing w:val="-5"/>
        </w:rPr>
        <w:t xml:space="preserve"> </w:t>
      </w:r>
      <w:r>
        <w:t>NOHC</w:t>
      </w:r>
      <w:r>
        <w:rPr>
          <w:spacing w:val="-4"/>
        </w:rPr>
        <w:t xml:space="preserve"> </w:t>
      </w:r>
      <w:r>
        <w:t>must</w:t>
      </w:r>
      <w:r>
        <w:rPr>
          <w:spacing w:val="-5"/>
        </w:rPr>
        <w:t xml:space="preserve"> </w:t>
      </w:r>
      <w:r>
        <w:t>ensure</w:t>
      </w:r>
      <w:r>
        <w:rPr>
          <w:spacing w:val="-5"/>
        </w:rPr>
        <w:t xml:space="preserve"> </w:t>
      </w:r>
      <w:r>
        <w:t>that</w:t>
      </w:r>
      <w:r>
        <w:rPr>
          <w:spacing w:val="-3"/>
        </w:rPr>
        <w:t xml:space="preserve"> </w:t>
      </w:r>
      <w:r>
        <w:t>the</w:t>
      </w:r>
      <w:r>
        <w:rPr>
          <w:spacing w:val="-5"/>
        </w:rPr>
        <w:t xml:space="preserve"> </w:t>
      </w:r>
      <w:r>
        <w:t>NOHC’s</w:t>
      </w:r>
      <w:r>
        <w:rPr>
          <w:spacing w:val="-4"/>
        </w:rPr>
        <w:t xml:space="preserve"> </w:t>
      </w:r>
      <w:r>
        <w:t>Level</w:t>
      </w:r>
      <w:r>
        <w:rPr>
          <w:spacing w:val="-3"/>
        </w:rPr>
        <w:t xml:space="preserve"> </w:t>
      </w:r>
      <w:r>
        <w:t>3</w:t>
      </w:r>
      <w:r>
        <w:rPr>
          <w:spacing w:val="-3"/>
        </w:rPr>
        <w:t xml:space="preserve"> </w:t>
      </w:r>
      <w:r>
        <w:t>group</w:t>
      </w:r>
      <w:r>
        <w:rPr>
          <w:spacing w:val="-4"/>
        </w:rPr>
        <w:t xml:space="preserve"> </w:t>
      </w:r>
      <w:r>
        <w:t>does</w:t>
      </w:r>
      <w:r>
        <w:rPr>
          <w:spacing w:val="-4"/>
        </w:rPr>
        <w:t xml:space="preserve"> </w:t>
      </w:r>
      <w:r>
        <w:t>not</w:t>
      </w:r>
      <w:r>
        <w:rPr>
          <w:spacing w:val="-5"/>
        </w:rPr>
        <w:t xml:space="preserve"> </w:t>
      </w:r>
      <w:r>
        <w:t>carry</w:t>
      </w:r>
      <w:r>
        <w:rPr>
          <w:spacing w:val="-6"/>
        </w:rPr>
        <w:t xml:space="preserve"> </w:t>
      </w:r>
      <w:r>
        <w:t>on</w:t>
      </w:r>
      <w:r>
        <w:rPr>
          <w:spacing w:val="-5"/>
        </w:rPr>
        <w:t xml:space="preserve"> </w:t>
      </w:r>
      <w:r>
        <w:t>any</w:t>
      </w:r>
      <w:r>
        <w:rPr>
          <w:spacing w:val="-4"/>
        </w:rPr>
        <w:t xml:space="preserve"> </w:t>
      </w:r>
      <w:r>
        <w:t>activities that pose excessive risk to the ADI. The NOHC must ensure that the Bank Group transfers</w:t>
      </w:r>
      <w:r>
        <w:rPr>
          <w:spacing w:val="-9"/>
        </w:rPr>
        <w:t xml:space="preserve"> </w:t>
      </w:r>
      <w:r>
        <w:t>to</w:t>
      </w:r>
      <w:r>
        <w:rPr>
          <w:spacing w:val="-6"/>
        </w:rPr>
        <w:t xml:space="preserve"> </w:t>
      </w:r>
      <w:r>
        <w:t>the</w:t>
      </w:r>
      <w:r>
        <w:rPr>
          <w:spacing w:val="-6"/>
        </w:rPr>
        <w:t xml:space="preserve"> </w:t>
      </w:r>
      <w:r>
        <w:t>Non-Bank</w:t>
      </w:r>
      <w:r>
        <w:rPr>
          <w:spacing w:val="-8"/>
        </w:rPr>
        <w:t xml:space="preserve"> </w:t>
      </w:r>
      <w:r>
        <w:t>Group</w:t>
      </w:r>
      <w:r>
        <w:rPr>
          <w:spacing w:val="-8"/>
        </w:rPr>
        <w:t xml:space="preserve"> </w:t>
      </w:r>
      <w:r>
        <w:t>any</w:t>
      </w:r>
      <w:r>
        <w:rPr>
          <w:spacing w:val="-11"/>
        </w:rPr>
        <w:t xml:space="preserve"> </w:t>
      </w:r>
      <w:r>
        <w:t>activities</w:t>
      </w:r>
      <w:r>
        <w:rPr>
          <w:spacing w:val="-6"/>
        </w:rPr>
        <w:t xml:space="preserve"> </w:t>
      </w:r>
      <w:r>
        <w:t>that</w:t>
      </w:r>
      <w:r>
        <w:rPr>
          <w:spacing w:val="-7"/>
        </w:rPr>
        <w:t xml:space="preserve"> </w:t>
      </w:r>
      <w:r>
        <w:t>APRA</w:t>
      </w:r>
      <w:r>
        <w:rPr>
          <w:spacing w:val="-8"/>
        </w:rPr>
        <w:t xml:space="preserve"> </w:t>
      </w:r>
      <w:r>
        <w:t>notifies</w:t>
      </w:r>
      <w:r>
        <w:rPr>
          <w:spacing w:val="-8"/>
        </w:rPr>
        <w:t xml:space="preserve"> </w:t>
      </w:r>
      <w:r>
        <w:t>in</w:t>
      </w:r>
      <w:r>
        <w:rPr>
          <w:spacing w:val="-8"/>
        </w:rPr>
        <w:t xml:space="preserve"> </w:t>
      </w:r>
      <w:r>
        <w:t>writing</w:t>
      </w:r>
      <w:r>
        <w:rPr>
          <w:spacing w:val="-8"/>
        </w:rPr>
        <w:t xml:space="preserve"> </w:t>
      </w:r>
      <w:r>
        <w:t>to</w:t>
      </w:r>
      <w:r>
        <w:rPr>
          <w:spacing w:val="-8"/>
        </w:rPr>
        <w:t xml:space="preserve"> </w:t>
      </w:r>
      <w:r>
        <w:t>constitute an undue risk to the</w:t>
      </w:r>
      <w:r>
        <w:rPr>
          <w:spacing w:val="-4"/>
        </w:rPr>
        <w:t xml:space="preserve"> </w:t>
      </w:r>
      <w:r>
        <w:t>ADI.</w:t>
      </w:r>
    </w:p>
    <w:p w14:paraId="20131F10" w14:textId="77777777" w:rsidR="00375636" w:rsidRDefault="00375636">
      <w:pPr>
        <w:pStyle w:val="BodyText"/>
        <w:rPr>
          <w:sz w:val="24"/>
        </w:rPr>
      </w:pPr>
    </w:p>
    <w:p w14:paraId="20131F11" w14:textId="77777777" w:rsidR="00375636" w:rsidRDefault="00A872A6">
      <w:pPr>
        <w:pStyle w:val="Heading1"/>
        <w:spacing w:before="202"/>
      </w:pPr>
      <w:r>
        <w:t>Interpretation</w:t>
      </w:r>
    </w:p>
    <w:p w14:paraId="20131F12" w14:textId="77777777" w:rsidR="00375636" w:rsidRDefault="00A872A6">
      <w:pPr>
        <w:pStyle w:val="BodyText"/>
        <w:spacing w:before="122"/>
        <w:ind w:left="140"/>
      </w:pPr>
      <w:r>
        <w:t>In this schedule:</w:t>
      </w:r>
    </w:p>
    <w:p w14:paraId="20131F13" w14:textId="77777777" w:rsidR="00375636" w:rsidRDefault="00A872A6">
      <w:pPr>
        <w:spacing w:before="119"/>
        <w:ind w:left="140"/>
      </w:pPr>
      <w:r>
        <w:rPr>
          <w:b/>
          <w:i/>
        </w:rPr>
        <w:t>Bank</w:t>
      </w:r>
      <w:r>
        <w:rPr>
          <w:b/>
          <w:i/>
          <w:spacing w:val="-15"/>
        </w:rPr>
        <w:t xml:space="preserve"> </w:t>
      </w:r>
      <w:r>
        <w:rPr>
          <w:b/>
          <w:i/>
        </w:rPr>
        <w:t>Group</w:t>
      </w:r>
      <w:r>
        <w:rPr>
          <w:b/>
          <w:i/>
          <w:spacing w:val="-13"/>
        </w:rPr>
        <w:t xml:space="preserve"> </w:t>
      </w:r>
      <w:r>
        <w:t>means</w:t>
      </w:r>
      <w:r>
        <w:rPr>
          <w:spacing w:val="-14"/>
        </w:rPr>
        <w:t xml:space="preserve"> </w:t>
      </w:r>
      <w:r>
        <w:t>the</w:t>
      </w:r>
      <w:r>
        <w:rPr>
          <w:spacing w:val="-11"/>
        </w:rPr>
        <w:t xml:space="preserve"> </w:t>
      </w:r>
      <w:r>
        <w:t>group</w:t>
      </w:r>
      <w:r>
        <w:rPr>
          <w:spacing w:val="-14"/>
        </w:rPr>
        <w:t xml:space="preserve"> </w:t>
      </w:r>
      <w:r>
        <w:t>of</w:t>
      </w:r>
      <w:r>
        <w:rPr>
          <w:spacing w:val="-14"/>
        </w:rPr>
        <w:t xml:space="preserve"> </w:t>
      </w:r>
      <w:r>
        <w:t>companies</w:t>
      </w:r>
      <w:r>
        <w:rPr>
          <w:spacing w:val="-14"/>
        </w:rPr>
        <w:t xml:space="preserve"> </w:t>
      </w:r>
      <w:r>
        <w:t>at</w:t>
      </w:r>
      <w:r>
        <w:rPr>
          <w:spacing w:val="-14"/>
        </w:rPr>
        <w:t xml:space="preserve"> </w:t>
      </w:r>
      <w:r>
        <w:t>Level</w:t>
      </w:r>
      <w:r>
        <w:rPr>
          <w:spacing w:val="-13"/>
        </w:rPr>
        <w:t xml:space="preserve"> </w:t>
      </w:r>
      <w:r>
        <w:t>2</w:t>
      </w:r>
      <w:r>
        <w:rPr>
          <w:spacing w:val="-10"/>
        </w:rPr>
        <w:t xml:space="preserve"> </w:t>
      </w:r>
      <w:r>
        <w:t>(within</w:t>
      </w:r>
      <w:r>
        <w:rPr>
          <w:spacing w:val="-12"/>
        </w:rPr>
        <w:t xml:space="preserve"> </w:t>
      </w:r>
      <w:r>
        <w:t>the</w:t>
      </w:r>
      <w:r>
        <w:rPr>
          <w:spacing w:val="-11"/>
        </w:rPr>
        <w:t xml:space="preserve"> </w:t>
      </w:r>
      <w:r>
        <w:t>meaning</w:t>
      </w:r>
      <w:r>
        <w:rPr>
          <w:spacing w:val="-15"/>
        </w:rPr>
        <w:t xml:space="preserve"> </w:t>
      </w:r>
      <w:r>
        <w:t>given</w:t>
      </w:r>
      <w:r>
        <w:rPr>
          <w:spacing w:val="-14"/>
        </w:rPr>
        <w:t xml:space="preserve"> </w:t>
      </w:r>
      <w:r>
        <w:t>in</w:t>
      </w:r>
      <w:r>
        <w:rPr>
          <w:spacing w:val="-13"/>
        </w:rPr>
        <w:t xml:space="preserve"> </w:t>
      </w:r>
      <w:r>
        <w:rPr>
          <w:i/>
        </w:rPr>
        <w:t xml:space="preserve">Prudential Standard APS 001 Definitions) </w:t>
      </w:r>
      <w:r>
        <w:t>of which the Bank Holding Company is the parent</w:t>
      </w:r>
      <w:r>
        <w:rPr>
          <w:spacing w:val="-25"/>
        </w:rPr>
        <w:t xml:space="preserve"> </w:t>
      </w:r>
      <w:r>
        <w:t>company.</w:t>
      </w:r>
    </w:p>
    <w:p w14:paraId="20131F14" w14:textId="77777777" w:rsidR="00375636" w:rsidRDefault="00A872A6">
      <w:pPr>
        <w:spacing w:before="120"/>
        <w:ind w:left="140"/>
      </w:pPr>
      <w:r>
        <w:rPr>
          <w:b/>
          <w:i/>
        </w:rPr>
        <w:t xml:space="preserve">Bank Holding Company </w:t>
      </w:r>
      <w:r>
        <w:t>means ANZ BH Pty Ltd ACN 658 939 952.</w:t>
      </w:r>
    </w:p>
    <w:p w14:paraId="20131F15" w14:textId="77777777" w:rsidR="00375636" w:rsidRDefault="00A872A6">
      <w:pPr>
        <w:spacing w:before="119" w:line="242" w:lineRule="auto"/>
        <w:ind w:left="140"/>
      </w:pPr>
      <w:r>
        <w:rPr>
          <w:b/>
          <w:i/>
        </w:rPr>
        <w:t xml:space="preserve">Common Equity Tier 1 Capital </w:t>
      </w:r>
      <w:r>
        <w:t xml:space="preserve">has the meaning given in </w:t>
      </w:r>
      <w:r>
        <w:rPr>
          <w:i/>
        </w:rPr>
        <w:t>Prudential Standard APS 111 Capital Adequacy: Measurement of Capital</w:t>
      </w:r>
      <w:r>
        <w:t>.</w:t>
      </w:r>
    </w:p>
    <w:p w14:paraId="20131F16" w14:textId="77777777" w:rsidR="00375636" w:rsidRDefault="00A872A6">
      <w:pPr>
        <w:pStyle w:val="BodyText"/>
        <w:spacing w:before="117"/>
        <w:ind w:left="140" w:right="135"/>
        <w:jc w:val="both"/>
      </w:pPr>
      <w:r>
        <w:rPr>
          <w:b/>
          <w:i/>
        </w:rPr>
        <w:t xml:space="preserve">critical function </w:t>
      </w:r>
      <w:r>
        <w:t>means any function provided by an APRA-regulated entity that is important to financial system stability or the availability of essential financial services to a particular industry or community.</w:t>
      </w:r>
    </w:p>
    <w:p w14:paraId="20131F17" w14:textId="77777777" w:rsidR="00375636" w:rsidRDefault="00A872A6">
      <w:pPr>
        <w:spacing w:before="119" w:line="253" w:lineRule="exact"/>
        <w:ind w:left="140"/>
        <w:jc w:val="both"/>
      </w:pPr>
      <w:r>
        <w:rPr>
          <w:b/>
          <w:i/>
        </w:rPr>
        <w:t xml:space="preserve">Internal Capital Adequacy Assessment Process (ICAAP) </w:t>
      </w:r>
      <w:r>
        <w:t xml:space="preserve">has the </w:t>
      </w:r>
      <w:r>
        <w:t>meaning given in</w:t>
      </w:r>
    </w:p>
    <w:p w14:paraId="20131F18" w14:textId="77777777" w:rsidR="00375636" w:rsidRDefault="00A872A6">
      <w:pPr>
        <w:spacing w:line="253" w:lineRule="exact"/>
        <w:ind w:left="140"/>
        <w:jc w:val="both"/>
      </w:pPr>
      <w:r>
        <w:rPr>
          <w:i/>
        </w:rPr>
        <w:t>Prudential Standard APS 110 Capital Adequacy</w:t>
      </w:r>
      <w:r>
        <w:t>.</w:t>
      </w:r>
    </w:p>
    <w:p w14:paraId="20131F19" w14:textId="77777777" w:rsidR="00375636" w:rsidRDefault="00A872A6">
      <w:pPr>
        <w:spacing w:before="122" w:line="352" w:lineRule="auto"/>
        <w:ind w:left="140" w:right="639"/>
      </w:pPr>
      <w:r>
        <w:rPr>
          <w:b/>
          <w:i/>
        </w:rPr>
        <w:t xml:space="preserve">Level 3 group </w:t>
      </w:r>
      <w:r>
        <w:t xml:space="preserve">has the meaning given in </w:t>
      </w:r>
      <w:r>
        <w:rPr>
          <w:i/>
        </w:rPr>
        <w:t>Prudential Standard 3PS 001 Definitions</w:t>
      </w:r>
      <w:r>
        <w:t xml:space="preserve">. </w:t>
      </w:r>
      <w:r>
        <w:rPr>
          <w:b/>
          <w:i/>
        </w:rPr>
        <w:t xml:space="preserve">Level 3 Head </w:t>
      </w:r>
      <w:r>
        <w:t xml:space="preserve">has the meaning given in </w:t>
      </w:r>
      <w:r>
        <w:rPr>
          <w:i/>
        </w:rPr>
        <w:t>Prudential Standard 3PS 001 Definitions</w:t>
      </w:r>
      <w:r>
        <w:t xml:space="preserve">. </w:t>
      </w:r>
      <w:r>
        <w:rPr>
          <w:b/>
          <w:i/>
        </w:rPr>
        <w:t xml:space="preserve">Level 3 institution </w:t>
      </w:r>
      <w:r>
        <w:t>means an insti</w:t>
      </w:r>
      <w:r>
        <w:t>tution that is a member of the NOHC’s Level 3</w:t>
      </w:r>
      <w:r>
        <w:rPr>
          <w:spacing w:val="-44"/>
        </w:rPr>
        <w:t xml:space="preserve"> </w:t>
      </w:r>
      <w:r>
        <w:t>group.</w:t>
      </w:r>
    </w:p>
    <w:p w14:paraId="20131F1A" w14:textId="77777777" w:rsidR="00375636" w:rsidRDefault="00A872A6">
      <w:pPr>
        <w:pStyle w:val="BodyText"/>
        <w:spacing w:before="2"/>
        <w:ind w:left="140" w:right="141"/>
        <w:jc w:val="both"/>
      </w:pPr>
      <w:r>
        <w:rPr>
          <w:b/>
          <w:i/>
        </w:rPr>
        <w:t xml:space="preserve">Non-Bank Group </w:t>
      </w:r>
      <w:r>
        <w:t>means all Level 3 institutions other than the NOHC and companies in the Bank Group.</w:t>
      </w:r>
    </w:p>
    <w:p w14:paraId="20131F1B" w14:textId="77777777" w:rsidR="00375636" w:rsidRDefault="00A872A6">
      <w:pPr>
        <w:spacing w:before="122"/>
        <w:ind w:left="140" w:right="133"/>
        <w:jc w:val="both"/>
      </w:pPr>
      <w:r>
        <w:rPr>
          <w:b/>
          <w:i/>
        </w:rPr>
        <w:t xml:space="preserve">prudentially regulated subsidiaries </w:t>
      </w:r>
      <w:r>
        <w:t xml:space="preserve">of the NOHC are those subsidiaries that are </w:t>
      </w:r>
      <w:r>
        <w:rPr>
          <w:i/>
        </w:rPr>
        <w:t>bodies regulated</w:t>
      </w:r>
      <w:r>
        <w:rPr>
          <w:i/>
          <w:spacing w:val="-8"/>
        </w:rPr>
        <w:t xml:space="preserve"> </w:t>
      </w:r>
      <w:r>
        <w:rPr>
          <w:i/>
        </w:rPr>
        <w:t>by</w:t>
      </w:r>
      <w:r>
        <w:rPr>
          <w:i/>
          <w:spacing w:val="-8"/>
        </w:rPr>
        <w:t xml:space="preserve"> </w:t>
      </w:r>
      <w:r>
        <w:rPr>
          <w:i/>
        </w:rPr>
        <w:t>APRA</w:t>
      </w:r>
      <w:r>
        <w:rPr>
          <w:i/>
          <w:spacing w:val="-6"/>
        </w:rPr>
        <w:t xml:space="preserve"> </w:t>
      </w:r>
      <w:r>
        <w:t>within</w:t>
      </w:r>
      <w:r>
        <w:rPr>
          <w:spacing w:val="-8"/>
        </w:rPr>
        <w:t xml:space="preserve"> </w:t>
      </w:r>
      <w:r>
        <w:t>the</w:t>
      </w:r>
      <w:r>
        <w:rPr>
          <w:spacing w:val="-7"/>
        </w:rPr>
        <w:t xml:space="preserve"> </w:t>
      </w:r>
      <w:r>
        <w:t>meaning</w:t>
      </w:r>
      <w:r>
        <w:rPr>
          <w:spacing w:val="-7"/>
        </w:rPr>
        <w:t xml:space="preserve"> </w:t>
      </w:r>
      <w:r>
        <w:t>given</w:t>
      </w:r>
      <w:r>
        <w:rPr>
          <w:spacing w:val="-7"/>
        </w:rPr>
        <w:t xml:space="preserve"> </w:t>
      </w:r>
      <w:r>
        <w:t>in</w:t>
      </w:r>
      <w:r>
        <w:rPr>
          <w:spacing w:val="-8"/>
        </w:rPr>
        <w:t xml:space="preserve"> </w:t>
      </w:r>
      <w:r>
        <w:t>the</w:t>
      </w:r>
      <w:r>
        <w:rPr>
          <w:spacing w:val="-4"/>
        </w:rPr>
        <w:t xml:space="preserve"> </w:t>
      </w:r>
      <w:r>
        <w:rPr>
          <w:i/>
        </w:rPr>
        <w:t>Australian</w:t>
      </w:r>
      <w:r>
        <w:rPr>
          <w:i/>
          <w:spacing w:val="-8"/>
        </w:rPr>
        <w:t xml:space="preserve"> </w:t>
      </w:r>
      <w:r>
        <w:rPr>
          <w:i/>
        </w:rPr>
        <w:t>Prudential</w:t>
      </w:r>
      <w:r>
        <w:rPr>
          <w:i/>
          <w:spacing w:val="-8"/>
        </w:rPr>
        <w:t xml:space="preserve"> </w:t>
      </w:r>
      <w:r>
        <w:rPr>
          <w:i/>
        </w:rPr>
        <w:t>Regulation</w:t>
      </w:r>
      <w:r>
        <w:rPr>
          <w:i/>
          <w:spacing w:val="-7"/>
        </w:rPr>
        <w:t xml:space="preserve"> </w:t>
      </w:r>
      <w:r>
        <w:rPr>
          <w:i/>
        </w:rPr>
        <w:t>Authority Act</w:t>
      </w:r>
      <w:r>
        <w:rPr>
          <w:i/>
          <w:spacing w:val="-3"/>
        </w:rPr>
        <w:t xml:space="preserve"> </w:t>
      </w:r>
      <w:r>
        <w:rPr>
          <w:i/>
        </w:rPr>
        <w:t>1998</w:t>
      </w:r>
      <w:r>
        <w:t>.</w:t>
      </w:r>
    </w:p>
    <w:p w14:paraId="20131F1C" w14:textId="77777777" w:rsidR="00375636" w:rsidRDefault="00A872A6">
      <w:pPr>
        <w:pStyle w:val="BodyText"/>
        <w:spacing w:before="118"/>
        <w:ind w:left="140"/>
        <w:jc w:val="both"/>
      </w:pPr>
      <w:r>
        <w:rPr>
          <w:b/>
          <w:i/>
        </w:rPr>
        <w:t xml:space="preserve">the ADI </w:t>
      </w:r>
      <w:r>
        <w:t>means Australia and New Zealand Banking Group Limited ACN 005 357 522.</w:t>
      </w:r>
    </w:p>
    <w:p w14:paraId="20131F1D" w14:textId="77777777" w:rsidR="00375636" w:rsidRDefault="00A872A6">
      <w:pPr>
        <w:pStyle w:val="BodyText"/>
        <w:spacing w:before="120"/>
        <w:ind w:left="140"/>
        <w:jc w:val="both"/>
      </w:pPr>
      <w:r>
        <w:rPr>
          <w:b/>
          <w:i/>
        </w:rPr>
        <w:t xml:space="preserve">the NOHC </w:t>
      </w:r>
      <w:r>
        <w:t>means ANZ Group Holdings Limited ACN 659 510 791.</w:t>
      </w:r>
    </w:p>
    <w:p w14:paraId="20131F1E" w14:textId="77777777" w:rsidR="00375636" w:rsidRDefault="00A872A6">
      <w:pPr>
        <w:pStyle w:val="BodyText"/>
        <w:spacing w:before="122"/>
        <w:ind w:left="140" w:right="135"/>
        <w:jc w:val="both"/>
      </w:pPr>
      <w:r>
        <w:t>Unless the contrary intention appears, a reference in this schedule to an Act or Prudential Standard is a reference to the Act or Prudential Standard as in force from time to time.</w:t>
      </w:r>
    </w:p>
    <w:sectPr w:rsidR="00375636">
      <w:pgSz w:w="11910" w:h="16840"/>
      <w:pgMar w:top="1580" w:right="1300" w:bottom="900" w:left="130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1F27" w14:textId="77777777" w:rsidR="00000000" w:rsidRDefault="00A872A6">
      <w:r>
        <w:separator/>
      </w:r>
    </w:p>
  </w:endnote>
  <w:endnote w:type="continuationSeparator" w:id="0">
    <w:p w14:paraId="20131F29" w14:textId="77777777" w:rsidR="00000000" w:rsidRDefault="00A8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1F22" w14:textId="77777777" w:rsidR="00375636" w:rsidRDefault="00A872A6">
    <w:pPr>
      <w:pStyle w:val="BodyText"/>
      <w:spacing w:line="14" w:lineRule="auto"/>
      <w:rPr>
        <w:sz w:val="20"/>
      </w:rPr>
    </w:pPr>
    <w:r>
      <w:pict w14:anchorId="20131F23">
        <v:shapetype id="_x0000_t202" coordsize="21600,21600" o:spt="202" path="m,l,21600r21600,l21600,xe">
          <v:stroke joinstyle="miter"/>
          <v:path gradientshapeok="t" o:connecttype="rect"/>
        </v:shapetype>
        <v:shape id="_x0000_s2049" type="#_x0000_t202" style="position:absolute;margin-left:476.35pt;margin-top:795.35pt;width:48.15pt;height:12.1pt;z-index:-251658752;mso-position-horizontal-relative:page;mso-position-vertical-relative:page" filled="f" stroked="f">
          <v:textbox inset="0,0,0,0">
            <w:txbxContent>
              <w:p w14:paraId="20131F24" w14:textId="77777777" w:rsidR="00375636" w:rsidRDefault="00A872A6">
                <w:pPr>
                  <w:spacing w:before="14"/>
                  <w:ind w:left="20"/>
                  <w:rPr>
                    <w:sz w:val="18"/>
                  </w:rPr>
                </w:pPr>
                <w:r>
                  <w:rPr>
                    <w:sz w:val="18"/>
                  </w:rPr>
                  <w:t xml:space="preserve">Page </w:t>
                </w:r>
                <w:r>
                  <w:fldChar w:fldCharType="begin"/>
                </w:r>
                <w:r>
                  <w:rPr>
                    <w:sz w:val="18"/>
                  </w:rPr>
                  <w:instrText xml:space="preserve"> PAGE </w:instrText>
                </w:r>
                <w:r>
                  <w:fldChar w:fldCharType="separate"/>
                </w:r>
                <w:r>
                  <w:t>2</w:t>
                </w:r>
                <w:r>
                  <w:fldChar w:fldCharType="end"/>
                </w:r>
                <w:r>
                  <w:rPr>
                    <w:sz w:val="18"/>
                  </w:rPr>
                  <w:t xml:space="preserve"> 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1F23" w14:textId="77777777" w:rsidR="00000000" w:rsidRDefault="00A872A6">
      <w:r>
        <w:separator/>
      </w:r>
    </w:p>
  </w:footnote>
  <w:footnote w:type="continuationSeparator" w:id="0">
    <w:p w14:paraId="20131F25" w14:textId="77777777" w:rsidR="00000000" w:rsidRDefault="00A8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9E20" w14:textId="2874CC8E" w:rsidR="00A872A6" w:rsidRDefault="00A872A6">
    <w:pPr>
      <w:pStyle w:val="Header"/>
    </w:pPr>
  </w:p>
  <w:p w14:paraId="5A836523" w14:textId="77777777" w:rsidR="00A872A6" w:rsidRDefault="00A87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A872A6" w:rsidRPr="00CE796A" w14:paraId="08D16AA0" w14:textId="77777777" w:rsidTr="00F74315">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566A210" w14:textId="77777777" w:rsidR="00A872A6" w:rsidRPr="00CE796A" w:rsidRDefault="00A872A6" w:rsidP="00A872A6">
          <w:pPr>
            <w:spacing w:before="60"/>
            <w:ind w:left="-51"/>
            <w:rPr>
              <w:sz w:val="12"/>
            </w:rPr>
          </w:pPr>
          <w:bookmarkStart w:id="0" w:name="OLE_LINK2"/>
          <w:r>
            <w:rPr>
              <w:noProof/>
              <w:sz w:val="12"/>
              <w:lang w:eastAsia="en-AU"/>
            </w:rPr>
            <w:drawing>
              <wp:inline distT="0" distB="0" distL="0" distR="0" wp14:anchorId="570CC5CF" wp14:editId="200D87DE">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D64008D" w14:textId="77777777" w:rsidR="00A872A6" w:rsidRPr="00CE796A" w:rsidRDefault="00A872A6" w:rsidP="00A872A6">
          <w:pPr>
            <w:spacing w:before="60" w:line="460" w:lineRule="exact"/>
            <w:rPr>
              <w:b/>
              <w:spacing w:val="-2"/>
              <w:sz w:val="44"/>
              <w:szCs w:val="44"/>
            </w:rPr>
          </w:pPr>
          <w:r w:rsidRPr="00CE796A">
            <w:rPr>
              <w:b/>
              <w:spacing w:val="-2"/>
              <w:sz w:val="44"/>
              <w:szCs w:val="44"/>
            </w:rPr>
            <w:t>Commonwealth</w:t>
          </w:r>
          <w:r w:rsidRPr="00CE796A">
            <w:rPr>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075F8AA" w14:textId="77777777" w:rsidR="00A872A6" w:rsidRPr="00CE796A" w:rsidRDefault="00A872A6" w:rsidP="00A872A6">
          <w:pPr>
            <w:spacing w:before="180" w:line="800" w:lineRule="exact"/>
            <w:jc w:val="right"/>
            <w:rPr>
              <w:b/>
              <w:sz w:val="100"/>
              <w:szCs w:val="100"/>
            </w:rPr>
          </w:pPr>
          <w:r w:rsidRPr="00CE796A">
            <w:rPr>
              <w:b/>
              <w:sz w:val="100"/>
              <w:szCs w:val="100"/>
            </w:rPr>
            <w:t>Gazette</w:t>
          </w:r>
        </w:p>
      </w:tc>
    </w:tr>
    <w:tr w:rsidR="00A872A6" w:rsidRPr="00CE796A" w14:paraId="4E8ECAF4" w14:textId="77777777" w:rsidTr="00F74315">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4F43FEF" w14:textId="77777777" w:rsidR="00A872A6" w:rsidRPr="00CE796A" w:rsidRDefault="00A872A6" w:rsidP="00A872A6">
          <w:pPr>
            <w:ind w:left="-51"/>
            <w:rPr>
              <w:sz w:val="14"/>
              <w:szCs w:val="14"/>
            </w:rPr>
          </w:pPr>
          <w:bookmarkStart w:id="1" w:name="GazNo"/>
          <w:bookmarkEnd w:id="1"/>
          <w:r w:rsidRPr="00CE796A">
            <w:rPr>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9459C6E" w14:textId="77777777" w:rsidR="00A872A6" w:rsidRPr="00840A06" w:rsidRDefault="00A872A6" w:rsidP="00A872A6">
          <w:pPr>
            <w:jc w:val="right"/>
            <w:rPr>
              <w:b/>
              <w:sz w:val="24"/>
              <w:szCs w:val="24"/>
            </w:rPr>
          </w:pPr>
          <w:r w:rsidRPr="00840A06">
            <w:rPr>
              <w:b/>
              <w:sz w:val="24"/>
              <w:szCs w:val="24"/>
            </w:rPr>
            <w:t>GOVERNMENT NOTICES</w:t>
          </w:r>
        </w:p>
      </w:tc>
    </w:tr>
    <w:bookmarkEnd w:id="0"/>
  </w:tbl>
  <w:p w14:paraId="300339D7" w14:textId="77777777" w:rsidR="00A872A6" w:rsidRDefault="00A87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4FF3"/>
    <w:multiLevelType w:val="hybridMultilevel"/>
    <w:tmpl w:val="D980A2B6"/>
    <w:lvl w:ilvl="0" w:tplc="CA862FA4">
      <w:start w:val="1"/>
      <w:numFmt w:val="decimal"/>
      <w:lvlText w:val="%1."/>
      <w:lvlJc w:val="left"/>
      <w:pPr>
        <w:ind w:left="708" w:hanging="568"/>
        <w:jc w:val="left"/>
      </w:pPr>
      <w:rPr>
        <w:rFonts w:ascii="Arial" w:eastAsia="Arial" w:hAnsi="Arial" w:cs="Arial" w:hint="default"/>
        <w:spacing w:val="-30"/>
        <w:w w:val="99"/>
        <w:sz w:val="22"/>
        <w:szCs w:val="22"/>
        <w:lang w:val="en-US" w:eastAsia="en-US" w:bidi="en-US"/>
      </w:rPr>
    </w:lvl>
    <w:lvl w:ilvl="1" w:tplc="0518D23A">
      <w:start w:val="1"/>
      <w:numFmt w:val="lowerLetter"/>
      <w:lvlText w:val="(%2)"/>
      <w:lvlJc w:val="left"/>
      <w:pPr>
        <w:ind w:left="1275" w:hanging="568"/>
        <w:jc w:val="left"/>
      </w:pPr>
      <w:rPr>
        <w:rFonts w:ascii="Arial" w:eastAsia="Arial" w:hAnsi="Arial" w:cs="Arial" w:hint="default"/>
        <w:spacing w:val="-1"/>
        <w:w w:val="99"/>
        <w:sz w:val="22"/>
        <w:szCs w:val="22"/>
        <w:lang w:val="en-US" w:eastAsia="en-US" w:bidi="en-US"/>
      </w:rPr>
    </w:lvl>
    <w:lvl w:ilvl="2" w:tplc="9CF61ADC">
      <w:numFmt w:val="bullet"/>
      <w:lvlText w:val="•"/>
      <w:lvlJc w:val="left"/>
      <w:pPr>
        <w:ind w:left="2171" w:hanging="568"/>
      </w:pPr>
      <w:rPr>
        <w:rFonts w:hint="default"/>
        <w:lang w:val="en-US" w:eastAsia="en-US" w:bidi="en-US"/>
      </w:rPr>
    </w:lvl>
    <w:lvl w:ilvl="3" w:tplc="BA106DE2">
      <w:numFmt w:val="bullet"/>
      <w:lvlText w:val="•"/>
      <w:lvlJc w:val="left"/>
      <w:pPr>
        <w:ind w:left="3063" w:hanging="568"/>
      </w:pPr>
      <w:rPr>
        <w:rFonts w:hint="default"/>
        <w:lang w:val="en-US" w:eastAsia="en-US" w:bidi="en-US"/>
      </w:rPr>
    </w:lvl>
    <w:lvl w:ilvl="4" w:tplc="D7E29EAC">
      <w:numFmt w:val="bullet"/>
      <w:lvlText w:val="•"/>
      <w:lvlJc w:val="left"/>
      <w:pPr>
        <w:ind w:left="3955" w:hanging="568"/>
      </w:pPr>
      <w:rPr>
        <w:rFonts w:hint="default"/>
        <w:lang w:val="en-US" w:eastAsia="en-US" w:bidi="en-US"/>
      </w:rPr>
    </w:lvl>
    <w:lvl w:ilvl="5" w:tplc="A528A17A">
      <w:numFmt w:val="bullet"/>
      <w:lvlText w:val="•"/>
      <w:lvlJc w:val="left"/>
      <w:pPr>
        <w:ind w:left="4846" w:hanging="568"/>
      </w:pPr>
      <w:rPr>
        <w:rFonts w:hint="default"/>
        <w:lang w:val="en-US" w:eastAsia="en-US" w:bidi="en-US"/>
      </w:rPr>
    </w:lvl>
    <w:lvl w:ilvl="6" w:tplc="516851E0">
      <w:numFmt w:val="bullet"/>
      <w:lvlText w:val="•"/>
      <w:lvlJc w:val="left"/>
      <w:pPr>
        <w:ind w:left="5738" w:hanging="568"/>
      </w:pPr>
      <w:rPr>
        <w:rFonts w:hint="default"/>
        <w:lang w:val="en-US" w:eastAsia="en-US" w:bidi="en-US"/>
      </w:rPr>
    </w:lvl>
    <w:lvl w:ilvl="7" w:tplc="80E4456A">
      <w:numFmt w:val="bullet"/>
      <w:lvlText w:val="•"/>
      <w:lvlJc w:val="left"/>
      <w:pPr>
        <w:ind w:left="6630" w:hanging="568"/>
      </w:pPr>
      <w:rPr>
        <w:rFonts w:hint="default"/>
        <w:lang w:val="en-US" w:eastAsia="en-US" w:bidi="en-US"/>
      </w:rPr>
    </w:lvl>
    <w:lvl w:ilvl="8" w:tplc="47B2EBD8">
      <w:numFmt w:val="bullet"/>
      <w:lvlText w:val="•"/>
      <w:lvlJc w:val="left"/>
      <w:pPr>
        <w:ind w:left="7521" w:hanging="56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75636"/>
    <w:rsid w:val="00375636"/>
    <w:rsid w:val="00A87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131EC0"/>
  <w15:docId w15:val="{B0503604-37FF-4E1D-8DF3-AE583F10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8" w:hanging="56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72A6"/>
    <w:pPr>
      <w:tabs>
        <w:tab w:val="center" w:pos="4513"/>
        <w:tab w:val="right" w:pos="9026"/>
      </w:tabs>
    </w:pPr>
  </w:style>
  <w:style w:type="character" w:customStyle="1" w:styleId="HeaderChar">
    <w:name w:val="Header Char"/>
    <w:basedOn w:val="DefaultParagraphFont"/>
    <w:link w:val="Header"/>
    <w:uiPriority w:val="99"/>
    <w:rsid w:val="00A872A6"/>
    <w:rPr>
      <w:rFonts w:ascii="Arial" w:eastAsia="Arial" w:hAnsi="Arial" w:cs="Arial"/>
      <w:lang w:bidi="en-US"/>
    </w:rPr>
  </w:style>
  <w:style w:type="paragraph" w:styleId="Footer">
    <w:name w:val="footer"/>
    <w:basedOn w:val="Normal"/>
    <w:link w:val="FooterChar"/>
    <w:uiPriority w:val="99"/>
    <w:unhideWhenUsed/>
    <w:rsid w:val="00A872A6"/>
    <w:pPr>
      <w:tabs>
        <w:tab w:val="center" w:pos="4513"/>
        <w:tab w:val="right" w:pos="9026"/>
      </w:tabs>
    </w:pPr>
  </w:style>
  <w:style w:type="character" w:customStyle="1" w:styleId="FooterChar">
    <w:name w:val="Footer Char"/>
    <w:basedOn w:val="DefaultParagraphFont"/>
    <w:link w:val="Footer"/>
    <w:uiPriority w:val="99"/>
    <w:rsid w:val="00A872A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5JENXJJSCC7A-445999044-11838</_dlc_DocId>
    <TaxCatchAll xmlns="814d62cb-2db6-4c25-ab62-b9075facbc11">
      <Value>24</Value>
      <Value>83</Value>
      <Value>231</Value>
      <Value>134</Value>
      <Value>26</Value>
      <Value>10</Value>
      <Value>109</Value>
      <Value>93</Value>
      <Value>58</Value>
      <Value>19</Value>
    </TaxCatchAll>
    <_dlc_DocIdUrl xmlns="814d62cb-2db6-4c25-ab62-b9075facbc11">
      <Url>https://im/teams/LEGAL/_layouts/15/DocIdRedir.aspx?ID=5JENXJJSCC7A-445999044-11838</Url>
      <Description>5JENXJJSCC7A-445999044-11838</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c15887ee-fc3e-4879-bd3d-5a13724ac42c</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Authority to be a NOHC of an ADI 2022 – ANZ Group Holdings Limited</APRADescription>
    <APRAActivityID xmlns="814d62cb-2db6-4c25-ab62-b9075facbc11" xsi:nil="true"/>
    <APRADocScanCheck xmlns="814d62cb-2db6-4c25-ab62-b9075facbc11">false</APRADocScanCheck>
  </documentManagement>
</p:properties>
</file>

<file path=customXml/itemProps1.xml><?xml version="1.0" encoding="utf-8"?>
<ds:datastoreItem xmlns:ds="http://schemas.openxmlformats.org/officeDocument/2006/customXml" ds:itemID="{709B71BC-7B5D-4170-92EE-EA38153E3426}">
  <ds:schemaRefs>
    <ds:schemaRef ds:uri="http://schemas.microsoft.com/sharepoint/v3/contenttype/forms"/>
  </ds:schemaRefs>
</ds:datastoreItem>
</file>

<file path=customXml/itemProps2.xml><?xml version="1.0" encoding="utf-8"?>
<ds:datastoreItem xmlns:ds="http://schemas.openxmlformats.org/officeDocument/2006/customXml" ds:itemID="{E2E29706-6ACE-4B33-B0AA-8460D4903C27}">
  <ds:schemaRefs>
    <ds:schemaRef ds:uri="http://schemas.microsoft.com/sharepoint/events"/>
  </ds:schemaRefs>
</ds:datastoreItem>
</file>

<file path=customXml/itemProps3.xml><?xml version="1.0" encoding="utf-8"?>
<ds:datastoreItem xmlns:ds="http://schemas.openxmlformats.org/officeDocument/2006/customXml" ds:itemID="{429E83D0-1563-419A-92EF-1DCB1B61EB93}">
  <ds:schemaRefs>
    <ds:schemaRef ds:uri="Microsoft.SharePoint.Taxonomy.ContentTypeSync"/>
  </ds:schemaRefs>
</ds:datastoreItem>
</file>

<file path=customXml/itemProps4.xml><?xml version="1.0" encoding="utf-8"?>
<ds:datastoreItem xmlns:ds="http://schemas.openxmlformats.org/officeDocument/2006/customXml" ds:itemID="{85F6478E-7A49-426A-B3BD-E20E67AAA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3789FE-F9DC-4A96-9249-B46B15CD5785}">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814d62cb-2db6-4c25-ab62-b9075facbc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1516</Words>
  <Characters>7675</Characters>
  <Application>Microsoft Office Word</Application>
  <DocSecurity>0</DocSecurity>
  <Lines>170</Lines>
  <Paragraphs>74</Paragraphs>
  <ScaleCrop>false</ScaleCrop>
  <HeadingPairs>
    <vt:vector size="2" baseType="variant">
      <vt:variant>
        <vt:lpstr>Title</vt:lpstr>
      </vt:variant>
      <vt:variant>
        <vt:i4>1</vt:i4>
      </vt:variant>
    </vt:vector>
  </HeadingPairs>
  <TitlesOfParts>
    <vt:vector size="1" baseType="lpstr">
      <vt:lpstr>s11AA NOHC authority - ANZ</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 Group Holdings Limited - 041022</dc:title>
  <dc:creator>Shum, Letitia</dc:creator>
  <cp:keywords>[SEC=OFFICIAL]</cp:keywords>
  <cp:lastModifiedBy>Toni Michalis</cp:lastModifiedBy>
  <cp:revision>2</cp:revision>
  <dcterms:created xsi:type="dcterms:W3CDTF">2022-10-05T06:24:00Z</dcterms:created>
  <dcterms:modified xsi:type="dcterms:W3CDTF">2022-10-05T06:26:00Z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vt:lpwstr>
  </property>
  <property fmtid="{D5CDD505-2E9C-101B-9397-08002B2CF9AE}" pid="4" name="LastSaved">
    <vt:filetime>2022-10-05T00:00:00Z</vt:filetime>
  </property>
  <property fmtid="{D5CDD505-2E9C-101B-9397-08002B2CF9AE}" pid="5" name="APRAPeriod">
    <vt:lpwstr/>
  </property>
  <property fmtid="{D5CDD505-2E9C-101B-9397-08002B2CF9AE}" pid="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7" name="APRALegislation">
    <vt:lpwstr/>
  </property>
  <property fmtid="{D5CDD505-2E9C-101B-9397-08002B2CF9AE}" pid="8" name="APRAYear">
    <vt:lpwstr>231;#2022|c15887ee-fc3e-4879-bd3d-5a13724ac42c</vt:lpwstr>
  </property>
  <property fmtid="{D5CDD505-2E9C-101B-9397-08002B2CF9AE}" pid="9" name="APRAIndustry">
    <vt:lpwstr/>
  </property>
  <property fmtid="{D5CDD505-2E9C-101B-9397-08002B2CF9AE}" pid="10" name="ContentTypeId">
    <vt:lpwstr>0x0101008CA7A4F8331B45C7B0D3158B4994D0CA0200577EC0F5A1FBFC498F9A8436B963F8A6</vt:lpwstr>
  </property>
  <property fmtid="{D5CDD505-2E9C-101B-9397-08002B2CF9AE}" pid="11" name="_dlc_DocIdItemGuid">
    <vt:lpwstr>a8e8d7f4-82be-4291-b7cd-953f1f5d2c3d</vt:lpwstr>
  </property>
  <property fmtid="{D5CDD505-2E9C-101B-9397-08002B2CF9AE}" pid="12" name="APRAPRSG">
    <vt:lpwstr/>
  </property>
  <property fmtid="{D5CDD505-2E9C-101B-9397-08002B2CF9AE}" pid="13" name="IsLocked">
    <vt:lpwstr>False</vt:lpwstr>
  </property>
  <property fmtid="{D5CDD505-2E9C-101B-9397-08002B2CF9AE}" pid="14" name="APRAStatus">
    <vt:lpwstr>19;#Final|84d6b2d0-8498-4d62-bf46-bab38babbe9e</vt:lpwstr>
  </property>
  <property fmtid="{D5CDD505-2E9C-101B-9397-08002B2CF9AE}" pid="15" name="PM_ProtectiveMarkingImage_Header">
    <vt:lpwstr>C:\Program Files\Common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5F7AB21B065348A1BBA905272B914862</vt:lpwstr>
  </property>
  <property fmtid="{D5CDD505-2E9C-101B-9397-08002B2CF9AE}" pid="22" name="PM_ProtectiveMarkingValue_Footer">
    <vt:lpwstr>OFFICIAL</vt:lpwstr>
  </property>
  <property fmtid="{D5CDD505-2E9C-101B-9397-08002B2CF9AE}" pid="23" name="PM_Originator_Hash_SHA1">
    <vt:lpwstr>C3AD57350F36D8E1BD75F8F67CB06D435C9C43CA</vt:lpwstr>
  </property>
  <property fmtid="{D5CDD505-2E9C-101B-9397-08002B2CF9AE}" pid="24" name="PM_OriginationTimeStamp">
    <vt:lpwstr>2022-10-05T06:26:25Z</vt:lpwstr>
  </property>
  <property fmtid="{D5CDD505-2E9C-101B-9397-08002B2CF9AE}" pid="25" name="PM_ProtectiveMarkingValue_Header">
    <vt:lpwstr>OFFICIAL</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Uuid">
    <vt:lpwstr>ABBFF5E2-9674-55C9-B08D-C9980002FD58</vt:lpwstr>
  </property>
  <property fmtid="{D5CDD505-2E9C-101B-9397-08002B2CF9AE}" pid="33" name="PMUuidVer">
    <vt:lpwstr>2022.1</vt:lpwstr>
  </property>
  <property fmtid="{D5CDD505-2E9C-101B-9397-08002B2CF9AE}" pid="34" name="PM_Hash_Version">
    <vt:lpwstr>2018.0</vt:lpwstr>
  </property>
  <property fmtid="{D5CDD505-2E9C-101B-9397-08002B2CF9AE}" pid="35" name="MSIP_Label_c0129afb-6481-4f92-bc9f-5a4a6346364d_SetDate">
    <vt:lpwstr>2022-10-05T06:26:24Z</vt:lpwstr>
  </property>
  <property fmtid="{D5CDD505-2E9C-101B-9397-08002B2CF9AE}" pid="36" name="PM_Hash_Salt_Prev">
    <vt:lpwstr>53C56544F46C435562EF30984FF7C069</vt:lpwstr>
  </property>
  <property fmtid="{D5CDD505-2E9C-101B-9397-08002B2CF9AE}" pid="37" name="PM_Hash_Salt">
    <vt:lpwstr>53C56544F46C435562EF30984FF7C069</vt:lpwstr>
  </property>
  <property fmtid="{D5CDD505-2E9C-101B-9397-08002B2CF9AE}" pid="38" name="PM_Hash_SHA1">
    <vt:lpwstr>40E16C2F93C4FEB8A01D743B59EEAD874AFAAC35</vt:lpwstr>
  </property>
  <property fmtid="{D5CDD505-2E9C-101B-9397-08002B2CF9AE}" pid="39" name="PM_OriginatorUserAccountName_SHA256">
    <vt:lpwstr>6E3018F28A186D2E5FF5207C041E7A82E907C3008E071057026A53705873B72E</vt:lpwstr>
  </property>
  <property fmtid="{D5CDD505-2E9C-101B-9397-08002B2CF9AE}" pid="40" name="PM_OriginatorDomainName_SHA256">
    <vt:lpwstr>ECBDE2B44A971754412B3FB70606937A119CC0D4B6C1B658A40FBD41C30BE3EC</vt:lpwstr>
  </property>
  <property fmtid="{D5CDD505-2E9C-101B-9397-08002B2CF9AE}" pid="41" name="MSIP_Label_c0129afb-6481-4f92-bc9f-5a4a6346364d_Name">
    <vt:lpwstr>OFFICIAL</vt:lpwstr>
  </property>
  <property fmtid="{D5CDD505-2E9C-101B-9397-08002B2CF9AE}" pid="42" name="MSIP_Label_c0129afb-6481-4f92-bc9f-5a4a6346364d_SiteId">
    <vt:lpwstr>c05e3ffd-b491-4431-9809-e61d4dc78816</vt:lpwstr>
  </property>
  <property fmtid="{D5CDD505-2E9C-101B-9397-08002B2CF9AE}" pid="43" name="MSIP_Label_c0129afb-6481-4f92-bc9f-5a4a6346364d_Enabled">
    <vt:lpwstr>true</vt:lpwstr>
  </property>
  <property fmtid="{D5CDD505-2E9C-101B-9397-08002B2CF9AE}" pid="44" name="PM_MinimumSecurityClassification">
    <vt:lpwstr/>
  </property>
  <property fmtid="{D5CDD505-2E9C-101B-9397-08002B2CF9AE}" pid="45" name="IT system type">
    <vt:lpwstr/>
  </property>
  <property fmtid="{D5CDD505-2E9C-101B-9397-08002B2CF9AE}" pid="46" name="APRACategory">
    <vt:lpwstr/>
  </property>
  <property fmtid="{D5CDD505-2E9C-101B-9397-08002B2CF9AE}" pid="47" name="APRADocumentType">
    <vt:lpwstr>58;#Legal instrument|71fd6ed3-d6d6-4975-ba99-bfe45802e734</vt:lpwstr>
  </property>
  <property fmtid="{D5CDD505-2E9C-101B-9397-08002B2CF9AE}" pid="48" name="APRAActivity">
    <vt:lpwstr>10;#Registration|390476ce-d76d-4e8d-905f-28e32d2df127;#109;#Statutory instrument|fe68928c-5a9c-4caf-bc8c-6c18cedcb17f</vt:lpwstr>
  </property>
  <property fmtid="{D5CDD505-2E9C-101B-9397-08002B2CF9AE}" pid="49" name="APRAEntityAdviceSupport">
    <vt:lpwstr/>
  </property>
  <property fmtid="{D5CDD505-2E9C-101B-9397-08002B2CF9AE}" pid="50" name="APRAExternalOrganisation">
    <vt:lpwstr/>
  </property>
  <property fmtid="{D5CDD505-2E9C-101B-9397-08002B2CF9AE}" pid="51" name="APRAIRTR">
    <vt:lpwstr/>
  </property>
  <property fmtid="{D5CDD505-2E9C-101B-9397-08002B2CF9AE}" pid="52" name="RecordPoint_WorkflowType">
    <vt:lpwstr>ActiveSubmitStub</vt:lpwstr>
  </property>
  <property fmtid="{D5CDD505-2E9C-101B-9397-08002B2CF9AE}" pid="53" name="RecordPoint_ActiveItemSiteId">
    <vt:lpwstr>{88691c01-5bbb-4215-adc0-66cb7065b0af}</vt:lpwstr>
  </property>
  <property fmtid="{D5CDD505-2E9C-101B-9397-08002B2CF9AE}" pid="54" name="RecordPoint_ActiveItemListId">
    <vt:lpwstr>{0e59e171-09d8-4401-800a-327154450cb3}</vt:lpwstr>
  </property>
  <property fmtid="{D5CDD505-2E9C-101B-9397-08002B2CF9AE}" pid="55" name="RecordPoint_ActiveItemUniqueId">
    <vt:lpwstr>{a8e8d7f4-82be-4291-b7cd-953f1f5d2c3d}</vt:lpwstr>
  </property>
  <property fmtid="{D5CDD505-2E9C-101B-9397-08002B2CF9AE}" pid="56" name="RecordPoint_ActiveItemWebId">
    <vt:lpwstr>{75a71c27-8d66-4282-ae60-1bfc22a83be1}</vt:lpwstr>
  </property>
</Properties>
</file>