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0D26" w14:textId="77777777" w:rsidR="00B67283" w:rsidRDefault="007475C2" w:rsidP="00055C6D">
      <w:pPr>
        <w:pStyle w:val="Title"/>
        <w:ind w:firstLine="357"/>
        <w:contextualSpacing/>
        <w:rPr>
          <w:sz w:val="28"/>
          <w:szCs w:val="28"/>
        </w:rPr>
      </w:pPr>
      <w:r w:rsidRPr="00DD1948">
        <w:rPr>
          <w:sz w:val="28"/>
          <w:szCs w:val="28"/>
        </w:rPr>
        <w:t>HEAVY VEHICLE NATIONAL LAW</w:t>
      </w:r>
    </w:p>
    <w:p w14:paraId="09F15C40" w14:textId="2A301600" w:rsidR="00B62909" w:rsidRPr="00B67283" w:rsidRDefault="00133598" w:rsidP="00055C6D">
      <w:pPr>
        <w:pStyle w:val="Title"/>
        <w:ind w:left="357"/>
        <w:contextualSpacing/>
        <w:rPr>
          <w:sz w:val="28"/>
          <w:szCs w:val="28"/>
        </w:rPr>
      </w:pPr>
      <w:r>
        <w:rPr>
          <w:sz w:val="28"/>
          <w:szCs w:val="28"/>
        </w:rPr>
        <w:t xml:space="preserve">Queensland Class 2 Performance Based Standards A-Double </w:t>
      </w:r>
      <w:r w:rsidR="003C1905">
        <w:rPr>
          <w:sz w:val="28"/>
          <w:szCs w:val="28"/>
        </w:rPr>
        <w:t xml:space="preserve">(Toowoomba to Port of Brisbane) </w:t>
      </w:r>
      <w:r w:rsidR="00F95553">
        <w:rPr>
          <w:sz w:val="28"/>
          <w:szCs w:val="28"/>
        </w:rPr>
        <w:t>Authorisation Notice 20</w:t>
      </w:r>
      <w:r w:rsidR="007C0342">
        <w:rPr>
          <w:sz w:val="28"/>
          <w:szCs w:val="28"/>
        </w:rPr>
        <w:t>22</w:t>
      </w:r>
      <w:r w:rsidR="00663B89">
        <w:rPr>
          <w:sz w:val="28"/>
          <w:szCs w:val="28"/>
        </w:rPr>
        <w:t xml:space="preserve"> (No.</w:t>
      </w:r>
      <w:r w:rsidR="00854F8A">
        <w:rPr>
          <w:sz w:val="28"/>
          <w:szCs w:val="28"/>
        </w:rPr>
        <w:t>1</w:t>
      </w:r>
      <w:r w:rsidR="005104C4">
        <w:rPr>
          <w:sz w:val="28"/>
          <w:szCs w:val="28"/>
        </w:rPr>
        <w:t>)</w:t>
      </w:r>
    </w:p>
    <w:p w14:paraId="0B6CB707" w14:textId="77777777" w:rsidR="007475C2" w:rsidRPr="00FF32AE" w:rsidRDefault="007475C2" w:rsidP="00055C6D">
      <w:pPr>
        <w:pStyle w:val="Sectionheading"/>
        <w:jc w:val="both"/>
      </w:pPr>
      <w:r w:rsidRPr="00FF32AE">
        <w:t>Purpose</w:t>
      </w:r>
    </w:p>
    <w:p w14:paraId="64B64EB9" w14:textId="77777777" w:rsidR="00133598" w:rsidRPr="00FF32AE" w:rsidRDefault="00133598" w:rsidP="00055C6D">
      <w:pPr>
        <w:pStyle w:val="OutlineNumberedLevel1"/>
        <w:numPr>
          <w:ilvl w:val="0"/>
          <w:numId w:val="3"/>
        </w:numPr>
        <w:contextualSpacing/>
      </w:pPr>
      <w:r w:rsidRPr="00FF32AE">
        <w:t>The purpose of this Notice is to authorise Performance Based Standards (PBS) A-doubles to access</w:t>
      </w:r>
      <w:r w:rsidR="002E00EF" w:rsidRPr="00FF32AE">
        <w:t xml:space="preserve"> </w:t>
      </w:r>
      <w:r w:rsidR="007A39C5" w:rsidRPr="00FF32AE">
        <w:t xml:space="preserve">a </w:t>
      </w:r>
      <w:r w:rsidR="003C1905" w:rsidRPr="00FF32AE">
        <w:t xml:space="preserve">special </w:t>
      </w:r>
      <w:r w:rsidR="0017582A" w:rsidRPr="00FF32AE">
        <w:t>PBS</w:t>
      </w:r>
      <w:r w:rsidRPr="00FF32AE">
        <w:t xml:space="preserve"> network </w:t>
      </w:r>
      <w:r w:rsidR="003C1905" w:rsidRPr="00FF32AE">
        <w:t>running from Toowoomba to Port of Brisbane</w:t>
      </w:r>
      <w:r w:rsidR="008E0EEE" w:rsidRPr="00FF32AE">
        <w:t xml:space="preserve"> up to a Gross Combination Mass of 85 tonnes</w:t>
      </w:r>
      <w:r w:rsidR="003C1905" w:rsidRPr="00FF32AE">
        <w:t>.</w:t>
      </w:r>
    </w:p>
    <w:p w14:paraId="40F6FE7A" w14:textId="77777777" w:rsidR="00663B89" w:rsidRPr="00FF32AE" w:rsidRDefault="00663B89" w:rsidP="00055C6D">
      <w:pPr>
        <w:pStyle w:val="OutlineNumberedLevel1"/>
        <w:numPr>
          <w:ilvl w:val="0"/>
          <w:numId w:val="0"/>
        </w:numPr>
        <w:ind w:left="720"/>
        <w:contextualSpacing/>
      </w:pPr>
    </w:p>
    <w:p w14:paraId="5E8D5E0B" w14:textId="741C99ED" w:rsidR="00F95553" w:rsidRPr="00FF32AE" w:rsidRDefault="00F95553" w:rsidP="00055C6D">
      <w:pPr>
        <w:pStyle w:val="OutlineNumberedLevel1"/>
        <w:numPr>
          <w:ilvl w:val="0"/>
          <w:numId w:val="3"/>
        </w:numPr>
        <w:contextualSpacing/>
      </w:pPr>
      <w:r w:rsidRPr="00FF32AE">
        <w:t xml:space="preserve">This Notice revokes and replaces the </w:t>
      </w:r>
      <w:r w:rsidRPr="00FF32AE">
        <w:rPr>
          <w:i/>
        </w:rPr>
        <w:t>Queensland Class 2 Performance Based Standards A-Double (Toowoomba to Port of Bri</w:t>
      </w:r>
      <w:r w:rsidR="00663B89" w:rsidRPr="00FF32AE">
        <w:rPr>
          <w:i/>
        </w:rPr>
        <w:t>sbane) Authorisation Notice 2019</w:t>
      </w:r>
      <w:r w:rsidRPr="00FF32AE">
        <w:rPr>
          <w:i/>
        </w:rPr>
        <w:t xml:space="preserve"> (No.</w:t>
      </w:r>
      <w:r w:rsidR="00642A61">
        <w:rPr>
          <w:i/>
        </w:rPr>
        <w:t>2</w:t>
      </w:r>
      <w:r w:rsidRPr="00FF32AE">
        <w:rPr>
          <w:i/>
        </w:rPr>
        <w:t>)</w:t>
      </w:r>
      <w:r w:rsidR="005230E0">
        <w:rPr>
          <w:i/>
        </w:rPr>
        <w:t>.</w:t>
      </w:r>
    </w:p>
    <w:p w14:paraId="705DB006" w14:textId="6A112925" w:rsidR="00133598" w:rsidRPr="00FF32AE" w:rsidRDefault="00133598" w:rsidP="00055C6D">
      <w:pPr>
        <w:pStyle w:val="Sectionheading"/>
        <w:numPr>
          <w:ilvl w:val="0"/>
          <w:numId w:val="0"/>
        </w:numPr>
        <w:ind w:left="1440" w:hanging="720"/>
        <w:jc w:val="both"/>
        <w:rPr>
          <w:strike/>
        </w:rPr>
      </w:pPr>
      <w:r w:rsidRPr="00FF32AE">
        <w:rPr>
          <w:b w:val="0"/>
          <w:i/>
        </w:rPr>
        <w:t>Note:</w:t>
      </w:r>
      <w:r w:rsidRPr="00FF32AE">
        <w:rPr>
          <w:b w:val="0"/>
          <w:i/>
        </w:rPr>
        <w:tab/>
      </w:r>
      <w:r w:rsidR="00F95553" w:rsidRPr="00FF32AE">
        <w:rPr>
          <w:b w:val="0"/>
          <w:i/>
        </w:rPr>
        <w:t xml:space="preserve">This Notice </w:t>
      </w:r>
      <w:r w:rsidR="00467273" w:rsidRPr="00FF32AE">
        <w:rPr>
          <w:b w:val="0"/>
          <w:i/>
        </w:rPr>
        <w:t>amends</w:t>
      </w:r>
      <w:r w:rsidR="00F95553" w:rsidRPr="00FF32AE">
        <w:rPr>
          <w:b w:val="0"/>
          <w:i/>
        </w:rPr>
        <w:t xml:space="preserve"> </w:t>
      </w:r>
      <w:r w:rsidR="00AB2393" w:rsidRPr="00FF32AE">
        <w:rPr>
          <w:b w:val="0"/>
          <w:i/>
        </w:rPr>
        <w:t xml:space="preserve">the </w:t>
      </w:r>
      <w:r w:rsidR="005230E0">
        <w:rPr>
          <w:b w:val="0"/>
          <w:i/>
        </w:rPr>
        <w:t>Intelligent Access Program provisions. All other co</w:t>
      </w:r>
      <w:r w:rsidR="00757108">
        <w:rPr>
          <w:b w:val="0"/>
          <w:i/>
        </w:rPr>
        <w:t>nditions and access are unchanged.</w:t>
      </w:r>
    </w:p>
    <w:p w14:paraId="5536C2D3" w14:textId="77777777" w:rsidR="00FF32AE" w:rsidRPr="00FF32AE" w:rsidRDefault="00FF32AE" w:rsidP="00055C6D">
      <w:pPr>
        <w:pStyle w:val="Sectionheading"/>
        <w:numPr>
          <w:ilvl w:val="0"/>
          <w:numId w:val="0"/>
        </w:numPr>
        <w:ind w:left="360" w:firstLine="360"/>
        <w:jc w:val="both"/>
        <w:rPr>
          <w:strike/>
        </w:rPr>
      </w:pPr>
    </w:p>
    <w:p w14:paraId="30DD012E" w14:textId="77777777" w:rsidR="007475C2" w:rsidRPr="00FF32AE" w:rsidRDefault="007475C2" w:rsidP="00055C6D">
      <w:pPr>
        <w:pStyle w:val="Sectionheading"/>
        <w:jc w:val="both"/>
      </w:pPr>
      <w:r w:rsidRPr="00FF32AE">
        <w:t>Authorising Provision</w:t>
      </w:r>
    </w:p>
    <w:p w14:paraId="29830419" w14:textId="77777777" w:rsidR="00FD74B6" w:rsidRPr="00FF32AE" w:rsidRDefault="00FD74B6" w:rsidP="00055C6D">
      <w:pPr>
        <w:pStyle w:val="OutlineNumberedLevel1"/>
        <w:numPr>
          <w:ilvl w:val="0"/>
          <w:numId w:val="0"/>
        </w:numPr>
        <w:ind w:left="720"/>
        <w:contextualSpacing/>
      </w:pPr>
      <w:r w:rsidRPr="00FF32AE">
        <w:t xml:space="preserve">This </w:t>
      </w:r>
      <w:r w:rsidR="00B131D1" w:rsidRPr="00FF32AE">
        <w:t>Notice</w:t>
      </w:r>
      <w:r w:rsidR="00B96475" w:rsidRPr="00FF32AE">
        <w:t xml:space="preserve"> is made under section </w:t>
      </w:r>
      <w:r w:rsidR="00B95F73" w:rsidRPr="00FF32AE">
        <w:t>138</w:t>
      </w:r>
      <w:r w:rsidR="005D3F24" w:rsidRPr="00FF32AE">
        <w:t xml:space="preserve"> </w:t>
      </w:r>
      <w:r w:rsidRPr="00FF32AE">
        <w:t xml:space="preserve">of </w:t>
      </w:r>
      <w:r w:rsidR="00A01196" w:rsidRPr="00FF32AE">
        <w:t>the Heavy Vehicle National Law (HVNL).</w:t>
      </w:r>
    </w:p>
    <w:p w14:paraId="22410A60" w14:textId="77777777" w:rsidR="00F2274C" w:rsidRPr="00FF32AE" w:rsidRDefault="00F2274C" w:rsidP="00055C6D">
      <w:pPr>
        <w:pStyle w:val="Sectionheading"/>
        <w:jc w:val="both"/>
      </w:pPr>
      <w:r w:rsidRPr="00FF32AE">
        <w:t>Title</w:t>
      </w:r>
    </w:p>
    <w:p w14:paraId="3437CFCE" w14:textId="71667C62" w:rsidR="00F2274C" w:rsidRPr="00FF32AE" w:rsidRDefault="00F2274C" w:rsidP="00055C6D">
      <w:pPr>
        <w:pStyle w:val="OutlineNumberedLevel1"/>
        <w:numPr>
          <w:ilvl w:val="0"/>
          <w:numId w:val="0"/>
        </w:numPr>
        <w:ind w:left="720"/>
        <w:contextualSpacing/>
      </w:pPr>
      <w:r w:rsidRPr="00FF32AE">
        <w:t>This Notice</w:t>
      </w:r>
      <w:r w:rsidR="00CC5BB6" w:rsidRPr="00FF32AE">
        <w:t xml:space="preserve"> </w:t>
      </w:r>
      <w:r w:rsidRPr="00FF32AE">
        <w:t xml:space="preserve">may be cited as the </w:t>
      </w:r>
      <w:r w:rsidR="003C1905" w:rsidRPr="00FF32AE">
        <w:rPr>
          <w:i/>
        </w:rPr>
        <w:t>Queensland Class 2 Performance Based Standards A-Double (Toowoomba to Port of Bri</w:t>
      </w:r>
      <w:r w:rsidR="00F95553" w:rsidRPr="00FF32AE">
        <w:rPr>
          <w:i/>
        </w:rPr>
        <w:t>sbane) Authorisation Notice 20</w:t>
      </w:r>
      <w:r w:rsidR="00757108">
        <w:rPr>
          <w:i/>
        </w:rPr>
        <w:t>22 (No.1)</w:t>
      </w:r>
      <w:r w:rsidR="003C1905" w:rsidRPr="00FF32AE">
        <w:rPr>
          <w:i/>
        </w:rPr>
        <w:t>.</w:t>
      </w:r>
    </w:p>
    <w:p w14:paraId="5C2BDDE3" w14:textId="77777777" w:rsidR="007475C2" w:rsidRPr="00FF32AE" w:rsidRDefault="007475C2" w:rsidP="00055C6D">
      <w:pPr>
        <w:pStyle w:val="Sectionheading"/>
        <w:jc w:val="both"/>
      </w:pPr>
      <w:r w:rsidRPr="00FF32AE">
        <w:t>Commencement</w:t>
      </w:r>
    </w:p>
    <w:p w14:paraId="19EC3551" w14:textId="33E36EDE" w:rsidR="007475C2" w:rsidRPr="00FF32AE" w:rsidRDefault="00FD74B6" w:rsidP="00055C6D">
      <w:pPr>
        <w:pStyle w:val="OutlineNumberedLevel1"/>
        <w:numPr>
          <w:ilvl w:val="0"/>
          <w:numId w:val="0"/>
        </w:numPr>
        <w:ind w:left="720"/>
        <w:contextualSpacing/>
      </w:pPr>
      <w:r w:rsidRPr="00FF32AE">
        <w:t xml:space="preserve">This Notice commences on </w:t>
      </w:r>
      <w:r w:rsidR="00F571DE">
        <w:rPr>
          <w:rFonts w:asciiTheme="minorHAnsi" w:hAnsiTheme="minorHAnsi"/>
        </w:rPr>
        <w:t>5 December 2022.</w:t>
      </w:r>
    </w:p>
    <w:p w14:paraId="15C634D4" w14:textId="77777777" w:rsidR="007475C2" w:rsidRPr="00FF32AE" w:rsidRDefault="007475C2" w:rsidP="00055C6D">
      <w:pPr>
        <w:pStyle w:val="Sectionheading"/>
        <w:jc w:val="both"/>
      </w:pPr>
      <w:r w:rsidRPr="00FF32AE">
        <w:t>Expiry</w:t>
      </w:r>
    </w:p>
    <w:p w14:paraId="6FE558AB" w14:textId="77777777" w:rsidR="007475C2" w:rsidRPr="00FF32AE" w:rsidRDefault="00FD74B6" w:rsidP="00055C6D">
      <w:pPr>
        <w:pStyle w:val="OutlineNumberedLevel1"/>
        <w:numPr>
          <w:ilvl w:val="0"/>
          <w:numId w:val="0"/>
        </w:numPr>
        <w:ind w:left="720"/>
        <w:contextualSpacing/>
      </w:pPr>
      <w:r w:rsidRPr="00FF32AE">
        <w:t xml:space="preserve">This Notice expires </w:t>
      </w:r>
      <w:r w:rsidR="004C40D3" w:rsidRPr="00FF32AE">
        <w:t>on 8 October 2023.</w:t>
      </w:r>
    </w:p>
    <w:p w14:paraId="4C87860A" w14:textId="77777777" w:rsidR="005D3F24" w:rsidRPr="00FF32AE" w:rsidRDefault="008426D4" w:rsidP="00055C6D">
      <w:pPr>
        <w:pStyle w:val="Sectionheading"/>
        <w:jc w:val="both"/>
      </w:pPr>
      <w:r w:rsidRPr="00FF32AE">
        <w:t>Definitions</w:t>
      </w:r>
    </w:p>
    <w:p w14:paraId="062E1975" w14:textId="77777777" w:rsidR="00FE20FD" w:rsidRPr="00FF32AE" w:rsidRDefault="00CC2402" w:rsidP="00055C6D">
      <w:pPr>
        <w:pStyle w:val="OutlineNumberedLevel1"/>
        <w:numPr>
          <w:ilvl w:val="0"/>
          <w:numId w:val="10"/>
        </w:numPr>
        <w:contextualSpacing/>
      </w:pPr>
      <w:r w:rsidRPr="00FF32AE">
        <w:t>Unless otherwise stated, words and expressions used in this Notice have the same meanings as those defined in the HVNL.</w:t>
      </w:r>
    </w:p>
    <w:p w14:paraId="31935F98" w14:textId="77777777" w:rsidR="00F03112" w:rsidRPr="00FF32AE" w:rsidRDefault="00F03112" w:rsidP="00055C6D">
      <w:pPr>
        <w:pStyle w:val="OutlineNumberedLevel1"/>
        <w:numPr>
          <w:ilvl w:val="0"/>
          <w:numId w:val="0"/>
        </w:numPr>
        <w:ind w:left="720"/>
        <w:contextualSpacing/>
      </w:pPr>
    </w:p>
    <w:p w14:paraId="7DC705A2" w14:textId="77777777" w:rsidR="00F03112" w:rsidRPr="00FF32AE" w:rsidRDefault="00212612" w:rsidP="00055C6D">
      <w:pPr>
        <w:pStyle w:val="OutlineNumberedLevel1"/>
        <w:numPr>
          <w:ilvl w:val="0"/>
          <w:numId w:val="10"/>
        </w:numPr>
        <w:contextualSpacing/>
      </w:pPr>
      <w:r w:rsidRPr="00FF32AE">
        <w:t>In this N</w:t>
      </w:r>
      <w:r w:rsidR="003F3230" w:rsidRPr="00FF32AE">
        <w:t>otice:</w:t>
      </w:r>
    </w:p>
    <w:p w14:paraId="573019A0" w14:textId="77777777" w:rsidR="00C7578A" w:rsidRPr="00FF32AE" w:rsidRDefault="00C7578A" w:rsidP="00055C6D">
      <w:pPr>
        <w:pStyle w:val="OutlineNumberedLevel1"/>
        <w:numPr>
          <w:ilvl w:val="0"/>
          <w:numId w:val="0"/>
        </w:numPr>
        <w:ind w:left="720"/>
        <w:contextualSpacing/>
        <w:rPr>
          <w:b/>
        </w:rPr>
      </w:pPr>
      <w:r w:rsidRPr="00FF32AE">
        <w:rPr>
          <w:b/>
        </w:rPr>
        <w:t xml:space="preserve">A-double </w:t>
      </w:r>
      <w:r w:rsidRPr="00FF32AE">
        <w:t>means a combination cons</w:t>
      </w:r>
      <w:r w:rsidR="0013283D" w:rsidRPr="00FF32AE">
        <w:t>isting of a prime mover towing two</w:t>
      </w:r>
      <w:r w:rsidRPr="00FF32AE">
        <w:t xml:space="preserve"> semitrailers, with the first semitrailer being attached directly to the prime mover by a fifth wheel coupling, and the second trailer attached to the first by a converter dolly.</w:t>
      </w:r>
    </w:p>
    <w:p w14:paraId="6B54000A" w14:textId="77777777" w:rsidR="00C7578A" w:rsidRPr="00FF32AE" w:rsidRDefault="00C7578A" w:rsidP="00055C6D">
      <w:pPr>
        <w:pStyle w:val="OutlineNumberedLevel1"/>
        <w:numPr>
          <w:ilvl w:val="0"/>
          <w:numId w:val="0"/>
        </w:numPr>
        <w:ind w:left="720"/>
        <w:contextualSpacing/>
        <w:rPr>
          <w:b/>
        </w:rPr>
      </w:pPr>
    </w:p>
    <w:p w14:paraId="10927593" w14:textId="77777777" w:rsidR="002E00EF" w:rsidRPr="00FF32AE" w:rsidRDefault="00B96475" w:rsidP="00055C6D">
      <w:pPr>
        <w:pStyle w:val="OutlineNumberedLevel1"/>
        <w:numPr>
          <w:ilvl w:val="0"/>
          <w:numId w:val="0"/>
        </w:numPr>
        <w:ind w:left="720"/>
        <w:contextualSpacing/>
      </w:pPr>
      <w:r w:rsidRPr="00FF32AE">
        <w:rPr>
          <w:b/>
        </w:rPr>
        <w:t xml:space="preserve">Eligible </w:t>
      </w:r>
      <w:r w:rsidR="002E00EF" w:rsidRPr="00FF32AE">
        <w:rPr>
          <w:b/>
        </w:rPr>
        <w:t>PBS A-Double</w:t>
      </w:r>
      <w:r w:rsidR="00EC691B" w:rsidRPr="00FF32AE">
        <w:rPr>
          <w:b/>
        </w:rPr>
        <w:t xml:space="preserve"> </w:t>
      </w:r>
      <w:r w:rsidRPr="00FF32AE">
        <w:t xml:space="preserve">means </w:t>
      </w:r>
      <w:r w:rsidR="00C7578A" w:rsidRPr="00FF32AE">
        <w:t>an A-double</w:t>
      </w:r>
      <w:r w:rsidR="00C71DCE" w:rsidRPr="00FF32AE">
        <w:t xml:space="preserve"> that meets the requirements of this Notice.</w:t>
      </w:r>
    </w:p>
    <w:p w14:paraId="5DB53848" w14:textId="77777777" w:rsidR="002E00EF" w:rsidRPr="00FF32AE" w:rsidRDefault="002E00EF" w:rsidP="00055C6D">
      <w:pPr>
        <w:pStyle w:val="OutlineNumberedLevel1"/>
        <w:numPr>
          <w:ilvl w:val="0"/>
          <w:numId w:val="0"/>
        </w:numPr>
        <w:contextualSpacing/>
      </w:pPr>
    </w:p>
    <w:p w14:paraId="0C3CFE9F" w14:textId="77777777" w:rsidR="00663B89" w:rsidRPr="00FF32AE" w:rsidRDefault="002E00EF" w:rsidP="00055C6D">
      <w:pPr>
        <w:pStyle w:val="OutlineNumberedLevel1"/>
        <w:numPr>
          <w:ilvl w:val="0"/>
          <w:numId w:val="0"/>
        </w:numPr>
        <w:ind w:left="720"/>
        <w:contextualSpacing/>
      </w:pPr>
      <w:r w:rsidRPr="00FF32AE">
        <w:rPr>
          <w:b/>
        </w:rPr>
        <w:lastRenderedPageBreak/>
        <w:t xml:space="preserve">PBS </w:t>
      </w:r>
      <w:r w:rsidR="007A39C5" w:rsidRPr="00FF32AE">
        <w:rPr>
          <w:b/>
        </w:rPr>
        <w:t>V</w:t>
      </w:r>
      <w:r w:rsidRPr="00FF32AE">
        <w:rPr>
          <w:b/>
        </w:rPr>
        <w:t xml:space="preserve">ehicle </w:t>
      </w:r>
      <w:r w:rsidR="007A39C5" w:rsidRPr="00FF32AE">
        <w:rPr>
          <w:b/>
        </w:rPr>
        <w:t>A</w:t>
      </w:r>
      <w:r w:rsidRPr="00FF32AE">
        <w:rPr>
          <w:b/>
        </w:rPr>
        <w:t>pproval</w:t>
      </w:r>
      <w:r w:rsidRPr="00FF32AE">
        <w:t xml:space="preserve"> means a current approval issued for a heavy vehicle by the National Heavy Vehicle Regulator (NHVR) under section 23 of the HVNL.</w:t>
      </w:r>
    </w:p>
    <w:p w14:paraId="1B00D2C9" w14:textId="77777777" w:rsidR="007475C2" w:rsidRPr="00FF32AE" w:rsidRDefault="0018625D" w:rsidP="00055C6D">
      <w:pPr>
        <w:pStyle w:val="Sectionheading"/>
        <w:jc w:val="both"/>
      </w:pPr>
      <w:r w:rsidRPr="00FF32AE">
        <w:t>Application</w:t>
      </w:r>
    </w:p>
    <w:p w14:paraId="09A32544" w14:textId="77777777" w:rsidR="00C71DCE" w:rsidRPr="00FF32AE" w:rsidRDefault="00B1010C" w:rsidP="00055C6D">
      <w:pPr>
        <w:pStyle w:val="OutlineNumberedLevel1"/>
        <w:numPr>
          <w:ilvl w:val="0"/>
          <w:numId w:val="0"/>
        </w:numPr>
        <w:ind w:left="720"/>
        <w:contextualSpacing/>
      </w:pPr>
      <w:r w:rsidRPr="00FF32AE">
        <w:t xml:space="preserve">This Notice applies </w:t>
      </w:r>
      <w:r w:rsidR="00B96475" w:rsidRPr="00FF32AE">
        <w:t>to</w:t>
      </w:r>
      <w:r w:rsidR="00987A49" w:rsidRPr="00FF32AE">
        <w:t xml:space="preserve"> e</w:t>
      </w:r>
      <w:r w:rsidR="00B95F73" w:rsidRPr="00FF32AE">
        <w:t>ligible PBS A-Doubles</w:t>
      </w:r>
      <w:r w:rsidR="00B96475" w:rsidRPr="00FF32AE">
        <w:t xml:space="preserve"> operating in </w:t>
      </w:r>
      <w:r w:rsidR="00CC53DE" w:rsidRPr="00FF32AE">
        <w:t>Queensland.</w:t>
      </w:r>
    </w:p>
    <w:p w14:paraId="52D956AD" w14:textId="77777777" w:rsidR="00B11093" w:rsidRPr="00FF32AE" w:rsidRDefault="00B11093" w:rsidP="00055C6D">
      <w:pPr>
        <w:pStyle w:val="Sectionheading"/>
        <w:jc w:val="both"/>
      </w:pPr>
      <w:r w:rsidRPr="00FF32AE">
        <w:t xml:space="preserve">Conditions – </w:t>
      </w:r>
      <w:r w:rsidR="003C1905" w:rsidRPr="00FF32AE">
        <w:t>Approved Routes</w:t>
      </w:r>
      <w:r w:rsidRPr="00FF32AE">
        <w:t xml:space="preserve"> </w:t>
      </w:r>
    </w:p>
    <w:p w14:paraId="76DF14CB" w14:textId="77777777" w:rsidR="003C1905" w:rsidRPr="00FF32AE" w:rsidRDefault="00C7578A" w:rsidP="00055C6D">
      <w:pPr>
        <w:pStyle w:val="OutlineNumberedLevel1"/>
        <w:numPr>
          <w:ilvl w:val="0"/>
          <w:numId w:val="7"/>
        </w:numPr>
        <w:contextualSpacing/>
      </w:pPr>
      <w:r w:rsidRPr="00FF32AE">
        <w:t xml:space="preserve">An eligible </w:t>
      </w:r>
      <w:r w:rsidR="003C1905" w:rsidRPr="00FF32AE">
        <w:t>PBS A-</w:t>
      </w:r>
      <w:r w:rsidR="00B95F73" w:rsidRPr="00FF32AE">
        <w:t>D</w:t>
      </w:r>
      <w:r w:rsidR="003C1905" w:rsidRPr="00FF32AE">
        <w:t xml:space="preserve">ouble </w:t>
      </w:r>
      <w:proofErr w:type="gramStart"/>
      <w:r w:rsidR="003C1905" w:rsidRPr="00FF32AE">
        <w:t>may  operate</w:t>
      </w:r>
      <w:proofErr w:type="gramEnd"/>
      <w:r w:rsidR="003C1905" w:rsidRPr="00FF32AE">
        <w:t xml:space="preserve"> on the </w:t>
      </w:r>
      <w:r w:rsidR="00087581" w:rsidRPr="00FF32AE">
        <w:t>following contiguous route</w:t>
      </w:r>
      <w:r w:rsidR="00D55620" w:rsidRPr="00FF32AE">
        <w:t xml:space="preserve"> between Toowoomba </w:t>
      </w:r>
      <w:r w:rsidR="00B95F73" w:rsidRPr="00FF32AE">
        <w:t>and</w:t>
      </w:r>
      <w:r w:rsidR="00D55620" w:rsidRPr="00FF32AE">
        <w:t xml:space="preserve"> the Port of Brisbane</w:t>
      </w:r>
      <w:r w:rsidR="003C1905" w:rsidRPr="00FF32AE">
        <w:t>:</w:t>
      </w:r>
    </w:p>
    <w:p w14:paraId="672DA9CD" w14:textId="77777777" w:rsidR="0048663F" w:rsidRPr="00FF32AE" w:rsidRDefault="0048663F" w:rsidP="00055C6D">
      <w:pPr>
        <w:pStyle w:val="OutlineNumberedLevel1"/>
        <w:numPr>
          <w:ilvl w:val="0"/>
          <w:numId w:val="12"/>
        </w:numPr>
        <w:contextualSpacing/>
      </w:pPr>
      <w:r w:rsidRPr="00FF32AE">
        <w:t>Toowoomba Connection Road; and</w:t>
      </w:r>
    </w:p>
    <w:p w14:paraId="5DD819A1" w14:textId="77777777" w:rsidR="005E4491" w:rsidRPr="00FF32AE" w:rsidRDefault="003C1905" w:rsidP="00055C6D">
      <w:pPr>
        <w:pStyle w:val="OutlineNumberedLevel1"/>
        <w:numPr>
          <w:ilvl w:val="0"/>
          <w:numId w:val="12"/>
        </w:numPr>
        <w:contextualSpacing/>
      </w:pPr>
      <w:r w:rsidRPr="00FF32AE">
        <w:t>Warrego Highway; and</w:t>
      </w:r>
    </w:p>
    <w:p w14:paraId="465C0E81" w14:textId="77777777" w:rsidR="003C1905" w:rsidRPr="00FF32AE" w:rsidRDefault="003C1905" w:rsidP="00055C6D">
      <w:pPr>
        <w:pStyle w:val="OutlineNumberedLevel1"/>
        <w:numPr>
          <w:ilvl w:val="0"/>
          <w:numId w:val="12"/>
        </w:numPr>
        <w:contextualSpacing/>
      </w:pPr>
      <w:r w:rsidRPr="00FF32AE">
        <w:t>Ipswich Motorway; and</w:t>
      </w:r>
    </w:p>
    <w:p w14:paraId="54A53C9C" w14:textId="77777777" w:rsidR="003C1905" w:rsidRPr="00FF32AE" w:rsidRDefault="003C1905" w:rsidP="00055C6D">
      <w:pPr>
        <w:pStyle w:val="OutlineNumberedLevel1"/>
        <w:numPr>
          <w:ilvl w:val="0"/>
          <w:numId w:val="12"/>
        </w:numPr>
        <w:contextualSpacing/>
      </w:pPr>
      <w:r w:rsidRPr="00FF32AE">
        <w:t>Logan Motorway; and</w:t>
      </w:r>
    </w:p>
    <w:p w14:paraId="62130D07" w14:textId="77777777" w:rsidR="003C1905" w:rsidRPr="00FF32AE" w:rsidRDefault="003C1905" w:rsidP="00055C6D">
      <w:pPr>
        <w:pStyle w:val="OutlineNumberedLevel1"/>
        <w:numPr>
          <w:ilvl w:val="0"/>
          <w:numId w:val="12"/>
        </w:numPr>
        <w:contextualSpacing/>
      </w:pPr>
      <w:r w:rsidRPr="00FF32AE">
        <w:t>Gateway Motorway; and</w:t>
      </w:r>
    </w:p>
    <w:p w14:paraId="0FE7B603" w14:textId="77777777" w:rsidR="003C1905" w:rsidRPr="00FF32AE" w:rsidRDefault="003C1905" w:rsidP="00055C6D">
      <w:pPr>
        <w:pStyle w:val="OutlineNumberedLevel1"/>
        <w:numPr>
          <w:ilvl w:val="0"/>
          <w:numId w:val="12"/>
        </w:numPr>
        <w:contextualSpacing/>
      </w:pPr>
      <w:r w:rsidRPr="00FF32AE">
        <w:t>Port of Brisbane Motorway; and</w:t>
      </w:r>
    </w:p>
    <w:p w14:paraId="473E5D38" w14:textId="77777777" w:rsidR="0048663F" w:rsidRPr="00FF32AE" w:rsidRDefault="003C1905" w:rsidP="00055C6D">
      <w:pPr>
        <w:pStyle w:val="OutlineNumberedLevel1"/>
        <w:numPr>
          <w:ilvl w:val="0"/>
          <w:numId w:val="12"/>
        </w:numPr>
        <w:contextualSpacing/>
        <w:jc w:val="left"/>
      </w:pPr>
      <w:r w:rsidRPr="00FF32AE">
        <w:t>Port Drive</w:t>
      </w:r>
      <w:r w:rsidR="00287D13" w:rsidRPr="00FF32AE">
        <w:t>.</w:t>
      </w:r>
    </w:p>
    <w:p w14:paraId="3E8AF5CD" w14:textId="77777777" w:rsidR="003C1905" w:rsidRPr="00FF32AE" w:rsidRDefault="00CC6897" w:rsidP="00055C6D">
      <w:pPr>
        <w:ind w:left="1440" w:hanging="720"/>
        <w:contextualSpacing/>
        <w:jc w:val="both"/>
        <w:rPr>
          <w:i/>
        </w:rPr>
      </w:pPr>
      <w:r w:rsidRPr="00FF32AE">
        <w:rPr>
          <w:i/>
        </w:rPr>
        <w:t xml:space="preserve">Note: </w:t>
      </w:r>
      <w:r w:rsidR="00663B89" w:rsidRPr="00FF32AE">
        <w:rPr>
          <w:i/>
        </w:rPr>
        <w:tab/>
      </w:r>
      <w:r w:rsidR="00EB3A2D" w:rsidRPr="00FF32AE">
        <w:rPr>
          <w:i/>
        </w:rPr>
        <w:t>The Toowoomba Connection Road and the Warrego Highway intersect, and operators may use the most appropriate of these routes.</w:t>
      </w:r>
    </w:p>
    <w:p w14:paraId="740485BF" w14:textId="77777777" w:rsidR="000029A4" w:rsidRPr="00FF32AE" w:rsidRDefault="000029A4" w:rsidP="00055C6D">
      <w:pPr>
        <w:pStyle w:val="OutlineNumberedLevel1"/>
        <w:numPr>
          <w:ilvl w:val="0"/>
          <w:numId w:val="7"/>
        </w:numPr>
        <w:contextualSpacing/>
        <w:jc w:val="left"/>
      </w:pPr>
      <w:r w:rsidRPr="00FF32AE">
        <w:t xml:space="preserve"> </w:t>
      </w:r>
      <w:r w:rsidR="00B95F73" w:rsidRPr="00FF32AE">
        <w:t xml:space="preserve">An </w:t>
      </w:r>
      <w:r w:rsidRPr="00FF32AE">
        <w:t>eligible PBS A-</w:t>
      </w:r>
      <w:proofErr w:type="gramStart"/>
      <w:r w:rsidRPr="00FF32AE">
        <w:t>double  may</w:t>
      </w:r>
      <w:proofErr w:type="gramEnd"/>
      <w:r w:rsidRPr="00FF32AE">
        <w:t xml:space="preserve"> </w:t>
      </w:r>
      <w:r w:rsidR="00B95F73" w:rsidRPr="00FF32AE">
        <w:t>also</w:t>
      </w:r>
      <w:r w:rsidRPr="00FF32AE">
        <w:t xml:space="preserve"> operate on the following </w:t>
      </w:r>
      <w:r w:rsidR="00744FCF" w:rsidRPr="00FF32AE">
        <w:t>roads in the Port of Brisbane:</w:t>
      </w:r>
    </w:p>
    <w:p w14:paraId="6C8BED24" w14:textId="77777777" w:rsidR="000029A4" w:rsidRPr="00FF32AE" w:rsidRDefault="000029A4" w:rsidP="00055C6D">
      <w:pPr>
        <w:pStyle w:val="OutlineNumberedLevel1"/>
        <w:numPr>
          <w:ilvl w:val="0"/>
          <w:numId w:val="20"/>
        </w:numPr>
        <w:contextualSpacing/>
      </w:pPr>
      <w:r w:rsidRPr="00FF32AE">
        <w:t>Port Drive</w:t>
      </w:r>
    </w:p>
    <w:p w14:paraId="4F15688D" w14:textId="77777777" w:rsidR="000029A4" w:rsidRPr="00FF32AE" w:rsidRDefault="000029A4" w:rsidP="00055C6D">
      <w:pPr>
        <w:pStyle w:val="OutlineNumberedLevel1"/>
        <w:numPr>
          <w:ilvl w:val="0"/>
          <w:numId w:val="20"/>
        </w:numPr>
        <w:contextualSpacing/>
      </w:pPr>
      <w:r w:rsidRPr="00FF32AE">
        <w:t>Lucinda Drive</w:t>
      </w:r>
    </w:p>
    <w:p w14:paraId="0358C769" w14:textId="77777777" w:rsidR="000029A4" w:rsidRPr="00FF32AE" w:rsidRDefault="000029A4" w:rsidP="00055C6D">
      <w:pPr>
        <w:pStyle w:val="OutlineNumberedLevel1"/>
        <w:numPr>
          <w:ilvl w:val="0"/>
          <w:numId w:val="20"/>
        </w:numPr>
        <w:contextualSpacing/>
      </w:pPr>
      <w:r w:rsidRPr="00FF32AE">
        <w:t>Bishop Drive</w:t>
      </w:r>
    </w:p>
    <w:p w14:paraId="7FE6C6FB" w14:textId="77777777" w:rsidR="000029A4" w:rsidRPr="00FF32AE" w:rsidRDefault="000029A4" w:rsidP="00055C6D">
      <w:pPr>
        <w:pStyle w:val="OutlineNumberedLevel1"/>
        <w:numPr>
          <w:ilvl w:val="0"/>
          <w:numId w:val="20"/>
        </w:numPr>
        <w:contextualSpacing/>
      </w:pPr>
      <w:r w:rsidRPr="00FF32AE">
        <w:t>Whimbrel Street</w:t>
      </w:r>
    </w:p>
    <w:p w14:paraId="536C8218" w14:textId="77777777" w:rsidR="000029A4" w:rsidRPr="00FF32AE" w:rsidRDefault="000029A4" w:rsidP="00055C6D">
      <w:pPr>
        <w:pStyle w:val="OutlineNumberedLevel1"/>
        <w:numPr>
          <w:ilvl w:val="0"/>
          <w:numId w:val="20"/>
        </w:numPr>
        <w:contextualSpacing/>
      </w:pPr>
      <w:proofErr w:type="spellStart"/>
      <w:r w:rsidRPr="00FF32AE">
        <w:t>Bingera</w:t>
      </w:r>
      <w:proofErr w:type="spellEnd"/>
      <w:r w:rsidRPr="00FF32AE">
        <w:t xml:space="preserve"> Drive</w:t>
      </w:r>
    </w:p>
    <w:p w14:paraId="04C7B6C1" w14:textId="77777777" w:rsidR="000029A4" w:rsidRPr="00FF32AE" w:rsidRDefault="000029A4" w:rsidP="00055C6D">
      <w:pPr>
        <w:pStyle w:val="OutlineNumberedLevel1"/>
        <w:numPr>
          <w:ilvl w:val="0"/>
          <w:numId w:val="20"/>
        </w:numPr>
        <w:contextualSpacing/>
      </w:pPr>
      <w:r w:rsidRPr="00FF32AE">
        <w:t>Curlew Street</w:t>
      </w:r>
    </w:p>
    <w:p w14:paraId="7CBAAA08" w14:textId="77777777" w:rsidR="000029A4" w:rsidRPr="00FF32AE" w:rsidRDefault="000029A4" w:rsidP="00055C6D">
      <w:pPr>
        <w:pStyle w:val="OutlineNumberedLevel1"/>
        <w:numPr>
          <w:ilvl w:val="0"/>
          <w:numId w:val="20"/>
        </w:numPr>
        <w:contextualSpacing/>
      </w:pPr>
      <w:r w:rsidRPr="00FF32AE">
        <w:t>Bulk Terminals Drive</w:t>
      </w:r>
    </w:p>
    <w:p w14:paraId="2019DD49" w14:textId="77777777" w:rsidR="000029A4" w:rsidRPr="00FF32AE" w:rsidRDefault="000029A4" w:rsidP="00055C6D">
      <w:pPr>
        <w:pStyle w:val="OutlineNumberedLevel1"/>
        <w:numPr>
          <w:ilvl w:val="0"/>
          <w:numId w:val="20"/>
        </w:numPr>
        <w:contextualSpacing/>
      </w:pPr>
      <w:r w:rsidRPr="00FF32AE">
        <w:t>Seafarers Street</w:t>
      </w:r>
    </w:p>
    <w:p w14:paraId="1B4AEE0C" w14:textId="77777777" w:rsidR="000029A4" w:rsidRPr="00FF32AE" w:rsidRDefault="000029A4" w:rsidP="00055C6D">
      <w:pPr>
        <w:pStyle w:val="OutlineNumberedLevel1"/>
        <w:numPr>
          <w:ilvl w:val="0"/>
          <w:numId w:val="20"/>
        </w:numPr>
        <w:contextualSpacing/>
      </w:pPr>
      <w:r w:rsidRPr="00FF32AE">
        <w:t>River Drive</w:t>
      </w:r>
    </w:p>
    <w:p w14:paraId="249B0280" w14:textId="77777777" w:rsidR="000029A4" w:rsidRPr="00FF32AE" w:rsidRDefault="000029A4" w:rsidP="00055C6D">
      <w:pPr>
        <w:pStyle w:val="OutlineNumberedLevel1"/>
        <w:numPr>
          <w:ilvl w:val="0"/>
          <w:numId w:val="20"/>
        </w:numPr>
        <w:contextualSpacing/>
      </w:pPr>
      <w:r w:rsidRPr="00FF32AE">
        <w:t>Peregrine Drive</w:t>
      </w:r>
    </w:p>
    <w:p w14:paraId="69BBAE8E" w14:textId="77777777" w:rsidR="000029A4" w:rsidRPr="00FF32AE" w:rsidRDefault="000029A4" w:rsidP="00055C6D">
      <w:pPr>
        <w:pStyle w:val="OutlineNumberedLevel1"/>
        <w:numPr>
          <w:ilvl w:val="0"/>
          <w:numId w:val="20"/>
        </w:numPr>
        <w:contextualSpacing/>
      </w:pPr>
      <w:r w:rsidRPr="00FF32AE">
        <w:t>Sandpiper Avenue</w:t>
      </w:r>
    </w:p>
    <w:p w14:paraId="6024776B" w14:textId="77777777" w:rsidR="000029A4" w:rsidRPr="00FF32AE" w:rsidRDefault="000029A4" w:rsidP="00055C6D">
      <w:pPr>
        <w:pStyle w:val="OutlineNumberedLevel1"/>
        <w:numPr>
          <w:ilvl w:val="0"/>
          <w:numId w:val="20"/>
        </w:numPr>
        <w:contextualSpacing/>
      </w:pPr>
      <w:r w:rsidRPr="00FF32AE">
        <w:t>Port Central Avenue</w:t>
      </w:r>
    </w:p>
    <w:p w14:paraId="72062B0B" w14:textId="77777777" w:rsidR="000029A4" w:rsidRPr="00FF32AE" w:rsidRDefault="000029A4" w:rsidP="00055C6D">
      <w:pPr>
        <w:pStyle w:val="OutlineNumberedLevel1"/>
        <w:numPr>
          <w:ilvl w:val="0"/>
          <w:numId w:val="20"/>
        </w:numPr>
        <w:contextualSpacing/>
      </w:pPr>
      <w:r w:rsidRPr="00FF32AE">
        <w:t>Kite Street</w:t>
      </w:r>
    </w:p>
    <w:p w14:paraId="71AE49C4" w14:textId="77777777" w:rsidR="000029A4" w:rsidRPr="00FF32AE" w:rsidRDefault="000029A4" w:rsidP="00055C6D">
      <w:pPr>
        <w:pStyle w:val="OutlineNumberedLevel1"/>
        <w:numPr>
          <w:ilvl w:val="0"/>
          <w:numId w:val="20"/>
        </w:numPr>
        <w:contextualSpacing/>
      </w:pPr>
      <w:r w:rsidRPr="00FF32AE">
        <w:t>Osprey Drive</w:t>
      </w:r>
    </w:p>
    <w:p w14:paraId="4650DF4F" w14:textId="77777777" w:rsidR="000029A4" w:rsidRPr="00FF32AE" w:rsidRDefault="000029A4" w:rsidP="00055C6D">
      <w:pPr>
        <w:pStyle w:val="OutlineNumberedLevel1"/>
        <w:numPr>
          <w:ilvl w:val="0"/>
          <w:numId w:val="20"/>
        </w:numPr>
        <w:contextualSpacing/>
      </w:pPr>
      <w:r w:rsidRPr="00FF32AE">
        <w:t>Howard Smith Drive</w:t>
      </w:r>
    </w:p>
    <w:p w14:paraId="2793C453" w14:textId="77777777" w:rsidR="000029A4" w:rsidRPr="00FF32AE" w:rsidRDefault="000029A4" w:rsidP="00055C6D">
      <w:pPr>
        <w:pStyle w:val="OutlineNumberedLevel1"/>
        <w:numPr>
          <w:ilvl w:val="0"/>
          <w:numId w:val="20"/>
        </w:numPr>
        <w:contextualSpacing/>
      </w:pPr>
      <w:r w:rsidRPr="00FF32AE">
        <w:t>Radar Street</w:t>
      </w:r>
    </w:p>
    <w:p w14:paraId="6ADF69D5" w14:textId="77777777" w:rsidR="00663B89" w:rsidRPr="00FF32AE" w:rsidRDefault="00663B89" w:rsidP="00055C6D">
      <w:pPr>
        <w:pStyle w:val="OutlineNumberedLevel1"/>
        <w:numPr>
          <w:ilvl w:val="0"/>
          <w:numId w:val="0"/>
        </w:numPr>
        <w:ind w:left="1080"/>
        <w:contextualSpacing/>
      </w:pPr>
    </w:p>
    <w:p w14:paraId="17EC0DBD" w14:textId="77777777" w:rsidR="00095015" w:rsidRPr="00FF32AE" w:rsidRDefault="00BC6651" w:rsidP="00055C6D">
      <w:pPr>
        <w:pStyle w:val="OutlineNumberedLevel1"/>
        <w:numPr>
          <w:ilvl w:val="0"/>
          <w:numId w:val="7"/>
        </w:numPr>
        <w:contextualSpacing/>
        <w:jc w:val="left"/>
      </w:pPr>
      <w:r w:rsidRPr="00FF32AE">
        <w:t xml:space="preserve">An </w:t>
      </w:r>
      <w:r w:rsidR="00306B83" w:rsidRPr="00FF32AE">
        <w:t>eligible PBS A-</w:t>
      </w:r>
      <w:proofErr w:type="gramStart"/>
      <w:r w:rsidR="00306B83" w:rsidRPr="00FF32AE">
        <w:t>double  may</w:t>
      </w:r>
      <w:proofErr w:type="gramEnd"/>
      <w:r w:rsidR="00306B83" w:rsidRPr="00FF32AE">
        <w:t xml:space="preserve"> </w:t>
      </w:r>
      <w:r w:rsidRPr="00FF32AE">
        <w:t xml:space="preserve">also </w:t>
      </w:r>
      <w:r w:rsidR="00306B83" w:rsidRPr="00FF32AE">
        <w:t>operate on roads in Toowoomba Regional Council:</w:t>
      </w:r>
    </w:p>
    <w:p w14:paraId="55D7BACA" w14:textId="77777777" w:rsidR="0079227C" w:rsidRPr="00FF32AE" w:rsidRDefault="0079227C" w:rsidP="00055C6D">
      <w:pPr>
        <w:pStyle w:val="OutlineNumberedLevel1"/>
        <w:numPr>
          <w:ilvl w:val="0"/>
          <w:numId w:val="0"/>
        </w:numPr>
        <w:ind w:left="720"/>
        <w:contextualSpacing/>
        <w:jc w:val="left"/>
      </w:pPr>
    </w:p>
    <w:p w14:paraId="5025BAE3" w14:textId="77777777" w:rsidR="003C1905" w:rsidRPr="00FF32AE" w:rsidRDefault="00306B83" w:rsidP="00055C6D">
      <w:pPr>
        <w:pStyle w:val="OutlineNumberedLevel1"/>
        <w:numPr>
          <w:ilvl w:val="0"/>
          <w:numId w:val="21"/>
        </w:numPr>
        <w:contextualSpacing/>
      </w:pPr>
      <w:r w:rsidRPr="00FF32AE">
        <w:t>Adams Lane</w:t>
      </w:r>
      <w:r w:rsidR="00BC6651" w:rsidRPr="00FF32AE">
        <w:t>.</w:t>
      </w:r>
    </w:p>
    <w:p w14:paraId="527F78B2" w14:textId="77777777" w:rsidR="00663B89" w:rsidRPr="00FF32AE" w:rsidRDefault="00663B89" w:rsidP="00055C6D">
      <w:pPr>
        <w:pStyle w:val="OutlineNumberedLevel1"/>
        <w:numPr>
          <w:ilvl w:val="0"/>
          <w:numId w:val="0"/>
        </w:numPr>
        <w:ind w:left="1080"/>
        <w:contextualSpacing/>
      </w:pPr>
    </w:p>
    <w:p w14:paraId="7F462385" w14:textId="77777777" w:rsidR="00287D3E" w:rsidRPr="00FF32AE" w:rsidRDefault="003C1905" w:rsidP="00055C6D">
      <w:pPr>
        <w:pStyle w:val="OutlineNumberedLevel1"/>
        <w:numPr>
          <w:ilvl w:val="0"/>
          <w:numId w:val="7"/>
        </w:numPr>
        <w:contextualSpacing/>
      </w:pPr>
      <w:r w:rsidRPr="00FF32AE">
        <w:t>Travel is permitted (laden) in both directions for the approved route.</w:t>
      </w:r>
    </w:p>
    <w:p w14:paraId="40CDA3DF" w14:textId="77777777" w:rsidR="00663B89" w:rsidRPr="00FF32AE" w:rsidRDefault="00663B89" w:rsidP="00055C6D">
      <w:pPr>
        <w:pStyle w:val="OutlineNumberedLevel1"/>
        <w:numPr>
          <w:ilvl w:val="0"/>
          <w:numId w:val="0"/>
        </w:numPr>
        <w:contextualSpacing/>
      </w:pPr>
    </w:p>
    <w:p w14:paraId="2C1473E9" w14:textId="77777777" w:rsidR="00287D3E" w:rsidRPr="00FF32AE" w:rsidRDefault="00287D3E" w:rsidP="00055C6D">
      <w:pPr>
        <w:pStyle w:val="Sectionheading"/>
        <w:jc w:val="both"/>
      </w:pPr>
      <w:r w:rsidRPr="00FF32AE">
        <w:lastRenderedPageBreak/>
        <w:t>Conditions –</w:t>
      </w:r>
      <w:r w:rsidR="00663B89" w:rsidRPr="00FF32AE">
        <w:t xml:space="preserve"> </w:t>
      </w:r>
      <w:r w:rsidRPr="00FF32AE">
        <w:t>PBS A-Doubles</w:t>
      </w:r>
    </w:p>
    <w:p w14:paraId="27AF7994" w14:textId="77777777" w:rsidR="00287D3E" w:rsidRPr="00FF32AE" w:rsidRDefault="00287D3E" w:rsidP="00055C6D">
      <w:pPr>
        <w:pStyle w:val="OutlineNumberedLevel1"/>
        <w:numPr>
          <w:ilvl w:val="0"/>
          <w:numId w:val="11"/>
        </w:numPr>
        <w:contextualSpacing/>
      </w:pPr>
      <w:r w:rsidRPr="00FF32AE">
        <w:t>An A-double operating under this notice must meet all of the following requirements:</w:t>
      </w:r>
    </w:p>
    <w:p w14:paraId="11D7E4A1" w14:textId="77777777" w:rsidR="00287D3E" w:rsidRPr="00FF32AE" w:rsidRDefault="00287D3E" w:rsidP="00055C6D">
      <w:pPr>
        <w:pStyle w:val="OutlineNumberedLevel1"/>
        <w:numPr>
          <w:ilvl w:val="0"/>
          <w:numId w:val="0"/>
        </w:numPr>
        <w:ind w:left="720"/>
        <w:contextualSpacing/>
      </w:pPr>
    </w:p>
    <w:p w14:paraId="226AC15E" w14:textId="77777777" w:rsidR="00287D3E" w:rsidRPr="00FF32AE" w:rsidRDefault="00287D3E" w:rsidP="00055C6D">
      <w:pPr>
        <w:pStyle w:val="OutlineNumberedLevel1"/>
        <w:numPr>
          <w:ilvl w:val="0"/>
          <w:numId w:val="13"/>
        </w:numPr>
        <w:contextualSpacing/>
      </w:pPr>
      <w:r w:rsidRPr="00FF32AE">
        <w:t>Be manufactured in compliance with, and certified under, a PBS Vehicle Approval; and</w:t>
      </w:r>
    </w:p>
    <w:p w14:paraId="7488F48F" w14:textId="77777777" w:rsidR="00287D3E" w:rsidRPr="00FF32AE" w:rsidRDefault="00287D3E" w:rsidP="00055C6D">
      <w:pPr>
        <w:pStyle w:val="OutlineNumberedLevel1"/>
        <w:numPr>
          <w:ilvl w:val="0"/>
          <w:numId w:val="13"/>
        </w:numPr>
        <w:contextualSpacing/>
      </w:pPr>
      <w:r w:rsidRPr="00FF32AE">
        <w:t xml:space="preserve">Complies with the axle spacing requirements in </w:t>
      </w:r>
      <w:r w:rsidR="00663B89" w:rsidRPr="00FF32AE">
        <w:t>Appendix</w:t>
      </w:r>
      <w:r w:rsidRPr="00FF32AE">
        <w:t xml:space="preserve"> 1 of this Notice; and</w:t>
      </w:r>
    </w:p>
    <w:p w14:paraId="451B01BE" w14:textId="77777777" w:rsidR="00287D3E" w:rsidRPr="00FF32AE" w:rsidRDefault="00287D3E" w:rsidP="00055C6D">
      <w:pPr>
        <w:pStyle w:val="OutlineNumberedLevel1"/>
        <w:numPr>
          <w:ilvl w:val="0"/>
          <w:numId w:val="13"/>
        </w:numPr>
        <w:contextualSpacing/>
      </w:pPr>
      <w:r w:rsidRPr="00FF32AE">
        <w:t>Complies with the following mass requirements:</w:t>
      </w:r>
    </w:p>
    <w:p w14:paraId="381EB02A" w14:textId="77777777" w:rsidR="00287D3E" w:rsidRPr="00FF32AE" w:rsidRDefault="00287D3E" w:rsidP="00055C6D">
      <w:pPr>
        <w:pStyle w:val="OutlineNumberedLevel1"/>
        <w:numPr>
          <w:ilvl w:val="0"/>
          <w:numId w:val="0"/>
        </w:numPr>
        <w:ind w:left="1080"/>
        <w:contextualSpacing/>
      </w:pPr>
    </w:p>
    <w:p w14:paraId="0C590271" w14:textId="77777777" w:rsidR="00287D3E" w:rsidRPr="00FF32AE" w:rsidRDefault="00287D3E" w:rsidP="00055C6D">
      <w:pPr>
        <w:pStyle w:val="OutlineNumberedLevel1"/>
        <w:numPr>
          <w:ilvl w:val="1"/>
          <w:numId w:val="13"/>
        </w:numPr>
        <w:contextualSpacing/>
      </w:pPr>
      <w:r w:rsidRPr="00FF32AE">
        <w:t>79.5 tonnes when oper</w:t>
      </w:r>
      <w:r w:rsidR="00FF32AE">
        <w:t>ating at General Mass Limits; and</w:t>
      </w:r>
    </w:p>
    <w:p w14:paraId="4DBF71F5" w14:textId="77777777" w:rsidR="00287D3E" w:rsidRPr="00FF32AE" w:rsidRDefault="00287D3E" w:rsidP="00055C6D">
      <w:pPr>
        <w:pStyle w:val="OutlineNumberedLevel1"/>
        <w:numPr>
          <w:ilvl w:val="1"/>
          <w:numId w:val="13"/>
        </w:numPr>
        <w:contextualSpacing/>
      </w:pPr>
      <w:r w:rsidRPr="00FF32AE">
        <w:t>81.5 tonnes when operatin</w:t>
      </w:r>
      <w:r w:rsidR="00FF32AE">
        <w:t xml:space="preserve">g at Concessional Mass Limits; </w:t>
      </w:r>
      <w:r w:rsidRPr="00FF32AE">
        <w:t>and</w:t>
      </w:r>
    </w:p>
    <w:p w14:paraId="448393BA" w14:textId="77777777" w:rsidR="00287D3E" w:rsidRPr="00FF32AE" w:rsidRDefault="00287D3E" w:rsidP="00055C6D">
      <w:pPr>
        <w:pStyle w:val="OutlineNumberedLevel1"/>
        <w:numPr>
          <w:ilvl w:val="1"/>
          <w:numId w:val="13"/>
        </w:numPr>
        <w:contextualSpacing/>
      </w:pPr>
      <w:r w:rsidRPr="00FF32AE">
        <w:t>manufacturers ratings for any of the components of the A-double combination; and</w:t>
      </w:r>
    </w:p>
    <w:p w14:paraId="06C72A9A" w14:textId="77777777" w:rsidR="00287D3E" w:rsidRPr="00FF32AE" w:rsidRDefault="00287D3E" w:rsidP="00055C6D">
      <w:pPr>
        <w:pStyle w:val="OutlineNumberedLevel1"/>
        <w:numPr>
          <w:ilvl w:val="1"/>
          <w:numId w:val="13"/>
        </w:numPr>
        <w:contextualSpacing/>
      </w:pPr>
      <w:r w:rsidRPr="00FF32AE">
        <w:t>mass stated in the PBS Vehicle Approval for the A-double combination.</w:t>
      </w:r>
    </w:p>
    <w:p w14:paraId="21BA1C3B" w14:textId="77777777" w:rsidR="00287D3E" w:rsidRPr="00FF32AE" w:rsidRDefault="00287D3E" w:rsidP="00055C6D">
      <w:pPr>
        <w:pStyle w:val="OutlineNumberedLevel1"/>
        <w:numPr>
          <w:ilvl w:val="0"/>
          <w:numId w:val="0"/>
        </w:numPr>
        <w:ind w:left="720"/>
        <w:contextualSpacing/>
      </w:pPr>
    </w:p>
    <w:p w14:paraId="7BD9C571" w14:textId="77777777" w:rsidR="00287D3E" w:rsidRPr="00FF32AE" w:rsidRDefault="00287D3E" w:rsidP="00055C6D">
      <w:pPr>
        <w:pStyle w:val="OutlineNumberedLevel1"/>
        <w:numPr>
          <w:ilvl w:val="0"/>
          <w:numId w:val="13"/>
        </w:numPr>
        <w:contextualSpacing/>
      </w:pPr>
      <w:r w:rsidRPr="00FF32AE">
        <w:t>Maximum length - 30 metres.</w:t>
      </w:r>
    </w:p>
    <w:p w14:paraId="6C78813A" w14:textId="77777777" w:rsidR="00663B89" w:rsidRPr="00FF32AE" w:rsidRDefault="00663B89" w:rsidP="00055C6D">
      <w:pPr>
        <w:pStyle w:val="OutlineNumberedLevel1"/>
        <w:numPr>
          <w:ilvl w:val="0"/>
          <w:numId w:val="0"/>
        </w:numPr>
        <w:ind w:left="720" w:hanging="360"/>
        <w:contextualSpacing/>
      </w:pPr>
    </w:p>
    <w:p w14:paraId="66026D9A" w14:textId="77777777" w:rsidR="00663B89" w:rsidRPr="00FF32AE" w:rsidRDefault="00663B89" w:rsidP="00055C6D">
      <w:pPr>
        <w:pStyle w:val="OutlineNumberedLevel1"/>
        <w:numPr>
          <w:ilvl w:val="0"/>
          <w:numId w:val="0"/>
        </w:numPr>
        <w:ind w:left="1080" w:hanging="360"/>
        <w:contextualSpacing/>
        <w:rPr>
          <w:i/>
        </w:rPr>
      </w:pPr>
      <w:r w:rsidRPr="00FF32AE">
        <w:rPr>
          <w:i/>
        </w:rPr>
        <w:t>Note:</w:t>
      </w:r>
      <w:r w:rsidRPr="00FF32AE">
        <w:rPr>
          <w:i/>
        </w:rPr>
        <w:tab/>
        <w:t>the requirements in Appendix 1 do not apply to Port of Brisbane Roads.</w:t>
      </w:r>
    </w:p>
    <w:p w14:paraId="06339D91" w14:textId="77777777" w:rsidR="00287D3E" w:rsidRPr="00FF32AE" w:rsidRDefault="00287D3E" w:rsidP="00055C6D">
      <w:pPr>
        <w:pStyle w:val="Sectionheading"/>
        <w:jc w:val="both"/>
      </w:pPr>
      <w:r w:rsidRPr="00FF32AE">
        <w:t>Conditions – 81.5 to 85 tonne GVM A-Doubles operating under Higher Mass Limits</w:t>
      </w:r>
    </w:p>
    <w:p w14:paraId="05307761" w14:textId="77777777" w:rsidR="00287D3E" w:rsidRPr="00FF32AE" w:rsidRDefault="00287D3E" w:rsidP="00055C6D">
      <w:pPr>
        <w:pStyle w:val="OutlineNumberedLevel1"/>
        <w:numPr>
          <w:ilvl w:val="0"/>
          <w:numId w:val="17"/>
        </w:numPr>
        <w:contextualSpacing/>
      </w:pPr>
      <w:r w:rsidRPr="00FF32AE">
        <w:t>In addition to all other conditions under this Notice, an otherwise eligible PBS A-double that has a Gross Combination Mass of up to 85 tonnes must have in its PBS vehicle approval an express provision stating that TMR has consented to the vehicle may operate under this Notice.</w:t>
      </w:r>
    </w:p>
    <w:p w14:paraId="2F608474" w14:textId="77777777" w:rsidR="00287D3E" w:rsidRPr="00FF32AE" w:rsidRDefault="00287D3E" w:rsidP="00055C6D">
      <w:pPr>
        <w:pStyle w:val="OutlineNumberedLevel1"/>
        <w:numPr>
          <w:ilvl w:val="0"/>
          <w:numId w:val="0"/>
        </w:numPr>
        <w:ind w:left="720"/>
        <w:contextualSpacing/>
      </w:pPr>
    </w:p>
    <w:p w14:paraId="24C6232B" w14:textId="77777777" w:rsidR="00663B89" w:rsidRPr="00FF32AE" w:rsidRDefault="00663B89" w:rsidP="00055C6D">
      <w:pPr>
        <w:pStyle w:val="OutlineNumberedLevel1"/>
        <w:numPr>
          <w:ilvl w:val="0"/>
          <w:numId w:val="17"/>
        </w:numPr>
        <w:contextualSpacing/>
      </w:pPr>
      <w:r w:rsidRPr="00FF32AE">
        <w:t>An o</w:t>
      </w:r>
      <w:r w:rsidR="00287D3E" w:rsidRPr="00FF32AE">
        <w:t xml:space="preserve">perator with a PBS A-double combination seeking to operate at up to 85 tonne GVM that has not been previously assessed and approved by TMR for access on the Toowoomba to Port of Brisbane must seek a Class 2 access consent from TMR through the NHVR Portal. The Case Number for the application and reflecting TMR’s consent will be recorded on the combination’s Vehicle Approval.  </w:t>
      </w:r>
    </w:p>
    <w:p w14:paraId="603FF7F8" w14:textId="77777777" w:rsidR="00663B89" w:rsidRPr="00FF32AE" w:rsidRDefault="00663B89" w:rsidP="00055C6D">
      <w:pPr>
        <w:pStyle w:val="Sectionheading"/>
        <w:jc w:val="both"/>
      </w:pPr>
      <w:r w:rsidRPr="00FF32AE">
        <w:t>Conditions – Higher Mass Limits for Port of Brisbane Roads</w:t>
      </w:r>
    </w:p>
    <w:p w14:paraId="1118CCA6" w14:textId="77777777" w:rsidR="00287D3E" w:rsidRPr="00FF32AE" w:rsidRDefault="00287D3E" w:rsidP="00055C6D">
      <w:pPr>
        <w:pStyle w:val="OutlineNumberedLevel1"/>
        <w:numPr>
          <w:ilvl w:val="0"/>
          <w:numId w:val="0"/>
        </w:numPr>
        <w:ind w:left="720"/>
        <w:contextualSpacing/>
      </w:pPr>
      <w:r w:rsidRPr="00FF32AE">
        <w:t xml:space="preserve">A-doubles accessing Port of Brisbane roads are able to operate at Higher Mass Limits </w:t>
      </w:r>
      <w:r w:rsidR="00663B89" w:rsidRPr="00FF32AE">
        <w:t xml:space="preserve">up to </w:t>
      </w:r>
      <w:r w:rsidRPr="00FF32AE">
        <w:t>85.5 tonnes, provided HML is stated in the PBS Vehicle Approval.</w:t>
      </w:r>
    </w:p>
    <w:p w14:paraId="7F6FB0D3" w14:textId="77777777" w:rsidR="00D164E9" w:rsidRPr="00FF32AE" w:rsidRDefault="00D164E9" w:rsidP="00055C6D">
      <w:pPr>
        <w:pStyle w:val="Sectionheading"/>
        <w:jc w:val="both"/>
      </w:pPr>
      <w:r w:rsidRPr="00FF32AE">
        <w:t xml:space="preserve">Conditions – </w:t>
      </w:r>
      <w:r w:rsidR="00CC53DE" w:rsidRPr="00FF32AE">
        <w:t>General</w:t>
      </w:r>
    </w:p>
    <w:p w14:paraId="7ADF9B84" w14:textId="77777777" w:rsidR="00CC53DE" w:rsidRPr="00FF32AE" w:rsidRDefault="00CC53DE" w:rsidP="00055C6D">
      <w:pPr>
        <w:pStyle w:val="OutlineNumberedLevel1"/>
        <w:numPr>
          <w:ilvl w:val="0"/>
          <w:numId w:val="9"/>
        </w:numPr>
        <w:contextualSpacing/>
        <w:rPr>
          <w:rFonts w:eastAsia="Calibri" w:cs="Calibri"/>
        </w:rPr>
      </w:pPr>
      <w:r w:rsidRPr="00FF32AE">
        <w:rPr>
          <w:rFonts w:eastAsia="Calibri" w:cs="Calibri"/>
        </w:rPr>
        <w:t xml:space="preserve">The driver </w:t>
      </w:r>
      <w:r w:rsidR="00FB7D77" w:rsidRPr="00FF32AE">
        <w:rPr>
          <w:rFonts w:eastAsia="Calibri" w:cs="Calibri"/>
        </w:rPr>
        <w:t xml:space="preserve">of an eligible PBS A-Double </w:t>
      </w:r>
      <w:r w:rsidRPr="00FF32AE">
        <w:rPr>
          <w:rFonts w:eastAsia="Calibri" w:cs="Calibri"/>
        </w:rPr>
        <w:t xml:space="preserve">must carry this notice whenever the vehicle is operating under this </w:t>
      </w:r>
      <w:r w:rsidR="003E1ADD" w:rsidRPr="00FF32AE">
        <w:rPr>
          <w:rFonts w:eastAsia="Calibri" w:cs="Calibri"/>
        </w:rPr>
        <w:t>N</w:t>
      </w:r>
      <w:r w:rsidRPr="00FF32AE">
        <w:rPr>
          <w:rFonts w:eastAsia="Calibri" w:cs="Calibri"/>
        </w:rPr>
        <w:t>otice.</w:t>
      </w:r>
    </w:p>
    <w:p w14:paraId="6F5E035F" w14:textId="77777777" w:rsidR="00CC53DE" w:rsidRPr="00FF32AE" w:rsidRDefault="00CC53DE" w:rsidP="00055C6D">
      <w:pPr>
        <w:pStyle w:val="OutlineNumberedLevel1"/>
        <w:numPr>
          <w:ilvl w:val="0"/>
          <w:numId w:val="0"/>
        </w:numPr>
        <w:ind w:left="360"/>
        <w:contextualSpacing/>
        <w:rPr>
          <w:rFonts w:eastAsia="Calibri" w:cs="Calibri"/>
        </w:rPr>
      </w:pPr>
    </w:p>
    <w:p w14:paraId="04B44D6D" w14:textId="77777777" w:rsidR="008B3FB4" w:rsidRPr="00FF32AE" w:rsidRDefault="00FB7D77" w:rsidP="00055C6D">
      <w:pPr>
        <w:pStyle w:val="OutlineNumberedLevel1"/>
        <w:numPr>
          <w:ilvl w:val="0"/>
          <w:numId w:val="9"/>
        </w:numPr>
        <w:contextualSpacing/>
        <w:rPr>
          <w:rFonts w:eastAsia="Calibri" w:cs="Calibri"/>
        </w:rPr>
      </w:pPr>
      <w:r w:rsidRPr="00FF32AE">
        <w:rPr>
          <w:rFonts w:eastAsia="Calibri" w:cs="Calibri"/>
        </w:rPr>
        <w:t xml:space="preserve">The driver of an eligible PBS A-Double </w:t>
      </w:r>
      <w:r w:rsidR="00CC53DE" w:rsidRPr="00FF32AE">
        <w:rPr>
          <w:rFonts w:eastAsia="Calibri" w:cs="Calibri"/>
        </w:rPr>
        <w:t xml:space="preserve">must </w:t>
      </w:r>
      <w:r w:rsidR="00832246" w:rsidRPr="00FF32AE">
        <w:rPr>
          <w:rFonts w:eastAsia="Calibri" w:cs="Calibri"/>
        </w:rPr>
        <w:t xml:space="preserve">carry a copy of the PBS </w:t>
      </w:r>
      <w:r w:rsidR="00446678" w:rsidRPr="00FF32AE">
        <w:rPr>
          <w:rFonts w:eastAsia="Calibri" w:cs="Calibri"/>
        </w:rPr>
        <w:t>V</w:t>
      </w:r>
      <w:r w:rsidR="00832246" w:rsidRPr="00FF32AE">
        <w:rPr>
          <w:rFonts w:eastAsia="Calibri" w:cs="Calibri"/>
        </w:rPr>
        <w:t xml:space="preserve">ehicle </w:t>
      </w:r>
      <w:r w:rsidR="00446678" w:rsidRPr="00FF32AE">
        <w:rPr>
          <w:rFonts w:eastAsia="Calibri" w:cs="Calibri"/>
        </w:rPr>
        <w:t>A</w:t>
      </w:r>
      <w:r w:rsidR="00832246" w:rsidRPr="00FF32AE">
        <w:rPr>
          <w:rFonts w:eastAsia="Calibri" w:cs="Calibri"/>
        </w:rPr>
        <w:t>ppr</w:t>
      </w:r>
      <w:r w:rsidR="007F49F7" w:rsidRPr="00FF32AE">
        <w:rPr>
          <w:rFonts w:eastAsia="Calibri" w:cs="Calibri"/>
        </w:rPr>
        <w:t>oval issued for the combination</w:t>
      </w:r>
      <w:r w:rsidR="0048663F" w:rsidRPr="00FF32AE">
        <w:rPr>
          <w:rFonts w:eastAsia="Calibri" w:cs="Calibri"/>
        </w:rPr>
        <w:t>.</w:t>
      </w:r>
    </w:p>
    <w:p w14:paraId="140AF018" w14:textId="77777777" w:rsidR="00EA51AA" w:rsidRPr="00FF32AE" w:rsidRDefault="00EA51AA" w:rsidP="00055C6D">
      <w:pPr>
        <w:pStyle w:val="OutlineNumberedLevel1"/>
        <w:numPr>
          <w:ilvl w:val="0"/>
          <w:numId w:val="0"/>
        </w:numPr>
        <w:ind w:left="720"/>
        <w:contextualSpacing/>
        <w:rPr>
          <w:rFonts w:eastAsia="Calibri" w:cs="Calibri"/>
        </w:rPr>
      </w:pPr>
    </w:p>
    <w:p w14:paraId="02A9839E" w14:textId="77777777" w:rsidR="00EA51AA" w:rsidRPr="00FF32AE" w:rsidRDefault="00EA51AA" w:rsidP="00055C6D">
      <w:pPr>
        <w:pStyle w:val="OutlineNumberedLevel1"/>
        <w:numPr>
          <w:ilvl w:val="0"/>
          <w:numId w:val="9"/>
        </w:numPr>
        <w:contextualSpacing/>
      </w:pPr>
      <w:r w:rsidRPr="00FF32AE">
        <w:t>An eligible vehicle may use specified areas or routes at any time</w:t>
      </w:r>
      <w:r w:rsidR="00411274" w:rsidRPr="00FF32AE">
        <w:t>.</w:t>
      </w:r>
    </w:p>
    <w:p w14:paraId="3C2AEF08" w14:textId="77777777" w:rsidR="00ED1506" w:rsidRPr="00FF32AE" w:rsidRDefault="00ED1506" w:rsidP="00055C6D">
      <w:pPr>
        <w:pStyle w:val="OutlineNumberedLevel1"/>
        <w:numPr>
          <w:ilvl w:val="0"/>
          <w:numId w:val="0"/>
        </w:numPr>
        <w:ind w:left="360"/>
        <w:contextualSpacing/>
      </w:pPr>
    </w:p>
    <w:p w14:paraId="5620ED4F" w14:textId="77777777" w:rsidR="004548F0" w:rsidRPr="00FF32AE" w:rsidRDefault="0048663F" w:rsidP="00055C6D">
      <w:pPr>
        <w:pStyle w:val="OutlineNumberedLevel1"/>
        <w:numPr>
          <w:ilvl w:val="0"/>
          <w:numId w:val="9"/>
        </w:numPr>
        <w:contextualSpacing/>
        <w:rPr>
          <w:b/>
        </w:rPr>
      </w:pPr>
      <w:r w:rsidRPr="00FF32AE">
        <w:t>A</w:t>
      </w:r>
      <w:r w:rsidR="00ED1506" w:rsidRPr="00FF32AE">
        <w:t xml:space="preserve">n eligible A-double combination </w:t>
      </w:r>
      <w:r w:rsidR="00256F7D" w:rsidRPr="00FF32AE">
        <w:t>must not exceed 90km/h.</w:t>
      </w:r>
    </w:p>
    <w:p w14:paraId="483CD3A7" w14:textId="77777777" w:rsidR="00287D3E" w:rsidRPr="00FF32AE" w:rsidRDefault="00287D3E" w:rsidP="00055C6D">
      <w:pPr>
        <w:pStyle w:val="OutlineNumberedLevel1"/>
        <w:numPr>
          <w:ilvl w:val="0"/>
          <w:numId w:val="0"/>
        </w:numPr>
        <w:contextualSpacing/>
        <w:rPr>
          <w:b/>
        </w:rPr>
      </w:pPr>
    </w:p>
    <w:p w14:paraId="2D4BAC3A" w14:textId="77777777" w:rsidR="00417E0B" w:rsidRDefault="00417E0B" w:rsidP="00055C6D">
      <w:pPr>
        <w:contextualSpacing/>
        <w:rPr>
          <w:b/>
          <w:lang w:eastAsia="en-US"/>
        </w:rPr>
      </w:pPr>
      <w:r>
        <w:br w:type="page"/>
      </w:r>
    </w:p>
    <w:p w14:paraId="60909358" w14:textId="085E861D" w:rsidR="00D55620" w:rsidRPr="00FF32AE" w:rsidRDefault="00D55620" w:rsidP="00055C6D">
      <w:pPr>
        <w:pStyle w:val="Sectionheading"/>
        <w:jc w:val="both"/>
      </w:pPr>
      <w:r w:rsidRPr="00FF32AE">
        <w:lastRenderedPageBreak/>
        <w:t>Conditions - Queensland Class 2 PBS A-Double Operators Guide</w:t>
      </w:r>
    </w:p>
    <w:p w14:paraId="0ECD46AC" w14:textId="77251347" w:rsidR="00D55620" w:rsidRPr="00055C6D" w:rsidRDefault="00D55620" w:rsidP="00055C6D">
      <w:pPr>
        <w:pStyle w:val="OutlineNumberedLevel1"/>
        <w:numPr>
          <w:ilvl w:val="0"/>
          <w:numId w:val="14"/>
        </w:numPr>
        <w:contextualSpacing/>
        <w:rPr>
          <w:rFonts w:eastAsia="Calibri" w:cs="Calibri"/>
        </w:rPr>
      </w:pPr>
      <w:r w:rsidRPr="00FF32AE">
        <w:rPr>
          <w:rFonts w:eastAsia="Calibri" w:cs="Calibri"/>
        </w:rPr>
        <w:t>An eligible PBS A-double operating under this notice must comply with the following requirements set out in the Queensland Class 2 PBS A-Double Operators Guide, as updated from time to time:</w:t>
      </w:r>
    </w:p>
    <w:p w14:paraId="741CF12C" w14:textId="77777777" w:rsidR="00D55620" w:rsidRPr="00FF32AE" w:rsidRDefault="00D55620" w:rsidP="00055C6D">
      <w:pPr>
        <w:pStyle w:val="OutlineNumberedLevel1"/>
        <w:numPr>
          <w:ilvl w:val="0"/>
          <w:numId w:val="15"/>
        </w:numPr>
        <w:contextualSpacing/>
      </w:pPr>
      <w:r w:rsidRPr="00FF32AE">
        <w:t>Signage</w:t>
      </w:r>
    </w:p>
    <w:p w14:paraId="7D655C36" w14:textId="71A11333" w:rsidR="00446678" w:rsidRPr="00FF32AE" w:rsidRDefault="007A39C5" w:rsidP="00055C6D">
      <w:pPr>
        <w:pStyle w:val="OutlineNumberedLevel1"/>
        <w:numPr>
          <w:ilvl w:val="0"/>
          <w:numId w:val="15"/>
        </w:numPr>
        <w:contextualSpacing/>
      </w:pPr>
      <w:r w:rsidRPr="00FF32AE">
        <w:t xml:space="preserve">CML and HML requirements </w:t>
      </w:r>
      <w:r w:rsidR="00446678" w:rsidRPr="00FF32AE">
        <w:t xml:space="preserve">when operating </w:t>
      </w:r>
      <w:r w:rsidRPr="00FF32AE">
        <w:t>at masses over 79.5</w:t>
      </w:r>
      <w:r w:rsidR="00446678" w:rsidRPr="00FF32AE">
        <w:t xml:space="preserve"> tonnes GVM</w:t>
      </w:r>
    </w:p>
    <w:p w14:paraId="0219D185" w14:textId="5F207476" w:rsidR="0079227C" w:rsidRPr="00417E0B" w:rsidRDefault="00D55620" w:rsidP="00055C6D">
      <w:pPr>
        <w:ind w:left="1800" w:hanging="720"/>
        <w:contextualSpacing/>
        <w:rPr>
          <w:i/>
        </w:rPr>
      </w:pPr>
      <w:r w:rsidRPr="00FF32AE">
        <w:rPr>
          <w:i/>
        </w:rPr>
        <w:t>Note:</w:t>
      </w:r>
      <w:r w:rsidRPr="00FF32AE">
        <w:rPr>
          <w:i/>
        </w:rPr>
        <w:tab/>
      </w:r>
      <w:bookmarkStart w:id="0" w:name="_Hlk18332105"/>
      <w:r w:rsidRPr="00FF32AE">
        <w:rPr>
          <w:i/>
        </w:rPr>
        <w:t>the Queensland Class 2 PBS A-Double Operators Guide is published by the NHVR and is availabl</w:t>
      </w:r>
      <w:r w:rsidR="00C509B4" w:rsidRPr="00FF32AE">
        <w:rPr>
          <w:i/>
        </w:rPr>
        <w:t>e on the NHVR website.</w:t>
      </w:r>
      <w:bookmarkEnd w:id="0"/>
    </w:p>
    <w:p w14:paraId="645E9D0D" w14:textId="77777777" w:rsidR="00417E0B" w:rsidRDefault="00417E0B" w:rsidP="00055C6D">
      <w:pPr>
        <w:pStyle w:val="Sectionheading"/>
        <w:jc w:val="both"/>
      </w:pPr>
      <w:r>
        <w:t>Intelligent Access Conditions</w:t>
      </w:r>
    </w:p>
    <w:p w14:paraId="4114C2CA" w14:textId="67EB6638" w:rsidR="00542885" w:rsidRPr="00542885" w:rsidRDefault="00542885" w:rsidP="00055C6D">
      <w:pPr>
        <w:pStyle w:val="OutlineNumberedLevel1"/>
        <w:numPr>
          <w:ilvl w:val="0"/>
          <w:numId w:val="23"/>
        </w:numPr>
        <w:contextualSpacing/>
        <w:rPr>
          <w:rFonts w:eastAsia="Calibri" w:cs="Calibri"/>
        </w:rPr>
      </w:pPr>
      <w:r w:rsidRPr="00542885">
        <w:rPr>
          <w:rFonts w:eastAsia="Calibri" w:cs="Calibri"/>
        </w:rPr>
        <w:t>Pursuant to s402(1)(a) and (b) of Chapter 7 of the HVNL, the following conditions of this Notice are intelligent access program conditions:</w:t>
      </w:r>
    </w:p>
    <w:p w14:paraId="5481933A" w14:textId="77777777" w:rsidR="00542885" w:rsidRPr="00542885" w:rsidRDefault="00542885" w:rsidP="00055C6D">
      <w:pPr>
        <w:pStyle w:val="OutlineNumberedLevel1"/>
        <w:numPr>
          <w:ilvl w:val="0"/>
          <w:numId w:val="24"/>
        </w:numPr>
        <w:spacing w:after="0"/>
        <w:contextualSpacing/>
      </w:pPr>
      <w:r w:rsidRPr="00542885">
        <w:t>any condition relating to mass or dimensions; and</w:t>
      </w:r>
    </w:p>
    <w:p w14:paraId="563AD860" w14:textId="45E58D5E" w:rsidR="00542885" w:rsidRDefault="00542885" w:rsidP="00055C6D">
      <w:pPr>
        <w:pStyle w:val="OutlineNumberedLevel1"/>
        <w:numPr>
          <w:ilvl w:val="0"/>
          <w:numId w:val="24"/>
        </w:numPr>
        <w:spacing w:after="0"/>
        <w:contextualSpacing/>
      </w:pPr>
      <w:r w:rsidRPr="00542885">
        <w:t>any condition relating to stated areas or routes to which the authority applies, including any relating to speed or time of travel.</w:t>
      </w:r>
    </w:p>
    <w:p w14:paraId="126D3115" w14:textId="77777777" w:rsidR="00542885" w:rsidRPr="00542885" w:rsidRDefault="00542885" w:rsidP="00055C6D">
      <w:pPr>
        <w:pStyle w:val="OutlineNumberedLevel1"/>
        <w:numPr>
          <w:ilvl w:val="0"/>
          <w:numId w:val="0"/>
        </w:numPr>
        <w:spacing w:after="0"/>
        <w:ind w:left="1080"/>
        <w:contextualSpacing/>
      </w:pPr>
    </w:p>
    <w:p w14:paraId="7CEEFB85" w14:textId="2A8BB17E" w:rsidR="00542885" w:rsidRDefault="00542885" w:rsidP="00055C6D">
      <w:pPr>
        <w:pStyle w:val="OutlineNumberedLevel1"/>
        <w:numPr>
          <w:ilvl w:val="0"/>
          <w:numId w:val="23"/>
        </w:numPr>
        <w:contextualSpacing/>
        <w:rPr>
          <w:rFonts w:eastAsia="Calibri" w:cs="Calibri"/>
        </w:rPr>
      </w:pPr>
      <w:r w:rsidRPr="00542885">
        <w:rPr>
          <w:rFonts w:eastAsia="Calibri" w:cs="Calibri"/>
        </w:rPr>
        <w:t>Pursuant to s402(1)(c) of Chapter 7 of the HVNL, an eligible vehicle must be monitored by an approved intelligent transport system as set out in this section.</w:t>
      </w:r>
    </w:p>
    <w:p w14:paraId="71639449" w14:textId="3D1C3D6B" w:rsidR="00417E0B" w:rsidRPr="0090070D" w:rsidRDefault="00417E0B" w:rsidP="00055C6D">
      <w:pPr>
        <w:pStyle w:val="OutlineNumberedLevel1"/>
        <w:numPr>
          <w:ilvl w:val="0"/>
          <w:numId w:val="23"/>
        </w:numPr>
        <w:contextualSpacing/>
        <w:rPr>
          <w:rFonts w:eastAsia="Calibri" w:cs="Calibri"/>
        </w:rPr>
      </w:pPr>
      <w:r>
        <w:rPr>
          <w:rFonts w:eastAsia="Calibri" w:cs="Calibri"/>
        </w:rPr>
        <w:t>An eligible PBS A-double operating under this notice must be enrolled in and comply with one of the following approved intelligent transport systems</w:t>
      </w:r>
      <w:r w:rsidR="008F021E">
        <w:rPr>
          <w:rFonts w:eastAsia="Calibri" w:cs="Calibri"/>
        </w:rPr>
        <w:t xml:space="preserve">, </w:t>
      </w:r>
      <w:r w:rsidR="008F021E" w:rsidRPr="00FC449C">
        <w:rPr>
          <w:rFonts w:asciiTheme="minorHAnsi" w:hAnsiTheme="minorHAnsi"/>
        </w:rPr>
        <w:t>approved by Transport Certification Australia</w:t>
      </w:r>
      <w:r>
        <w:rPr>
          <w:rFonts w:eastAsia="Calibri" w:cs="Calibri"/>
        </w:rPr>
        <w:t>:</w:t>
      </w:r>
    </w:p>
    <w:p w14:paraId="11C0DBAC" w14:textId="77777777" w:rsidR="00890698" w:rsidRPr="00890698" w:rsidRDefault="00417E0B" w:rsidP="00055C6D">
      <w:pPr>
        <w:pStyle w:val="OutlineNumberedLevel1"/>
        <w:numPr>
          <w:ilvl w:val="0"/>
          <w:numId w:val="26"/>
        </w:numPr>
        <w:spacing w:after="0"/>
        <w:contextualSpacing/>
        <w:rPr>
          <w:rFonts w:eastAsiaTheme="majorEastAsia" w:cstheme="majorBidi"/>
        </w:rPr>
      </w:pPr>
      <w:r>
        <w:t>For vehicles enrolled from 1 December 2022</w:t>
      </w:r>
      <w:r w:rsidR="00890698">
        <w:t>:</w:t>
      </w:r>
    </w:p>
    <w:p w14:paraId="143CB014" w14:textId="297B11E7" w:rsidR="00417E0B" w:rsidRDefault="00417E0B" w:rsidP="00055C6D">
      <w:pPr>
        <w:pStyle w:val="OutlineNumberedLevel1"/>
        <w:numPr>
          <w:ilvl w:val="0"/>
          <w:numId w:val="0"/>
        </w:numPr>
        <w:spacing w:after="0"/>
        <w:ind w:left="1080"/>
        <w:contextualSpacing/>
        <w:rPr>
          <w:i/>
          <w:iCs/>
        </w:rPr>
      </w:pPr>
      <w:r>
        <w:rPr>
          <w:i/>
          <w:iCs/>
        </w:rPr>
        <w:t>– Telematics Monitoring Application (TMA)</w:t>
      </w:r>
      <w:r w:rsidR="00EE7DF4">
        <w:rPr>
          <w:i/>
          <w:iCs/>
        </w:rPr>
        <w:t>; and</w:t>
      </w:r>
    </w:p>
    <w:p w14:paraId="71403E54" w14:textId="26A214B0" w:rsidR="00EE7DF4" w:rsidRDefault="00EE7DF4" w:rsidP="00055C6D">
      <w:pPr>
        <w:pStyle w:val="OutlineNumberedLevel1"/>
        <w:numPr>
          <w:ilvl w:val="0"/>
          <w:numId w:val="0"/>
        </w:numPr>
        <w:spacing w:after="0"/>
        <w:ind w:left="1080"/>
        <w:contextualSpacing/>
        <w:rPr>
          <w:i/>
          <w:iCs/>
        </w:rPr>
      </w:pPr>
      <w:r>
        <w:rPr>
          <w:i/>
          <w:iCs/>
        </w:rPr>
        <w:t>-</w:t>
      </w:r>
      <w:r w:rsidRPr="00EE7DF4">
        <w:rPr>
          <w:i/>
          <w:iCs/>
        </w:rPr>
        <w:t xml:space="preserve"> </w:t>
      </w:r>
      <w:r>
        <w:rPr>
          <w:i/>
          <w:iCs/>
        </w:rPr>
        <w:t>Smart On-Board Mass Monitoring</w:t>
      </w:r>
    </w:p>
    <w:p w14:paraId="6CFBC839" w14:textId="77777777" w:rsidR="00F94F4B" w:rsidRDefault="00F94F4B" w:rsidP="00055C6D">
      <w:pPr>
        <w:pStyle w:val="OutlineNumberedLevel1"/>
        <w:numPr>
          <w:ilvl w:val="0"/>
          <w:numId w:val="0"/>
        </w:numPr>
        <w:spacing w:after="0"/>
        <w:ind w:left="1080"/>
        <w:contextualSpacing/>
        <w:rPr>
          <w:rFonts w:eastAsiaTheme="majorEastAsia" w:cstheme="majorBidi"/>
        </w:rPr>
      </w:pPr>
    </w:p>
    <w:p w14:paraId="37D68B85" w14:textId="77777777" w:rsidR="008F45B8" w:rsidRDefault="00417E0B" w:rsidP="00055C6D">
      <w:pPr>
        <w:pStyle w:val="OutlineNumberedLevel1"/>
        <w:numPr>
          <w:ilvl w:val="0"/>
          <w:numId w:val="26"/>
        </w:numPr>
        <w:spacing w:after="0"/>
        <w:contextualSpacing/>
      </w:pPr>
      <w:r>
        <w:t>For vehicles enrolled before 1 December 2022</w:t>
      </w:r>
      <w:r w:rsidR="008F45B8">
        <w:t>:</w:t>
      </w:r>
    </w:p>
    <w:p w14:paraId="56D73DDC" w14:textId="1B96DE7F" w:rsidR="002C49FD" w:rsidRDefault="00417E0B" w:rsidP="00055C6D">
      <w:pPr>
        <w:pStyle w:val="OutlineNumberedLevel1"/>
        <w:numPr>
          <w:ilvl w:val="0"/>
          <w:numId w:val="0"/>
        </w:numPr>
        <w:spacing w:after="0"/>
        <w:ind w:left="1080"/>
        <w:contextualSpacing/>
        <w:rPr>
          <w:i/>
          <w:iCs/>
        </w:rPr>
      </w:pPr>
      <w:r>
        <w:rPr>
          <w:i/>
          <w:iCs/>
        </w:rPr>
        <w:t>– Intelligent Access Program (IAP)</w:t>
      </w:r>
      <w:r w:rsidR="00EE7DF4">
        <w:rPr>
          <w:i/>
          <w:iCs/>
        </w:rPr>
        <w:t>; and</w:t>
      </w:r>
    </w:p>
    <w:p w14:paraId="11832771" w14:textId="2293CB67" w:rsidR="008F45B8" w:rsidRPr="00B21649" w:rsidRDefault="008F45B8" w:rsidP="00055C6D">
      <w:pPr>
        <w:pStyle w:val="OutlineNumberedLevel1"/>
        <w:numPr>
          <w:ilvl w:val="0"/>
          <w:numId w:val="0"/>
        </w:numPr>
        <w:spacing w:after="0"/>
        <w:ind w:left="1080"/>
        <w:contextualSpacing/>
      </w:pPr>
      <w:r>
        <w:rPr>
          <w:i/>
          <w:iCs/>
        </w:rPr>
        <w:t>– Interim On-Board Mass Monitoring</w:t>
      </w:r>
    </w:p>
    <w:p w14:paraId="20CDAD02" w14:textId="77777777" w:rsidR="00B21649" w:rsidRPr="00B21649" w:rsidRDefault="00B21649" w:rsidP="00055C6D">
      <w:pPr>
        <w:pStyle w:val="OutlineNumberedLevel1"/>
        <w:numPr>
          <w:ilvl w:val="0"/>
          <w:numId w:val="0"/>
        </w:numPr>
        <w:spacing w:after="0"/>
        <w:ind w:left="1080"/>
        <w:contextualSpacing/>
      </w:pPr>
    </w:p>
    <w:p w14:paraId="48E741C7" w14:textId="3A8FB032" w:rsidR="00417E0B" w:rsidRDefault="00417E0B" w:rsidP="00055C6D">
      <w:pPr>
        <w:ind w:left="1800" w:hanging="720"/>
        <w:contextualSpacing/>
        <w:rPr>
          <w:i/>
        </w:rPr>
      </w:pPr>
      <w:r>
        <w:rPr>
          <w:i/>
        </w:rPr>
        <w:t>Note:</w:t>
      </w:r>
      <w:r>
        <w:rPr>
          <w:i/>
        </w:rPr>
        <w:tab/>
        <w:t xml:space="preserve">The option in subsection (1)(b) to comply using IAP </w:t>
      </w:r>
      <w:r w:rsidR="00EE7DF4">
        <w:rPr>
          <w:i/>
        </w:rPr>
        <w:t xml:space="preserve">and </w:t>
      </w:r>
      <w:r w:rsidR="002C3832">
        <w:rPr>
          <w:i/>
        </w:rPr>
        <w:t xml:space="preserve">interim On-Board Mass monitoring </w:t>
      </w:r>
      <w:r>
        <w:rPr>
          <w:i/>
        </w:rPr>
        <w:t xml:space="preserve">will be removed from </w:t>
      </w:r>
      <w:r w:rsidR="00E9207F">
        <w:rPr>
          <w:i/>
        </w:rPr>
        <w:t>1</w:t>
      </w:r>
      <w:r>
        <w:rPr>
          <w:i/>
        </w:rPr>
        <w:t xml:space="preserve"> June 202</w:t>
      </w:r>
      <w:r w:rsidR="00B64A13">
        <w:rPr>
          <w:i/>
        </w:rPr>
        <w:t>4</w:t>
      </w:r>
      <w:r>
        <w:rPr>
          <w:i/>
        </w:rPr>
        <w:t>.</w:t>
      </w:r>
    </w:p>
    <w:p w14:paraId="0D33CCD6" w14:textId="4B5B6A3E" w:rsidR="00B21649" w:rsidRPr="00EE7DF4" w:rsidRDefault="00417E0B" w:rsidP="00055C6D">
      <w:pPr>
        <w:pStyle w:val="OutlineNumberedLevel1"/>
        <w:numPr>
          <w:ilvl w:val="0"/>
          <w:numId w:val="14"/>
        </w:numPr>
        <w:contextualSpacing/>
        <w:rPr>
          <w:rFonts w:eastAsia="Calibri" w:cs="Calibri"/>
        </w:rPr>
      </w:pPr>
      <w:r>
        <w:rPr>
          <w:rFonts w:eastAsia="Calibri" w:cs="Calibri"/>
        </w:rPr>
        <w:t xml:space="preserve">In this section, </w:t>
      </w:r>
      <w:r>
        <w:rPr>
          <w:rFonts w:eastAsia="Calibri" w:cs="Calibri"/>
          <w:b/>
          <w:bCs/>
          <w:i/>
          <w:iCs/>
        </w:rPr>
        <w:t>Intelligent Access Program</w:t>
      </w:r>
      <w:r>
        <w:rPr>
          <w:rFonts w:eastAsia="Calibri" w:cs="Calibri"/>
        </w:rPr>
        <w:t xml:space="preserve"> means the approved intelligent transport system of that name administered by the Queensland Department of Transport and Main Roads.</w:t>
      </w:r>
    </w:p>
    <w:p w14:paraId="2DF67379" w14:textId="62768678" w:rsidR="00417E0B" w:rsidRPr="002C49FD" w:rsidRDefault="00417E0B" w:rsidP="00055C6D">
      <w:pPr>
        <w:pStyle w:val="OutlineNumberedLevel1"/>
        <w:numPr>
          <w:ilvl w:val="0"/>
          <w:numId w:val="14"/>
        </w:numPr>
        <w:contextualSpacing/>
        <w:rPr>
          <w:rFonts w:eastAsia="Calibri" w:cs="Calibri"/>
        </w:rPr>
      </w:pPr>
      <w:r>
        <w:rPr>
          <w:rFonts w:eastAsia="Calibri" w:cs="Calibri"/>
        </w:rPr>
        <w:t xml:space="preserve">In this section, </w:t>
      </w:r>
      <w:r>
        <w:rPr>
          <w:b/>
          <w:bCs/>
          <w:i/>
          <w:iCs/>
        </w:rPr>
        <w:t>Interim On-Board Mass Monitoring</w:t>
      </w:r>
      <w:r>
        <w:rPr>
          <w:i/>
          <w:iCs/>
        </w:rPr>
        <w:t xml:space="preserve"> </w:t>
      </w:r>
      <w:r>
        <w:rPr>
          <w:rFonts w:eastAsia="Calibri" w:cs="Calibri"/>
        </w:rPr>
        <w:t>means the approved intelligent transport system of that name administered by the Queensland Department of Transport and Main Roads.</w:t>
      </w:r>
    </w:p>
    <w:p w14:paraId="62B8B622" w14:textId="419711E3" w:rsidR="00417E0B" w:rsidRDefault="00417E0B" w:rsidP="00055C6D">
      <w:pPr>
        <w:pStyle w:val="OutlineNumberedLevel1"/>
        <w:numPr>
          <w:ilvl w:val="0"/>
          <w:numId w:val="14"/>
        </w:numPr>
        <w:contextualSpacing/>
        <w:rPr>
          <w:rFonts w:eastAsia="Calibri" w:cs="Calibri"/>
        </w:rPr>
      </w:pPr>
      <w:r>
        <w:rPr>
          <w:rFonts w:eastAsia="Calibri" w:cs="Calibri"/>
        </w:rPr>
        <w:t>At the time of operation under this notice, an eligible vehicle to which this section applies must be enrolled in and be compliant with all the conditions of the re</w:t>
      </w:r>
      <w:r w:rsidR="00351E35">
        <w:rPr>
          <w:rFonts w:eastAsia="Calibri" w:cs="Calibri"/>
        </w:rPr>
        <w:t>qu</w:t>
      </w:r>
      <w:r w:rsidR="00442468">
        <w:rPr>
          <w:rFonts w:eastAsia="Calibri" w:cs="Calibri"/>
        </w:rPr>
        <w:t>ired</w:t>
      </w:r>
      <w:r>
        <w:rPr>
          <w:rFonts w:eastAsia="Calibri" w:cs="Calibri"/>
        </w:rPr>
        <w:t xml:space="preserve"> approved intelligent transport system. </w:t>
      </w:r>
    </w:p>
    <w:p w14:paraId="4F13DA68" w14:textId="77777777" w:rsidR="0020347C" w:rsidRPr="001C6064" w:rsidRDefault="0020347C" w:rsidP="0020347C">
      <w:pPr>
        <w:pStyle w:val="ListParagraph"/>
      </w:pPr>
      <w:r w:rsidRPr="001C6064">
        <w:t>Peter Caprioli</w:t>
      </w:r>
    </w:p>
    <w:p w14:paraId="47AEA6A4" w14:textId="77777777" w:rsidR="0020347C" w:rsidRPr="0020347C" w:rsidRDefault="0020347C" w:rsidP="0020347C">
      <w:pPr>
        <w:pStyle w:val="ListParagraph"/>
        <w:rPr>
          <w:i/>
        </w:rPr>
      </w:pPr>
      <w:r w:rsidRPr="0020347C">
        <w:rPr>
          <w:i/>
        </w:rPr>
        <w:t>Executive Director (Freight and Supply Chain Productivity)</w:t>
      </w:r>
    </w:p>
    <w:p w14:paraId="123BB9C6" w14:textId="77777777" w:rsidR="0020347C" w:rsidRPr="0020347C" w:rsidRDefault="0020347C" w:rsidP="0020347C">
      <w:pPr>
        <w:pStyle w:val="ListParagraph"/>
        <w:rPr>
          <w:b/>
        </w:rPr>
      </w:pPr>
      <w:r w:rsidRPr="0020347C">
        <w:rPr>
          <w:b/>
        </w:rPr>
        <w:t>National Heavy Vehicle Regulator</w:t>
      </w:r>
    </w:p>
    <w:p w14:paraId="0B9F1293" w14:textId="4DA577A0" w:rsidR="004548F0" w:rsidRDefault="004548F0" w:rsidP="0020347C">
      <w:pPr>
        <w:ind w:left="720"/>
        <w:contextualSpacing/>
        <w:rPr>
          <w:rFonts w:ascii="Calibri" w:hAnsi="Calibri"/>
          <w:sz w:val="28"/>
          <w:szCs w:val="28"/>
        </w:rPr>
      </w:pPr>
    </w:p>
    <w:p w14:paraId="32F440B2" w14:textId="77777777" w:rsidR="00055C6D" w:rsidRDefault="00055C6D">
      <w:pPr>
        <w:rPr>
          <w:rFonts w:ascii="Calibri" w:hAnsi="Calibri"/>
          <w:b/>
          <w:sz w:val="28"/>
          <w:szCs w:val="28"/>
          <w:lang w:eastAsia="en-US"/>
        </w:rPr>
      </w:pPr>
      <w:r>
        <w:rPr>
          <w:rFonts w:ascii="Calibri" w:hAnsi="Calibri"/>
          <w:sz w:val="28"/>
          <w:szCs w:val="28"/>
        </w:rPr>
        <w:br w:type="page"/>
      </w:r>
    </w:p>
    <w:p w14:paraId="709840AE" w14:textId="70F99C76" w:rsidR="00406C40" w:rsidRPr="00C03E71" w:rsidRDefault="00C509B4" w:rsidP="00055C6D">
      <w:pPr>
        <w:pStyle w:val="Sectionheading"/>
        <w:numPr>
          <w:ilvl w:val="0"/>
          <w:numId w:val="0"/>
        </w:numPr>
        <w:jc w:val="both"/>
        <w:rPr>
          <w:rFonts w:ascii="Calibri" w:hAnsi="Calibri"/>
          <w:sz w:val="28"/>
          <w:szCs w:val="28"/>
        </w:rPr>
      </w:pPr>
      <w:r w:rsidRPr="00C03E71">
        <w:rPr>
          <w:rFonts w:ascii="Calibri" w:hAnsi="Calibri"/>
          <w:sz w:val="28"/>
          <w:szCs w:val="28"/>
        </w:rPr>
        <w:lastRenderedPageBreak/>
        <w:t>Appendix 1: Eligible A-Double Axle Spacing Requirements</w:t>
      </w:r>
    </w:p>
    <w:p w14:paraId="1BF644A8" w14:textId="77777777" w:rsidR="00C509B4" w:rsidRDefault="00663B89" w:rsidP="00055C6D">
      <w:pPr>
        <w:contextualSpacing/>
      </w:pPr>
      <w:r>
        <w:t>The conditions in this Appendix do not apply to Port of Brisbane roads.</w:t>
      </w:r>
    </w:p>
    <w:p w14:paraId="51B494CE" w14:textId="77777777" w:rsidR="00C509B4" w:rsidRDefault="00D466A6" w:rsidP="00055C6D">
      <w:pPr>
        <w:pStyle w:val="Sectionheading"/>
        <w:numPr>
          <w:ilvl w:val="0"/>
          <w:numId w:val="18"/>
        </w:numPr>
        <w:jc w:val="both"/>
      </w:pPr>
      <w:r>
        <w:t>Conditions - Axle Spacing Requirements</w:t>
      </w:r>
    </w:p>
    <w:p w14:paraId="17BD9062" w14:textId="77777777" w:rsidR="00D466A6" w:rsidRPr="00D466A6" w:rsidRDefault="00D466A6" w:rsidP="00055C6D">
      <w:pPr>
        <w:pStyle w:val="OutlineNumberedLevel1"/>
        <w:numPr>
          <w:ilvl w:val="0"/>
          <w:numId w:val="19"/>
        </w:numPr>
        <w:contextualSpacing/>
        <w:rPr>
          <w:rFonts w:eastAsia="Calibri" w:cs="Calibri"/>
        </w:rPr>
      </w:pPr>
      <w:r w:rsidRPr="00D466A6">
        <w:rPr>
          <w:rFonts w:eastAsia="Calibri" w:cs="Calibri"/>
        </w:rPr>
        <w:t xml:space="preserve">Eligible vehicles operating under this Notice must comply with the axle spacing </w:t>
      </w:r>
      <w:r w:rsidR="002414B7" w:rsidRPr="00D466A6">
        <w:rPr>
          <w:rFonts w:eastAsia="Calibri" w:cs="Calibri"/>
        </w:rPr>
        <w:t>requirements</w:t>
      </w:r>
      <w:r w:rsidRPr="00D466A6">
        <w:rPr>
          <w:rFonts w:eastAsia="Calibri" w:cs="Calibri"/>
        </w:rPr>
        <w:t xml:space="preserve"> set out in this </w:t>
      </w:r>
      <w:r w:rsidR="00663B89">
        <w:rPr>
          <w:rFonts w:eastAsia="Calibri" w:cs="Calibri"/>
        </w:rPr>
        <w:t>Appendix</w:t>
      </w:r>
      <w:r w:rsidRPr="00D466A6">
        <w:rPr>
          <w:rFonts w:eastAsia="Calibri" w:cs="Calibri"/>
        </w:rPr>
        <w:t>.</w:t>
      </w:r>
    </w:p>
    <w:p w14:paraId="5E58C881" w14:textId="77777777" w:rsidR="00C509B4" w:rsidRDefault="00C509B4" w:rsidP="00055C6D">
      <w:pPr>
        <w:pStyle w:val="BodyText"/>
        <w:spacing w:after="240" w:line="240" w:lineRule="auto"/>
        <w:ind w:left="567" w:hanging="567"/>
        <w:contextualSpacing/>
        <w:rPr>
          <w:b/>
          <w:u w:val="single"/>
        </w:rPr>
      </w:pPr>
      <w:r w:rsidRPr="00341ACC">
        <w:rPr>
          <w:noProof/>
        </w:rPr>
        <w:drawing>
          <wp:inline distT="0" distB="0" distL="0" distR="0" wp14:anchorId="72BBE5A3" wp14:editId="2D659786">
            <wp:extent cx="5838825" cy="1200150"/>
            <wp:effectExtent l="0" t="0" r="9525" b="0"/>
            <wp:docPr id="1" name="Picture 1" descr="A diagram showing axle spacing requirements" title="Vehi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200150"/>
                    </a:xfrm>
                    <a:prstGeom prst="rect">
                      <a:avLst/>
                    </a:prstGeom>
                    <a:noFill/>
                    <a:ln>
                      <a:noFill/>
                    </a:ln>
                  </pic:spPr>
                </pic:pic>
              </a:graphicData>
            </a:graphic>
          </wp:inline>
        </w:drawing>
      </w:r>
    </w:p>
    <w:p w14:paraId="0F10F2F4" w14:textId="77777777" w:rsidR="00C509B4" w:rsidRPr="00341ACC" w:rsidRDefault="00C509B4" w:rsidP="00055C6D">
      <w:pPr>
        <w:pStyle w:val="BodyText"/>
        <w:spacing w:line="240" w:lineRule="auto"/>
        <w:contextualSpacing/>
        <w:rPr>
          <w:b/>
        </w:rPr>
      </w:pPr>
      <w:r w:rsidRPr="00341ACC">
        <w:rPr>
          <w:b/>
        </w:rPr>
        <w:t>A-double Reference Vehicle 1</w:t>
      </w:r>
      <w:r>
        <w:rPr>
          <w:b/>
        </w:rPr>
        <w:t xml:space="preserve"> (standard)</w:t>
      </w:r>
    </w:p>
    <w:p w14:paraId="1845384F" w14:textId="77777777" w:rsidR="00C509B4" w:rsidRPr="00C509B4" w:rsidRDefault="00C509B4" w:rsidP="00055C6D">
      <w:pPr>
        <w:pStyle w:val="BodyText"/>
        <w:spacing w:line="240" w:lineRule="auto"/>
        <w:contextualSpacing/>
      </w:pPr>
      <w:r w:rsidRPr="00C509B4">
        <w:rPr>
          <w:b/>
        </w:rPr>
        <w:t>Table 1: Internal Spacing (centre to centre, measured in metres)</w:t>
      </w:r>
    </w:p>
    <w:tbl>
      <w:tblPr>
        <w:tblStyle w:val="TableGrid"/>
        <w:tblW w:w="10311" w:type="dxa"/>
        <w:tblLayout w:type="fixed"/>
        <w:tblLook w:val="04A0" w:firstRow="1" w:lastRow="0" w:firstColumn="1" w:lastColumn="0" w:noHBand="0" w:noVBand="1"/>
        <w:tblCaption w:val="Table 1: Internal Spacing (centre to centre, measured in metres)"/>
        <w:tblDescription w:val="A table of axle spacings"/>
      </w:tblPr>
      <w:tblGrid>
        <w:gridCol w:w="1446"/>
        <w:gridCol w:w="621"/>
        <w:gridCol w:w="876"/>
        <w:gridCol w:w="876"/>
        <w:gridCol w:w="966"/>
        <w:gridCol w:w="876"/>
        <w:gridCol w:w="876"/>
        <w:gridCol w:w="966"/>
        <w:gridCol w:w="876"/>
        <w:gridCol w:w="966"/>
        <w:gridCol w:w="966"/>
      </w:tblGrid>
      <w:tr w:rsidR="00C509B4" w:rsidRPr="00C509B4" w14:paraId="2B8E54F8" w14:textId="77777777" w:rsidTr="00C509B4">
        <w:trPr>
          <w:trHeight w:val="420"/>
        </w:trPr>
        <w:tc>
          <w:tcPr>
            <w:tcW w:w="1446" w:type="dxa"/>
            <w:shd w:val="clear" w:color="auto" w:fill="D9D9D9" w:themeFill="background1" w:themeFillShade="D9"/>
            <w:vAlign w:val="center"/>
          </w:tcPr>
          <w:p w14:paraId="328DF4FC" w14:textId="77777777" w:rsidR="00C509B4" w:rsidRPr="00C509B4" w:rsidRDefault="00C509B4" w:rsidP="00055C6D">
            <w:pPr>
              <w:pStyle w:val="BodyText"/>
              <w:spacing w:after="0"/>
              <w:ind w:left="567" w:hanging="567"/>
              <w:contextualSpacing/>
              <w:jc w:val="center"/>
            </w:pPr>
            <w:r w:rsidRPr="00C509B4">
              <w:t>Between axles</w:t>
            </w:r>
          </w:p>
        </w:tc>
        <w:tc>
          <w:tcPr>
            <w:tcW w:w="621" w:type="dxa"/>
            <w:shd w:val="clear" w:color="auto" w:fill="D9D9D9" w:themeFill="background1" w:themeFillShade="D9"/>
            <w:vAlign w:val="center"/>
          </w:tcPr>
          <w:p w14:paraId="0AFC2990" w14:textId="77777777" w:rsidR="00C509B4" w:rsidRPr="00C509B4" w:rsidRDefault="00C509B4" w:rsidP="00055C6D">
            <w:pPr>
              <w:pStyle w:val="BodyText"/>
              <w:spacing w:after="0"/>
              <w:contextualSpacing/>
              <w:jc w:val="center"/>
            </w:pPr>
            <w:r w:rsidRPr="00C509B4">
              <w:t>1-3</w:t>
            </w:r>
          </w:p>
        </w:tc>
        <w:tc>
          <w:tcPr>
            <w:tcW w:w="876" w:type="dxa"/>
            <w:shd w:val="clear" w:color="auto" w:fill="D9D9D9" w:themeFill="background1" w:themeFillShade="D9"/>
            <w:vAlign w:val="center"/>
          </w:tcPr>
          <w:p w14:paraId="06D32DC4" w14:textId="77777777" w:rsidR="00C509B4" w:rsidRPr="00C509B4" w:rsidRDefault="00C509B4" w:rsidP="00055C6D">
            <w:pPr>
              <w:pStyle w:val="BodyText"/>
              <w:spacing w:after="0"/>
              <w:ind w:left="567" w:hanging="567"/>
              <w:contextualSpacing/>
              <w:jc w:val="center"/>
            </w:pPr>
            <w:r w:rsidRPr="00C509B4">
              <w:t>2-6</w:t>
            </w:r>
          </w:p>
        </w:tc>
        <w:tc>
          <w:tcPr>
            <w:tcW w:w="876" w:type="dxa"/>
            <w:shd w:val="clear" w:color="auto" w:fill="D9D9D9" w:themeFill="background1" w:themeFillShade="D9"/>
            <w:vAlign w:val="center"/>
          </w:tcPr>
          <w:p w14:paraId="6E8F715F" w14:textId="77777777" w:rsidR="00C509B4" w:rsidRPr="00C509B4" w:rsidRDefault="00C509B4" w:rsidP="00055C6D">
            <w:pPr>
              <w:pStyle w:val="BodyText"/>
              <w:spacing w:after="0"/>
              <w:ind w:left="567" w:hanging="567"/>
              <w:contextualSpacing/>
              <w:jc w:val="center"/>
            </w:pPr>
            <w:r w:rsidRPr="00C509B4">
              <w:t>4-8</w:t>
            </w:r>
          </w:p>
        </w:tc>
        <w:tc>
          <w:tcPr>
            <w:tcW w:w="966" w:type="dxa"/>
            <w:shd w:val="clear" w:color="auto" w:fill="D9D9D9" w:themeFill="background1" w:themeFillShade="D9"/>
            <w:vAlign w:val="center"/>
          </w:tcPr>
          <w:p w14:paraId="0FFD3A0F" w14:textId="77777777" w:rsidR="00C509B4" w:rsidRPr="00C509B4" w:rsidRDefault="00C509B4" w:rsidP="00055C6D">
            <w:pPr>
              <w:pStyle w:val="BodyText"/>
              <w:spacing w:after="0"/>
              <w:ind w:left="567" w:hanging="567"/>
              <w:contextualSpacing/>
              <w:jc w:val="center"/>
            </w:pPr>
            <w:r w:rsidRPr="00C509B4">
              <w:t>7-11</w:t>
            </w:r>
          </w:p>
        </w:tc>
        <w:tc>
          <w:tcPr>
            <w:tcW w:w="876" w:type="dxa"/>
            <w:shd w:val="clear" w:color="auto" w:fill="D9D9D9" w:themeFill="background1" w:themeFillShade="D9"/>
            <w:vAlign w:val="center"/>
          </w:tcPr>
          <w:p w14:paraId="00A8FE56" w14:textId="77777777" w:rsidR="00C509B4" w:rsidRPr="00C509B4" w:rsidRDefault="00C509B4" w:rsidP="00055C6D">
            <w:pPr>
              <w:pStyle w:val="BodyText"/>
              <w:spacing w:after="0"/>
              <w:ind w:left="567" w:hanging="567"/>
              <w:contextualSpacing/>
              <w:jc w:val="center"/>
            </w:pPr>
            <w:r w:rsidRPr="00C509B4">
              <w:t>1-6</w:t>
            </w:r>
          </w:p>
        </w:tc>
        <w:tc>
          <w:tcPr>
            <w:tcW w:w="876" w:type="dxa"/>
            <w:shd w:val="clear" w:color="auto" w:fill="D9D9D9" w:themeFill="background1" w:themeFillShade="D9"/>
            <w:vAlign w:val="center"/>
          </w:tcPr>
          <w:p w14:paraId="6E31D526" w14:textId="77777777" w:rsidR="00C509B4" w:rsidRPr="00C509B4" w:rsidRDefault="00C509B4" w:rsidP="00055C6D">
            <w:pPr>
              <w:pStyle w:val="BodyText"/>
              <w:spacing w:after="0"/>
              <w:ind w:left="567" w:hanging="567"/>
              <w:contextualSpacing/>
              <w:jc w:val="center"/>
            </w:pPr>
            <w:r w:rsidRPr="00C509B4">
              <w:t>2-8</w:t>
            </w:r>
          </w:p>
        </w:tc>
        <w:tc>
          <w:tcPr>
            <w:tcW w:w="966" w:type="dxa"/>
            <w:shd w:val="clear" w:color="auto" w:fill="D9D9D9" w:themeFill="background1" w:themeFillShade="D9"/>
            <w:vAlign w:val="center"/>
          </w:tcPr>
          <w:p w14:paraId="08CAFD95" w14:textId="77777777" w:rsidR="00C509B4" w:rsidRPr="00C509B4" w:rsidRDefault="00C509B4" w:rsidP="00055C6D">
            <w:pPr>
              <w:pStyle w:val="BodyText"/>
              <w:spacing w:after="0"/>
              <w:ind w:left="567" w:hanging="567"/>
              <w:contextualSpacing/>
              <w:jc w:val="center"/>
            </w:pPr>
            <w:r w:rsidRPr="00C509B4">
              <w:t>4-11</w:t>
            </w:r>
          </w:p>
        </w:tc>
        <w:tc>
          <w:tcPr>
            <w:tcW w:w="876" w:type="dxa"/>
            <w:shd w:val="clear" w:color="auto" w:fill="D9D9D9" w:themeFill="background1" w:themeFillShade="D9"/>
            <w:vAlign w:val="center"/>
          </w:tcPr>
          <w:p w14:paraId="6E6EF5FF" w14:textId="77777777" w:rsidR="00C509B4" w:rsidRPr="00C509B4" w:rsidRDefault="00C509B4" w:rsidP="00055C6D">
            <w:pPr>
              <w:pStyle w:val="BodyText"/>
              <w:spacing w:after="0"/>
              <w:ind w:left="567" w:hanging="567"/>
              <w:contextualSpacing/>
              <w:jc w:val="center"/>
            </w:pPr>
            <w:r w:rsidRPr="00C509B4">
              <w:t>1-8</w:t>
            </w:r>
          </w:p>
        </w:tc>
        <w:tc>
          <w:tcPr>
            <w:tcW w:w="966" w:type="dxa"/>
            <w:shd w:val="clear" w:color="auto" w:fill="D9D9D9" w:themeFill="background1" w:themeFillShade="D9"/>
            <w:vAlign w:val="center"/>
          </w:tcPr>
          <w:p w14:paraId="31E032AC" w14:textId="77777777" w:rsidR="00C509B4" w:rsidRPr="00C509B4" w:rsidRDefault="00C509B4" w:rsidP="00055C6D">
            <w:pPr>
              <w:pStyle w:val="BodyText"/>
              <w:spacing w:after="0"/>
              <w:ind w:left="567" w:hanging="567"/>
              <w:contextualSpacing/>
              <w:jc w:val="center"/>
            </w:pPr>
            <w:r w:rsidRPr="00C509B4">
              <w:t>2-11</w:t>
            </w:r>
          </w:p>
        </w:tc>
        <w:tc>
          <w:tcPr>
            <w:tcW w:w="966" w:type="dxa"/>
            <w:shd w:val="clear" w:color="auto" w:fill="D9D9D9" w:themeFill="background1" w:themeFillShade="D9"/>
            <w:vAlign w:val="center"/>
          </w:tcPr>
          <w:p w14:paraId="0104ADDB" w14:textId="77777777" w:rsidR="00C509B4" w:rsidRPr="00C509B4" w:rsidRDefault="00C509B4" w:rsidP="00055C6D">
            <w:pPr>
              <w:pStyle w:val="BodyText"/>
              <w:spacing w:after="0"/>
              <w:ind w:left="567" w:hanging="567"/>
              <w:contextualSpacing/>
              <w:jc w:val="center"/>
            </w:pPr>
            <w:r w:rsidRPr="00C509B4">
              <w:t>1-11</w:t>
            </w:r>
          </w:p>
        </w:tc>
      </w:tr>
      <w:tr w:rsidR="00C509B4" w:rsidRPr="00C509B4" w14:paraId="2F04975A" w14:textId="77777777" w:rsidTr="00C509B4">
        <w:trPr>
          <w:trHeight w:val="366"/>
        </w:trPr>
        <w:tc>
          <w:tcPr>
            <w:tcW w:w="1446" w:type="dxa"/>
            <w:shd w:val="clear" w:color="auto" w:fill="D9D9D9" w:themeFill="background1" w:themeFillShade="D9"/>
            <w:vAlign w:val="center"/>
          </w:tcPr>
          <w:p w14:paraId="0E5E8098" w14:textId="77777777" w:rsidR="00C509B4" w:rsidRPr="00C509B4" w:rsidRDefault="00C509B4" w:rsidP="00055C6D">
            <w:pPr>
              <w:pStyle w:val="BodyText"/>
              <w:spacing w:after="0"/>
              <w:ind w:left="567" w:hanging="567"/>
              <w:contextualSpacing/>
              <w:jc w:val="center"/>
            </w:pPr>
            <w:r w:rsidRPr="00C509B4">
              <w:t>min distance (m)</w:t>
            </w:r>
          </w:p>
        </w:tc>
        <w:tc>
          <w:tcPr>
            <w:tcW w:w="621" w:type="dxa"/>
            <w:vAlign w:val="center"/>
          </w:tcPr>
          <w:p w14:paraId="5A7805AC" w14:textId="77777777" w:rsidR="00C509B4" w:rsidRPr="00C509B4" w:rsidRDefault="00C509B4" w:rsidP="00055C6D">
            <w:pPr>
              <w:pStyle w:val="BodyText"/>
              <w:spacing w:after="0"/>
              <w:ind w:left="567" w:hanging="567"/>
              <w:contextualSpacing/>
              <w:jc w:val="center"/>
            </w:pPr>
            <w:r w:rsidRPr="00C509B4">
              <w:rPr>
                <w:rFonts w:ascii="Calibri" w:hAnsi="Calibri"/>
              </w:rPr>
              <w:t>4.250</w:t>
            </w:r>
          </w:p>
        </w:tc>
        <w:tc>
          <w:tcPr>
            <w:tcW w:w="876" w:type="dxa"/>
            <w:vAlign w:val="center"/>
          </w:tcPr>
          <w:p w14:paraId="497E6D64" w14:textId="77777777" w:rsidR="00C509B4" w:rsidRPr="00C509B4" w:rsidRDefault="00C509B4" w:rsidP="00055C6D">
            <w:pPr>
              <w:pStyle w:val="BodyText"/>
              <w:spacing w:after="0"/>
              <w:ind w:left="567" w:hanging="567"/>
              <w:contextualSpacing/>
              <w:jc w:val="center"/>
            </w:pPr>
            <w:r w:rsidRPr="00C509B4">
              <w:rPr>
                <w:rFonts w:ascii="Calibri" w:hAnsi="Calibri"/>
              </w:rPr>
              <w:t>9.167</w:t>
            </w:r>
          </w:p>
        </w:tc>
        <w:tc>
          <w:tcPr>
            <w:tcW w:w="876" w:type="dxa"/>
            <w:vAlign w:val="center"/>
          </w:tcPr>
          <w:p w14:paraId="123765A8" w14:textId="77777777" w:rsidR="00C509B4" w:rsidRPr="00C509B4" w:rsidRDefault="00C509B4" w:rsidP="00055C6D">
            <w:pPr>
              <w:pStyle w:val="BodyText"/>
              <w:spacing w:after="0"/>
              <w:ind w:left="567" w:hanging="567"/>
              <w:contextualSpacing/>
              <w:jc w:val="center"/>
            </w:pPr>
            <w:r w:rsidRPr="00C509B4">
              <w:rPr>
                <w:rFonts w:ascii="Calibri" w:hAnsi="Calibri"/>
              </w:rPr>
              <w:t>7.350</w:t>
            </w:r>
          </w:p>
        </w:tc>
        <w:tc>
          <w:tcPr>
            <w:tcW w:w="966" w:type="dxa"/>
            <w:vAlign w:val="center"/>
          </w:tcPr>
          <w:p w14:paraId="724386B7" w14:textId="77777777" w:rsidR="00C509B4" w:rsidRPr="00C509B4" w:rsidRDefault="00C509B4" w:rsidP="00055C6D">
            <w:pPr>
              <w:pStyle w:val="BodyText"/>
              <w:spacing w:after="0"/>
              <w:ind w:left="567" w:hanging="567"/>
              <w:contextualSpacing/>
              <w:jc w:val="center"/>
            </w:pPr>
            <w:r w:rsidRPr="00C509B4">
              <w:rPr>
                <w:rFonts w:ascii="Calibri" w:hAnsi="Calibri"/>
              </w:rPr>
              <w:t>9.410</w:t>
            </w:r>
          </w:p>
        </w:tc>
        <w:tc>
          <w:tcPr>
            <w:tcW w:w="876" w:type="dxa"/>
            <w:vAlign w:val="center"/>
          </w:tcPr>
          <w:p w14:paraId="23940C86" w14:textId="77777777" w:rsidR="00C509B4" w:rsidRPr="00C509B4" w:rsidRDefault="00C509B4" w:rsidP="00055C6D">
            <w:pPr>
              <w:pStyle w:val="BodyText"/>
              <w:spacing w:after="0"/>
              <w:ind w:left="567" w:hanging="567"/>
              <w:contextualSpacing/>
              <w:jc w:val="center"/>
            </w:pPr>
            <w:r w:rsidRPr="00C509B4">
              <w:rPr>
                <w:rFonts w:ascii="Calibri" w:hAnsi="Calibri"/>
              </w:rPr>
              <w:t>12.470</w:t>
            </w:r>
          </w:p>
        </w:tc>
        <w:tc>
          <w:tcPr>
            <w:tcW w:w="876" w:type="dxa"/>
            <w:vAlign w:val="center"/>
          </w:tcPr>
          <w:p w14:paraId="01B135D8" w14:textId="77777777" w:rsidR="00C509B4" w:rsidRPr="00C509B4" w:rsidRDefault="00C509B4" w:rsidP="00055C6D">
            <w:pPr>
              <w:pStyle w:val="BodyText"/>
              <w:spacing w:after="0"/>
              <w:ind w:left="567" w:hanging="567"/>
              <w:contextualSpacing/>
              <w:jc w:val="center"/>
            </w:pPr>
            <w:r w:rsidRPr="00C509B4">
              <w:rPr>
                <w:rFonts w:ascii="Calibri" w:hAnsi="Calibri"/>
              </w:rPr>
              <w:t>14.530</w:t>
            </w:r>
          </w:p>
        </w:tc>
        <w:tc>
          <w:tcPr>
            <w:tcW w:w="966" w:type="dxa"/>
            <w:vAlign w:val="center"/>
          </w:tcPr>
          <w:p w14:paraId="066B45B0" w14:textId="77777777" w:rsidR="00C509B4" w:rsidRPr="00C509B4" w:rsidRDefault="00C509B4" w:rsidP="00055C6D">
            <w:pPr>
              <w:pStyle w:val="BodyText"/>
              <w:spacing w:after="0"/>
              <w:ind w:left="567" w:hanging="567"/>
              <w:contextualSpacing/>
              <w:jc w:val="center"/>
            </w:pPr>
            <w:r w:rsidRPr="00C509B4">
              <w:rPr>
                <w:rFonts w:ascii="Calibri" w:hAnsi="Calibri"/>
              </w:rPr>
              <w:t>16.050</w:t>
            </w:r>
          </w:p>
        </w:tc>
        <w:tc>
          <w:tcPr>
            <w:tcW w:w="876" w:type="dxa"/>
            <w:vAlign w:val="center"/>
          </w:tcPr>
          <w:p w14:paraId="5C5D167A" w14:textId="77777777" w:rsidR="00C509B4" w:rsidRPr="00C509B4" w:rsidRDefault="00C509B4" w:rsidP="00055C6D">
            <w:pPr>
              <w:pStyle w:val="BodyText"/>
              <w:spacing w:after="0"/>
              <w:ind w:left="567" w:hanging="567"/>
              <w:contextualSpacing/>
              <w:jc w:val="center"/>
            </w:pPr>
            <w:r w:rsidRPr="00C509B4">
              <w:rPr>
                <w:rFonts w:ascii="Calibri" w:hAnsi="Calibri"/>
              </w:rPr>
              <w:t>17.900</w:t>
            </w:r>
          </w:p>
        </w:tc>
        <w:tc>
          <w:tcPr>
            <w:tcW w:w="966" w:type="dxa"/>
            <w:vAlign w:val="center"/>
          </w:tcPr>
          <w:p w14:paraId="7A34373A" w14:textId="77777777" w:rsidR="00C509B4" w:rsidRPr="00C509B4" w:rsidRDefault="00C509B4" w:rsidP="00055C6D">
            <w:pPr>
              <w:pStyle w:val="BodyText"/>
              <w:spacing w:after="0"/>
              <w:ind w:left="567" w:hanging="567"/>
              <w:contextualSpacing/>
              <w:jc w:val="center"/>
            </w:pPr>
            <w:r w:rsidRPr="00C509B4">
              <w:rPr>
                <w:rFonts w:ascii="Calibri" w:hAnsi="Calibri"/>
              </w:rPr>
              <w:t>22.662</w:t>
            </w:r>
          </w:p>
        </w:tc>
        <w:tc>
          <w:tcPr>
            <w:tcW w:w="966" w:type="dxa"/>
            <w:vAlign w:val="center"/>
          </w:tcPr>
          <w:p w14:paraId="403792B9" w14:textId="77777777" w:rsidR="00C509B4" w:rsidRPr="00C509B4" w:rsidRDefault="00C509B4" w:rsidP="00055C6D">
            <w:pPr>
              <w:pStyle w:val="BodyText"/>
              <w:spacing w:after="0"/>
              <w:ind w:left="567" w:hanging="567"/>
              <w:contextualSpacing/>
              <w:jc w:val="center"/>
            </w:pPr>
            <w:r w:rsidRPr="00C509B4">
              <w:rPr>
                <w:rFonts w:ascii="Calibri" w:hAnsi="Calibri"/>
              </w:rPr>
              <w:t>26.260</w:t>
            </w:r>
          </w:p>
        </w:tc>
      </w:tr>
      <w:tr w:rsidR="00C509B4" w:rsidRPr="00C509B4" w14:paraId="6D5C5B2A" w14:textId="77777777" w:rsidTr="00C509B4">
        <w:trPr>
          <w:trHeight w:val="420"/>
        </w:trPr>
        <w:tc>
          <w:tcPr>
            <w:tcW w:w="1446" w:type="dxa"/>
            <w:shd w:val="clear" w:color="auto" w:fill="D9D9D9" w:themeFill="background1" w:themeFillShade="D9"/>
            <w:vAlign w:val="center"/>
          </w:tcPr>
          <w:p w14:paraId="5E2F30DC" w14:textId="77777777" w:rsidR="00C509B4" w:rsidRPr="00C509B4" w:rsidRDefault="00C509B4" w:rsidP="00055C6D">
            <w:pPr>
              <w:pStyle w:val="BodyText"/>
              <w:spacing w:after="0"/>
              <w:ind w:left="567" w:hanging="567"/>
              <w:contextualSpacing/>
              <w:jc w:val="center"/>
            </w:pPr>
            <w:r w:rsidRPr="00C509B4">
              <w:t>max distance (m)</w:t>
            </w:r>
          </w:p>
        </w:tc>
        <w:tc>
          <w:tcPr>
            <w:tcW w:w="621" w:type="dxa"/>
            <w:vAlign w:val="center"/>
          </w:tcPr>
          <w:p w14:paraId="5372479B"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6.098</w:t>
            </w:r>
          </w:p>
        </w:tc>
        <w:tc>
          <w:tcPr>
            <w:tcW w:w="876" w:type="dxa"/>
            <w:vAlign w:val="center"/>
          </w:tcPr>
          <w:p w14:paraId="6231DD6C"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10.220</w:t>
            </w:r>
          </w:p>
        </w:tc>
        <w:tc>
          <w:tcPr>
            <w:tcW w:w="876" w:type="dxa"/>
            <w:vAlign w:val="center"/>
          </w:tcPr>
          <w:p w14:paraId="2E086974"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8.325</w:t>
            </w:r>
          </w:p>
        </w:tc>
        <w:tc>
          <w:tcPr>
            <w:tcW w:w="966" w:type="dxa"/>
            <w:vAlign w:val="center"/>
          </w:tcPr>
          <w:p w14:paraId="13C24C3A"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10.600</w:t>
            </w:r>
          </w:p>
        </w:tc>
        <w:tc>
          <w:tcPr>
            <w:tcW w:w="876" w:type="dxa"/>
            <w:vAlign w:val="center"/>
          </w:tcPr>
          <w:p w14:paraId="1FF312AE"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14.280</w:t>
            </w:r>
          </w:p>
        </w:tc>
        <w:tc>
          <w:tcPr>
            <w:tcW w:w="876" w:type="dxa"/>
            <w:vAlign w:val="center"/>
          </w:tcPr>
          <w:p w14:paraId="4B206D3C"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15.450</w:t>
            </w:r>
          </w:p>
        </w:tc>
        <w:tc>
          <w:tcPr>
            <w:tcW w:w="966" w:type="dxa"/>
            <w:vAlign w:val="center"/>
          </w:tcPr>
          <w:p w14:paraId="360B7056"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16.950</w:t>
            </w:r>
          </w:p>
        </w:tc>
        <w:tc>
          <w:tcPr>
            <w:tcW w:w="876" w:type="dxa"/>
            <w:vAlign w:val="center"/>
          </w:tcPr>
          <w:p w14:paraId="6FE16F67"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19.394</w:t>
            </w:r>
          </w:p>
        </w:tc>
        <w:tc>
          <w:tcPr>
            <w:tcW w:w="966" w:type="dxa"/>
            <w:vAlign w:val="center"/>
          </w:tcPr>
          <w:p w14:paraId="367BAC4B"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24.620</w:t>
            </w:r>
          </w:p>
        </w:tc>
        <w:tc>
          <w:tcPr>
            <w:tcW w:w="966" w:type="dxa"/>
            <w:vAlign w:val="center"/>
          </w:tcPr>
          <w:p w14:paraId="418D860C" w14:textId="77777777" w:rsidR="00C509B4" w:rsidRPr="00C509B4" w:rsidRDefault="00C509B4" w:rsidP="00055C6D">
            <w:pPr>
              <w:pStyle w:val="BodyText"/>
              <w:spacing w:after="0"/>
              <w:ind w:left="567" w:hanging="567"/>
              <w:contextualSpacing/>
              <w:jc w:val="center"/>
            </w:pPr>
            <w:r w:rsidRPr="00C509B4">
              <w:rPr>
                <w:rFonts w:ascii="Calibri" w:hAnsi="Calibri"/>
                <w:color w:val="000000"/>
              </w:rPr>
              <w:t>28.233</w:t>
            </w:r>
          </w:p>
        </w:tc>
      </w:tr>
    </w:tbl>
    <w:p w14:paraId="0B224E2D" w14:textId="77777777" w:rsidR="00C509B4" w:rsidRPr="00341ACC" w:rsidRDefault="00C509B4" w:rsidP="00055C6D">
      <w:pPr>
        <w:pStyle w:val="BodyText"/>
        <w:spacing w:before="240" w:line="240" w:lineRule="auto"/>
        <w:ind w:left="567" w:hanging="567"/>
        <w:contextualSpacing/>
        <w:rPr>
          <w:b/>
        </w:rPr>
      </w:pPr>
      <w:r w:rsidRPr="00341ACC">
        <w:rPr>
          <w:b/>
        </w:rPr>
        <w:t>A-double Reference Vehicle 2</w:t>
      </w:r>
      <w:r>
        <w:rPr>
          <w:b/>
        </w:rPr>
        <w:t xml:space="preserve"> (long cab)</w:t>
      </w:r>
    </w:p>
    <w:p w14:paraId="3E1DC7D3" w14:textId="77777777" w:rsidR="00C509B4" w:rsidRPr="00C509B4" w:rsidRDefault="00C509B4" w:rsidP="00055C6D">
      <w:pPr>
        <w:pStyle w:val="BodyText"/>
        <w:spacing w:line="240" w:lineRule="auto"/>
        <w:contextualSpacing/>
      </w:pPr>
      <w:r w:rsidRPr="00C509B4">
        <w:rPr>
          <w:b/>
        </w:rPr>
        <w:t>Table 2: Internal Spacing (centre to centre, measured in metres)</w:t>
      </w:r>
    </w:p>
    <w:tbl>
      <w:tblPr>
        <w:tblStyle w:val="TableGrid"/>
        <w:tblW w:w="10057" w:type="dxa"/>
        <w:tblLayout w:type="fixed"/>
        <w:tblLook w:val="04A0" w:firstRow="1" w:lastRow="0" w:firstColumn="1" w:lastColumn="0" w:noHBand="0" w:noVBand="1"/>
        <w:tblCaption w:val="Table 2: Internal Spacing (centre to centre, measured in metres)"/>
        <w:tblDescription w:val="A table of internal axle spacings"/>
      </w:tblPr>
      <w:tblGrid>
        <w:gridCol w:w="1555"/>
        <w:gridCol w:w="847"/>
        <w:gridCol w:w="851"/>
        <w:gridCol w:w="850"/>
        <w:gridCol w:w="851"/>
        <w:gridCol w:w="853"/>
        <w:gridCol w:w="851"/>
        <w:gridCol w:w="850"/>
        <w:gridCol w:w="851"/>
        <w:gridCol w:w="850"/>
        <w:gridCol w:w="848"/>
      </w:tblGrid>
      <w:tr w:rsidR="00C509B4" w:rsidRPr="00C509B4" w14:paraId="0C8C6B71" w14:textId="77777777" w:rsidTr="00C509B4">
        <w:trPr>
          <w:trHeight w:val="420"/>
        </w:trPr>
        <w:tc>
          <w:tcPr>
            <w:tcW w:w="1555" w:type="dxa"/>
            <w:shd w:val="clear" w:color="auto" w:fill="D9D9D9" w:themeFill="background1" w:themeFillShade="D9"/>
            <w:vAlign w:val="center"/>
          </w:tcPr>
          <w:p w14:paraId="1787BB54"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Between axles</w:t>
            </w:r>
          </w:p>
        </w:tc>
        <w:tc>
          <w:tcPr>
            <w:tcW w:w="847" w:type="dxa"/>
            <w:shd w:val="clear" w:color="auto" w:fill="D9D9D9" w:themeFill="background1" w:themeFillShade="D9"/>
            <w:vAlign w:val="center"/>
          </w:tcPr>
          <w:p w14:paraId="4D2A388B"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1-3</w:t>
            </w:r>
          </w:p>
        </w:tc>
        <w:tc>
          <w:tcPr>
            <w:tcW w:w="851" w:type="dxa"/>
            <w:shd w:val="clear" w:color="auto" w:fill="D9D9D9" w:themeFill="background1" w:themeFillShade="D9"/>
            <w:vAlign w:val="center"/>
          </w:tcPr>
          <w:p w14:paraId="67C7FAB8"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2-6</w:t>
            </w:r>
          </w:p>
        </w:tc>
        <w:tc>
          <w:tcPr>
            <w:tcW w:w="850" w:type="dxa"/>
            <w:shd w:val="clear" w:color="auto" w:fill="D9D9D9" w:themeFill="background1" w:themeFillShade="D9"/>
            <w:vAlign w:val="center"/>
          </w:tcPr>
          <w:p w14:paraId="7DEA56F5"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4-8</w:t>
            </w:r>
          </w:p>
        </w:tc>
        <w:tc>
          <w:tcPr>
            <w:tcW w:w="851" w:type="dxa"/>
            <w:shd w:val="clear" w:color="auto" w:fill="D9D9D9" w:themeFill="background1" w:themeFillShade="D9"/>
            <w:vAlign w:val="center"/>
          </w:tcPr>
          <w:p w14:paraId="2216E759"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7-11</w:t>
            </w:r>
          </w:p>
        </w:tc>
        <w:tc>
          <w:tcPr>
            <w:tcW w:w="853" w:type="dxa"/>
            <w:shd w:val="clear" w:color="auto" w:fill="D9D9D9" w:themeFill="background1" w:themeFillShade="D9"/>
            <w:vAlign w:val="center"/>
          </w:tcPr>
          <w:p w14:paraId="63B5FC00"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1-6</w:t>
            </w:r>
          </w:p>
        </w:tc>
        <w:tc>
          <w:tcPr>
            <w:tcW w:w="851" w:type="dxa"/>
            <w:shd w:val="clear" w:color="auto" w:fill="D9D9D9" w:themeFill="background1" w:themeFillShade="D9"/>
            <w:vAlign w:val="center"/>
          </w:tcPr>
          <w:p w14:paraId="57916E74"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2-8</w:t>
            </w:r>
          </w:p>
        </w:tc>
        <w:tc>
          <w:tcPr>
            <w:tcW w:w="850" w:type="dxa"/>
            <w:shd w:val="clear" w:color="auto" w:fill="D9D9D9" w:themeFill="background1" w:themeFillShade="D9"/>
            <w:vAlign w:val="center"/>
          </w:tcPr>
          <w:p w14:paraId="01474BE9"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4-11</w:t>
            </w:r>
          </w:p>
        </w:tc>
        <w:tc>
          <w:tcPr>
            <w:tcW w:w="851" w:type="dxa"/>
            <w:shd w:val="clear" w:color="auto" w:fill="D9D9D9" w:themeFill="background1" w:themeFillShade="D9"/>
            <w:vAlign w:val="center"/>
          </w:tcPr>
          <w:p w14:paraId="2737CF1C"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1-8</w:t>
            </w:r>
          </w:p>
        </w:tc>
        <w:tc>
          <w:tcPr>
            <w:tcW w:w="850" w:type="dxa"/>
            <w:shd w:val="clear" w:color="auto" w:fill="D9D9D9" w:themeFill="background1" w:themeFillShade="D9"/>
            <w:vAlign w:val="center"/>
          </w:tcPr>
          <w:p w14:paraId="2311381F"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2-11</w:t>
            </w:r>
          </w:p>
        </w:tc>
        <w:tc>
          <w:tcPr>
            <w:tcW w:w="848" w:type="dxa"/>
            <w:shd w:val="clear" w:color="auto" w:fill="D9D9D9" w:themeFill="background1" w:themeFillShade="D9"/>
            <w:vAlign w:val="center"/>
          </w:tcPr>
          <w:p w14:paraId="66A2BF29"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1-11</w:t>
            </w:r>
          </w:p>
        </w:tc>
      </w:tr>
      <w:tr w:rsidR="00C509B4" w:rsidRPr="00C509B4" w14:paraId="32ADA519" w14:textId="77777777" w:rsidTr="00C509B4">
        <w:trPr>
          <w:trHeight w:val="366"/>
        </w:trPr>
        <w:tc>
          <w:tcPr>
            <w:tcW w:w="1555" w:type="dxa"/>
            <w:shd w:val="clear" w:color="auto" w:fill="D9D9D9" w:themeFill="background1" w:themeFillShade="D9"/>
            <w:vAlign w:val="center"/>
          </w:tcPr>
          <w:p w14:paraId="02027A43"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min distance (m)</w:t>
            </w:r>
          </w:p>
        </w:tc>
        <w:tc>
          <w:tcPr>
            <w:tcW w:w="847" w:type="dxa"/>
            <w:vAlign w:val="center"/>
          </w:tcPr>
          <w:p w14:paraId="34191643"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4.940</w:t>
            </w:r>
          </w:p>
        </w:tc>
        <w:tc>
          <w:tcPr>
            <w:tcW w:w="851" w:type="dxa"/>
            <w:vAlign w:val="center"/>
          </w:tcPr>
          <w:p w14:paraId="4177CB7A"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8.968</w:t>
            </w:r>
          </w:p>
        </w:tc>
        <w:tc>
          <w:tcPr>
            <w:tcW w:w="850" w:type="dxa"/>
            <w:vAlign w:val="center"/>
          </w:tcPr>
          <w:p w14:paraId="2BC5EE93"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8.040</w:t>
            </w:r>
          </w:p>
        </w:tc>
        <w:tc>
          <w:tcPr>
            <w:tcW w:w="851" w:type="dxa"/>
            <w:vAlign w:val="center"/>
          </w:tcPr>
          <w:p w14:paraId="635E3C6A"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9.518</w:t>
            </w:r>
          </w:p>
        </w:tc>
        <w:tc>
          <w:tcPr>
            <w:tcW w:w="853" w:type="dxa"/>
            <w:vAlign w:val="center"/>
          </w:tcPr>
          <w:p w14:paraId="3140A57F"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12.735</w:t>
            </w:r>
          </w:p>
        </w:tc>
        <w:tc>
          <w:tcPr>
            <w:tcW w:w="851" w:type="dxa"/>
            <w:vAlign w:val="center"/>
          </w:tcPr>
          <w:p w14:paraId="1819BDB3"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14.437</w:t>
            </w:r>
          </w:p>
        </w:tc>
        <w:tc>
          <w:tcPr>
            <w:tcW w:w="850" w:type="dxa"/>
            <w:vAlign w:val="center"/>
          </w:tcPr>
          <w:p w14:paraId="2E8F3739"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16.265</w:t>
            </w:r>
          </w:p>
        </w:tc>
        <w:tc>
          <w:tcPr>
            <w:tcW w:w="851" w:type="dxa"/>
            <w:vAlign w:val="center"/>
          </w:tcPr>
          <w:p w14:paraId="47464C37"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18.123</w:t>
            </w:r>
          </w:p>
        </w:tc>
        <w:tc>
          <w:tcPr>
            <w:tcW w:w="850" w:type="dxa"/>
            <w:vAlign w:val="center"/>
          </w:tcPr>
          <w:p w14:paraId="6EE6B0E5"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22.635</w:t>
            </w:r>
          </w:p>
        </w:tc>
        <w:tc>
          <w:tcPr>
            <w:tcW w:w="848" w:type="dxa"/>
            <w:vAlign w:val="center"/>
          </w:tcPr>
          <w:p w14:paraId="231D3602"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26.255</w:t>
            </w:r>
          </w:p>
        </w:tc>
      </w:tr>
      <w:tr w:rsidR="00C509B4" w:rsidRPr="00C509B4" w14:paraId="30D56147" w14:textId="77777777" w:rsidTr="00C509B4">
        <w:trPr>
          <w:trHeight w:val="420"/>
        </w:trPr>
        <w:tc>
          <w:tcPr>
            <w:tcW w:w="1555" w:type="dxa"/>
            <w:shd w:val="clear" w:color="auto" w:fill="D9D9D9" w:themeFill="background1" w:themeFillShade="D9"/>
            <w:vAlign w:val="center"/>
          </w:tcPr>
          <w:p w14:paraId="4AA376AA"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max distance (m)</w:t>
            </w:r>
          </w:p>
        </w:tc>
        <w:tc>
          <w:tcPr>
            <w:tcW w:w="847" w:type="dxa"/>
            <w:vAlign w:val="center"/>
          </w:tcPr>
          <w:p w14:paraId="7C0C35A4"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6.660</w:t>
            </w:r>
          </w:p>
        </w:tc>
        <w:tc>
          <w:tcPr>
            <w:tcW w:w="851" w:type="dxa"/>
            <w:vAlign w:val="center"/>
          </w:tcPr>
          <w:p w14:paraId="7B72C544"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9.115</w:t>
            </w:r>
          </w:p>
        </w:tc>
        <w:tc>
          <w:tcPr>
            <w:tcW w:w="850" w:type="dxa"/>
            <w:vAlign w:val="center"/>
          </w:tcPr>
          <w:p w14:paraId="7D06C918"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8.158</w:t>
            </w:r>
          </w:p>
        </w:tc>
        <w:tc>
          <w:tcPr>
            <w:tcW w:w="851" w:type="dxa"/>
            <w:vAlign w:val="center"/>
          </w:tcPr>
          <w:p w14:paraId="085DA69E"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9.627</w:t>
            </w:r>
          </w:p>
        </w:tc>
        <w:tc>
          <w:tcPr>
            <w:tcW w:w="853" w:type="dxa"/>
            <w:vAlign w:val="center"/>
          </w:tcPr>
          <w:p w14:paraId="0BCDA97C"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14.389</w:t>
            </w:r>
          </w:p>
        </w:tc>
        <w:tc>
          <w:tcPr>
            <w:tcW w:w="851" w:type="dxa"/>
            <w:vAlign w:val="center"/>
          </w:tcPr>
          <w:p w14:paraId="6BEBA25B"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14.540</w:t>
            </w:r>
          </w:p>
        </w:tc>
        <w:tc>
          <w:tcPr>
            <w:tcW w:w="850" w:type="dxa"/>
            <w:vAlign w:val="center"/>
          </w:tcPr>
          <w:p w14:paraId="49C0729F"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16.399</w:t>
            </w:r>
          </w:p>
        </w:tc>
        <w:tc>
          <w:tcPr>
            <w:tcW w:w="851" w:type="dxa"/>
            <w:vAlign w:val="center"/>
          </w:tcPr>
          <w:p w14:paraId="76FA1773"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19.777</w:t>
            </w:r>
          </w:p>
        </w:tc>
        <w:tc>
          <w:tcPr>
            <w:tcW w:w="850" w:type="dxa"/>
            <w:vAlign w:val="center"/>
          </w:tcPr>
          <w:p w14:paraId="736280DF"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22.770</w:t>
            </w:r>
          </w:p>
        </w:tc>
        <w:tc>
          <w:tcPr>
            <w:tcW w:w="848" w:type="dxa"/>
            <w:vAlign w:val="center"/>
          </w:tcPr>
          <w:p w14:paraId="24F6F302"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28.018</w:t>
            </w:r>
          </w:p>
        </w:tc>
      </w:tr>
    </w:tbl>
    <w:p w14:paraId="0501BA90" w14:textId="77777777" w:rsidR="00C509B4" w:rsidRPr="00341ACC" w:rsidRDefault="00C509B4" w:rsidP="00055C6D">
      <w:pPr>
        <w:pStyle w:val="BodyText"/>
        <w:spacing w:before="240" w:line="240" w:lineRule="auto"/>
        <w:ind w:left="567" w:hanging="567"/>
        <w:contextualSpacing/>
        <w:rPr>
          <w:b/>
        </w:rPr>
      </w:pPr>
      <w:r w:rsidRPr="00341ACC">
        <w:rPr>
          <w:b/>
        </w:rPr>
        <w:t>A-double Reference Vehicle 3</w:t>
      </w:r>
      <w:r>
        <w:rPr>
          <w:b/>
        </w:rPr>
        <w:t xml:space="preserve"> (short drawbar)</w:t>
      </w:r>
    </w:p>
    <w:p w14:paraId="2E5ECAA7" w14:textId="77777777" w:rsidR="00C509B4" w:rsidRPr="00C509B4" w:rsidRDefault="00C509B4" w:rsidP="00055C6D">
      <w:pPr>
        <w:pStyle w:val="BodyText"/>
        <w:spacing w:line="240" w:lineRule="auto"/>
        <w:contextualSpacing/>
      </w:pPr>
      <w:r w:rsidRPr="00C509B4">
        <w:rPr>
          <w:b/>
        </w:rPr>
        <w:t>Table 3: Internal Spacing (centre to centre, measured in metres)</w:t>
      </w:r>
    </w:p>
    <w:tbl>
      <w:tblPr>
        <w:tblStyle w:val="TableGrid"/>
        <w:tblW w:w="10057" w:type="dxa"/>
        <w:tblLayout w:type="fixed"/>
        <w:tblLook w:val="04A0" w:firstRow="1" w:lastRow="0" w:firstColumn="1" w:lastColumn="0" w:noHBand="0" w:noVBand="1"/>
        <w:tblCaption w:val="Table 3: Internal Spacing (centre to centre, measured in metres)"/>
        <w:tblDescription w:val="A table of internal axle spacings"/>
      </w:tblPr>
      <w:tblGrid>
        <w:gridCol w:w="1555"/>
        <w:gridCol w:w="847"/>
        <w:gridCol w:w="851"/>
        <w:gridCol w:w="850"/>
        <w:gridCol w:w="851"/>
        <w:gridCol w:w="853"/>
        <w:gridCol w:w="851"/>
        <w:gridCol w:w="850"/>
        <w:gridCol w:w="851"/>
        <w:gridCol w:w="850"/>
        <w:gridCol w:w="848"/>
      </w:tblGrid>
      <w:tr w:rsidR="00C509B4" w:rsidRPr="00341ACC" w14:paraId="555A16E3" w14:textId="77777777" w:rsidTr="00C509B4">
        <w:trPr>
          <w:trHeight w:val="420"/>
        </w:trPr>
        <w:tc>
          <w:tcPr>
            <w:tcW w:w="1555" w:type="dxa"/>
            <w:shd w:val="clear" w:color="auto" w:fill="D9D9D9" w:themeFill="background1" w:themeFillShade="D9"/>
            <w:vAlign w:val="center"/>
          </w:tcPr>
          <w:p w14:paraId="0591462F"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Between axles</w:t>
            </w:r>
          </w:p>
        </w:tc>
        <w:tc>
          <w:tcPr>
            <w:tcW w:w="847" w:type="dxa"/>
            <w:shd w:val="clear" w:color="auto" w:fill="D9D9D9" w:themeFill="background1" w:themeFillShade="D9"/>
            <w:vAlign w:val="center"/>
          </w:tcPr>
          <w:p w14:paraId="313E2090"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1-3</w:t>
            </w:r>
          </w:p>
        </w:tc>
        <w:tc>
          <w:tcPr>
            <w:tcW w:w="851" w:type="dxa"/>
            <w:shd w:val="clear" w:color="auto" w:fill="D9D9D9" w:themeFill="background1" w:themeFillShade="D9"/>
            <w:vAlign w:val="center"/>
          </w:tcPr>
          <w:p w14:paraId="37740396"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2-6</w:t>
            </w:r>
          </w:p>
        </w:tc>
        <w:tc>
          <w:tcPr>
            <w:tcW w:w="850" w:type="dxa"/>
            <w:shd w:val="clear" w:color="auto" w:fill="D9D9D9" w:themeFill="background1" w:themeFillShade="D9"/>
            <w:vAlign w:val="center"/>
          </w:tcPr>
          <w:p w14:paraId="78BA7212"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4-8</w:t>
            </w:r>
          </w:p>
        </w:tc>
        <w:tc>
          <w:tcPr>
            <w:tcW w:w="851" w:type="dxa"/>
            <w:shd w:val="clear" w:color="auto" w:fill="D9D9D9" w:themeFill="background1" w:themeFillShade="D9"/>
            <w:vAlign w:val="center"/>
          </w:tcPr>
          <w:p w14:paraId="23B721EA"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7-11</w:t>
            </w:r>
          </w:p>
        </w:tc>
        <w:tc>
          <w:tcPr>
            <w:tcW w:w="853" w:type="dxa"/>
            <w:shd w:val="clear" w:color="auto" w:fill="D9D9D9" w:themeFill="background1" w:themeFillShade="D9"/>
            <w:vAlign w:val="center"/>
          </w:tcPr>
          <w:p w14:paraId="439CCDC6"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1-6</w:t>
            </w:r>
          </w:p>
        </w:tc>
        <w:tc>
          <w:tcPr>
            <w:tcW w:w="851" w:type="dxa"/>
            <w:shd w:val="clear" w:color="auto" w:fill="D9D9D9" w:themeFill="background1" w:themeFillShade="D9"/>
            <w:vAlign w:val="center"/>
          </w:tcPr>
          <w:p w14:paraId="718EEE82"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2-8</w:t>
            </w:r>
          </w:p>
        </w:tc>
        <w:tc>
          <w:tcPr>
            <w:tcW w:w="850" w:type="dxa"/>
            <w:shd w:val="clear" w:color="auto" w:fill="D9D9D9" w:themeFill="background1" w:themeFillShade="D9"/>
            <w:vAlign w:val="center"/>
          </w:tcPr>
          <w:p w14:paraId="1360D94E"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4-11</w:t>
            </w:r>
          </w:p>
        </w:tc>
        <w:tc>
          <w:tcPr>
            <w:tcW w:w="851" w:type="dxa"/>
            <w:shd w:val="clear" w:color="auto" w:fill="D9D9D9" w:themeFill="background1" w:themeFillShade="D9"/>
            <w:vAlign w:val="center"/>
          </w:tcPr>
          <w:p w14:paraId="057D445B"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1-8</w:t>
            </w:r>
          </w:p>
        </w:tc>
        <w:tc>
          <w:tcPr>
            <w:tcW w:w="850" w:type="dxa"/>
            <w:shd w:val="clear" w:color="auto" w:fill="D9D9D9" w:themeFill="background1" w:themeFillShade="D9"/>
            <w:vAlign w:val="center"/>
          </w:tcPr>
          <w:p w14:paraId="31B40152"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2-11</w:t>
            </w:r>
          </w:p>
        </w:tc>
        <w:tc>
          <w:tcPr>
            <w:tcW w:w="848" w:type="dxa"/>
            <w:shd w:val="clear" w:color="auto" w:fill="D9D9D9" w:themeFill="background1" w:themeFillShade="D9"/>
            <w:vAlign w:val="center"/>
          </w:tcPr>
          <w:p w14:paraId="61A36B59"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1-11</w:t>
            </w:r>
          </w:p>
        </w:tc>
      </w:tr>
      <w:tr w:rsidR="00C509B4" w:rsidRPr="00341ACC" w14:paraId="675D92D1" w14:textId="77777777" w:rsidTr="00C509B4">
        <w:trPr>
          <w:trHeight w:val="366"/>
        </w:trPr>
        <w:tc>
          <w:tcPr>
            <w:tcW w:w="1555" w:type="dxa"/>
            <w:shd w:val="clear" w:color="auto" w:fill="D9D9D9" w:themeFill="background1" w:themeFillShade="D9"/>
            <w:vAlign w:val="center"/>
          </w:tcPr>
          <w:p w14:paraId="7C2CEF55"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min distance (m)</w:t>
            </w:r>
          </w:p>
        </w:tc>
        <w:tc>
          <w:tcPr>
            <w:tcW w:w="847" w:type="dxa"/>
            <w:vAlign w:val="center"/>
          </w:tcPr>
          <w:p w14:paraId="62E68D28"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4.450</w:t>
            </w:r>
          </w:p>
        </w:tc>
        <w:tc>
          <w:tcPr>
            <w:tcW w:w="851" w:type="dxa"/>
            <w:vAlign w:val="center"/>
          </w:tcPr>
          <w:p w14:paraId="41C22C58"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10.060</w:t>
            </w:r>
          </w:p>
        </w:tc>
        <w:tc>
          <w:tcPr>
            <w:tcW w:w="850" w:type="dxa"/>
            <w:vAlign w:val="center"/>
          </w:tcPr>
          <w:p w14:paraId="512C0CA0"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7.295</w:t>
            </w:r>
          </w:p>
        </w:tc>
        <w:tc>
          <w:tcPr>
            <w:tcW w:w="851" w:type="dxa"/>
            <w:vAlign w:val="center"/>
          </w:tcPr>
          <w:p w14:paraId="21ED3C1B"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10.215</w:t>
            </w:r>
          </w:p>
        </w:tc>
        <w:tc>
          <w:tcPr>
            <w:tcW w:w="853" w:type="dxa"/>
            <w:vAlign w:val="center"/>
          </w:tcPr>
          <w:p w14:paraId="25279374"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13.195</w:t>
            </w:r>
          </w:p>
        </w:tc>
        <w:tc>
          <w:tcPr>
            <w:tcW w:w="851" w:type="dxa"/>
            <w:vAlign w:val="center"/>
          </w:tcPr>
          <w:p w14:paraId="7A509317"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14.910</w:t>
            </w:r>
          </w:p>
        </w:tc>
        <w:tc>
          <w:tcPr>
            <w:tcW w:w="850" w:type="dxa"/>
            <w:vAlign w:val="center"/>
          </w:tcPr>
          <w:p w14:paraId="0027E447"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16.260</w:t>
            </w:r>
          </w:p>
        </w:tc>
        <w:tc>
          <w:tcPr>
            <w:tcW w:w="851" w:type="dxa"/>
            <w:vAlign w:val="center"/>
          </w:tcPr>
          <w:p w14:paraId="156D2248"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18.050</w:t>
            </w:r>
          </w:p>
        </w:tc>
        <w:tc>
          <w:tcPr>
            <w:tcW w:w="850" w:type="dxa"/>
            <w:vAlign w:val="center"/>
          </w:tcPr>
          <w:p w14:paraId="16C8D743"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23.990</w:t>
            </w:r>
          </w:p>
        </w:tc>
        <w:tc>
          <w:tcPr>
            <w:tcW w:w="848" w:type="dxa"/>
            <w:vAlign w:val="center"/>
          </w:tcPr>
          <w:p w14:paraId="31F6E28A"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27.135</w:t>
            </w:r>
          </w:p>
        </w:tc>
      </w:tr>
      <w:tr w:rsidR="00C509B4" w:rsidRPr="00341ACC" w14:paraId="164426E9" w14:textId="77777777" w:rsidTr="00C509B4">
        <w:trPr>
          <w:trHeight w:val="420"/>
        </w:trPr>
        <w:tc>
          <w:tcPr>
            <w:tcW w:w="1555" w:type="dxa"/>
            <w:shd w:val="clear" w:color="auto" w:fill="D9D9D9" w:themeFill="background1" w:themeFillShade="D9"/>
            <w:vAlign w:val="center"/>
          </w:tcPr>
          <w:p w14:paraId="0BD6414F" w14:textId="77777777" w:rsidR="00C509B4" w:rsidRPr="00C509B4" w:rsidRDefault="00C509B4" w:rsidP="00055C6D">
            <w:pPr>
              <w:pStyle w:val="BodyText"/>
              <w:spacing w:after="0"/>
              <w:ind w:left="567" w:hanging="567"/>
              <w:contextualSpacing/>
              <w:jc w:val="center"/>
              <w:rPr>
                <w:sz w:val="20"/>
                <w:szCs w:val="20"/>
              </w:rPr>
            </w:pPr>
            <w:r w:rsidRPr="00C509B4">
              <w:rPr>
                <w:sz w:val="20"/>
                <w:szCs w:val="20"/>
              </w:rPr>
              <w:t>max distance (m)</w:t>
            </w:r>
          </w:p>
        </w:tc>
        <w:tc>
          <w:tcPr>
            <w:tcW w:w="847" w:type="dxa"/>
            <w:vAlign w:val="center"/>
          </w:tcPr>
          <w:p w14:paraId="35941DF6"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4.570</w:t>
            </w:r>
          </w:p>
        </w:tc>
        <w:tc>
          <w:tcPr>
            <w:tcW w:w="851" w:type="dxa"/>
            <w:vAlign w:val="center"/>
          </w:tcPr>
          <w:p w14:paraId="0E4E2AEE"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10.220</w:t>
            </w:r>
          </w:p>
        </w:tc>
        <w:tc>
          <w:tcPr>
            <w:tcW w:w="850" w:type="dxa"/>
            <w:vAlign w:val="center"/>
          </w:tcPr>
          <w:p w14:paraId="67D1A7A7"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7.300</w:t>
            </w:r>
          </w:p>
        </w:tc>
        <w:tc>
          <w:tcPr>
            <w:tcW w:w="851" w:type="dxa"/>
            <w:vAlign w:val="center"/>
          </w:tcPr>
          <w:p w14:paraId="71199E89"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10.340</w:t>
            </w:r>
          </w:p>
        </w:tc>
        <w:tc>
          <w:tcPr>
            <w:tcW w:w="853" w:type="dxa"/>
            <w:vAlign w:val="center"/>
          </w:tcPr>
          <w:p w14:paraId="7EE3EB0C"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13.405</w:t>
            </w:r>
          </w:p>
        </w:tc>
        <w:tc>
          <w:tcPr>
            <w:tcW w:w="851" w:type="dxa"/>
            <w:vAlign w:val="center"/>
          </w:tcPr>
          <w:p w14:paraId="08BD202D"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15.075</w:t>
            </w:r>
          </w:p>
        </w:tc>
        <w:tc>
          <w:tcPr>
            <w:tcW w:w="850" w:type="dxa"/>
            <w:vAlign w:val="center"/>
          </w:tcPr>
          <w:p w14:paraId="5A8818B7"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16.380</w:t>
            </w:r>
          </w:p>
        </w:tc>
        <w:tc>
          <w:tcPr>
            <w:tcW w:w="851" w:type="dxa"/>
            <w:vAlign w:val="center"/>
          </w:tcPr>
          <w:p w14:paraId="3229116D"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18.260</w:t>
            </w:r>
          </w:p>
        </w:tc>
        <w:tc>
          <w:tcPr>
            <w:tcW w:w="850" w:type="dxa"/>
            <w:vAlign w:val="center"/>
          </w:tcPr>
          <w:p w14:paraId="6C8E607B"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24.145</w:t>
            </w:r>
          </w:p>
        </w:tc>
        <w:tc>
          <w:tcPr>
            <w:tcW w:w="848" w:type="dxa"/>
            <w:vAlign w:val="center"/>
          </w:tcPr>
          <w:p w14:paraId="2D183F61" w14:textId="77777777" w:rsidR="00C509B4" w:rsidRPr="00C509B4" w:rsidRDefault="00C509B4" w:rsidP="00055C6D">
            <w:pPr>
              <w:pStyle w:val="BodyText"/>
              <w:spacing w:after="0"/>
              <w:ind w:left="567" w:hanging="567"/>
              <w:contextualSpacing/>
              <w:jc w:val="center"/>
              <w:rPr>
                <w:sz w:val="20"/>
                <w:szCs w:val="20"/>
              </w:rPr>
            </w:pPr>
            <w:r w:rsidRPr="00C509B4">
              <w:rPr>
                <w:rFonts w:eastAsia="Times New Roman" w:cstheme="minorHAnsi"/>
                <w:color w:val="000000"/>
                <w:sz w:val="20"/>
                <w:szCs w:val="20"/>
                <w:lang w:eastAsia="en-AU"/>
              </w:rPr>
              <w:t>27.345</w:t>
            </w:r>
          </w:p>
        </w:tc>
      </w:tr>
    </w:tbl>
    <w:p w14:paraId="4F9574BD" w14:textId="77777777" w:rsidR="00C509B4" w:rsidRPr="00341ACC" w:rsidRDefault="00C509B4" w:rsidP="00055C6D">
      <w:pPr>
        <w:pStyle w:val="BodyText"/>
        <w:spacing w:after="0" w:line="240" w:lineRule="auto"/>
        <w:ind w:left="567" w:hanging="567"/>
        <w:contextualSpacing/>
        <w:rPr>
          <w:u w:val="single"/>
        </w:rPr>
      </w:pPr>
    </w:p>
    <w:p w14:paraId="33AC4410" w14:textId="77777777" w:rsidR="00C509B4" w:rsidRPr="00FF0EFA" w:rsidRDefault="00C509B4" w:rsidP="00055C6D">
      <w:pPr>
        <w:contextualSpacing/>
        <w:jc w:val="both"/>
      </w:pPr>
    </w:p>
    <w:sectPr w:rsidR="00C509B4" w:rsidRPr="00FF0EFA" w:rsidSect="00533715">
      <w:footerReference w:type="default" r:id="rId11"/>
      <w:headerReference w:type="first" r:id="rId12"/>
      <w:footerReference w:type="first" r:id="rId13"/>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F6E2" w14:textId="77777777" w:rsidR="00034B8D" w:rsidRDefault="00034B8D">
      <w:pPr>
        <w:spacing w:after="0" w:line="240" w:lineRule="auto"/>
      </w:pPr>
      <w:r>
        <w:separator/>
      </w:r>
    </w:p>
  </w:endnote>
  <w:endnote w:type="continuationSeparator" w:id="0">
    <w:p w14:paraId="22E549C2" w14:textId="77777777" w:rsidR="00034B8D" w:rsidRDefault="00034B8D">
      <w:pPr>
        <w:spacing w:after="0" w:line="240" w:lineRule="auto"/>
      </w:pPr>
      <w:r>
        <w:continuationSeparator/>
      </w:r>
    </w:p>
  </w:endnote>
  <w:endnote w:type="continuationNotice" w:id="1">
    <w:p w14:paraId="54139B72" w14:textId="77777777" w:rsidR="00034B8D" w:rsidRDefault="00034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6376" w14:textId="77777777" w:rsidR="00533715" w:rsidRDefault="00533715" w:rsidP="00B62945">
    <w:pPr>
      <w:pStyle w:val="Footer"/>
      <w:jc w:val="right"/>
    </w:pPr>
  </w:p>
  <w:p w14:paraId="798E7A3C" w14:textId="28523472" w:rsidR="003C1905" w:rsidRDefault="003C1905" w:rsidP="003C1905">
    <w:pPr>
      <w:pStyle w:val="Footer"/>
      <w:jc w:val="right"/>
      <w:rPr>
        <w:i/>
      </w:rPr>
    </w:pPr>
    <w:r w:rsidRPr="003C1905">
      <w:rPr>
        <w:i/>
      </w:rPr>
      <w:t>Queensland Class 2 Performance Based Standards A-Double (Toowoomba to Port of Bri</w:t>
    </w:r>
    <w:r w:rsidR="003943FE">
      <w:rPr>
        <w:i/>
      </w:rPr>
      <w:t>sbane) Authorisation Notice 20</w:t>
    </w:r>
    <w:r w:rsidR="0090070D">
      <w:rPr>
        <w:i/>
      </w:rPr>
      <w:t>22</w:t>
    </w:r>
    <w:r w:rsidR="00663B89">
      <w:rPr>
        <w:i/>
      </w:rPr>
      <w:t xml:space="preserve"> (No.</w:t>
    </w:r>
    <w:r w:rsidR="0090070D">
      <w:rPr>
        <w:i/>
      </w:rPr>
      <w:t>1</w:t>
    </w:r>
    <w:r w:rsidR="000A6B21">
      <w:rPr>
        <w:i/>
      </w:rPr>
      <w:t>)</w:t>
    </w:r>
  </w:p>
  <w:p w14:paraId="69F43DDD" w14:textId="77777777" w:rsidR="003C1905" w:rsidRPr="00CA1786" w:rsidRDefault="003C1905" w:rsidP="003C1905">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512B17">
      <w:rPr>
        <w:rFonts w:ascii="Calibri" w:hAnsi="Calibri"/>
        <w:noProof/>
        <w:sz w:val="20"/>
        <w:szCs w:val="20"/>
        <w:lang w:val="en-US"/>
      </w:rPr>
      <w:t>2</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512B17">
      <w:rPr>
        <w:rFonts w:ascii="Calibri" w:hAnsi="Calibri"/>
        <w:noProof/>
        <w:sz w:val="20"/>
        <w:szCs w:val="20"/>
        <w:lang w:val="en-US"/>
      </w:rPr>
      <w:t>5</w:t>
    </w:r>
    <w:r w:rsidRPr="00136DD2">
      <w:rPr>
        <w:rFonts w:ascii="Calibri" w:hAnsi="Calibri"/>
        <w:sz w:val="20"/>
        <w:szCs w:val="20"/>
        <w:lang w:val="en-US"/>
      </w:rPr>
      <w:fldChar w:fldCharType="end"/>
    </w:r>
  </w:p>
  <w:p w14:paraId="59F6410B" w14:textId="77777777" w:rsidR="00533715" w:rsidRDefault="00533715" w:rsidP="003C190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903E" w14:textId="77777777" w:rsidR="00533715" w:rsidRDefault="00533715" w:rsidP="00FD74B6">
    <w:pPr>
      <w:pStyle w:val="Footer"/>
      <w:jc w:val="right"/>
      <w:rPr>
        <w:sz w:val="20"/>
        <w:szCs w:val="20"/>
      </w:rPr>
    </w:pPr>
  </w:p>
  <w:p w14:paraId="49D490E9" w14:textId="71BED243" w:rsidR="003C1905" w:rsidRDefault="003C1905" w:rsidP="00533715">
    <w:pPr>
      <w:pStyle w:val="Footer"/>
      <w:jc w:val="right"/>
      <w:rPr>
        <w:i/>
      </w:rPr>
    </w:pPr>
    <w:r w:rsidRPr="003C1905">
      <w:rPr>
        <w:i/>
      </w:rPr>
      <w:t>Queensland Class 2 Performance Based Standards A-Double (Toowoomba to Port of Bri</w:t>
    </w:r>
    <w:r w:rsidR="00F95553">
      <w:rPr>
        <w:i/>
      </w:rPr>
      <w:t>sbane) Authorisation Notice 20</w:t>
    </w:r>
    <w:r w:rsidR="000F4F7D">
      <w:rPr>
        <w:i/>
      </w:rPr>
      <w:t>22</w:t>
    </w:r>
    <w:r w:rsidR="00663B89">
      <w:rPr>
        <w:i/>
      </w:rPr>
      <w:t xml:space="preserve"> (No.</w:t>
    </w:r>
    <w:r w:rsidR="000F4F7D">
      <w:rPr>
        <w:i/>
      </w:rPr>
      <w:t>1</w:t>
    </w:r>
    <w:r w:rsidR="000A6B21">
      <w:rPr>
        <w:i/>
      </w:rPr>
      <w:t>)</w:t>
    </w:r>
  </w:p>
  <w:p w14:paraId="7AC8142E" w14:textId="77777777" w:rsidR="00533715" w:rsidRPr="00CA1786" w:rsidRDefault="00533715" w:rsidP="00533715">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512B17">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512B17">
      <w:rPr>
        <w:rFonts w:ascii="Calibri" w:hAnsi="Calibri"/>
        <w:noProof/>
        <w:sz w:val="20"/>
        <w:szCs w:val="20"/>
        <w:lang w:val="en-US"/>
      </w:rPr>
      <w:t>5</w:t>
    </w:r>
    <w:r w:rsidRPr="00136DD2">
      <w:rPr>
        <w:rFonts w:ascii="Calibri" w:hAnsi="Calibri"/>
        <w:sz w:val="20"/>
        <w:szCs w:val="20"/>
        <w:lang w:val="en-US"/>
      </w:rPr>
      <w:fldChar w:fldCharType="end"/>
    </w:r>
  </w:p>
  <w:p w14:paraId="68BB2B3C" w14:textId="77777777" w:rsidR="00533715" w:rsidRDefault="0053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1D92" w14:textId="77777777" w:rsidR="00034B8D" w:rsidRDefault="00034B8D">
      <w:pPr>
        <w:spacing w:after="0" w:line="240" w:lineRule="auto"/>
      </w:pPr>
      <w:r>
        <w:separator/>
      </w:r>
    </w:p>
  </w:footnote>
  <w:footnote w:type="continuationSeparator" w:id="0">
    <w:p w14:paraId="677E884C" w14:textId="77777777" w:rsidR="00034B8D" w:rsidRDefault="00034B8D">
      <w:pPr>
        <w:spacing w:after="0" w:line="240" w:lineRule="auto"/>
      </w:pPr>
      <w:r>
        <w:continuationSeparator/>
      </w:r>
    </w:p>
  </w:footnote>
  <w:footnote w:type="continuationNotice" w:id="1">
    <w:p w14:paraId="33D73AA1" w14:textId="77777777" w:rsidR="00034B8D" w:rsidRDefault="00034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8391" w14:textId="77777777" w:rsidR="00B67283" w:rsidRPr="003A707F" w:rsidRDefault="00B67283" w:rsidP="00B67283">
    <w:pPr>
      <w:pStyle w:val="Header"/>
      <w:rPr>
        <w:sz w:val="2"/>
        <w:szCs w:val="2"/>
      </w:rPr>
    </w:pPr>
  </w:p>
  <w:p w14:paraId="0707315D" w14:textId="77777777" w:rsidR="00533715" w:rsidRPr="003A707F" w:rsidRDefault="00533715" w:rsidP="00533715">
    <w:pPr>
      <w:pStyle w:val="Header"/>
      <w:rPr>
        <w:sz w:val="2"/>
        <w:szCs w:val="2"/>
      </w:rPr>
    </w:pPr>
  </w:p>
  <w:p w14:paraId="39FD6E8A" w14:textId="77777777" w:rsidR="00D466A6" w:rsidRPr="00F40885" w:rsidRDefault="00D466A6" w:rsidP="00D466A6">
    <w:pPr>
      <w:pStyle w:val="Header"/>
      <w:tabs>
        <w:tab w:val="clear" w:pos="4513"/>
        <w:tab w:val="clear" w:pos="9026"/>
        <w:tab w:val="left" w:pos="1380"/>
      </w:tabs>
      <w:rPr>
        <w:sz w:val="2"/>
        <w:szCs w:val="2"/>
      </w:rPr>
    </w:pPr>
    <w:r>
      <w:rPr>
        <w:sz w:val="2"/>
        <w:szCs w:val="2"/>
      </w:rPr>
      <w:tab/>
    </w:r>
  </w:p>
  <w:tbl>
    <w:tblPr>
      <w:tblW w:w="9677" w:type="dxa"/>
      <w:tblInd w:w="80" w:type="dxa"/>
      <w:tblLayout w:type="fixed"/>
      <w:tblLook w:val="01E0" w:firstRow="1" w:lastRow="1" w:firstColumn="1" w:lastColumn="1" w:noHBand="0" w:noVBand="0"/>
    </w:tblPr>
    <w:tblGrid>
      <w:gridCol w:w="1263"/>
      <w:gridCol w:w="4435"/>
      <w:gridCol w:w="3979"/>
    </w:tblGrid>
    <w:tr w:rsidR="00055C6D" w:rsidRPr="00CE796A" w14:paraId="0AC0D6B0" w14:textId="77777777" w:rsidTr="000B55A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4918CA8" w14:textId="77777777" w:rsidR="00055C6D" w:rsidRPr="00CE796A" w:rsidRDefault="00055C6D" w:rsidP="00055C6D">
          <w:pPr>
            <w:spacing w:before="60" w:after="0"/>
            <w:ind w:left="-51"/>
            <w:rPr>
              <w:rFonts w:ascii="Arial" w:hAnsi="Arial"/>
              <w:sz w:val="12"/>
            </w:rPr>
          </w:pPr>
          <w:bookmarkStart w:id="1" w:name="GazNo"/>
          <w:bookmarkStart w:id="2" w:name="OLE_LINK2"/>
          <w:bookmarkEnd w:id="1"/>
          <w:r>
            <w:rPr>
              <w:rFonts w:ascii="Arial" w:hAnsi="Arial"/>
              <w:noProof/>
              <w:sz w:val="12"/>
            </w:rPr>
            <w:drawing>
              <wp:inline distT="0" distB="0" distL="0" distR="0" wp14:anchorId="2FF25E94" wp14:editId="00232C8F">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ECE0138" w14:textId="77777777" w:rsidR="00055C6D" w:rsidRPr="00CE796A" w:rsidRDefault="00055C6D" w:rsidP="00055C6D">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011824F" w14:textId="77777777" w:rsidR="00055C6D" w:rsidRPr="00CE796A" w:rsidRDefault="00055C6D" w:rsidP="00055C6D">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055C6D" w:rsidRPr="00CE796A" w14:paraId="20EC9A91" w14:textId="77777777" w:rsidTr="000B55A8">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2F8C414" w14:textId="77777777" w:rsidR="00055C6D" w:rsidRPr="00CE796A" w:rsidRDefault="00055C6D" w:rsidP="00055C6D">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C86F833" w14:textId="77777777" w:rsidR="00055C6D" w:rsidRPr="00840A06" w:rsidRDefault="00055C6D" w:rsidP="00055C6D">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A866EFC" w14:textId="77777777" w:rsidR="00533715" w:rsidRPr="00F40885" w:rsidRDefault="00533715" w:rsidP="00055C6D">
    <w:pPr>
      <w:pStyle w:val="Header"/>
      <w:tabs>
        <w:tab w:val="clear" w:pos="4513"/>
        <w:tab w:val="clear" w:pos="9026"/>
        <w:tab w:val="left" w:pos="138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A7B"/>
    <w:multiLevelType w:val="hybridMultilevel"/>
    <w:tmpl w:val="FF7E2A72"/>
    <w:lvl w:ilvl="0" w:tplc="21C628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2" w15:restartNumberingAfterBreak="0">
    <w:nsid w:val="08EF7796"/>
    <w:multiLevelType w:val="hybridMultilevel"/>
    <w:tmpl w:val="7918EF4C"/>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4" w15:restartNumberingAfterBreak="0">
    <w:nsid w:val="123E0CE4"/>
    <w:multiLevelType w:val="hybridMultilevel"/>
    <w:tmpl w:val="629C666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C1B7C44"/>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627528"/>
    <w:multiLevelType w:val="multilevel"/>
    <w:tmpl w:val="928CA79E"/>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7" w15:restartNumberingAfterBreak="0">
    <w:nsid w:val="30171DD1"/>
    <w:multiLevelType w:val="hybridMultilevel"/>
    <w:tmpl w:val="8B00231C"/>
    <w:lvl w:ilvl="0" w:tplc="D9949486">
      <w:start w:val="1"/>
      <w:numFmt w:val="decimal"/>
      <w:pStyle w:val="Sectionheading-QldSI"/>
      <w:lvlText w:val="%1"/>
      <w:lvlJc w:val="left"/>
      <w:pPr>
        <w:ind w:left="910" w:hanging="781"/>
      </w:pPr>
      <w:rPr>
        <w:rFonts w:ascii="Arial" w:eastAsia="Arial" w:hAnsi="Arial" w:hint="default"/>
        <w:b/>
        <w:bCs/>
        <w:w w:val="102"/>
        <w:sz w:val="23"/>
        <w:szCs w:val="23"/>
      </w:rPr>
    </w:lvl>
    <w:lvl w:ilvl="1" w:tplc="F628165E">
      <w:start w:val="1"/>
      <w:numFmt w:val="decimal"/>
      <w:pStyle w:val="Bodylevel11subheading-QldSI"/>
      <w:lvlText w:val="(%2)"/>
      <w:lvlJc w:val="left"/>
      <w:pPr>
        <w:ind w:left="1378" w:hanging="521"/>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3AA0C1E">
      <w:start w:val="1"/>
      <w:numFmt w:val="lowerLetter"/>
      <w:pStyle w:val="Bodylevel2asubheading-QldSI"/>
      <w:lvlText w:val="(%3)"/>
      <w:lvlJc w:val="left"/>
      <w:pPr>
        <w:ind w:left="1830" w:hanging="553"/>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8" w15:restartNumberingAfterBreak="0">
    <w:nsid w:val="309D2D6A"/>
    <w:multiLevelType w:val="hybridMultilevel"/>
    <w:tmpl w:val="D7183304"/>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B230E3"/>
    <w:multiLevelType w:val="hybridMultilevel"/>
    <w:tmpl w:val="D7183304"/>
    <w:lvl w:ilvl="0" w:tplc="0C090017">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B3B7DFF"/>
    <w:multiLevelType w:val="hybridMultilevel"/>
    <w:tmpl w:val="D7183304"/>
    <w:lvl w:ilvl="0" w:tplc="0C090017">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EB1452D"/>
    <w:multiLevelType w:val="hybridMultilevel"/>
    <w:tmpl w:val="D7183304"/>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3596A96"/>
    <w:multiLevelType w:val="hybridMultilevel"/>
    <w:tmpl w:val="629C666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5837BA7"/>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E90905"/>
    <w:multiLevelType w:val="hybridMultilevel"/>
    <w:tmpl w:val="E9CCFC84"/>
    <w:lvl w:ilvl="0" w:tplc="05C224F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681665"/>
    <w:multiLevelType w:val="hybridMultilevel"/>
    <w:tmpl w:val="A538E6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4505B81"/>
    <w:multiLevelType w:val="hybridMultilevel"/>
    <w:tmpl w:val="B9AA2C78"/>
    <w:lvl w:ilvl="0" w:tplc="AF443D46">
      <w:start w:val="1"/>
      <w:numFmt w:val="decimal"/>
      <w:pStyle w:val="OutlineNumberedLevel1"/>
      <w:lvlText w:val="(%1)"/>
      <w:lvlJc w:val="left"/>
      <w:pPr>
        <w:ind w:left="720" w:hanging="360"/>
      </w:pPr>
      <w:rPr>
        <w:rFonts w:hint="default"/>
        <w:b w:val="0"/>
      </w:rPr>
    </w:lvl>
    <w:lvl w:ilvl="1" w:tplc="5EAEA1EC">
      <w:start w:val="1"/>
      <w:numFmt w:val="lowerRoman"/>
      <w:pStyle w:val="OutlineNumberedLevel2"/>
      <w:lvlText w:val="(%2)"/>
      <w:lvlJc w:val="left"/>
      <w:pPr>
        <w:ind w:left="1107" w:hanging="397"/>
      </w:pPr>
      <w:rPr>
        <w:rFonts w:ascii="Calibri" w:eastAsiaTheme="minorEastAsia" w:hAnsi="Calibri" w:cstheme="minorBidi"/>
        <w:b w:val="0"/>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8" w15:restartNumberingAfterBreak="0">
    <w:nsid w:val="54697E13"/>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813163"/>
    <w:multiLevelType w:val="hybridMultilevel"/>
    <w:tmpl w:val="629C666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A93183"/>
    <w:multiLevelType w:val="hybridMultilevel"/>
    <w:tmpl w:val="FF7E2A72"/>
    <w:lvl w:ilvl="0" w:tplc="21C628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FF529A"/>
    <w:multiLevelType w:val="hybridMultilevel"/>
    <w:tmpl w:val="FF7E2A72"/>
    <w:lvl w:ilvl="0" w:tplc="21C628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053A1B"/>
    <w:multiLevelType w:val="hybridMultilevel"/>
    <w:tmpl w:val="E0441AA8"/>
    <w:lvl w:ilvl="0" w:tplc="E21AC292">
      <w:start w:val="1"/>
      <w:numFmt w:val="decimal"/>
      <w:pStyle w:val="Sectionheading"/>
      <w:lvlText w:val="%1"/>
      <w:lvlJc w:val="left"/>
      <w:pPr>
        <w:ind w:left="360" w:hanging="360"/>
      </w:pPr>
      <w:rPr>
        <w:rFonts w:cs="Times New Roman" w:hint="default"/>
        <w:strike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4412F02"/>
    <w:multiLevelType w:val="hybridMultilevel"/>
    <w:tmpl w:val="FF7E2A72"/>
    <w:lvl w:ilvl="0" w:tplc="21C628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9"/>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num>
  <w:num w:numId="8">
    <w:abstractNumId w:val="17"/>
  </w:num>
  <w:num w:numId="9">
    <w:abstractNumId w:val="15"/>
  </w:num>
  <w:num w:numId="10">
    <w:abstractNumId w:val="5"/>
  </w:num>
  <w:num w:numId="11">
    <w:abstractNumId w:val="21"/>
  </w:num>
  <w:num w:numId="12">
    <w:abstractNumId w:val="4"/>
  </w:num>
  <w:num w:numId="13">
    <w:abstractNumId w:val="11"/>
  </w:num>
  <w:num w:numId="14">
    <w:abstractNumId w:val="2"/>
  </w:num>
  <w:num w:numId="15">
    <w:abstractNumId w:val="10"/>
  </w:num>
  <w:num w:numId="16">
    <w:abstractNumId w:val="6"/>
  </w:num>
  <w:num w:numId="17">
    <w:abstractNumId w:val="23"/>
  </w:num>
  <w:num w:numId="18">
    <w:abstractNumId w:val="22"/>
    <w:lvlOverride w:ilvl="0">
      <w:startOverride w:val="1"/>
    </w:lvlOverride>
  </w:num>
  <w:num w:numId="19">
    <w:abstractNumId w:val="18"/>
  </w:num>
  <w:num w:numId="20">
    <w:abstractNumId w:val="19"/>
  </w:num>
  <w:num w:numId="21">
    <w:abstractNumId w:val="13"/>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38"/>
    <w:rsid w:val="000029A4"/>
    <w:rsid w:val="00006326"/>
    <w:rsid w:val="00011CA8"/>
    <w:rsid w:val="000217AB"/>
    <w:rsid w:val="000256E4"/>
    <w:rsid w:val="00027A5E"/>
    <w:rsid w:val="00031467"/>
    <w:rsid w:val="00034B8D"/>
    <w:rsid w:val="0005257A"/>
    <w:rsid w:val="00055C6D"/>
    <w:rsid w:val="00056B9B"/>
    <w:rsid w:val="00064812"/>
    <w:rsid w:val="0006559F"/>
    <w:rsid w:val="000743B4"/>
    <w:rsid w:val="000762F0"/>
    <w:rsid w:val="0008021A"/>
    <w:rsid w:val="00080FCD"/>
    <w:rsid w:val="0008476E"/>
    <w:rsid w:val="00084BBC"/>
    <w:rsid w:val="00085830"/>
    <w:rsid w:val="00087581"/>
    <w:rsid w:val="00093087"/>
    <w:rsid w:val="0009376D"/>
    <w:rsid w:val="00095015"/>
    <w:rsid w:val="000A5F85"/>
    <w:rsid w:val="000A6B21"/>
    <w:rsid w:val="000B2B90"/>
    <w:rsid w:val="000C3109"/>
    <w:rsid w:val="000C36A0"/>
    <w:rsid w:val="000C3C20"/>
    <w:rsid w:val="000C4B81"/>
    <w:rsid w:val="000C6D7D"/>
    <w:rsid w:val="000C7642"/>
    <w:rsid w:val="000C782D"/>
    <w:rsid w:val="000D0DA3"/>
    <w:rsid w:val="000D4668"/>
    <w:rsid w:val="000E2CC1"/>
    <w:rsid w:val="000F4F7D"/>
    <w:rsid w:val="00102D8A"/>
    <w:rsid w:val="001071BB"/>
    <w:rsid w:val="00115FA0"/>
    <w:rsid w:val="0011670F"/>
    <w:rsid w:val="0012046C"/>
    <w:rsid w:val="00120816"/>
    <w:rsid w:val="00126662"/>
    <w:rsid w:val="00126DBC"/>
    <w:rsid w:val="00126F2B"/>
    <w:rsid w:val="0013283D"/>
    <w:rsid w:val="00133598"/>
    <w:rsid w:val="00137224"/>
    <w:rsid w:val="00152C19"/>
    <w:rsid w:val="0016188E"/>
    <w:rsid w:val="00171A56"/>
    <w:rsid w:val="0017582A"/>
    <w:rsid w:val="00183AA9"/>
    <w:rsid w:val="00184543"/>
    <w:rsid w:val="0018625D"/>
    <w:rsid w:val="00191EC6"/>
    <w:rsid w:val="00194DFF"/>
    <w:rsid w:val="00197201"/>
    <w:rsid w:val="00197F34"/>
    <w:rsid w:val="001A06C6"/>
    <w:rsid w:val="001A2385"/>
    <w:rsid w:val="001C0D1C"/>
    <w:rsid w:val="001C41D1"/>
    <w:rsid w:val="001D1615"/>
    <w:rsid w:val="001D348A"/>
    <w:rsid w:val="001D46BA"/>
    <w:rsid w:val="001E3AF6"/>
    <w:rsid w:val="001E5914"/>
    <w:rsid w:val="001F649E"/>
    <w:rsid w:val="0020347C"/>
    <w:rsid w:val="00205E4E"/>
    <w:rsid w:val="002071B7"/>
    <w:rsid w:val="00212612"/>
    <w:rsid w:val="00217529"/>
    <w:rsid w:val="0022066C"/>
    <w:rsid w:val="002265D5"/>
    <w:rsid w:val="002303DC"/>
    <w:rsid w:val="00234923"/>
    <w:rsid w:val="002414B7"/>
    <w:rsid w:val="00256F7D"/>
    <w:rsid w:val="00257E5B"/>
    <w:rsid w:val="002605EE"/>
    <w:rsid w:val="00261B46"/>
    <w:rsid w:val="002648FE"/>
    <w:rsid w:val="00272F56"/>
    <w:rsid w:val="00273E82"/>
    <w:rsid w:val="00283845"/>
    <w:rsid w:val="00285DE3"/>
    <w:rsid w:val="00287D13"/>
    <w:rsid w:val="00287D3E"/>
    <w:rsid w:val="00290E84"/>
    <w:rsid w:val="0029156C"/>
    <w:rsid w:val="00292F8C"/>
    <w:rsid w:val="002960BF"/>
    <w:rsid w:val="00296963"/>
    <w:rsid w:val="002A13D0"/>
    <w:rsid w:val="002A221B"/>
    <w:rsid w:val="002A5E1D"/>
    <w:rsid w:val="002A6BD4"/>
    <w:rsid w:val="002A78F9"/>
    <w:rsid w:val="002B1F1E"/>
    <w:rsid w:val="002C2403"/>
    <w:rsid w:val="002C3832"/>
    <w:rsid w:val="002C49FD"/>
    <w:rsid w:val="002D20D7"/>
    <w:rsid w:val="002E00EF"/>
    <w:rsid w:val="002E6D88"/>
    <w:rsid w:val="002F0910"/>
    <w:rsid w:val="00300233"/>
    <w:rsid w:val="00301112"/>
    <w:rsid w:val="00301948"/>
    <w:rsid w:val="00306B83"/>
    <w:rsid w:val="00314609"/>
    <w:rsid w:val="00317F53"/>
    <w:rsid w:val="00341992"/>
    <w:rsid w:val="00351E35"/>
    <w:rsid w:val="0036323C"/>
    <w:rsid w:val="0036450F"/>
    <w:rsid w:val="00373CF9"/>
    <w:rsid w:val="00376B2A"/>
    <w:rsid w:val="003808D4"/>
    <w:rsid w:val="0038327B"/>
    <w:rsid w:val="0039212F"/>
    <w:rsid w:val="003943FE"/>
    <w:rsid w:val="003958DF"/>
    <w:rsid w:val="003A125F"/>
    <w:rsid w:val="003A1BDB"/>
    <w:rsid w:val="003B47A3"/>
    <w:rsid w:val="003C1905"/>
    <w:rsid w:val="003C310F"/>
    <w:rsid w:val="003C575C"/>
    <w:rsid w:val="003D245F"/>
    <w:rsid w:val="003D5C2E"/>
    <w:rsid w:val="003E1ADD"/>
    <w:rsid w:val="003E2A90"/>
    <w:rsid w:val="003F3230"/>
    <w:rsid w:val="003F55D5"/>
    <w:rsid w:val="003F6FA2"/>
    <w:rsid w:val="00400398"/>
    <w:rsid w:val="00404BB6"/>
    <w:rsid w:val="00406C40"/>
    <w:rsid w:val="00411274"/>
    <w:rsid w:val="004129C5"/>
    <w:rsid w:val="00412D5E"/>
    <w:rsid w:val="00415F5A"/>
    <w:rsid w:val="00417E0B"/>
    <w:rsid w:val="004201D2"/>
    <w:rsid w:val="00430866"/>
    <w:rsid w:val="0043770D"/>
    <w:rsid w:val="00442468"/>
    <w:rsid w:val="00446678"/>
    <w:rsid w:val="0045403B"/>
    <w:rsid w:val="004548F0"/>
    <w:rsid w:val="00460583"/>
    <w:rsid w:val="00460EF3"/>
    <w:rsid w:val="00466559"/>
    <w:rsid w:val="00467273"/>
    <w:rsid w:val="00467BFE"/>
    <w:rsid w:val="00477AEF"/>
    <w:rsid w:val="0048663F"/>
    <w:rsid w:val="004871D6"/>
    <w:rsid w:val="00492814"/>
    <w:rsid w:val="004A3675"/>
    <w:rsid w:val="004B002C"/>
    <w:rsid w:val="004B45D9"/>
    <w:rsid w:val="004B46FD"/>
    <w:rsid w:val="004B5B8E"/>
    <w:rsid w:val="004C40D3"/>
    <w:rsid w:val="004D528B"/>
    <w:rsid w:val="004D5BD4"/>
    <w:rsid w:val="004D7A0C"/>
    <w:rsid w:val="004E2531"/>
    <w:rsid w:val="004E43F3"/>
    <w:rsid w:val="004F3F9A"/>
    <w:rsid w:val="004F6CB6"/>
    <w:rsid w:val="00500194"/>
    <w:rsid w:val="00500583"/>
    <w:rsid w:val="00500C3B"/>
    <w:rsid w:val="00505343"/>
    <w:rsid w:val="005104C4"/>
    <w:rsid w:val="00512B17"/>
    <w:rsid w:val="0051506C"/>
    <w:rsid w:val="00517333"/>
    <w:rsid w:val="00517F45"/>
    <w:rsid w:val="005230E0"/>
    <w:rsid w:val="00527291"/>
    <w:rsid w:val="0053040B"/>
    <w:rsid w:val="00533715"/>
    <w:rsid w:val="00542885"/>
    <w:rsid w:val="0055155F"/>
    <w:rsid w:val="00555B06"/>
    <w:rsid w:val="00555B4F"/>
    <w:rsid w:val="00556D29"/>
    <w:rsid w:val="005574F1"/>
    <w:rsid w:val="00566485"/>
    <w:rsid w:val="00567E8F"/>
    <w:rsid w:val="00567EAD"/>
    <w:rsid w:val="00572A40"/>
    <w:rsid w:val="00575045"/>
    <w:rsid w:val="005753A4"/>
    <w:rsid w:val="005768C7"/>
    <w:rsid w:val="00584500"/>
    <w:rsid w:val="00586FDC"/>
    <w:rsid w:val="0059110C"/>
    <w:rsid w:val="005A0733"/>
    <w:rsid w:val="005A1E27"/>
    <w:rsid w:val="005A539D"/>
    <w:rsid w:val="005B1C7F"/>
    <w:rsid w:val="005B1F7A"/>
    <w:rsid w:val="005B207C"/>
    <w:rsid w:val="005C04E4"/>
    <w:rsid w:val="005C5725"/>
    <w:rsid w:val="005D11B0"/>
    <w:rsid w:val="005D25FE"/>
    <w:rsid w:val="005D371A"/>
    <w:rsid w:val="005D3F24"/>
    <w:rsid w:val="005D6C35"/>
    <w:rsid w:val="005E4491"/>
    <w:rsid w:val="005E5B38"/>
    <w:rsid w:val="005E7CC5"/>
    <w:rsid w:val="005F2C03"/>
    <w:rsid w:val="005F6FD2"/>
    <w:rsid w:val="005F7FC1"/>
    <w:rsid w:val="00605ABD"/>
    <w:rsid w:val="006072AA"/>
    <w:rsid w:val="00614D9B"/>
    <w:rsid w:val="006168F8"/>
    <w:rsid w:val="0062107F"/>
    <w:rsid w:val="00621739"/>
    <w:rsid w:val="006244C4"/>
    <w:rsid w:val="00624EDB"/>
    <w:rsid w:val="00634C2A"/>
    <w:rsid w:val="00635ED4"/>
    <w:rsid w:val="00636C59"/>
    <w:rsid w:val="00636CCC"/>
    <w:rsid w:val="00642A61"/>
    <w:rsid w:val="00644FC2"/>
    <w:rsid w:val="006474DD"/>
    <w:rsid w:val="006535C5"/>
    <w:rsid w:val="00653C8B"/>
    <w:rsid w:val="006550A5"/>
    <w:rsid w:val="00656593"/>
    <w:rsid w:val="00663B89"/>
    <w:rsid w:val="00670A07"/>
    <w:rsid w:val="00672872"/>
    <w:rsid w:val="00676584"/>
    <w:rsid w:val="00677C5A"/>
    <w:rsid w:val="00680341"/>
    <w:rsid w:val="00682A95"/>
    <w:rsid w:val="00682F55"/>
    <w:rsid w:val="006902C2"/>
    <w:rsid w:val="006A6591"/>
    <w:rsid w:val="006B31BA"/>
    <w:rsid w:val="006B4C39"/>
    <w:rsid w:val="006C0D39"/>
    <w:rsid w:val="006C4445"/>
    <w:rsid w:val="006C78F8"/>
    <w:rsid w:val="006D3039"/>
    <w:rsid w:val="006E5CBB"/>
    <w:rsid w:val="006F074B"/>
    <w:rsid w:val="006F33D7"/>
    <w:rsid w:val="00700E3A"/>
    <w:rsid w:val="00701BD4"/>
    <w:rsid w:val="007133B7"/>
    <w:rsid w:val="00713437"/>
    <w:rsid w:val="00714742"/>
    <w:rsid w:val="0071597C"/>
    <w:rsid w:val="007204A7"/>
    <w:rsid w:val="00722FC2"/>
    <w:rsid w:val="007239E9"/>
    <w:rsid w:val="00727D1A"/>
    <w:rsid w:val="00740C5C"/>
    <w:rsid w:val="00741A19"/>
    <w:rsid w:val="007441EE"/>
    <w:rsid w:val="00744FCF"/>
    <w:rsid w:val="007475C2"/>
    <w:rsid w:val="007523C1"/>
    <w:rsid w:val="00755411"/>
    <w:rsid w:val="00757108"/>
    <w:rsid w:val="00760BC4"/>
    <w:rsid w:val="007729A7"/>
    <w:rsid w:val="00782D30"/>
    <w:rsid w:val="0079048D"/>
    <w:rsid w:val="007918C2"/>
    <w:rsid w:val="0079227C"/>
    <w:rsid w:val="00793722"/>
    <w:rsid w:val="00795887"/>
    <w:rsid w:val="007A39C5"/>
    <w:rsid w:val="007A46EF"/>
    <w:rsid w:val="007A60CC"/>
    <w:rsid w:val="007B2242"/>
    <w:rsid w:val="007B3A4E"/>
    <w:rsid w:val="007C0342"/>
    <w:rsid w:val="007C18DF"/>
    <w:rsid w:val="007C6753"/>
    <w:rsid w:val="007D61F1"/>
    <w:rsid w:val="007E6FF3"/>
    <w:rsid w:val="007F24E7"/>
    <w:rsid w:val="007F49F7"/>
    <w:rsid w:val="0080402E"/>
    <w:rsid w:val="0081499F"/>
    <w:rsid w:val="00816669"/>
    <w:rsid w:val="0081767F"/>
    <w:rsid w:val="00817DE2"/>
    <w:rsid w:val="00832246"/>
    <w:rsid w:val="00835AB5"/>
    <w:rsid w:val="008401F6"/>
    <w:rsid w:val="008426D4"/>
    <w:rsid w:val="0084277C"/>
    <w:rsid w:val="00851F19"/>
    <w:rsid w:val="00854F8A"/>
    <w:rsid w:val="00855459"/>
    <w:rsid w:val="00856861"/>
    <w:rsid w:val="008618C0"/>
    <w:rsid w:val="00864102"/>
    <w:rsid w:val="008705D3"/>
    <w:rsid w:val="008730DF"/>
    <w:rsid w:val="00881140"/>
    <w:rsid w:val="00883DAB"/>
    <w:rsid w:val="0088437A"/>
    <w:rsid w:val="00890698"/>
    <w:rsid w:val="008907C2"/>
    <w:rsid w:val="00890B27"/>
    <w:rsid w:val="008B2C3C"/>
    <w:rsid w:val="008B35EF"/>
    <w:rsid w:val="008B3EA0"/>
    <w:rsid w:val="008B3FB4"/>
    <w:rsid w:val="008B5C8A"/>
    <w:rsid w:val="008D0805"/>
    <w:rsid w:val="008E01A8"/>
    <w:rsid w:val="008E0EEE"/>
    <w:rsid w:val="008E2C4F"/>
    <w:rsid w:val="008E420C"/>
    <w:rsid w:val="008E6B5B"/>
    <w:rsid w:val="008F021E"/>
    <w:rsid w:val="008F2048"/>
    <w:rsid w:val="008F45B8"/>
    <w:rsid w:val="0090070D"/>
    <w:rsid w:val="0090342E"/>
    <w:rsid w:val="00915223"/>
    <w:rsid w:val="00917BBA"/>
    <w:rsid w:val="009248F3"/>
    <w:rsid w:val="0093511F"/>
    <w:rsid w:val="00936260"/>
    <w:rsid w:val="009378AA"/>
    <w:rsid w:val="00945315"/>
    <w:rsid w:val="00963126"/>
    <w:rsid w:val="00965FC0"/>
    <w:rsid w:val="009665F4"/>
    <w:rsid w:val="009763F4"/>
    <w:rsid w:val="0098131B"/>
    <w:rsid w:val="00987063"/>
    <w:rsid w:val="00987A49"/>
    <w:rsid w:val="00991F4B"/>
    <w:rsid w:val="00993595"/>
    <w:rsid w:val="009949B7"/>
    <w:rsid w:val="00994AD6"/>
    <w:rsid w:val="00996B3F"/>
    <w:rsid w:val="009A56AF"/>
    <w:rsid w:val="009B1E78"/>
    <w:rsid w:val="009B41B4"/>
    <w:rsid w:val="009B51F6"/>
    <w:rsid w:val="009B5C0B"/>
    <w:rsid w:val="009B62C8"/>
    <w:rsid w:val="009D2795"/>
    <w:rsid w:val="009E1282"/>
    <w:rsid w:val="009E4D78"/>
    <w:rsid w:val="009E6706"/>
    <w:rsid w:val="009F156A"/>
    <w:rsid w:val="009F30EC"/>
    <w:rsid w:val="00A01196"/>
    <w:rsid w:val="00A02B78"/>
    <w:rsid w:val="00A03B59"/>
    <w:rsid w:val="00A05050"/>
    <w:rsid w:val="00A070ED"/>
    <w:rsid w:val="00A13910"/>
    <w:rsid w:val="00A265F9"/>
    <w:rsid w:val="00A324EF"/>
    <w:rsid w:val="00A364BE"/>
    <w:rsid w:val="00A431EC"/>
    <w:rsid w:val="00A54C49"/>
    <w:rsid w:val="00A7140F"/>
    <w:rsid w:val="00A7376B"/>
    <w:rsid w:val="00A73CED"/>
    <w:rsid w:val="00A7780C"/>
    <w:rsid w:val="00A932F5"/>
    <w:rsid w:val="00A94A60"/>
    <w:rsid w:val="00AA1B1F"/>
    <w:rsid w:val="00AA2D30"/>
    <w:rsid w:val="00AB0279"/>
    <w:rsid w:val="00AB064B"/>
    <w:rsid w:val="00AB2393"/>
    <w:rsid w:val="00AB2ADA"/>
    <w:rsid w:val="00AC3E2E"/>
    <w:rsid w:val="00AC5EC6"/>
    <w:rsid w:val="00AD5DC0"/>
    <w:rsid w:val="00AD764F"/>
    <w:rsid w:val="00AF5DFE"/>
    <w:rsid w:val="00B04AD3"/>
    <w:rsid w:val="00B06CA4"/>
    <w:rsid w:val="00B1010C"/>
    <w:rsid w:val="00B11093"/>
    <w:rsid w:val="00B1186E"/>
    <w:rsid w:val="00B1211F"/>
    <w:rsid w:val="00B131D1"/>
    <w:rsid w:val="00B13320"/>
    <w:rsid w:val="00B21649"/>
    <w:rsid w:val="00B218EF"/>
    <w:rsid w:val="00B222E0"/>
    <w:rsid w:val="00B308DE"/>
    <w:rsid w:val="00B37745"/>
    <w:rsid w:val="00B37C6C"/>
    <w:rsid w:val="00B41400"/>
    <w:rsid w:val="00B4574F"/>
    <w:rsid w:val="00B466A0"/>
    <w:rsid w:val="00B46AB6"/>
    <w:rsid w:val="00B518AF"/>
    <w:rsid w:val="00B62369"/>
    <w:rsid w:val="00B62909"/>
    <w:rsid w:val="00B62945"/>
    <w:rsid w:val="00B62FE3"/>
    <w:rsid w:val="00B64A13"/>
    <w:rsid w:val="00B666BA"/>
    <w:rsid w:val="00B67283"/>
    <w:rsid w:val="00B67B72"/>
    <w:rsid w:val="00B714C5"/>
    <w:rsid w:val="00B771C6"/>
    <w:rsid w:val="00B82065"/>
    <w:rsid w:val="00B82EA0"/>
    <w:rsid w:val="00B84AB8"/>
    <w:rsid w:val="00B907E8"/>
    <w:rsid w:val="00B92CCC"/>
    <w:rsid w:val="00B95F73"/>
    <w:rsid w:val="00B96475"/>
    <w:rsid w:val="00B97A03"/>
    <w:rsid w:val="00BA093B"/>
    <w:rsid w:val="00BA0B02"/>
    <w:rsid w:val="00BA1015"/>
    <w:rsid w:val="00BC054A"/>
    <w:rsid w:val="00BC0F9B"/>
    <w:rsid w:val="00BC4375"/>
    <w:rsid w:val="00BC6651"/>
    <w:rsid w:val="00BC7B20"/>
    <w:rsid w:val="00BD0EA1"/>
    <w:rsid w:val="00BD1AC4"/>
    <w:rsid w:val="00BD2380"/>
    <w:rsid w:val="00BD56A6"/>
    <w:rsid w:val="00BE6FC8"/>
    <w:rsid w:val="00BE7C92"/>
    <w:rsid w:val="00BF1CF3"/>
    <w:rsid w:val="00C03E71"/>
    <w:rsid w:val="00C0710E"/>
    <w:rsid w:val="00C10E3D"/>
    <w:rsid w:val="00C1297C"/>
    <w:rsid w:val="00C13245"/>
    <w:rsid w:val="00C20397"/>
    <w:rsid w:val="00C20CFF"/>
    <w:rsid w:val="00C252CB"/>
    <w:rsid w:val="00C32200"/>
    <w:rsid w:val="00C34247"/>
    <w:rsid w:val="00C37572"/>
    <w:rsid w:val="00C509B4"/>
    <w:rsid w:val="00C53A51"/>
    <w:rsid w:val="00C6716B"/>
    <w:rsid w:val="00C71DCE"/>
    <w:rsid w:val="00C72C3E"/>
    <w:rsid w:val="00C72D74"/>
    <w:rsid w:val="00C73B9E"/>
    <w:rsid w:val="00C7578A"/>
    <w:rsid w:val="00C83DCC"/>
    <w:rsid w:val="00C874AE"/>
    <w:rsid w:val="00C94DF0"/>
    <w:rsid w:val="00CA4DBE"/>
    <w:rsid w:val="00CA4E6D"/>
    <w:rsid w:val="00CA785A"/>
    <w:rsid w:val="00CC1FF9"/>
    <w:rsid w:val="00CC2402"/>
    <w:rsid w:val="00CC53DE"/>
    <w:rsid w:val="00CC5BB6"/>
    <w:rsid w:val="00CC6897"/>
    <w:rsid w:val="00CC7EF5"/>
    <w:rsid w:val="00CD49BA"/>
    <w:rsid w:val="00CD4A73"/>
    <w:rsid w:val="00CE0DCB"/>
    <w:rsid w:val="00CE1C03"/>
    <w:rsid w:val="00CF0662"/>
    <w:rsid w:val="00D06E4A"/>
    <w:rsid w:val="00D136AE"/>
    <w:rsid w:val="00D13CEF"/>
    <w:rsid w:val="00D15F90"/>
    <w:rsid w:val="00D16384"/>
    <w:rsid w:val="00D164E9"/>
    <w:rsid w:val="00D24A62"/>
    <w:rsid w:val="00D25E9B"/>
    <w:rsid w:val="00D2775A"/>
    <w:rsid w:val="00D466A6"/>
    <w:rsid w:val="00D53C1F"/>
    <w:rsid w:val="00D55620"/>
    <w:rsid w:val="00D604C1"/>
    <w:rsid w:val="00D77464"/>
    <w:rsid w:val="00D81CBC"/>
    <w:rsid w:val="00D9029F"/>
    <w:rsid w:val="00D94236"/>
    <w:rsid w:val="00DA3B00"/>
    <w:rsid w:val="00DA77F3"/>
    <w:rsid w:val="00DB5FD8"/>
    <w:rsid w:val="00DB65B1"/>
    <w:rsid w:val="00DC5333"/>
    <w:rsid w:val="00DD2730"/>
    <w:rsid w:val="00DE2DE2"/>
    <w:rsid w:val="00DE535C"/>
    <w:rsid w:val="00E06A0D"/>
    <w:rsid w:val="00E15DE1"/>
    <w:rsid w:val="00E201F8"/>
    <w:rsid w:val="00E21273"/>
    <w:rsid w:val="00E2227C"/>
    <w:rsid w:val="00E25239"/>
    <w:rsid w:val="00E30857"/>
    <w:rsid w:val="00E3457F"/>
    <w:rsid w:val="00E34B68"/>
    <w:rsid w:val="00E3775C"/>
    <w:rsid w:val="00E432EB"/>
    <w:rsid w:val="00E433A5"/>
    <w:rsid w:val="00E52815"/>
    <w:rsid w:val="00E53029"/>
    <w:rsid w:val="00E55853"/>
    <w:rsid w:val="00E564A0"/>
    <w:rsid w:val="00E64AD1"/>
    <w:rsid w:val="00E722BA"/>
    <w:rsid w:val="00E77FCF"/>
    <w:rsid w:val="00E82E9B"/>
    <w:rsid w:val="00E8385B"/>
    <w:rsid w:val="00E8565E"/>
    <w:rsid w:val="00E86F81"/>
    <w:rsid w:val="00E9207F"/>
    <w:rsid w:val="00E95478"/>
    <w:rsid w:val="00EA51AA"/>
    <w:rsid w:val="00EB2A3E"/>
    <w:rsid w:val="00EB3A2D"/>
    <w:rsid w:val="00EC691B"/>
    <w:rsid w:val="00ED1506"/>
    <w:rsid w:val="00ED18A2"/>
    <w:rsid w:val="00ED727A"/>
    <w:rsid w:val="00ED7EB5"/>
    <w:rsid w:val="00EE4755"/>
    <w:rsid w:val="00EE5B29"/>
    <w:rsid w:val="00EE7DF4"/>
    <w:rsid w:val="00EF602D"/>
    <w:rsid w:val="00EF7E1D"/>
    <w:rsid w:val="00F01246"/>
    <w:rsid w:val="00F03112"/>
    <w:rsid w:val="00F035EA"/>
    <w:rsid w:val="00F05FF1"/>
    <w:rsid w:val="00F16195"/>
    <w:rsid w:val="00F1742F"/>
    <w:rsid w:val="00F2274C"/>
    <w:rsid w:val="00F23239"/>
    <w:rsid w:val="00F23908"/>
    <w:rsid w:val="00F335C4"/>
    <w:rsid w:val="00F368D9"/>
    <w:rsid w:val="00F40DF3"/>
    <w:rsid w:val="00F43B41"/>
    <w:rsid w:val="00F4454E"/>
    <w:rsid w:val="00F571DE"/>
    <w:rsid w:val="00F572EB"/>
    <w:rsid w:val="00F616DB"/>
    <w:rsid w:val="00F67445"/>
    <w:rsid w:val="00F7204A"/>
    <w:rsid w:val="00F73E05"/>
    <w:rsid w:val="00F804A7"/>
    <w:rsid w:val="00F851A3"/>
    <w:rsid w:val="00F857A0"/>
    <w:rsid w:val="00F87292"/>
    <w:rsid w:val="00F94F4B"/>
    <w:rsid w:val="00F95553"/>
    <w:rsid w:val="00FA41CC"/>
    <w:rsid w:val="00FA7DAC"/>
    <w:rsid w:val="00FB0DC6"/>
    <w:rsid w:val="00FB1E83"/>
    <w:rsid w:val="00FB7D77"/>
    <w:rsid w:val="00FC23D8"/>
    <w:rsid w:val="00FC5DA7"/>
    <w:rsid w:val="00FC6CE4"/>
    <w:rsid w:val="00FD74B6"/>
    <w:rsid w:val="00FE20FD"/>
    <w:rsid w:val="00FF0EFA"/>
    <w:rsid w:val="00FF2395"/>
    <w:rsid w:val="00FF32AE"/>
    <w:rsid w:val="00FF5D8B"/>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2921B"/>
  <w15:docId w15:val="{A4758480-3D61-4234-9427-5C2EA4B4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8"/>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3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qFormat/>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5"/>
      </w:numPr>
      <w:spacing w:before="80" w:after="40"/>
      <w:jc w:val="center"/>
    </w:pPr>
    <w:rPr>
      <w:b w:val="0"/>
      <w:sz w:val="18"/>
    </w:rPr>
  </w:style>
  <w:style w:type="paragraph" w:customStyle="1" w:styleId="TableCellRow">
    <w:name w:val="TableCellRow"/>
    <w:autoRedefine/>
    <w:rsid w:val="00BE6FC8"/>
    <w:pPr>
      <w:widowControl w:val="0"/>
      <w:numPr>
        <w:ilvl w:val="1"/>
        <w:numId w:val="5"/>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4"/>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6"/>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6"/>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6"/>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 w:type="paragraph" w:styleId="ListNumber">
    <w:name w:val="List Number"/>
    <w:basedOn w:val="BodyText"/>
    <w:uiPriority w:val="99"/>
    <w:semiHidden/>
    <w:unhideWhenUsed/>
    <w:rsid w:val="00C509B4"/>
    <w:pPr>
      <w:numPr>
        <w:numId w:val="16"/>
      </w:numPr>
      <w:spacing w:line="300" w:lineRule="atLeast"/>
      <w:contextualSpacing/>
    </w:pPr>
    <w:rPr>
      <w:rFonts w:ascii="Arial" w:eastAsiaTheme="minorHAnsi" w:hAnsi="Arial" w:cs="Arial"/>
      <w:lang w:eastAsia="en-US"/>
    </w:rPr>
  </w:style>
  <w:style w:type="paragraph" w:styleId="ListNumber2">
    <w:name w:val="List Number 2"/>
    <w:basedOn w:val="BodyText"/>
    <w:uiPriority w:val="99"/>
    <w:semiHidden/>
    <w:unhideWhenUsed/>
    <w:rsid w:val="00C509B4"/>
    <w:pPr>
      <w:numPr>
        <w:ilvl w:val="1"/>
        <w:numId w:val="16"/>
      </w:numPr>
      <w:spacing w:line="300" w:lineRule="atLeast"/>
      <w:contextualSpacing/>
    </w:pPr>
    <w:rPr>
      <w:rFonts w:ascii="Arial" w:eastAsiaTheme="minorHAnsi" w:hAnsi="Arial" w:cs="Arial"/>
      <w:lang w:eastAsia="en-US"/>
    </w:rPr>
  </w:style>
  <w:style w:type="paragraph" w:styleId="ListNumber3">
    <w:name w:val="List Number 3"/>
    <w:basedOn w:val="BodyText"/>
    <w:uiPriority w:val="99"/>
    <w:semiHidden/>
    <w:unhideWhenUsed/>
    <w:rsid w:val="00C509B4"/>
    <w:pPr>
      <w:numPr>
        <w:ilvl w:val="2"/>
        <w:numId w:val="16"/>
      </w:numPr>
      <w:tabs>
        <w:tab w:val="clear" w:pos="720"/>
        <w:tab w:val="num" w:pos="850"/>
      </w:tabs>
      <w:spacing w:line="300" w:lineRule="atLeast"/>
      <w:ind w:left="850" w:hanging="850"/>
      <w:contextualSpacing/>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4347">
      <w:bodyDiv w:val="1"/>
      <w:marLeft w:val="0"/>
      <w:marRight w:val="0"/>
      <w:marTop w:val="0"/>
      <w:marBottom w:val="0"/>
      <w:divBdr>
        <w:top w:val="none" w:sz="0" w:space="0" w:color="auto"/>
        <w:left w:val="none" w:sz="0" w:space="0" w:color="auto"/>
        <w:bottom w:val="none" w:sz="0" w:space="0" w:color="auto"/>
        <w:right w:val="none" w:sz="0" w:space="0" w:color="auto"/>
      </w:divBdr>
    </w:div>
    <w:div w:id="745807517">
      <w:bodyDiv w:val="1"/>
      <w:marLeft w:val="0"/>
      <w:marRight w:val="0"/>
      <w:marTop w:val="0"/>
      <w:marBottom w:val="0"/>
      <w:divBdr>
        <w:top w:val="none" w:sz="0" w:space="0" w:color="auto"/>
        <w:left w:val="none" w:sz="0" w:space="0" w:color="auto"/>
        <w:bottom w:val="none" w:sz="0" w:space="0" w:color="auto"/>
        <w:right w:val="none" w:sz="0" w:space="0" w:color="auto"/>
      </w:divBdr>
    </w:div>
    <w:div w:id="884827352">
      <w:bodyDiv w:val="1"/>
      <w:marLeft w:val="0"/>
      <w:marRight w:val="0"/>
      <w:marTop w:val="0"/>
      <w:marBottom w:val="0"/>
      <w:divBdr>
        <w:top w:val="none" w:sz="0" w:space="0" w:color="auto"/>
        <w:left w:val="none" w:sz="0" w:space="0" w:color="auto"/>
        <w:bottom w:val="none" w:sz="0" w:space="0" w:color="auto"/>
        <w:right w:val="none" w:sz="0" w:space="0" w:color="auto"/>
      </w:divBdr>
    </w:div>
    <w:div w:id="1134756255">
      <w:bodyDiv w:val="1"/>
      <w:marLeft w:val="0"/>
      <w:marRight w:val="0"/>
      <w:marTop w:val="0"/>
      <w:marBottom w:val="0"/>
      <w:divBdr>
        <w:top w:val="none" w:sz="0" w:space="0" w:color="auto"/>
        <w:left w:val="none" w:sz="0" w:space="0" w:color="auto"/>
        <w:bottom w:val="none" w:sz="0" w:space="0" w:color="auto"/>
        <w:right w:val="none" w:sz="0" w:space="0" w:color="auto"/>
      </w:divBdr>
    </w:div>
    <w:div w:id="1379352307">
      <w:bodyDiv w:val="1"/>
      <w:marLeft w:val="0"/>
      <w:marRight w:val="0"/>
      <w:marTop w:val="0"/>
      <w:marBottom w:val="0"/>
      <w:divBdr>
        <w:top w:val="none" w:sz="0" w:space="0" w:color="auto"/>
        <w:left w:val="none" w:sz="0" w:space="0" w:color="auto"/>
        <w:bottom w:val="none" w:sz="0" w:space="0" w:color="auto"/>
        <w:right w:val="none" w:sz="0" w:space="0" w:color="auto"/>
      </w:divBdr>
    </w:div>
    <w:div w:id="1674146735">
      <w:bodyDiv w:val="1"/>
      <w:marLeft w:val="0"/>
      <w:marRight w:val="0"/>
      <w:marTop w:val="0"/>
      <w:marBottom w:val="0"/>
      <w:divBdr>
        <w:top w:val="none" w:sz="0" w:space="0" w:color="auto"/>
        <w:left w:val="none" w:sz="0" w:space="0" w:color="auto"/>
        <w:bottom w:val="none" w:sz="0" w:space="0" w:color="auto"/>
        <w:right w:val="none" w:sz="0" w:space="0" w:color="auto"/>
      </w:divBdr>
    </w:div>
    <w:div w:id="1785030828">
      <w:bodyDiv w:val="1"/>
      <w:marLeft w:val="0"/>
      <w:marRight w:val="0"/>
      <w:marTop w:val="0"/>
      <w:marBottom w:val="0"/>
      <w:divBdr>
        <w:top w:val="none" w:sz="0" w:space="0" w:color="auto"/>
        <w:left w:val="none" w:sz="0" w:space="0" w:color="auto"/>
        <w:bottom w:val="none" w:sz="0" w:space="0" w:color="auto"/>
        <w:right w:val="none" w:sz="0" w:space="0" w:color="auto"/>
      </w:divBdr>
    </w:div>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 w:id="1980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52A0594CDBB700B2E0530A0001D4FA78" version="1.0.0">
  <systemFields>
    <field name="Objective-Id">
      <value order="0">A2765886</value>
    </field>
    <field name="Objective-Title">
      <value order="0">Queensland Class 2 Performance Based Standards A-Double 8 Oct 18</value>
    </field>
    <field name="Objective-Description">
      <value order="0"/>
    </field>
    <field name="Objective-CreationStamp">
      <value order="0">2018-10-08T06:33:55Z</value>
    </field>
    <field name="Objective-IsApproved">
      <value order="0">false</value>
    </field>
    <field name="Objective-IsPublished">
      <value order="0">false</value>
    </field>
    <field name="Objective-DatePublished">
      <value order="0"/>
    </field>
    <field name="Objective-ModificationStamp">
      <value order="0">2018-10-08T06:39:48Z</value>
    </field>
    <field name="Objective-Owner">
      <value order="0">Andrew Rankine</value>
    </field>
    <field name="Objective-Path">
      <value order="0">Objective Global Folder:NEW CREWS File Plan:Port Services - MSIC, BMT &amp; Transport Operations:Road, Carrier and Terminal Operations:National Heavy Vehicle Regulator:NHVR - Notices and use of IAP:10 A double Notice</value>
    </field>
    <field name="Objective-Parent">
      <value order="0">10 A double Notice</value>
    </field>
    <field name="Objective-State">
      <value order="0">Being Drafted</value>
    </field>
    <field name="Objective-VersionId">
      <value order="0">vA3440415</value>
    </field>
    <field name="Objective-Version">
      <value order="0">0.2</value>
    </field>
    <field name="Objective-VersionNumber">
      <value order="0">2</value>
    </field>
    <field name="Objective-VersionComment">
      <value order="0"/>
    </field>
    <field name="Objective-FileNumber">
      <value order="0">qA82513</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745109E-2DDF-40CB-AC2B-FF9B10C90820}">
  <ds:schemaRefs>
    <ds:schemaRef ds:uri="http://www.objective.com/ecm/document/metadata/52A0594CDBB700B2E0530A0001D4FA78"/>
  </ds:schemaRefs>
</ds:datastoreItem>
</file>

<file path=customXml/itemProps2.xml><?xml version="1.0" encoding="utf-8"?>
<ds:datastoreItem xmlns:ds="http://schemas.openxmlformats.org/officeDocument/2006/customXml" ds:itemID="{BD8CCAAD-4456-4FAE-959E-4A58C3202067}">
  <ds:schemaRefs>
    <ds:schemaRef ds:uri="http://schemas.openxmlformats.org/officeDocument/2006/bibliography"/>
  </ds:schemaRefs>
</ds:datastoreItem>
</file>

<file path=customXml/itemProps3.xml><?xml version="1.0" encoding="utf-8"?>
<ds:datastoreItem xmlns:ds="http://schemas.openxmlformats.org/officeDocument/2006/customXml" ds:itemID="{AA1C0997-109D-4FA9-AE88-5EFADC2226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Chua</dc:creator>
  <cp:lastModifiedBy>Robert Crapnell</cp:lastModifiedBy>
  <cp:revision>17</cp:revision>
  <cp:lastPrinted>2019-09-02T05:12:00Z</cp:lastPrinted>
  <dcterms:created xsi:type="dcterms:W3CDTF">2022-11-29T03:38:00Z</dcterms:created>
  <dcterms:modified xsi:type="dcterms:W3CDTF">2022-12-02T03:01:00Z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A2765886</vt:lpwstr>
  </property>
  <property fmtid="{D5CDD505-2E9C-101B-9397-08002B2CF9AE}" pid="4" name="Objective-Title">
    <vt:lpwstr>Queensland Class 2 Performance Based Standards A-Double 8 Oct 18</vt:lpwstr>
  </property>
  <property fmtid="{D5CDD505-2E9C-101B-9397-08002B2CF9AE}" pid="5" name="Objective-Comment">
    <vt:lpwstr/>
  </property>
  <property fmtid="{D5CDD505-2E9C-101B-9397-08002B2CF9AE}" pid="6" name="Objective-CreationStamp">
    <vt:filetime>2018-10-08T06:32:24Z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2018-10-08T06:39:48Z</vt:filetime>
  </property>
  <property fmtid="{D5CDD505-2E9C-101B-9397-08002B2CF9AE}" pid="11" name="Objective-Owner">
    <vt:lpwstr>Andrew Rankine</vt:lpwstr>
  </property>
  <property fmtid="{D5CDD505-2E9C-101B-9397-08002B2CF9AE}" pid="12" name="Objective-Path">
    <vt:lpwstr>Objective Global Folder:NEW CREWS File Plan:Port Services - MSIC, BMT &amp; Transport Operations:Road, Carrier and Terminal Operations:National Heavy Vehicle Regulator:NHVR - Notices and use of IAP:10 A double Notice:</vt:lpwstr>
  </property>
  <property fmtid="{D5CDD505-2E9C-101B-9397-08002B2CF9AE}" pid="13" name="Objective-Parent">
    <vt:lpwstr>10 A double Notice</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issemination Limiting Marker (DLM) [system]">
    <vt:lpwstr/>
  </property>
  <property fmtid="{D5CDD505-2E9C-101B-9397-08002B2CF9AE}" pid="23" name="Objective-Description">
    <vt:lpwstr/>
  </property>
  <property fmtid="{D5CDD505-2E9C-101B-9397-08002B2CF9AE}" pid="24" name="Objective-VersionId">
    <vt:lpwstr>vA3440415</vt:lpwstr>
  </property>
</Properties>
</file>