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F5D9F" w14:textId="50C0555D" w:rsidR="00A50712" w:rsidRDefault="00A50712" w:rsidP="00A50712">
      <w:r>
        <w:object w:dxaOrig="2146" w:dyaOrig="1561" w14:anchorId="096AA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40404714" r:id="rId8"/>
        </w:object>
      </w:r>
    </w:p>
    <w:p w14:paraId="607F0C18" w14:textId="77777777" w:rsidR="00A50712" w:rsidRDefault="00A50712" w:rsidP="00A50712"/>
    <w:p w14:paraId="32C3FE91" w14:textId="77777777" w:rsidR="00A50712" w:rsidRDefault="00A50712" w:rsidP="00A50712"/>
    <w:p w14:paraId="67CC3507" w14:textId="77777777" w:rsidR="00A50712" w:rsidRDefault="00A50712" w:rsidP="00A50712"/>
    <w:p w14:paraId="6AB08437" w14:textId="77777777" w:rsidR="00A50712" w:rsidRDefault="00A50712" w:rsidP="00A50712"/>
    <w:p w14:paraId="28020469" w14:textId="77777777" w:rsidR="00A50712" w:rsidRDefault="00A50712" w:rsidP="00A50712"/>
    <w:p w14:paraId="0C5A1CCE" w14:textId="77777777" w:rsidR="00A50712" w:rsidRDefault="00A50712" w:rsidP="00A50712"/>
    <w:p w14:paraId="08AE703E" w14:textId="5699690C" w:rsidR="003C5469" w:rsidRDefault="00A50712" w:rsidP="003C5469">
      <w:pPr>
        <w:pStyle w:val="ShortT"/>
      </w:pPr>
      <w:r>
        <w:t>Higher Education Support Amendment (Australia’s Economic Accelerator) Act 2023</w:t>
      </w:r>
    </w:p>
    <w:p w14:paraId="476F775E" w14:textId="0629B26B" w:rsidR="00330778" w:rsidRPr="00CF3C5F" w:rsidRDefault="00330778" w:rsidP="00330778"/>
    <w:p w14:paraId="10510855" w14:textId="5435FA8A" w:rsidR="003C5469" w:rsidRDefault="003C5469" w:rsidP="00A50712">
      <w:pPr>
        <w:pStyle w:val="Actno"/>
        <w:spacing w:before="400"/>
      </w:pPr>
      <w:bookmarkStart w:id="0" w:name="_GoBack"/>
      <w:r>
        <w:t>No.</w:t>
      </w:r>
      <w:r w:rsidR="00F74375">
        <w:t xml:space="preserve"> 5</w:t>
      </w:r>
      <w:r>
        <w:t>, 2023</w:t>
      </w:r>
    </w:p>
    <w:bookmarkEnd w:id="0"/>
    <w:p w14:paraId="1D0606E5" w14:textId="4C0C5621" w:rsidR="00330778" w:rsidRPr="00CF3C5F" w:rsidRDefault="00330778" w:rsidP="00330778"/>
    <w:p w14:paraId="40F291EC" w14:textId="77777777" w:rsidR="003C5469" w:rsidRDefault="003C5469" w:rsidP="003C5469">
      <w:pPr>
        <w:rPr>
          <w:lang w:eastAsia="en-AU"/>
        </w:rPr>
      </w:pPr>
    </w:p>
    <w:p w14:paraId="30232BF2" w14:textId="38877DD1" w:rsidR="00330778" w:rsidRPr="00CF3C5F" w:rsidRDefault="00330778" w:rsidP="00330778"/>
    <w:p w14:paraId="50599FAE" w14:textId="77777777" w:rsidR="00330778" w:rsidRPr="00CF3C5F" w:rsidRDefault="00330778" w:rsidP="00330778"/>
    <w:p w14:paraId="194FBBF7" w14:textId="77777777" w:rsidR="00330778" w:rsidRPr="00CF3C5F" w:rsidRDefault="00330778" w:rsidP="00330778"/>
    <w:p w14:paraId="47DB91EC" w14:textId="77777777" w:rsidR="00A50712" w:rsidRDefault="00A50712" w:rsidP="00A50712">
      <w:pPr>
        <w:pStyle w:val="LongT"/>
      </w:pPr>
      <w:r>
        <w:t xml:space="preserve">An Act to amend the </w:t>
      </w:r>
      <w:r w:rsidRPr="00A50712">
        <w:rPr>
          <w:i/>
        </w:rPr>
        <w:t>Higher Education Support Act 2003</w:t>
      </w:r>
      <w:r>
        <w:t>, and for related purposes</w:t>
      </w:r>
    </w:p>
    <w:p w14:paraId="22CE24B3" w14:textId="0DAD2E72" w:rsidR="00330778" w:rsidRPr="00CF3C5F" w:rsidRDefault="00330778" w:rsidP="00330778">
      <w:pPr>
        <w:pStyle w:val="Header"/>
        <w:tabs>
          <w:tab w:val="clear" w:pos="4150"/>
          <w:tab w:val="clear" w:pos="8307"/>
        </w:tabs>
      </w:pPr>
      <w:r w:rsidRPr="00CF3C5F">
        <w:rPr>
          <w:rStyle w:val="CharAmSchNo"/>
        </w:rPr>
        <w:t xml:space="preserve"> </w:t>
      </w:r>
      <w:r w:rsidRPr="00CF3C5F">
        <w:rPr>
          <w:rStyle w:val="CharAmSchText"/>
        </w:rPr>
        <w:t xml:space="preserve"> </w:t>
      </w:r>
    </w:p>
    <w:p w14:paraId="5962A418" w14:textId="77777777" w:rsidR="00330778" w:rsidRPr="00CF3C5F" w:rsidRDefault="00330778" w:rsidP="00330778">
      <w:pPr>
        <w:pStyle w:val="Header"/>
        <w:tabs>
          <w:tab w:val="clear" w:pos="4150"/>
          <w:tab w:val="clear" w:pos="8307"/>
        </w:tabs>
        <w:sectPr w:rsidR="00330778" w:rsidRPr="00CF3C5F" w:rsidSect="00A5071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r w:rsidRPr="00CF3C5F">
        <w:rPr>
          <w:rStyle w:val="CharAmPartNo"/>
        </w:rPr>
        <w:t xml:space="preserve"> </w:t>
      </w:r>
      <w:r w:rsidRPr="00CF3C5F">
        <w:rPr>
          <w:rStyle w:val="CharAmPartText"/>
        </w:rPr>
        <w:t xml:space="preserve"> </w:t>
      </w:r>
    </w:p>
    <w:p w14:paraId="383E07FB" w14:textId="77777777" w:rsidR="00330778" w:rsidRPr="00CF3C5F" w:rsidRDefault="00330778" w:rsidP="00330778">
      <w:pPr>
        <w:rPr>
          <w:sz w:val="36"/>
        </w:rPr>
      </w:pPr>
      <w:r w:rsidRPr="00CF3C5F">
        <w:rPr>
          <w:sz w:val="36"/>
        </w:rPr>
        <w:lastRenderedPageBreak/>
        <w:t>Contents</w:t>
      </w:r>
    </w:p>
    <w:p w14:paraId="2DDB07FE" w14:textId="13721F82" w:rsidR="00F74375" w:rsidRDefault="00F7437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74375">
        <w:rPr>
          <w:noProof/>
        </w:rPr>
        <w:tab/>
      </w:r>
      <w:r w:rsidRPr="00F74375">
        <w:rPr>
          <w:noProof/>
        </w:rPr>
        <w:fldChar w:fldCharType="begin"/>
      </w:r>
      <w:r w:rsidRPr="00F74375">
        <w:rPr>
          <w:noProof/>
        </w:rPr>
        <w:instrText xml:space="preserve"> PAGEREF _Toc129791549 \h </w:instrText>
      </w:r>
      <w:r w:rsidRPr="00F74375">
        <w:rPr>
          <w:noProof/>
        </w:rPr>
      </w:r>
      <w:r w:rsidRPr="00F74375">
        <w:rPr>
          <w:noProof/>
        </w:rPr>
        <w:fldChar w:fldCharType="separate"/>
      </w:r>
      <w:r w:rsidR="00A60E52">
        <w:rPr>
          <w:noProof/>
        </w:rPr>
        <w:t>1</w:t>
      </w:r>
      <w:r w:rsidRPr="00F74375">
        <w:rPr>
          <w:noProof/>
        </w:rPr>
        <w:fldChar w:fldCharType="end"/>
      </w:r>
    </w:p>
    <w:p w14:paraId="46CE726A" w14:textId="63AE121D" w:rsidR="00F74375" w:rsidRDefault="00F74375">
      <w:pPr>
        <w:pStyle w:val="TOC5"/>
        <w:rPr>
          <w:rFonts w:asciiTheme="minorHAnsi" w:eastAsiaTheme="minorEastAsia" w:hAnsiTheme="minorHAnsi" w:cstheme="minorBidi"/>
          <w:noProof/>
          <w:kern w:val="0"/>
          <w:sz w:val="22"/>
          <w:szCs w:val="22"/>
        </w:rPr>
      </w:pPr>
      <w:r>
        <w:rPr>
          <w:noProof/>
        </w:rPr>
        <w:t>2</w:t>
      </w:r>
      <w:r>
        <w:rPr>
          <w:noProof/>
        </w:rPr>
        <w:tab/>
        <w:t>Commencement</w:t>
      </w:r>
      <w:r w:rsidRPr="00F74375">
        <w:rPr>
          <w:noProof/>
        </w:rPr>
        <w:tab/>
      </w:r>
      <w:r w:rsidRPr="00F74375">
        <w:rPr>
          <w:noProof/>
        </w:rPr>
        <w:fldChar w:fldCharType="begin"/>
      </w:r>
      <w:r w:rsidRPr="00F74375">
        <w:rPr>
          <w:noProof/>
        </w:rPr>
        <w:instrText xml:space="preserve"> PAGEREF _Toc129791550 \h </w:instrText>
      </w:r>
      <w:r w:rsidRPr="00F74375">
        <w:rPr>
          <w:noProof/>
        </w:rPr>
      </w:r>
      <w:r w:rsidRPr="00F74375">
        <w:rPr>
          <w:noProof/>
        </w:rPr>
        <w:fldChar w:fldCharType="separate"/>
      </w:r>
      <w:r w:rsidR="00A60E52">
        <w:rPr>
          <w:noProof/>
        </w:rPr>
        <w:t>2</w:t>
      </w:r>
      <w:r w:rsidRPr="00F74375">
        <w:rPr>
          <w:noProof/>
        </w:rPr>
        <w:fldChar w:fldCharType="end"/>
      </w:r>
    </w:p>
    <w:p w14:paraId="79082FDC" w14:textId="33017D72" w:rsidR="00F74375" w:rsidRDefault="00F74375">
      <w:pPr>
        <w:pStyle w:val="TOC5"/>
        <w:rPr>
          <w:rFonts w:asciiTheme="minorHAnsi" w:eastAsiaTheme="minorEastAsia" w:hAnsiTheme="minorHAnsi" w:cstheme="minorBidi"/>
          <w:noProof/>
          <w:kern w:val="0"/>
          <w:sz w:val="22"/>
          <w:szCs w:val="22"/>
        </w:rPr>
      </w:pPr>
      <w:r>
        <w:rPr>
          <w:noProof/>
        </w:rPr>
        <w:t>3</w:t>
      </w:r>
      <w:r>
        <w:rPr>
          <w:noProof/>
        </w:rPr>
        <w:tab/>
        <w:t>Schedules</w:t>
      </w:r>
      <w:r w:rsidRPr="00F74375">
        <w:rPr>
          <w:noProof/>
        </w:rPr>
        <w:tab/>
      </w:r>
      <w:r w:rsidRPr="00F74375">
        <w:rPr>
          <w:noProof/>
        </w:rPr>
        <w:fldChar w:fldCharType="begin"/>
      </w:r>
      <w:r w:rsidRPr="00F74375">
        <w:rPr>
          <w:noProof/>
        </w:rPr>
        <w:instrText xml:space="preserve"> PAGEREF _Toc129791551 \h </w:instrText>
      </w:r>
      <w:r w:rsidRPr="00F74375">
        <w:rPr>
          <w:noProof/>
        </w:rPr>
      </w:r>
      <w:r w:rsidRPr="00F74375">
        <w:rPr>
          <w:noProof/>
        </w:rPr>
        <w:fldChar w:fldCharType="separate"/>
      </w:r>
      <w:r w:rsidR="00A60E52">
        <w:rPr>
          <w:noProof/>
        </w:rPr>
        <w:t>2</w:t>
      </w:r>
      <w:r w:rsidRPr="00F74375">
        <w:rPr>
          <w:noProof/>
        </w:rPr>
        <w:fldChar w:fldCharType="end"/>
      </w:r>
    </w:p>
    <w:p w14:paraId="4A210594" w14:textId="4B806E57" w:rsidR="00F74375" w:rsidRDefault="00F74375">
      <w:pPr>
        <w:pStyle w:val="TOC6"/>
        <w:rPr>
          <w:rFonts w:asciiTheme="minorHAnsi" w:eastAsiaTheme="minorEastAsia" w:hAnsiTheme="minorHAnsi" w:cstheme="minorBidi"/>
          <w:b w:val="0"/>
          <w:noProof/>
          <w:kern w:val="0"/>
          <w:sz w:val="22"/>
          <w:szCs w:val="22"/>
        </w:rPr>
      </w:pPr>
      <w:r>
        <w:rPr>
          <w:noProof/>
        </w:rPr>
        <w:t>Schedule 1—Amendments</w:t>
      </w:r>
      <w:r w:rsidRPr="00F74375">
        <w:rPr>
          <w:b w:val="0"/>
          <w:noProof/>
          <w:sz w:val="18"/>
        </w:rPr>
        <w:tab/>
      </w:r>
      <w:r w:rsidRPr="00F74375">
        <w:rPr>
          <w:b w:val="0"/>
          <w:noProof/>
          <w:sz w:val="18"/>
        </w:rPr>
        <w:fldChar w:fldCharType="begin"/>
      </w:r>
      <w:r w:rsidRPr="00F74375">
        <w:rPr>
          <w:b w:val="0"/>
          <w:noProof/>
          <w:sz w:val="18"/>
        </w:rPr>
        <w:instrText xml:space="preserve"> PAGEREF _Toc129791552 \h </w:instrText>
      </w:r>
      <w:r w:rsidRPr="00F74375">
        <w:rPr>
          <w:b w:val="0"/>
          <w:noProof/>
          <w:sz w:val="18"/>
        </w:rPr>
      </w:r>
      <w:r w:rsidRPr="00F74375">
        <w:rPr>
          <w:b w:val="0"/>
          <w:noProof/>
          <w:sz w:val="18"/>
        </w:rPr>
        <w:fldChar w:fldCharType="separate"/>
      </w:r>
      <w:r w:rsidR="00A60E52">
        <w:rPr>
          <w:b w:val="0"/>
          <w:noProof/>
          <w:sz w:val="18"/>
        </w:rPr>
        <w:t>3</w:t>
      </w:r>
      <w:r w:rsidRPr="00F74375">
        <w:rPr>
          <w:b w:val="0"/>
          <w:noProof/>
          <w:sz w:val="18"/>
        </w:rPr>
        <w:fldChar w:fldCharType="end"/>
      </w:r>
    </w:p>
    <w:p w14:paraId="6FDFE5F0" w14:textId="78BC1FA2" w:rsidR="00F74375" w:rsidRDefault="00F74375">
      <w:pPr>
        <w:pStyle w:val="TOC9"/>
        <w:rPr>
          <w:rFonts w:asciiTheme="minorHAnsi" w:eastAsiaTheme="minorEastAsia" w:hAnsiTheme="minorHAnsi" w:cstheme="minorBidi"/>
          <w:i w:val="0"/>
          <w:noProof/>
          <w:kern w:val="0"/>
          <w:sz w:val="22"/>
          <w:szCs w:val="22"/>
        </w:rPr>
      </w:pPr>
      <w:r>
        <w:rPr>
          <w:noProof/>
        </w:rPr>
        <w:t>Higher Education Support Act 2003</w:t>
      </w:r>
      <w:r w:rsidRPr="00F74375">
        <w:rPr>
          <w:i w:val="0"/>
          <w:noProof/>
          <w:sz w:val="18"/>
        </w:rPr>
        <w:tab/>
      </w:r>
      <w:r w:rsidRPr="00F74375">
        <w:rPr>
          <w:i w:val="0"/>
          <w:noProof/>
          <w:sz w:val="18"/>
        </w:rPr>
        <w:fldChar w:fldCharType="begin"/>
      </w:r>
      <w:r w:rsidRPr="00F74375">
        <w:rPr>
          <w:i w:val="0"/>
          <w:noProof/>
          <w:sz w:val="18"/>
        </w:rPr>
        <w:instrText xml:space="preserve"> PAGEREF _Toc129791553 \h </w:instrText>
      </w:r>
      <w:r w:rsidRPr="00F74375">
        <w:rPr>
          <w:i w:val="0"/>
          <w:noProof/>
          <w:sz w:val="18"/>
        </w:rPr>
      </w:r>
      <w:r w:rsidRPr="00F74375">
        <w:rPr>
          <w:i w:val="0"/>
          <w:noProof/>
          <w:sz w:val="18"/>
        </w:rPr>
        <w:fldChar w:fldCharType="separate"/>
      </w:r>
      <w:r w:rsidR="00A60E52">
        <w:rPr>
          <w:i w:val="0"/>
          <w:noProof/>
          <w:sz w:val="18"/>
        </w:rPr>
        <w:t>3</w:t>
      </w:r>
      <w:r w:rsidRPr="00F74375">
        <w:rPr>
          <w:i w:val="0"/>
          <w:noProof/>
          <w:sz w:val="18"/>
        </w:rPr>
        <w:fldChar w:fldCharType="end"/>
      </w:r>
    </w:p>
    <w:p w14:paraId="0E0B1F39" w14:textId="37CA0574" w:rsidR="00330778" w:rsidRPr="00CF3C5F" w:rsidRDefault="00F74375" w:rsidP="00330778">
      <w:r>
        <w:fldChar w:fldCharType="end"/>
      </w:r>
    </w:p>
    <w:p w14:paraId="5BB98D8B" w14:textId="77777777" w:rsidR="00330778" w:rsidRPr="00CF3C5F" w:rsidRDefault="00330778" w:rsidP="00330778">
      <w:pPr>
        <w:sectPr w:rsidR="00330778" w:rsidRPr="00CF3C5F" w:rsidSect="00A5071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447A9876" w14:textId="77777777" w:rsidR="00A50712" w:rsidRDefault="00A50712">
      <w:r>
        <w:object w:dxaOrig="2146" w:dyaOrig="1561" w14:anchorId="41ED3798">
          <v:shape id="_x0000_i1027" type="#_x0000_t75" alt="Commonwealth Coat of Arms of Australia" style="width:110.25pt;height:80.25pt" o:ole="" fillcolor="window">
            <v:imagedata r:id="rId7" o:title=""/>
          </v:shape>
          <o:OLEObject Type="Embed" ProgID="Word.Picture.8" ShapeID="_x0000_i1027" DrawAspect="Content" ObjectID="_1740404715" r:id="rId20"/>
        </w:object>
      </w:r>
    </w:p>
    <w:p w14:paraId="2E37C355" w14:textId="77777777" w:rsidR="00A50712" w:rsidRDefault="00A50712"/>
    <w:p w14:paraId="2C4D4CE7" w14:textId="77777777" w:rsidR="00A50712" w:rsidRDefault="00A50712" w:rsidP="000178F8">
      <w:pPr>
        <w:spacing w:line="240" w:lineRule="auto"/>
      </w:pPr>
    </w:p>
    <w:p w14:paraId="2C8BF629" w14:textId="4C067783" w:rsidR="00A50712" w:rsidRDefault="00F44B31" w:rsidP="000178F8">
      <w:pPr>
        <w:pStyle w:val="ShortTP1"/>
      </w:pPr>
      <w:fldSimple w:instr=" STYLEREF ShortT ">
        <w:r w:rsidR="00A60E52">
          <w:rPr>
            <w:noProof/>
          </w:rPr>
          <w:t>Higher Education Support Amendment (Australia’s Economic Accelerator) Act 2023</w:t>
        </w:r>
      </w:fldSimple>
    </w:p>
    <w:p w14:paraId="106F5E3C" w14:textId="05E9E4DB" w:rsidR="00A50712" w:rsidRDefault="00F44B31" w:rsidP="000178F8">
      <w:pPr>
        <w:pStyle w:val="ActNoP1"/>
      </w:pPr>
      <w:fldSimple w:instr=" STYLEREF Actno ">
        <w:r w:rsidR="00A60E52">
          <w:rPr>
            <w:noProof/>
          </w:rPr>
          <w:t>No. 5, 2023</w:t>
        </w:r>
      </w:fldSimple>
    </w:p>
    <w:p w14:paraId="1B7EE762" w14:textId="77777777" w:rsidR="00A50712" w:rsidRPr="009A0728" w:rsidRDefault="00A50712" w:rsidP="009A0728">
      <w:pPr>
        <w:pBdr>
          <w:bottom w:val="single" w:sz="6" w:space="0" w:color="auto"/>
        </w:pBdr>
        <w:spacing w:before="400" w:line="240" w:lineRule="auto"/>
        <w:rPr>
          <w:rFonts w:eastAsia="Times New Roman"/>
          <w:b/>
          <w:sz w:val="28"/>
        </w:rPr>
      </w:pPr>
    </w:p>
    <w:p w14:paraId="6E7F6E4B" w14:textId="77777777" w:rsidR="00A50712" w:rsidRPr="009A0728" w:rsidRDefault="00A50712" w:rsidP="009A0728">
      <w:pPr>
        <w:spacing w:line="40" w:lineRule="exact"/>
        <w:rPr>
          <w:rFonts w:eastAsia="Calibri"/>
          <w:b/>
          <w:sz w:val="28"/>
        </w:rPr>
      </w:pPr>
    </w:p>
    <w:p w14:paraId="29B72F54" w14:textId="77777777" w:rsidR="00A50712" w:rsidRPr="009A0728" w:rsidRDefault="00A50712" w:rsidP="009A0728">
      <w:pPr>
        <w:pBdr>
          <w:top w:val="single" w:sz="12" w:space="0" w:color="auto"/>
        </w:pBdr>
        <w:spacing w:line="240" w:lineRule="auto"/>
        <w:rPr>
          <w:rFonts w:eastAsia="Times New Roman"/>
          <w:b/>
          <w:sz w:val="28"/>
        </w:rPr>
      </w:pPr>
    </w:p>
    <w:p w14:paraId="3AC8AFC0" w14:textId="77777777" w:rsidR="00A50712" w:rsidRDefault="00A50712" w:rsidP="00A50712">
      <w:pPr>
        <w:pStyle w:val="Page1"/>
        <w:spacing w:before="400"/>
      </w:pPr>
      <w:r>
        <w:t xml:space="preserve">An Act to amend the </w:t>
      </w:r>
      <w:r w:rsidRPr="00A50712">
        <w:rPr>
          <w:i/>
        </w:rPr>
        <w:t>Higher Education Support Act 2003</w:t>
      </w:r>
      <w:r>
        <w:t>, and for related purposes</w:t>
      </w:r>
    </w:p>
    <w:p w14:paraId="1EB62330" w14:textId="4CD4FABD" w:rsidR="00F74375" w:rsidRDefault="00F74375" w:rsidP="000C5962">
      <w:pPr>
        <w:pStyle w:val="AssentDt"/>
        <w:spacing w:before="240"/>
        <w:rPr>
          <w:sz w:val="24"/>
        </w:rPr>
      </w:pPr>
      <w:r>
        <w:rPr>
          <w:sz w:val="24"/>
        </w:rPr>
        <w:t>[</w:t>
      </w:r>
      <w:r>
        <w:rPr>
          <w:i/>
          <w:sz w:val="24"/>
        </w:rPr>
        <w:t>Assented to 14 March 2023</w:t>
      </w:r>
      <w:r>
        <w:rPr>
          <w:sz w:val="24"/>
        </w:rPr>
        <w:t>]</w:t>
      </w:r>
    </w:p>
    <w:p w14:paraId="2F4DEDBD" w14:textId="43DA09C8" w:rsidR="00330778" w:rsidRPr="00CF3C5F" w:rsidRDefault="00330778" w:rsidP="00B1229B">
      <w:pPr>
        <w:spacing w:before="240" w:line="240" w:lineRule="auto"/>
        <w:rPr>
          <w:sz w:val="32"/>
        </w:rPr>
      </w:pPr>
      <w:r w:rsidRPr="00CF3C5F">
        <w:rPr>
          <w:sz w:val="32"/>
        </w:rPr>
        <w:t>The Parliament of Australia enacts:</w:t>
      </w:r>
    </w:p>
    <w:p w14:paraId="5BA62B20" w14:textId="77777777" w:rsidR="00330778" w:rsidRPr="00CF3C5F" w:rsidRDefault="00330778" w:rsidP="00B1229B">
      <w:pPr>
        <w:pStyle w:val="ActHead5"/>
      </w:pPr>
      <w:bookmarkStart w:id="1" w:name="_Toc129791549"/>
      <w:r w:rsidRPr="00CF3C5F">
        <w:rPr>
          <w:rStyle w:val="CharSectno"/>
        </w:rPr>
        <w:t>1</w:t>
      </w:r>
      <w:r w:rsidRPr="00CF3C5F">
        <w:t xml:space="preserve">  Short title</w:t>
      </w:r>
      <w:bookmarkEnd w:id="1"/>
    </w:p>
    <w:p w14:paraId="14919DEE" w14:textId="77777777" w:rsidR="003C5469" w:rsidRDefault="003C5469" w:rsidP="003C5469">
      <w:pPr>
        <w:pStyle w:val="subsection"/>
      </w:pPr>
      <w:r>
        <w:tab/>
      </w:r>
      <w:r>
        <w:tab/>
        <w:t xml:space="preserve">This Act is the </w:t>
      </w:r>
      <w:r w:rsidRPr="003C5469">
        <w:rPr>
          <w:i/>
        </w:rPr>
        <w:t>Higher Education Support Amendment (Australia’s Economic Accelerator) Act 2023</w:t>
      </w:r>
      <w:r>
        <w:t>.</w:t>
      </w:r>
    </w:p>
    <w:p w14:paraId="465F04DC" w14:textId="0DE13A98" w:rsidR="00330778" w:rsidRPr="00CF3C5F" w:rsidRDefault="00330778" w:rsidP="00B1229B">
      <w:pPr>
        <w:pStyle w:val="ActHead5"/>
      </w:pPr>
      <w:bookmarkStart w:id="2" w:name="_Toc129791550"/>
      <w:r w:rsidRPr="00CF3C5F">
        <w:rPr>
          <w:rStyle w:val="CharSectno"/>
        </w:rPr>
        <w:lastRenderedPageBreak/>
        <w:t>2</w:t>
      </w:r>
      <w:r w:rsidRPr="00CF3C5F">
        <w:t xml:space="preserve">  Commencement</w:t>
      </w:r>
      <w:bookmarkEnd w:id="2"/>
    </w:p>
    <w:p w14:paraId="464A4FBA" w14:textId="77777777" w:rsidR="00330778" w:rsidRPr="00CF3C5F" w:rsidRDefault="00330778" w:rsidP="00B1229B">
      <w:pPr>
        <w:pStyle w:val="subsection"/>
      </w:pPr>
      <w:r w:rsidRPr="00CF3C5F">
        <w:tab/>
        <w:t>(1)</w:t>
      </w:r>
      <w:r w:rsidRPr="00CF3C5F">
        <w:tab/>
        <w:t>Each provision of this Act specified in column 1 of the table commences, or is taken to have commenced, in accordance with column 2 of the table. Any other statement in column 2 has effect according to its terms.</w:t>
      </w:r>
    </w:p>
    <w:p w14:paraId="2BE16A50" w14:textId="77777777" w:rsidR="00330778" w:rsidRPr="00CF3C5F" w:rsidRDefault="00330778" w:rsidP="00B1229B">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330778" w:rsidRPr="00CF3C5F" w14:paraId="167F9B61" w14:textId="77777777" w:rsidTr="0096206E">
        <w:trPr>
          <w:tblHeader/>
        </w:trPr>
        <w:tc>
          <w:tcPr>
            <w:tcW w:w="5000" w:type="pct"/>
            <w:gridSpan w:val="3"/>
            <w:tcBorders>
              <w:top w:val="single" w:sz="12" w:space="0" w:color="auto"/>
              <w:bottom w:val="single" w:sz="2" w:space="0" w:color="auto"/>
            </w:tcBorders>
            <w:shd w:val="clear" w:color="auto" w:fill="auto"/>
            <w:hideMark/>
          </w:tcPr>
          <w:p w14:paraId="01B84D71" w14:textId="77777777" w:rsidR="00330778" w:rsidRPr="00CF3C5F" w:rsidRDefault="00330778" w:rsidP="00B1229B">
            <w:pPr>
              <w:pStyle w:val="TableHeading"/>
            </w:pPr>
            <w:r w:rsidRPr="00CF3C5F">
              <w:t>Commencement information</w:t>
            </w:r>
          </w:p>
        </w:tc>
      </w:tr>
      <w:tr w:rsidR="00330778" w:rsidRPr="00CF3C5F" w14:paraId="63A4E69B" w14:textId="77777777" w:rsidTr="0096206E">
        <w:trPr>
          <w:tblHeader/>
        </w:trPr>
        <w:tc>
          <w:tcPr>
            <w:tcW w:w="1196" w:type="pct"/>
            <w:tcBorders>
              <w:top w:val="single" w:sz="2" w:space="0" w:color="auto"/>
              <w:bottom w:val="single" w:sz="2" w:space="0" w:color="auto"/>
            </w:tcBorders>
            <w:shd w:val="clear" w:color="auto" w:fill="auto"/>
            <w:hideMark/>
          </w:tcPr>
          <w:p w14:paraId="38789BFA" w14:textId="77777777" w:rsidR="00330778" w:rsidRPr="00CF3C5F" w:rsidRDefault="00330778" w:rsidP="00B1229B">
            <w:pPr>
              <w:pStyle w:val="TableHeading"/>
            </w:pPr>
            <w:r w:rsidRPr="00CF3C5F">
              <w:t>Column 1</w:t>
            </w:r>
          </w:p>
        </w:tc>
        <w:tc>
          <w:tcPr>
            <w:tcW w:w="2692" w:type="pct"/>
            <w:tcBorders>
              <w:top w:val="single" w:sz="2" w:space="0" w:color="auto"/>
              <w:bottom w:val="single" w:sz="2" w:space="0" w:color="auto"/>
            </w:tcBorders>
            <w:shd w:val="clear" w:color="auto" w:fill="auto"/>
            <w:hideMark/>
          </w:tcPr>
          <w:p w14:paraId="06049818" w14:textId="77777777" w:rsidR="00330778" w:rsidRPr="00CF3C5F" w:rsidRDefault="00330778" w:rsidP="00B1229B">
            <w:pPr>
              <w:pStyle w:val="TableHeading"/>
            </w:pPr>
            <w:r w:rsidRPr="00CF3C5F">
              <w:t>Column 2</w:t>
            </w:r>
          </w:p>
        </w:tc>
        <w:tc>
          <w:tcPr>
            <w:tcW w:w="1112" w:type="pct"/>
            <w:tcBorders>
              <w:top w:val="single" w:sz="2" w:space="0" w:color="auto"/>
              <w:bottom w:val="single" w:sz="2" w:space="0" w:color="auto"/>
            </w:tcBorders>
            <w:shd w:val="clear" w:color="auto" w:fill="auto"/>
            <w:hideMark/>
          </w:tcPr>
          <w:p w14:paraId="794B9520" w14:textId="77777777" w:rsidR="00330778" w:rsidRPr="00CF3C5F" w:rsidRDefault="00330778" w:rsidP="00B1229B">
            <w:pPr>
              <w:pStyle w:val="TableHeading"/>
            </w:pPr>
            <w:r w:rsidRPr="00CF3C5F">
              <w:t>Column 3</w:t>
            </w:r>
          </w:p>
        </w:tc>
      </w:tr>
      <w:tr w:rsidR="00330778" w:rsidRPr="00CF3C5F" w14:paraId="139D2027" w14:textId="77777777" w:rsidTr="0096206E">
        <w:trPr>
          <w:tblHeader/>
        </w:trPr>
        <w:tc>
          <w:tcPr>
            <w:tcW w:w="1196" w:type="pct"/>
            <w:tcBorders>
              <w:top w:val="single" w:sz="2" w:space="0" w:color="auto"/>
              <w:bottom w:val="single" w:sz="12" w:space="0" w:color="auto"/>
            </w:tcBorders>
            <w:shd w:val="clear" w:color="auto" w:fill="auto"/>
            <w:hideMark/>
          </w:tcPr>
          <w:p w14:paraId="482FBD6C" w14:textId="77777777" w:rsidR="00330778" w:rsidRPr="00CF3C5F" w:rsidRDefault="00330778" w:rsidP="00B1229B">
            <w:pPr>
              <w:pStyle w:val="TableHeading"/>
            </w:pPr>
            <w:r w:rsidRPr="00CF3C5F">
              <w:t>Provisions</w:t>
            </w:r>
          </w:p>
        </w:tc>
        <w:tc>
          <w:tcPr>
            <w:tcW w:w="2692" w:type="pct"/>
            <w:tcBorders>
              <w:top w:val="single" w:sz="2" w:space="0" w:color="auto"/>
              <w:bottom w:val="single" w:sz="12" w:space="0" w:color="auto"/>
            </w:tcBorders>
            <w:shd w:val="clear" w:color="auto" w:fill="auto"/>
            <w:hideMark/>
          </w:tcPr>
          <w:p w14:paraId="6A82AE66" w14:textId="77777777" w:rsidR="00330778" w:rsidRPr="00CF3C5F" w:rsidRDefault="00330778" w:rsidP="00B1229B">
            <w:pPr>
              <w:pStyle w:val="TableHeading"/>
            </w:pPr>
            <w:r w:rsidRPr="00CF3C5F">
              <w:t>Commencement</w:t>
            </w:r>
          </w:p>
        </w:tc>
        <w:tc>
          <w:tcPr>
            <w:tcW w:w="1112" w:type="pct"/>
            <w:tcBorders>
              <w:top w:val="single" w:sz="2" w:space="0" w:color="auto"/>
              <w:bottom w:val="single" w:sz="12" w:space="0" w:color="auto"/>
            </w:tcBorders>
            <w:shd w:val="clear" w:color="auto" w:fill="auto"/>
            <w:hideMark/>
          </w:tcPr>
          <w:p w14:paraId="32697AEA" w14:textId="77777777" w:rsidR="00330778" w:rsidRPr="00CF3C5F" w:rsidRDefault="00330778" w:rsidP="00B1229B">
            <w:pPr>
              <w:pStyle w:val="TableHeading"/>
            </w:pPr>
            <w:r w:rsidRPr="00CF3C5F">
              <w:t>Date/Details</w:t>
            </w:r>
          </w:p>
        </w:tc>
      </w:tr>
      <w:tr w:rsidR="00330778" w:rsidRPr="00CF3C5F" w14:paraId="5C2C149B" w14:textId="77777777" w:rsidTr="0096206E">
        <w:tc>
          <w:tcPr>
            <w:tcW w:w="1196" w:type="pct"/>
            <w:tcBorders>
              <w:top w:val="single" w:sz="12" w:space="0" w:color="auto"/>
              <w:bottom w:val="single" w:sz="12" w:space="0" w:color="auto"/>
            </w:tcBorders>
            <w:shd w:val="clear" w:color="auto" w:fill="auto"/>
            <w:hideMark/>
          </w:tcPr>
          <w:p w14:paraId="0DE7340A" w14:textId="77777777" w:rsidR="00330778" w:rsidRPr="00CF3C5F" w:rsidRDefault="00330778" w:rsidP="00B1229B">
            <w:pPr>
              <w:pStyle w:val="Tabletext"/>
            </w:pPr>
            <w:r w:rsidRPr="00CF3C5F">
              <w:t>1.  The whole of this Act</w:t>
            </w:r>
          </w:p>
        </w:tc>
        <w:tc>
          <w:tcPr>
            <w:tcW w:w="2692" w:type="pct"/>
            <w:tcBorders>
              <w:top w:val="single" w:sz="12" w:space="0" w:color="auto"/>
              <w:bottom w:val="single" w:sz="12" w:space="0" w:color="auto"/>
            </w:tcBorders>
            <w:shd w:val="clear" w:color="auto" w:fill="auto"/>
            <w:hideMark/>
          </w:tcPr>
          <w:p w14:paraId="79C41C20" w14:textId="77777777" w:rsidR="00330778" w:rsidRPr="00CF3C5F" w:rsidRDefault="00330778" w:rsidP="00B1229B">
            <w:pPr>
              <w:pStyle w:val="Tabletext"/>
            </w:pPr>
            <w:r w:rsidRPr="00CF3C5F">
              <w:t>The day after this Act receives the Royal Assent.</w:t>
            </w:r>
          </w:p>
        </w:tc>
        <w:tc>
          <w:tcPr>
            <w:tcW w:w="1112" w:type="pct"/>
            <w:tcBorders>
              <w:top w:val="single" w:sz="12" w:space="0" w:color="auto"/>
              <w:bottom w:val="single" w:sz="12" w:space="0" w:color="auto"/>
            </w:tcBorders>
            <w:shd w:val="clear" w:color="auto" w:fill="auto"/>
          </w:tcPr>
          <w:p w14:paraId="7377F62D" w14:textId="0D104358" w:rsidR="00330778" w:rsidRPr="00CF3C5F" w:rsidRDefault="00F74375" w:rsidP="00B1229B">
            <w:pPr>
              <w:pStyle w:val="Tabletext"/>
            </w:pPr>
            <w:r>
              <w:t>15 March 2023</w:t>
            </w:r>
          </w:p>
        </w:tc>
      </w:tr>
    </w:tbl>
    <w:p w14:paraId="221F6CAE" w14:textId="77777777" w:rsidR="00330778" w:rsidRPr="00CF3C5F" w:rsidRDefault="00330778" w:rsidP="00B1229B">
      <w:pPr>
        <w:pStyle w:val="notetext"/>
      </w:pPr>
      <w:r w:rsidRPr="00CF3C5F">
        <w:rPr>
          <w:snapToGrid w:val="0"/>
          <w:lang w:eastAsia="en-US"/>
        </w:rPr>
        <w:t>Note:</w:t>
      </w:r>
      <w:r w:rsidRPr="00CF3C5F">
        <w:rPr>
          <w:snapToGrid w:val="0"/>
          <w:lang w:eastAsia="en-US"/>
        </w:rPr>
        <w:tab/>
        <w:t>This table relates only to the provisions of this Act as originally enacted. It will not be amended to deal with any later amendments of this Act.</w:t>
      </w:r>
    </w:p>
    <w:p w14:paraId="2A99180B" w14:textId="77777777" w:rsidR="00330778" w:rsidRPr="00CF3C5F" w:rsidRDefault="00330778" w:rsidP="00B1229B">
      <w:pPr>
        <w:pStyle w:val="subsection"/>
      </w:pPr>
      <w:r w:rsidRPr="00CF3C5F">
        <w:tab/>
        <w:t>(2)</w:t>
      </w:r>
      <w:r w:rsidRPr="00CF3C5F">
        <w:tab/>
        <w:t>Any information in column 3 of the table is not part of this Act. Information may be inserted in this column, or information in it may be edited, in any published version of this Act.</w:t>
      </w:r>
    </w:p>
    <w:p w14:paraId="4E3C26C0" w14:textId="77777777" w:rsidR="00330778" w:rsidRPr="00CF3C5F" w:rsidRDefault="00330778" w:rsidP="00B1229B">
      <w:pPr>
        <w:pStyle w:val="ActHead5"/>
      </w:pPr>
      <w:bookmarkStart w:id="3" w:name="_Toc129791551"/>
      <w:r w:rsidRPr="00CF3C5F">
        <w:rPr>
          <w:rStyle w:val="CharSectno"/>
        </w:rPr>
        <w:t>3</w:t>
      </w:r>
      <w:r w:rsidRPr="00CF3C5F">
        <w:t xml:space="preserve">  Schedules</w:t>
      </w:r>
      <w:bookmarkEnd w:id="3"/>
    </w:p>
    <w:p w14:paraId="74A77BE6" w14:textId="77777777" w:rsidR="00330778" w:rsidRPr="00CF3C5F" w:rsidRDefault="00330778" w:rsidP="00B1229B">
      <w:pPr>
        <w:pStyle w:val="subsection"/>
      </w:pPr>
      <w:r w:rsidRPr="00CF3C5F">
        <w:tab/>
      </w:r>
      <w:r w:rsidRPr="00CF3C5F">
        <w:tab/>
        <w:t>Legislation that is specified in a Schedule to this Act is amended or repealed as set out in the applicable items in the Schedule concerned, and any other item in a Schedule to this Act has effect according to its terms.</w:t>
      </w:r>
    </w:p>
    <w:p w14:paraId="584912D3" w14:textId="77777777" w:rsidR="00330778" w:rsidRPr="00CF3C5F" w:rsidRDefault="00330778" w:rsidP="00B1229B">
      <w:pPr>
        <w:pStyle w:val="ActHead6"/>
        <w:pageBreakBefore/>
      </w:pPr>
      <w:bookmarkStart w:id="4" w:name="_Toc129791552"/>
      <w:r w:rsidRPr="00CF3C5F">
        <w:rPr>
          <w:rStyle w:val="CharAmSchNo"/>
        </w:rPr>
        <w:lastRenderedPageBreak/>
        <w:t>Schedule 1</w:t>
      </w:r>
      <w:r w:rsidRPr="00CF3C5F">
        <w:t>—</w:t>
      </w:r>
      <w:r w:rsidRPr="00CF3C5F">
        <w:rPr>
          <w:rStyle w:val="CharAmSchText"/>
        </w:rPr>
        <w:t>Amendments</w:t>
      </w:r>
      <w:bookmarkEnd w:id="4"/>
    </w:p>
    <w:p w14:paraId="066414A1" w14:textId="77777777" w:rsidR="00330778" w:rsidRPr="00CF3C5F" w:rsidRDefault="00330778" w:rsidP="00B1229B">
      <w:pPr>
        <w:pStyle w:val="Header"/>
      </w:pPr>
      <w:r w:rsidRPr="00CF3C5F">
        <w:rPr>
          <w:rStyle w:val="CharAmPartNo"/>
        </w:rPr>
        <w:t xml:space="preserve"> </w:t>
      </w:r>
      <w:r w:rsidRPr="00CF3C5F">
        <w:rPr>
          <w:rStyle w:val="CharAmPartText"/>
        </w:rPr>
        <w:t xml:space="preserve"> </w:t>
      </w:r>
    </w:p>
    <w:p w14:paraId="48780E26" w14:textId="77777777" w:rsidR="00330778" w:rsidRPr="00CF3C5F" w:rsidRDefault="00330778" w:rsidP="00B1229B">
      <w:pPr>
        <w:pStyle w:val="ActHead9"/>
      </w:pPr>
      <w:bookmarkStart w:id="5" w:name="_Toc129791553"/>
      <w:r w:rsidRPr="00CF3C5F">
        <w:t>Higher Education Support Act 2003</w:t>
      </w:r>
      <w:bookmarkEnd w:id="5"/>
    </w:p>
    <w:p w14:paraId="40C3A158" w14:textId="77777777" w:rsidR="00330778" w:rsidRPr="00CF3C5F" w:rsidRDefault="00B1229B" w:rsidP="00B1229B">
      <w:pPr>
        <w:pStyle w:val="ItemHead"/>
      </w:pPr>
      <w:r w:rsidRPr="00CF3C5F">
        <w:t>1</w:t>
      </w:r>
      <w:r w:rsidR="00330778" w:rsidRPr="00CF3C5F">
        <w:t xml:space="preserve">  </w:t>
      </w:r>
      <w:r w:rsidR="0096206E" w:rsidRPr="00CF3C5F">
        <w:t>Subsection 4</w:t>
      </w:r>
      <w:r w:rsidR="00330778" w:rsidRPr="00CF3C5F">
        <w:t>1</w:t>
      </w:r>
      <w:r w:rsidR="00CF3C5F">
        <w:noBreakHyphen/>
      </w:r>
      <w:r w:rsidR="00330778" w:rsidRPr="00CF3C5F">
        <w:t>10(1) (after table item 11)</w:t>
      </w:r>
    </w:p>
    <w:p w14:paraId="2C118922" w14:textId="77777777" w:rsidR="00330778" w:rsidRPr="00CF3C5F" w:rsidRDefault="00330778" w:rsidP="00B1229B">
      <w:pPr>
        <w:pStyle w:val="Item"/>
      </w:pPr>
      <w:r w:rsidRPr="00CF3C5F">
        <w:t>Insert:</w:t>
      </w:r>
    </w:p>
    <w:p w14:paraId="37C6A0DD" w14:textId="77777777" w:rsidR="00330778" w:rsidRPr="00CF3C5F" w:rsidRDefault="00330778" w:rsidP="00B1229B">
      <w:pPr>
        <w:pStyle w:val="Tabletext"/>
      </w:pPr>
    </w:p>
    <w:tbl>
      <w:tblPr>
        <w:tblW w:w="0" w:type="auto"/>
        <w:tblInd w:w="108" w:type="dxa"/>
        <w:tblLayout w:type="fixed"/>
        <w:tblLook w:val="0000" w:firstRow="0" w:lastRow="0" w:firstColumn="0" w:lastColumn="0" w:noHBand="0" w:noVBand="0"/>
      </w:tblPr>
      <w:tblGrid>
        <w:gridCol w:w="719"/>
        <w:gridCol w:w="3186"/>
        <w:gridCol w:w="3186"/>
      </w:tblGrid>
      <w:tr w:rsidR="00330778" w:rsidRPr="00CF3C5F" w:rsidDel="0079663C" w14:paraId="7CA9E0BD" w14:textId="77777777" w:rsidTr="0096206E">
        <w:trPr>
          <w:cantSplit/>
        </w:trPr>
        <w:tc>
          <w:tcPr>
            <w:tcW w:w="719" w:type="dxa"/>
          </w:tcPr>
          <w:p w14:paraId="5A160B03" w14:textId="77777777" w:rsidR="00330778" w:rsidRPr="00CF3C5F" w:rsidRDefault="00330778" w:rsidP="00B1229B">
            <w:pPr>
              <w:pStyle w:val="Tabletext"/>
            </w:pPr>
            <w:r w:rsidRPr="00CF3C5F">
              <w:t>11A</w:t>
            </w:r>
          </w:p>
        </w:tc>
        <w:tc>
          <w:tcPr>
            <w:tcW w:w="3186" w:type="dxa"/>
          </w:tcPr>
          <w:p w14:paraId="1AB14BEE" w14:textId="77777777" w:rsidR="00330778" w:rsidRPr="00CF3C5F" w:rsidRDefault="00330778" w:rsidP="00B1229B">
            <w:pPr>
              <w:pStyle w:val="Tabletext"/>
            </w:pPr>
            <w:r w:rsidRPr="00CF3C5F">
              <w:t>Grants to support arrangements to increase industry</w:t>
            </w:r>
            <w:r w:rsidR="00CF3C5F">
              <w:noBreakHyphen/>
            </w:r>
            <w:r w:rsidRPr="00CF3C5F">
              <w:t>led study and postgraduate research</w:t>
            </w:r>
          </w:p>
        </w:tc>
        <w:tc>
          <w:tcPr>
            <w:tcW w:w="3186" w:type="dxa"/>
          </w:tcPr>
          <w:p w14:paraId="1EBABB23" w14:textId="77777777" w:rsidR="00330778" w:rsidRPr="00CF3C5F" w:rsidRDefault="00B1229B" w:rsidP="00B1229B">
            <w:pPr>
              <w:pStyle w:val="Tabletext"/>
            </w:pPr>
            <w:r w:rsidRPr="00CF3C5F">
              <w:rPr>
                <w:position w:val="6"/>
                <w:sz w:val="16"/>
              </w:rPr>
              <w:t>*</w:t>
            </w:r>
            <w:r w:rsidR="00330778" w:rsidRPr="00CF3C5F">
              <w:t xml:space="preserve">Table A providers, </w:t>
            </w:r>
            <w:r w:rsidRPr="00CF3C5F">
              <w:rPr>
                <w:position w:val="6"/>
                <w:sz w:val="16"/>
              </w:rPr>
              <w:t>*</w:t>
            </w:r>
            <w:r w:rsidR="00330778" w:rsidRPr="00CF3C5F">
              <w:t>Table B providers and bodies corporate that are specified in the Other Grants Guidelines for the purposes of this item</w:t>
            </w:r>
          </w:p>
        </w:tc>
      </w:tr>
    </w:tbl>
    <w:p w14:paraId="1C1FA740" w14:textId="77777777" w:rsidR="00330778" w:rsidRPr="00CF3C5F" w:rsidRDefault="00B1229B" w:rsidP="00B1229B">
      <w:pPr>
        <w:pStyle w:val="ItemHead"/>
      </w:pPr>
      <w:r w:rsidRPr="00CF3C5F">
        <w:t>2</w:t>
      </w:r>
      <w:r w:rsidR="00330778" w:rsidRPr="00CF3C5F">
        <w:t xml:space="preserve">  </w:t>
      </w:r>
      <w:r w:rsidR="0096206E" w:rsidRPr="00CF3C5F">
        <w:t>Subsection 4</w:t>
      </w:r>
      <w:r w:rsidR="000A2A72" w:rsidRPr="00CF3C5F">
        <w:t>1</w:t>
      </w:r>
      <w:r w:rsidR="00CF3C5F">
        <w:noBreakHyphen/>
      </w:r>
      <w:r w:rsidR="000A2A72" w:rsidRPr="00CF3C5F">
        <w:t>10(1) (at the end of the table)</w:t>
      </w:r>
    </w:p>
    <w:p w14:paraId="05600E02" w14:textId="77777777" w:rsidR="00330778" w:rsidRPr="00CF3C5F" w:rsidRDefault="000A2A72" w:rsidP="00B1229B">
      <w:pPr>
        <w:pStyle w:val="Item"/>
      </w:pPr>
      <w:r w:rsidRPr="00CF3C5F">
        <w:t>Add</w:t>
      </w:r>
      <w:r w:rsidR="00330778" w:rsidRPr="00CF3C5F">
        <w:t>:</w:t>
      </w:r>
    </w:p>
    <w:p w14:paraId="51060857" w14:textId="77777777" w:rsidR="00330778" w:rsidRPr="00CF3C5F" w:rsidRDefault="00330778" w:rsidP="00B1229B">
      <w:pPr>
        <w:pStyle w:val="Tabletext"/>
      </w:pPr>
    </w:p>
    <w:tbl>
      <w:tblPr>
        <w:tblW w:w="0" w:type="auto"/>
        <w:tblInd w:w="108" w:type="dxa"/>
        <w:tblLayout w:type="fixed"/>
        <w:tblLook w:val="0000" w:firstRow="0" w:lastRow="0" w:firstColumn="0" w:lastColumn="0" w:noHBand="0" w:noVBand="0"/>
      </w:tblPr>
      <w:tblGrid>
        <w:gridCol w:w="719"/>
        <w:gridCol w:w="3186"/>
        <w:gridCol w:w="3186"/>
      </w:tblGrid>
      <w:tr w:rsidR="00330778" w:rsidRPr="00CF3C5F" w:rsidDel="0079663C" w14:paraId="2F7FB7E3" w14:textId="77777777" w:rsidTr="0096206E">
        <w:trPr>
          <w:cantSplit/>
        </w:trPr>
        <w:tc>
          <w:tcPr>
            <w:tcW w:w="719" w:type="dxa"/>
          </w:tcPr>
          <w:p w14:paraId="6F7AD27C" w14:textId="77777777" w:rsidR="00330778" w:rsidRPr="00CF3C5F" w:rsidDel="0079663C" w:rsidRDefault="000A2A72" w:rsidP="00B1229B">
            <w:pPr>
              <w:pStyle w:val="Tabletext"/>
            </w:pPr>
            <w:r w:rsidRPr="00CF3C5F">
              <w:t>14</w:t>
            </w:r>
          </w:p>
        </w:tc>
        <w:tc>
          <w:tcPr>
            <w:tcW w:w="3186" w:type="dxa"/>
          </w:tcPr>
          <w:p w14:paraId="55E9D9EE" w14:textId="77777777" w:rsidR="00330778" w:rsidRPr="00CF3C5F" w:rsidDel="0079663C" w:rsidRDefault="00330778" w:rsidP="00B1229B">
            <w:pPr>
              <w:pStyle w:val="Tabletext"/>
            </w:pPr>
            <w:r w:rsidRPr="00CF3C5F">
              <w:t>Grants to assist higher education providers to undertake programs of research, in areas of national priority, that progress development of technologies and services to a state of commercial investor readiness</w:t>
            </w:r>
          </w:p>
        </w:tc>
        <w:tc>
          <w:tcPr>
            <w:tcW w:w="3186" w:type="dxa"/>
          </w:tcPr>
          <w:p w14:paraId="075A551C" w14:textId="77777777" w:rsidR="00330778" w:rsidRPr="00CF3C5F" w:rsidDel="0079663C" w:rsidRDefault="00B1229B" w:rsidP="00B1229B">
            <w:pPr>
              <w:pStyle w:val="Tabletext"/>
            </w:pPr>
            <w:r w:rsidRPr="00CF3C5F">
              <w:rPr>
                <w:position w:val="6"/>
                <w:sz w:val="16"/>
              </w:rPr>
              <w:t>*</w:t>
            </w:r>
            <w:r w:rsidR="00330778" w:rsidRPr="00CF3C5F">
              <w:t xml:space="preserve">Table A providers, </w:t>
            </w:r>
            <w:r w:rsidRPr="00CF3C5F">
              <w:rPr>
                <w:position w:val="6"/>
                <w:sz w:val="16"/>
              </w:rPr>
              <w:t>*</w:t>
            </w:r>
            <w:r w:rsidR="00330778" w:rsidRPr="00CF3C5F">
              <w:t>Table B providers and bodies corporate that are specified in the Other Grants Guidelines for the purposes of this item</w:t>
            </w:r>
          </w:p>
        </w:tc>
      </w:tr>
    </w:tbl>
    <w:p w14:paraId="51BE5974" w14:textId="77777777" w:rsidR="00330778" w:rsidRPr="00CF3C5F" w:rsidRDefault="00B1229B" w:rsidP="00B1229B">
      <w:pPr>
        <w:pStyle w:val="ItemHead"/>
      </w:pPr>
      <w:r w:rsidRPr="00CF3C5F">
        <w:t>3</w:t>
      </w:r>
      <w:r w:rsidR="00330778" w:rsidRPr="00CF3C5F">
        <w:t xml:space="preserve">  At the end of Part 2</w:t>
      </w:r>
      <w:r w:rsidR="00CF3C5F">
        <w:noBreakHyphen/>
      </w:r>
      <w:r w:rsidR="00330778" w:rsidRPr="00CF3C5F">
        <w:t>3</w:t>
      </w:r>
    </w:p>
    <w:p w14:paraId="0E7A96C1" w14:textId="77777777" w:rsidR="00330778" w:rsidRPr="00CF3C5F" w:rsidRDefault="00330778" w:rsidP="00B1229B">
      <w:pPr>
        <w:pStyle w:val="Item"/>
      </w:pPr>
      <w:r w:rsidRPr="00CF3C5F">
        <w:t>Add:</w:t>
      </w:r>
    </w:p>
    <w:p w14:paraId="0FF614E7" w14:textId="77777777" w:rsidR="00330778" w:rsidRPr="00CF3C5F" w:rsidRDefault="00330778" w:rsidP="00B1229B">
      <w:pPr>
        <w:pStyle w:val="ActHead3"/>
      </w:pPr>
      <w:bookmarkStart w:id="6" w:name="_Toc129791554"/>
      <w:r w:rsidRPr="00CF3C5F">
        <w:rPr>
          <w:rStyle w:val="CharDivNo"/>
        </w:rPr>
        <w:t>Division 42</w:t>
      </w:r>
      <w:r w:rsidRPr="00CF3C5F">
        <w:t>—</w:t>
      </w:r>
      <w:r w:rsidRPr="00CF3C5F">
        <w:rPr>
          <w:rStyle w:val="CharDivText"/>
        </w:rPr>
        <w:t>Australia’s Economic Accelerator</w:t>
      </w:r>
      <w:bookmarkEnd w:id="6"/>
    </w:p>
    <w:p w14:paraId="6E8C8A87" w14:textId="77777777" w:rsidR="00330778" w:rsidRPr="00CF3C5F" w:rsidRDefault="00330778" w:rsidP="00B1229B">
      <w:pPr>
        <w:pStyle w:val="ActHead4"/>
      </w:pPr>
      <w:bookmarkStart w:id="7" w:name="_Toc129791555"/>
      <w:r w:rsidRPr="00CF3C5F">
        <w:rPr>
          <w:rStyle w:val="CharSubdNo"/>
        </w:rPr>
        <w:t>Subdivision 42</w:t>
      </w:r>
      <w:r w:rsidR="00CF3C5F" w:rsidRPr="00CF3C5F">
        <w:rPr>
          <w:rStyle w:val="CharSubdNo"/>
        </w:rPr>
        <w:noBreakHyphen/>
      </w:r>
      <w:r w:rsidRPr="00CF3C5F">
        <w:rPr>
          <w:rStyle w:val="CharSubdNo"/>
        </w:rPr>
        <w:t>A</w:t>
      </w:r>
      <w:r w:rsidRPr="00CF3C5F">
        <w:t>—</w:t>
      </w:r>
      <w:r w:rsidRPr="00CF3C5F">
        <w:rPr>
          <w:rStyle w:val="CharSubdText"/>
        </w:rPr>
        <w:t>Research commercialisation strategy and investment plan</w:t>
      </w:r>
      <w:bookmarkEnd w:id="7"/>
    </w:p>
    <w:p w14:paraId="20AB481E" w14:textId="77777777" w:rsidR="00330778" w:rsidRPr="00CF3C5F" w:rsidRDefault="00330778" w:rsidP="00B1229B">
      <w:pPr>
        <w:pStyle w:val="ActHead5"/>
      </w:pPr>
      <w:bookmarkStart w:id="8" w:name="_Toc129791556"/>
      <w:r w:rsidRPr="00CF3C5F">
        <w:rPr>
          <w:rStyle w:val="CharSectno"/>
        </w:rPr>
        <w:t>42</w:t>
      </w:r>
      <w:r w:rsidR="00CF3C5F" w:rsidRPr="00CF3C5F">
        <w:rPr>
          <w:rStyle w:val="CharSectno"/>
        </w:rPr>
        <w:noBreakHyphen/>
      </w:r>
      <w:r w:rsidRPr="00CF3C5F">
        <w:rPr>
          <w:rStyle w:val="CharSectno"/>
        </w:rPr>
        <w:t>1</w:t>
      </w:r>
      <w:r w:rsidRPr="00CF3C5F">
        <w:t xml:space="preserve">  Research commercialisation strategy</w:t>
      </w:r>
      <w:bookmarkEnd w:id="8"/>
    </w:p>
    <w:p w14:paraId="65FA701A" w14:textId="77777777" w:rsidR="00330778" w:rsidRPr="00CF3C5F" w:rsidRDefault="00330778" w:rsidP="00B1229B">
      <w:pPr>
        <w:pStyle w:val="subsection"/>
      </w:pPr>
      <w:r w:rsidRPr="00CF3C5F">
        <w:tab/>
        <w:t>(1)</w:t>
      </w:r>
      <w:r w:rsidRPr="00CF3C5F">
        <w:tab/>
        <w:t xml:space="preserve">The </w:t>
      </w:r>
      <w:r w:rsidR="00B1229B" w:rsidRPr="00CF3C5F">
        <w:rPr>
          <w:position w:val="6"/>
          <w:sz w:val="16"/>
        </w:rPr>
        <w:t>*</w:t>
      </w:r>
      <w:proofErr w:type="spellStart"/>
      <w:r w:rsidRPr="00CF3C5F">
        <w:t>AEA</w:t>
      </w:r>
      <w:proofErr w:type="spellEnd"/>
      <w:r w:rsidRPr="00CF3C5F">
        <w:t xml:space="preserve"> Advisory Board must make a written strategy, to be known as the research commercialisation strategy, to:</w:t>
      </w:r>
    </w:p>
    <w:p w14:paraId="53AB810B" w14:textId="77777777" w:rsidR="00330778" w:rsidRPr="00CF3C5F" w:rsidRDefault="00330778" w:rsidP="00B1229B">
      <w:pPr>
        <w:pStyle w:val="paragraph"/>
      </w:pPr>
      <w:r w:rsidRPr="00CF3C5F">
        <w:lastRenderedPageBreak/>
        <w:tab/>
        <w:t>(a)</w:t>
      </w:r>
      <w:r w:rsidRPr="00CF3C5F">
        <w:tab/>
        <w:t>outline the vision, aims and objectives for translation and commercialisation of university research in areas of national priority; and</w:t>
      </w:r>
    </w:p>
    <w:p w14:paraId="7582568A" w14:textId="77777777" w:rsidR="00330778" w:rsidRPr="00CF3C5F" w:rsidRDefault="00330778" w:rsidP="00B1229B">
      <w:pPr>
        <w:pStyle w:val="paragraph"/>
      </w:pPr>
      <w:r w:rsidRPr="00CF3C5F">
        <w:tab/>
        <w:t>(b)</w:t>
      </w:r>
      <w:r w:rsidRPr="00CF3C5F">
        <w:tab/>
        <w:t>identify new and emerging technologies in areas of national priority; and</w:t>
      </w:r>
    </w:p>
    <w:p w14:paraId="243EDA48" w14:textId="77777777" w:rsidR="00330778" w:rsidRPr="00CF3C5F" w:rsidRDefault="00330778" w:rsidP="00B1229B">
      <w:pPr>
        <w:pStyle w:val="paragraph"/>
      </w:pPr>
      <w:r w:rsidRPr="00CF3C5F">
        <w:tab/>
        <w:t>(c)</w:t>
      </w:r>
      <w:r w:rsidRPr="00CF3C5F">
        <w:tab/>
        <w:t>identify and propose ways of addressing regulatory, financial and cultural barriers to translating and commercialising university research in areas of national priority.</w:t>
      </w:r>
    </w:p>
    <w:p w14:paraId="1A48B03C" w14:textId="77777777" w:rsidR="00330778" w:rsidRPr="00CF3C5F" w:rsidRDefault="00330778" w:rsidP="00B1229B">
      <w:pPr>
        <w:pStyle w:val="notetext"/>
      </w:pPr>
      <w:r w:rsidRPr="00CF3C5F">
        <w:t>Note:</w:t>
      </w:r>
      <w:r w:rsidRPr="00CF3C5F">
        <w:tab/>
        <w:t xml:space="preserve">For variation and revocation of a strategy, see subsection 33(3) of the </w:t>
      </w:r>
      <w:r w:rsidRPr="00CF3C5F">
        <w:rPr>
          <w:i/>
        </w:rPr>
        <w:t>Acts Interpretation Act 1901</w:t>
      </w:r>
      <w:r w:rsidRPr="00CF3C5F">
        <w:t>.</w:t>
      </w:r>
    </w:p>
    <w:p w14:paraId="6CE4F895" w14:textId="77777777" w:rsidR="00182794" w:rsidRPr="00D91026" w:rsidRDefault="00182794" w:rsidP="00182794">
      <w:pPr>
        <w:pStyle w:val="subsection"/>
      </w:pPr>
      <w:r w:rsidRPr="00D91026">
        <w:tab/>
        <w:t>(1A)</w:t>
      </w:r>
      <w:r w:rsidRPr="00D91026">
        <w:tab/>
        <w:t xml:space="preserve">The strategy must </w:t>
      </w:r>
      <w:r>
        <w:t>not be in</w:t>
      </w:r>
      <w:r w:rsidRPr="00D91026">
        <w:t xml:space="preserve">consistent with </w:t>
      </w:r>
      <w:r w:rsidRPr="00D42165">
        <w:rPr>
          <w:position w:val="6"/>
          <w:sz w:val="16"/>
        </w:rPr>
        <w:t>*</w:t>
      </w:r>
      <w:r w:rsidRPr="00D91026">
        <w:t>Australia’s greenhouse gas emissions reduction targets.</w:t>
      </w:r>
    </w:p>
    <w:p w14:paraId="719DAA7C" w14:textId="77777777" w:rsidR="00330778" w:rsidRPr="00CF3C5F" w:rsidRDefault="00330778" w:rsidP="00B1229B">
      <w:pPr>
        <w:pStyle w:val="subsection"/>
      </w:pPr>
      <w:r w:rsidRPr="00CF3C5F">
        <w:tab/>
        <w:t>(2)</w:t>
      </w:r>
      <w:r w:rsidRPr="00CF3C5F">
        <w:tab/>
        <w:t>The first strategy must be made as soon as practicable after this section commences. A subsequent strategy must be made and in force as soon as the current strategy ceases to be in force.</w:t>
      </w:r>
    </w:p>
    <w:p w14:paraId="48A25C32" w14:textId="77777777" w:rsidR="00330778" w:rsidRPr="00CF3C5F" w:rsidRDefault="00330778" w:rsidP="00B1229B">
      <w:pPr>
        <w:pStyle w:val="subsection"/>
      </w:pPr>
      <w:r w:rsidRPr="00CF3C5F">
        <w:tab/>
        <w:t>(3)</w:t>
      </w:r>
      <w:r w:rsidRPr="00CF3C5F">
        <w:tab/>
        <w:t>A strategy is in force for 5 years.</w:t>
      </w:r>
    </w:p>
    <w:p w14:paraId="17B7BB77" w14:textId="77777777" w:rsidR="00330778" w:rsidRPr="00CF3C5F" w:rsidRDefault="00330778" w:rsidP="00B1229B">
      <w:pPr>
        <w:pStyle w:val="subsection"/>
      </w:pPr>
      <w:r w:rsidRPr="00CF3C5F">
        <w:tab/>
        <w:t>(4)</w:t>
      </w:r>
      <w:r w:rsidRPr="00CF3C5F">
        <w:tab/>
        <w:t xml:space="preserve">The </w:t>
      </w:r>
      <w:r w:rsidR="00B1229B" w:rsidRPr="00CF3C5F">
        <w:rPr>
          <w:position w:val="6"/>
          <w:sz w:val="16"/>
        </w:rPr>
        <w:t>*</w:t>
      </w:r>
      <w:proofErr w:type="spellStart"/>
      <w:r w:rsidRPr="00CF3C5F">
        <w:t>AEA</w:t>
      </w:r>
      <w:proofErr w:type="spellEnd"/>
      <w:r w:rsidRPr="00CF3C5F">
        <w:t xml:space="preserve"> Advisory Board must give a copy of a strategy to the Minister as soon as practicable after making it.</w:t>
      </w:r>
    </w:p>
    <w:p w14:paraId="7E9F7AC6" w14:textId="77777777" w:rsidR="00330778" w:rsidRPr="00CF3C5F" w:rsidRDefault="00330778" w:rsidP="00B1229B">
      <w:pPr>
        <w:pStyle w:val="subsection"/>
      </w:pPr>
      <w:r w:rsidRPr="00CF3C5F">
        <w:tab/>
        <w:t>(5)</w:t>
      </w:r>
      <w:r w:rsidRPr="00CF3C5F">
        <w:tab/>
        <w:t>The Minister must cause a copy of a strategy to be laid before each House of the Parliament.</w:t>
      </w:r>
    </w:p>
    <w:p w14:paraId="47360720" w14:textId="77777777" w:rsidR="00330778" w:rsidRPr="00CF3C5F" w:rsidRDefault="00330778" w:rsidP="00B1229B">
      <w:pPr>
        <w:pStyle w:val="subsection"/>
      </w:pPr>
      <w:r w:rsidRPr="00CF3C5F">
        <w:tab/>
        <w:t>(6)</w:t>
      </w:r>
      <w:r w:rsidRPr="00CF3C5F">
        <w:tab/>
        <w:t>A strategy made under subsection (1) is not a legislative instrument.</w:t>
      </w:r>
    </w:p>
    <w:p w14:paraId="7EBC2093" w14:textId="77777777" w:rsidR="00330778" w:rsidRPr="00CF3C5F" w:rsidRDefault="00330778" w:rsidP="00B1229B">
      <w:pPr>
        <w:pStyle w:val="ActHead5"/>
      </w:pPr>
      <w:bookmarkStart w:id="9" w:name="_Toc129791557"/>
      <w:r w:rsidRPr="00CF3C5F">
        <w:rPr>
          <w:rStyle w:val="CharSectno"/>
        </w:rPr>
        <w:t>42</w:t>
      </w:r>
      <w:r w:rsidR="00CF3C5F" w:rsidRPr="00CF3C5F">
        <w:rPr>
          <w:rStyle w:val="CharSectno"/>
        </w:rPr>
        <w:noBreakHyphen/>
      </w:r>
      <w:r w:rsidRPr="00CF3C5F">
        <w:rPr>
          <w:rStyle w:val="CharSectno"/>
        </w:rPr>
        <w:t>5</w:t>
      </w:r>
      <w:r w:rsidRPr="00CF3C5F">
        <w:t xml:space="preserve">  Investment plan</w:t>
      </w:r>
      <w:bookmarkEnd w:id="9"/>
    </w:p>
    <w:p w14:paraId="123AB253" w14:textId="77777777" w:rsidR="00330778" w:rsidRPr="00CF3C5F" w:rsidRDefault="00330778" w:rsidP="00B1229B">
      <w:pPr>
        <w:pStyle w:val="subsection"/>
      </w:pPr>
      <w:r w:rsidRPr="00CF3C5F">
        <w:tab/>
        <w:t>(1)</w:t>
      </w:r>
      <w:r w:rsidRPr="00CF3C5F">
        <w:tab/>
        <w:t xml:space="preserve">The </w:t>
      </w:r>
      <w:r w:rsidR="00B1229B" w:rsidRPr="00CF3C5F">
        <w:rPr>
          <w:position w:val="6"/>
          <w:sz w:val="16"/>
        </w:rPr>
        <w:t>*</w:t>
      </w:r>
      <w:proofErr w:type="spellStart"/>
      <w:r w:rsidRPr="00CF3C5F">
        <w:t>AEA</w:t>
      </w:r>
      <w:proofErr w:type="spellEnd"/>
      <w:r w:rsidRPr="00CF3C5F">
        <w:t xml:space="preserve"> Advisory Board must, in relation to each year, formulate written policies for the </w:t>
      </w:r>
      <w:r w:rsidR="00B1229B" w:rsidRPr="00CF3C5F">
        <w:rPr>
          <w:position w:val="6"/>
          <w:sz w:val="16"/>
        </w:rPr>
        <w:t>*</w:t>
      </w:r>
      <w:r w:rsidRPr="00CF3C5F">
        <w:t>Australia’s Economic Accelerator program, dealing with the following matters in relation to the year:</w:t>
      </w:r>
    </w:p>
    <w:p w14:paraId="70D7C4A2" w14:textId="77777777" w:rsidR="00330778" w:rsidRPr="00CF3C5F" w:rsidRDefault="00330778" w:rsidP="00B1229B">
      <w:pPr>
        <w:pStyle w:val="paragraph"/>
      </w:pPr>
      <w:r w:rsidRPr="00CF3C5F">
        <w:tab/>
        <w:t>(a)</w:t>
      </w:r>
      <w:r w:rsidRPr="00CF3C5F">
        <w:tab/>
        <w:t>areas of national priority;</w:t>
      </w:r>
    </w:p>
    <w:p w14:paraId="209F7AAE" w14:textId="77777777" w:rsidR="00330778" w:rsidRPr="00CF3C5F" w:rsidRDefault="00330778" w:rsidP="00B1229B">
      <w:pPr>
        <w:pStyle w:val="paragraph"/>
      </w:pPr>
      <w:r w:rsidRPr="00CF3C5F">
        <w:tab/>
        <w:t>(b)</w:t>
      </w:r>
      <w:r w:rsidRPr="00CF3C5F">
        <w:tab/>
        <w:t>the total amount of funding available;</w:t>
      </w:r>
    </w:p>
    <w:p w14:paraId="21323A8E" w14:textId="77777777" w:rsidR="00330778" w:rsidRPr="00CF3C5F" w:rsidRDefault="00330778" w:rsidP="00B1229B">
      <w:pPr>
        <w:pStyle w:val="paragraph"/>
      </w:pPr>
      <w:r w:rsidRPr="00CF3C5F">
        <w:tab/>
        <w:t>(c)</w:t>
      </w:r>
      <w:r w:rsidRPr="00CF3C5F">
        <w:tab/>
        <w:t xml:space="preserve">any other matters the </w:t>
      </w:r>
      <w:proofErr w:type="spellStart"/>
      <w:r w:rsidRPr="00CF3C5F">
        <w:t>AEA</w:t>
      </w:r>
      <w:proofErr w:type="spellEnd"/>
      <w:r w:rsidRPr="00CF3C5F">
        <w:t xml:space="preserve"> Advisory Board considers appropriate to deal with to ensure the program meets the program’s objectives.</w:t>
      </w:r>
    </w:p>
    <w:p w14:paraId="1EFD2F28" w14:textId="77777777" w:rsidR="00330778" w:rsidRPr="00CF3C5F" w:rsidRDefault="00330778" w:rsidP="00B1229B">
      <w:pPr>
        <w:pStyle w:val="subsection"/>
      </w:pPr>
      <w:r w:rsidRPr="00CF3C5F">
        <w:lastRenderedPageBreak/>
        <w:tab/>
        <w:t>(2)</w:t>
      </w:r>
      <w:r w:rsidRPr="00CF3C5F">
        <w:tab/>
        <w:t xml:space="preserve">The </w:t>
      </w:r>
      <w:r w:rsidR="00B1229B" w:rsidRPr="00CF3C5F">
        <w:rPr>
          <w:position w:val="6"/>
          <w:sz w:val="16"/>
        </w:rPr>
        <w:t>*</w:t>
      </w:r>
      <w:proofErr w:type="spellStart"/>
      <w:r w:rsidRPr="00CF3C5F">
        <w:t>AEA</w:t>
      </w:r>
      <w:proofErr w:type="spellEnd"/>
      <w:r w:rsidRPr="00CF3C5F">
        <w:t xml:space="preserve"> Advisory Board must ensure that the policies are consistent with the research commercialisation strategy in force under section 42</w:t>
      </w:r>
      <w:r w:rsidR="00CF3C5F">
        <w:noBreakHyphen/>
      </w:r>
      <w:r w:rsidRPr="00CF3C5F">
        <w:t>1.</w:t>
      </w:r>
    </w:p>
    <w:p w14:paraId="7206D5A3" w14:textId="77777777" w:rsidR="00330778" w:rsidRPr="00CF3C5F" w:rsidRDefault="00330778" w:rsidP="00B1229B">
      <w:pPr>
        <w:pStyle w:val="subsection"/>
      </w:pPr>
      <w:r w:rsidRPr="00CF3C5F">
        <w:tab/>
        <w:t>(3)</w:t>
      </w:r>
      <w:r w:rsidRPr="00CF3C5F">
        <w:tab/>
        <w:t xml:space="preserve">A member of the </w:t>
      </w:r>
      <w:r w:rsidR="00B1229B" w:rsidRPr="00CF3C5F">
        <w:rPr>
          <w:position w:val="6"/>
          <w:sz w:val="16"/>
        </w:rPr>
        <w:t>*</w:t>
      </w:r>
      <w:proofErr w:type="spellStart"/>
      <w:r w:rsidRPr="00CF3C5F">
        <w:t>AEA</w:t>
      </w:r>
      <w:proofErr w:type="spellEnd"/>
      <w:r w:rsidRPr="00CF3C5F">
        <w:t xml:space="preserve"> Advisory Board, or a person performing functions or exercising powers under the </w:t>
      </w:r>
      <w:r w:rsidR="00B1229B" w:rsidRPr="00CF3C5F">
        <w:rPr>
          <w:position w:val="6"/>
          <w:sz w:val="16"/>
        </w:rPr>
        <w:t>*</w:t>
      </w:r>
      <w:r w:rsidRPr="00CF3C5F">
        <w:t>Australia’s Economic Accelerator program, must not act inconsistently with policies formulated under subsection (1).</w:t>
      </w:r>
    </w:p>
    <w:p w14:paraId="0B3ED2B1" w14:textId="77777777" w:rsidR="00330778" w:rsidRPr="00CF3C5F" w:rsidRDefault="00330778" w:rsidP="00B1229B">
      <w:pPr>
        <w:pStyle w:val="ActHead4"/>
      </w:pPr>
      <w:bookmarkStart w:id="10" w:name="_Toc129791558"/>
      <w:r w:rsidRPr="00CF3C5F">
        <w:rPr>
          <w:rStyle w:val="CharSubdNo"/>
        </w:rPr>
        <w:t>Subdivision 42</w:t>
      </w:r>
      <w:r w:rsidR="00CF3C5F" w:rsidRPr="00CF3C5F">
        <w:rPr>
          <w:rStyle w:val="CharSubdNo"/>
        </w:rPr>
        <w:noBreakHyphen/>
      </w:r>
      <w:r w:rsidRPr="00CF3C5F">
        <w:rPr>
          <w:rStyle w:val="CharSubdNo"/>
        </w:rPr>
        <w:t>B</w:t>
      </w:r>
      <w:r w:rsidRPr="00CF3C5F">
        <w:t>—</w:t>
      </w:r>
      <w:r w:rsidRPr="00CF3C5F">
        <w:rPr>
          <w:rStyle w:val="CharSubdText"/>
        </w:rPr>
        <w:t>Advisory Board</w:t>
      </w:r>
      <w:bookmarkEnd w:id="10"/>
    </w:p>
    <w:p w14:paraId="0425892D" w14:textId="77777777" w:rsidR="00330778" w:rsidRPr="00CF3C5F" w:rsidRDefault="00330778" w:rsidP="00B1229B">
      <w:pPr>
        <w:pStyle w:val="ActHead5"/>
      </w:pPr>
      <w:bookmarkStart w:id="11" w:name="_Toc129791559"/>
      <w:r w:rsidRPr="00CF3C5F">
        <w:rPr>
          <w:rStyle w:val="CharSectno"/>
        </w:rPr>
        <w:t>42</w:t>
      </w:r>
      <w:r w:rsidR="00CF3C5F" w:rsidRPr="00CF3C5F">
        <w:rPr>
          <w:rStyle w:val="CharSectno"/>
        </w:rPr>
        <w:noBreakHyphen/>
      </w:r>
      <w:r w:rsidRPr="00CF3C5F">
        <w:rPr>
          <w:rStyle w:val="CharSectno"/>
        </w:rPr>
        <w:t>10</w:t>
      </w:r>
      <w:r w:rsidRPr="00CF3C5F">
        <w:t xml:space="preserve">  Australia’s Economic Accelerator Advisory Board</w:t>
      </w:r>
      <w:bookmarkEnd w:id="11"/>
    </w:p>
    <w:p w14:paraId="2F0C31A8" w14:textId="77777777" w:rsidR="00330778" w:rsidRPr="00CF3C5F" w:rsidRDefault="00330778" w:rsidP="00B1229B">
      <w:pPr>
        <w:pStyle w:val="subsection"/>
      </w:pPr>
      <w:r w:rsidRPr="00CF3C5F">
        <w:tab/>
      </w:r>
      <w:r w:rsidRPr="00CF3C5F">
        <w:tab/>
        <w:t>The Australia’s Economic Accelerator Advisory Board (</w:t>
      </w:r>
      <w:proofErr w:type="spellStart"/>
      <w:r w:rsidRPr="00CF3C5F">
        <w:rPr>
          <w:b/>
          <w:i/>
        </w:rPr>
        <w:t>AEA</w:t>
      </w:r>
      <w:proofErr w:type="spellEnd"/>
      <w:r w:rsidRPr="00CF3C5F">
        <w:rPr>
          <w:b/>
          <w:i/>
        </w:rPr>
        <w:t xml:space="preserve"> Advisory Board</w:t>
      </w:r>
      <w:r w:rsidRPr="00CF3C5F">
        <w:t>) is established.</w:t>
      </w:r>
    </w:p>
    <w:p w14:paraId="01D9B740" w14:textId="77777777" w:rsidR="00330778" w:rsidRPr="00CF3C5F" w:rsidRDefault="00330778" w:rsidP="00B1229B">
      <w:pPr>
        <w:pStyle w:val="ActHead5"/>
      </w:pPr>
      <w:bookmarkStart w:id="12" w:name="_Toc129791560"/>
      <w:r w:rsidRPr="00CF3C5F">
        <w:rPr>
          <w:rStyle w:val="CharSectno"/>
        </w:rPr>
        <w:t>42</w:t>
      </w:r>
      <w:r w:rsidR="00CF3C5F" w:rsidRPr="00CF3C5F">
        <w:rPr>
          <w:rStyle w:val="CharSectno"/>
        </w:rPr>
        <w:noBreakHyphen/>
      </w:r>
      <w:r w:rsidRPr="00CF3C5F">
        <w:rPr>
          <w:rStyle w:val="CharSectno"/>
        </w:rPr>
        <w:t>15</w:t>
      </w:r>
      <w:r w:rsidRPr="00CF3C5F">
        <w:t xml:space="preserve">  Functions of the </w:t>
      </w:r>
      <w:proofErr w:type="spellStart"/>
      <w:r w:rsidRPr="00CF3C5F">
        <w:t>AEA</w:t>
      </w:r>
      <w:proofErr w:type="spellEnd"/>
      <w:r w:rsidRPr="00CF3C5F">
        <w:t xml:space="preserve"> Advisory Board</w:t>
      </w:r>
      <w:bookmarkEnd w:id="12"/>
    </w:p>
    <w:p w14:paraId="1857D517" w14:textId="77777777" w:rsidR="00330778" w:rsidRPr="00CF3C5F" w:rsidRDefault="00330778" w:rsidP="00B1229B">
      <w:pPr>
        <w:pStyle w:val="subsection"/>
      </w:pPr>
      <w:r w:rsidRPr="00CF3C5F">
        <w:tab/>
      </w:r>
      <w:r w:rsidRPr="00CF3C5F">
        <w:tab/>
        <w:t xml:space="preserve">The </w:t>
      </w:r>
      <w:r w:rsidR="00B1229B" w:rsidRPr="00CF3C5F">
        <w:rPr>
          <w:position w:val="6"/>
          <w:sz w:val="16"/>
        </w:rPr>
        <w:t>*</w:t>
      </w:r>
      <w:proofErr w:type="spellStart"/>
      <w:r w:rsidRPr="00CF3C5F">
        <w:t>AEA</w:t>
      </w:r>
      <w:proofErr w:type="spellEnd"/>
      <w:r w:rsidRPr="00CF3C5F">
        <w:t xml:space="preserve"> Advisory Board has the following functions:</w:t>
      </w:r>
    </w:p>
    <w:p w14:paraId="7C9687BB" w14:textId="77777777" w:rsidR="00330778" w:rsidRPr="00CF3C5F" w:rsidRDefault="00330778" w:rsidP="00B1229B">
      <w:pPr>
        <w:pStyle w:val="paragraph"/>
      </w:pPr>
      <w:r w:rsidRPr="00CF3C5F">
        <w:tab/>
        <w:t>(a)</w:t>
      </w:r>
      <w:r w:rsidRPr="00CF3C5F">
        <w:tab/>
        <w:t>to advise the Minister in relation to translation and commercialisation of university research;</w:t>
      </w:r>
    </w:p>
    <w:p w14:paraId="35E20081" w14:textId="77777777" w:rsidR="00330778" w:rsidRPr="00CF3C5F" w:rsidRDefault="00330778" w:rsidP="00B1229B">
      <w:pPr>
        <w:pStyle w:val="paragraph"/>
      </w:pPr>
      <w:r w:rsidRPr="00CF3C5F">
        <w:tab/>
        <w:t>(b)</w:t>
      </w:r>
      <w:r w:rsidRPr="00CF3C5F">
        <w:tab/>
        <w:t xml:space="preserve">to advise the Minister in relation to the </w:t>
      </w:r>
      <w:r w:rsidR="00B1229B" w:rsidRPr="00CF3C5F">
        <w:rPr>
          <w:position w:val="6"/>
          <w:sz w:val="16"/>
        </w:rPr>
        <w:t>*</w:t>
      </w:r>
      <w:r w:rsidRPr="00CF3C5F">
        <w:t>Australia’s Economic Accelerator program, including in relation to objectives, conditions of eligibility and conditions of grants;</w:t>
      </w:r>
    </w:p>
    <w:p w14:paraId="3A3A1A2C" w14:textId="77777777" w:rsidR="00330778" w:rsidRPr="00CF3C5F" w:rsidRDefault="00330778" w:rsidP="00B1229B">
      <w:pPr>
        <w:pStyle w:val="paragraph"/>
      </w:pPr>
      <w:r w:rsidRPr="00CF3C5F">
        <w:tab/>
        <w:t>(c)</w:t>
      </w:r>
      <w:r w:rsidRPr="00CF3C5F">
        <w:tab/>
        <w:t>to oversee the performance of functions by priority managers engaged under section 42</w:t>
      </w:r>
      <w:r w:rsidR="00CF3C5F">
        <w:noBreakHyphen/>
      </w:r>
      <w:r w:rsidRPr="00CF3C5F">
        <w:t>75;</w:t>
      </w:r>
    </w:p>
    <w:p w14:paraId="620AE47F" w14:textId="77777777" w:rsidR="00330778" w:rsidRPr="00CF3C5F" w:rsidRDefault="00330778" w:rsidP="00B1229B">
      <w:pPr>
        <w:pStyle w:val="paragraph"/>
      </w:pPr>
      <w:r w:rsidRPr="00CF3C5F">
        <w:tab/>
        <w:t>(d)</w:t>
      </w:r>
      <w:r w:rsidRPr="00CF3C5F">
        <w:tab/>
        <w:t xml:space="preserve">any other functions conferred on the </w:t>
      </w:r>
      <w:r w:rsidR="00B1229B" w:rsidRPr="00CF3C5F">
        <w:rPr>
          <w:position w:val="6"/>
          <w:sz w:val="16"/>
        </w:rPr>
        <w:t>*</w:t>
      </w:r>
      <w:proofErr w:type="spellStart"/>
      <w:r w:rsidRPr="00CF3C5F">
        <w:t>AEA</w:t>
      </w:r>
      <w:proofErr w:type="spellEnd"/>
      <w:r w:rsidRPr="00CF3C5F">
        <w:t xml:space="preserve"> Advisory Board by this Act or the Other Grants Guidelines;</w:t>
      </w:r>
    </w:p>
    <w:p w14:paraId="56ECC629" w14:textId="77777777" w:rsidR="00330778" w:rsidRPr="00CF3C5F" w:rsidRDefault="00330778" w:rsidP="00B1229B">
      <w:pPr>
        <w:pStyle w:val="paragraph"/>
      </w:pPr>
      <w:r w:rsidRPr="00CF3C5F">
        <w:tab/>
        <w:t>(e)</w:t>
      </w:r>
      <w:r w:rsidRPr="00CF3C5F">
        <w:tab/>
        <w:t>to do anything incidental or conducive to the performance of the above functions.</w:t>
      </w:r>
    </w:p>
    <w:p w14:paraId="547AED8F" w14:textId="77777777" w:rsidR="00330778" w:rsidRPr="00CF3C5F" w:rsidRDefault="00330778" w:rsidP="00B1229B">
      <w:pPr>
        <w:pStyle w:val="ActHead5"/>
      </w:pPr>
      <w:bookmarkStart w:id="13" w:name="_Toc129791561"/>
      <w:r w:rsidRPr="00CF3C5F">
        <w:rPr>
          <w:rStyle w:val="CharSectno"/>
        </w:rPr>
        <w:t>42</w:t>
      </w:r>
      <w:r w:rsidR="00CF3C5F" w:rsidRPr="00CF3C5F">
        <w:rPr>
          <w:rStyle w:val="CharSectno"/>
        </w:rPr>
        <w:noBreakHyphen/>
      </w:r>
      <w:r w:rsidRPr="00CF3C5F">
        <w:rPr>
          <w:rStyle w:val="CharSectno"/>
        </w:rPr>
        <w:t>20</w:t>
      </w:r>
      <w:r w:rsidRPr="00CF3C5F">
        <w:t xml:space="preserve">  Annual report</w:t>
      </w:r>
      <w:bookmarkEnd w:id="13"/>
    </w:p>
    <w:p w14:paraId="0AF8588D" w14:textId="77777777" w:rsidR="00330778" w:rsidRPr="00CF3C5F" w:rsidRDefault="00330778" w:rsidP="00B1229B">
      <w:pPr>
        <w:pStyle w:val="subsection"/>
      </w:pPr>
      <w:r w:rsidRPr="00CF3C5F">
        <w:tab/>
        <w:t>(1)</w:t>
      </w:r>
      <w:r w:rsidRPr="00CF3C5F">
        <w:tab/>
        <w:t xml:space="preserve">The </w:t>
      </w:r>
      <w:r w:rsidR="00B1229B" w:rsidRPr="00CF3C5F">
        <w:rPr>
          <w:position w:val="6"/>
          <w:sz w:val="16"/>
        </w:rPr>
        <w:t>*</w:t>
      </w:r>
      <w:proofErr w:type="spellStart"/>
      <w:r w:rsidRPr="00CF3C5F">
        <w:t>AEA</w:t>
      </w:r>
      <w:proofErr w:type="spellEnd"/>
      <w:r w:rsidRPr="00CF3C5F">
        <w:t xml:space="preserve"> Advisory Board must, as soon as practicable after the end of each financial year, prepare and give to the Minister, for presentation to the Parliament, a report on the </w:t>
      </w:r>
      <w:proofErr w:type="spellStart"/>
      <w:r w:rsidRPr="00CF3C5F">
        <w:t>AEA</w:t>
      </w:r>
      <w:proofErr w:type="spellEnd"/>
      <w:r w:rsidRPr="00CF3C5F">
        <w:t xml:space="preserve"> Advisory Board’s operations during the year.</w:t>
      </w:r>
    </w:p>
    <w:p w14:paraId="7469C547" w14:textId="77777777" w:rsidR="00330778" w:rsidRPr="00CF3C5F" w:rsidRDefault="00330778" w:rsidP="00B1229B">
      <w:pPr>
        <w:pStyle w:val="notetext"/>
      </w:pPr>
      <w:r w:rsidRPr="00CF3C5F">
        <w:t>Note:</w:t>
      </w:r>
      <w:r w:rsidRPr="00CF3C5F">
        <w:tab/>
        <w:t xml:space="preserve">See also section 34C of the </w:t>
      </w:r>
      <w:r w:rsidRPr="00CF3C5F">
        <w:rPr>
          <w:i/>
        </w:rPr>
        <w:t>Acts Interpretation Act 1901</w:t>
      </w:r>
      <w:r w:rsidRPr="00CF3C5F">
        <w:t>, which contains provisions about annual reports.</w:t>
      </w:r>
    </w:p>
    <w:p w14:paraId="18C22D81" w14:textId="77777777" w:rsidR="00330778" w:rsidRPr="00CF3C5F" w:rsidRDefault="00330778" w:rsidP="00B1229B">
      <w:pPr>
        <w:pStyle w:val="subsection"/>
      </w:pPr>
      <w:r w:rsidRPr="00CF3C5F">
        <w:lastRenderedPageBreak/>
        <w:tab/>
        <w:t>(2)</w:t>
      </w:r>
      <w:r w:rsidRPr="00CF3C5F">
        <w:tab/>
        <w:t>The report must include details of:</w:t>
      </w:r>
    </w:p>
    <w:p w14:paraId="6C587950" w14:textId="77777777" w:rsidR="00330778" w:rsidRPr="00CF3C5F" w:rsidRDefault="00330778" w:rsidP="00B1229B">
      <w:pPr>
        <w:pStyle w:val="paragraph"/>
      </w:pPr>
      <w:r w:rsidRPr="00CF3C5F">
        <w:tab/>
        <w:t>(a)</w:t>
      </w:r>
      <w:r w:rsidRPr="00CF3C5F">
        <w:tab/>
        <w:t>achievements and outcomes in translating and commercialising university research in areas of national priority; and</w:t>
      </w:r>
    </w:p>
    <w:p w14:paraId="1932EEE5" w14:textId="77777777" w:rsidR="00330778" w:rsidRPr="00CF3C5F" w:rsidRDefault="00330778" w:rsidP="00B1229B">
      <w:pPr>
        <w:pStyle w:val="paragraph"/>
      </w:pPr>
      <w:r w:rsidRPr="00CF3C5F">
        <w:tab/>
        <w:t>(b)</w:t>
      </w:r>
      <w:r w:rsidRPr="00CF3C5F">
        <w:tab/>
        <w:t>regulatory, financial and cultural barriers to translating and commercialising university research in areas of national priority and proposed ways of addressing them.</w:t>
      </w:r>
    </w:p>
    <w:p w14:paraId="52039258" w14:textId="77777777" w:rsidR="00330778" w:rsidRPr="00CF3C5F" w:rsidRDefault="00330778" w:rsidP="00B1229B">
      <w:pPr>
        <w:pStyle w:val="ActHead5"/>
      </w:pPr>
      <w:bookmarkStart w:id="14" w:name="_Toc129791562"/>
      <w:r w:rsidRPr="00CF3C5F">
        <w:rPr>
          <w:rStyle w:val="CharSectno"/>
        </w:rPr>
        <w:t>42</w:t>
      </w:r>
      <w:r w:rsidR="00CF3C5F" w:rsidRPr="00CF3C5F">
        <w:rPr>
          <w:rStyle w:val="CharSectno"/>
        </w:rPr>
        <w:noBreakHyphen/>
      </w:r>
      <w:r w:rsidRPr="00CF3C5F">
        <w:rPr>
          <w:rStyle w:val="CharSectno"/>
        </w:rPr>
        <w:t>25</w:t>
      </w:r>
      <w:r w:rsidRPr="00CF3C5F">
        <w:t xml:space="preserve">  Membership of the </w:t>
      </w:r>
      <w:proofErr w:type="spellStart"/>
      <w:r w:rsidRPr="00CF3C5F">
        <w:t>AEA</w:t>
      </w:r>
      <w:proofErr w:type="spellEnd"/>
      <w:r w:rsidRPr="00CF3C5F">
        <w:t xml:space="preserve"> Advisory Board</w:t>
      </w:r>
      <w:bookmarkEnd w:id="14"/>
    </w:p>
    <w:p w14:paraId="6E121AEC" w14:textId="77777777" w:rsidR="00330778" w:rsidRPr="00CF3C5F" w:rsidRDefault="00330778" w:rsidP="00B1229B">
      <w:pPr>
        <w:pStyle w:val="subsection"/>
      </w:pPr>
      <w:r w:rsidRPr="00CF3C5F">
        <w:tab/>
      </w:r>
      <w:r w:rsidRPr="00CF3C5F">
        <w:tab/>
        <w:t xml:space="preserve">The </w:t>
      </w:r>
      <w:r w:rsidR="00B1229B" w:rsidRPr="00CF3C5F">
        <w:rPr>
          <w:position w:val="6"/>
          <w:sz w:val="16"/>
        </w:rPr>
        <w:t>*</w:t>
      </w:r>
      <w:proofErr w:type="spellStart"/>
      <w:r w:rsidRPr="00CF3C5F">
        <w:t>AEA</w:t>
      </w:r>
      <w:proofErr w:type="spellEnd"/>
      <w:r w:rsidRPr="00CF3C5F">
        <w:t xml:space="preserve"> Advisory Board consists of the following members:</w:t>
      </w:r>
    </w:p>
    <w:p w14:paraId="479FD196" w14:textId="77777777" w:rsidR="00330778" w:rsidRPr="00CF3C5F" w:rsidRDefault="00330778" w:rsidP="00B1229B">
      <w:pPr>
        <w:pStyle w:val="paragraph"/>
      </w:pPr>
      <w:r w:rsidRPr="00CF3C5F">
        <w:tab/>
        <w:t>(a)</w:t>
      </w:r>
      <w:r w:rsidRPr="00CF3C5F">
        <w:tab/>
        <w:t>the Chair;</w:t>
      </w:r>
    </w:p>
    <w:p w14:paraId="59383916" w14:textId="77777777" w:rsidR="00330778" w:rsidRPr="00CF3C5F" w:rsidRDefault="00330778" w:rsidP="00B1229B">
      <w:pPr>
        <w:pStyle w:val="paragraph"/>
      </w:pPr>
      <w:r w:rsidRPr="00CF3C5F">
        <w:tab/>
        <w:t>(b)</w:t>
      </w:r>
      <w:r w:rsidRPr="00CF3C5F">
        <w:tab/>
        <w:t>the Deputy Chair;</w:t>
      </w:r>
    </w:p>
    <w:p w14:paraId="5CF2F9C6" w14:textId="77777777" w:rsidR="00330778" w:rsidRPr="00CF3C5F" w:rsidRDefault="00330778" w:rsidP="00B1229B">
      <w:pPr>
        <w:pStyle w:val="paragraph"/>
      </w:pPr>
      <w:r w:rsidRPr="00CF3C5F">
        <w:tab/>
        <w:t>(c)</w:t>
      </w:r>
      <w:r w:rsidRPr="00CF3C5F">
        <w:tab/>
        <w:t>not fewer than 4, and not more than 6, other members.</w:t>
      </w:r>
    </w:p>
    <w:p w14:paraId="706519A3" w14:textId="77777777" w:rsidR="00330778" w:rsidRPr="00CF3C5F" w:rsidRDefault="00330778" w:rsidP="00B1229B">
      <w:pPr>
        <w:pStyle w:val="ActHead5"/>
      </w:pPr>
      <w:bookmarkStart w:id="15" w:name="_Toc129791563"/>
      <w:r w:rsidRPr="00CF3C5F">
        <w:rPr>
          <w:rStyle w:val="CharSectno"/>
        </w:rPr>
        <w:t>42</w:t>
      </w:r>
      <w:r w:rsidR="00CF3C5F" w:rsidRPr="00CF3C5F">
        <w:rPr>
          <w:rStyle w:val="CharSectno"/>
        </w:rPr>
        <w:noBreakHyphen/>
      </w:r>
      <w:r w:rsidRPr="00CF3C5F">
        <w:rPr>
          <w:rStyle w:val="CharSectno"/>
        </w:rPr>
        <w:t>30</w:t>
      </w:r>
      <w:r w:rsidRPr="00CF3C5F">
        <w:t xml:space="preserve">  Appointment of members of the </w:t>
      </w:r>
      <w:proofErr w:type="spellStart"/>
      <w:r w:rsidRPr="00CF3C5F">
        <w:t>AEA</w:t>
      </w:r>
      <w:proofErr w:type="spellEnd"/>
      <w:r w:rsidRPr="00CF3C5F">
        <w:t xml:space="preserve"> Advisory Board</w:t>
      </w:r>
      <w:bookmarkEnd w:id="15"/>
    </w:p>
    <w:p w14:paraId="719573F4" w14:textId="77777777" w:rsidR="00330778" w:rsidRPr="00CF3C5F" w:rsidRDefault="00330778" w:rsidP="00B1229B">
      <w:pPr>
        <w:pStyle w:val="subsection"/>
      </w:pPr>
      <w:r w:rsidRPr="00CF3C5F">
        <w:tab/>
        <w:t>(1)</w:t>
      </w:r>
      <w:r w:rsidRPr="00CF3C5F">
        <w:tab/>
        <w:t xml:space="preserve">Members of the </w:t>
      </w:r>
      <w:r w:rsidR="00B1229B" w:rsidRPr="00CF3C5F">
        <w:rPr>
          <w:position w:val="6"/>
          <w:sz w:val="16"/>
        </w:rPr>
        <w:t>*</w:t>
      </w:r>
      <w:proofErr w:type="spellStart"/>
      <w:r w:rsidRPr="00CF3C5F">
        <w:t>AEA</w:t>
      </w:r>
      <w:proofErr w:type="spellEnd"/>
      <w:r w:rsidRPr="00CF3C5F">
        <w:t xml:space="preserve"> Advisory Board are to be appointed, on a part</w:t>
      </w:r>
      <w:r w:rsidR="00CF3C5F">
        <w:noBreakHyphen/>
      </w:r>
      <w:r w:rsidRPr="00CF3C5F">
        <w:t>time basis, by the Minister by written instrument.</w:t>
      </w:r>
    </w:p>
    <w:p w14:paraId="0D8E4DA8" w14:textId="77777777" w:rsidR="00330778" w:rsidRPr="00CF3C5F" w:rsidRDefault="00330778" w:rsidP="00B1229B">
      <w:pPr>
        <w:pStyle w:val="subsection"/>
      </w:pPr>
      <w:r w:rsidRPr="00CF3C5F">
        <w:tab/>
        <w:t>(2)</w:t>
      </w:r>
      <w:r w:rsidRPr="00CF3C5F">
        <w:tab/>
        <w:t>A member holds office for the period specified in the instrument of appointment. The period must not exceed 5 years.</w:t>
      </w:r>
    </w:p>
    <w:p w14:paraId="2745DCCE" w14:textId="77777777" w:rsidR="00330778" w:rsidRPr="00CF3C5F" w:rsidRDefault="00330778" w:rsidP="00B1229B">
      <w:pPr>
        <w:pStyle w:val="notetext"/>
      </w:pPr>
      <w:r w:rsidRPr="00CF3C5F">
        <w:t>Note:</w:t>
      </w:r>
      <w:r w:rsidRPr="00CF3C5F">
        <w:tab/>
        <w:t xml:space="preserve">Subject to subsection (3), a member may be reappointed—see section 33AA of the </w:t>
      </w:r>
      <w:r w:rsidRPr="00CF3C5F">
        <w:rPr>
          <w:i/>
        </w:rPr>
        <w:t>Acts Interpretation Act 1901</w:t>
      </w:r>
      <w:r w:rsidRPr="00CF3C5F">
        <w:t>.</w:t>
      </w:r>
    </w:p>
    <w:p w14:paraId="3E349C35" w14:textId="77777777" w:rsidR="00330778" w:rsidRPr="00CF3C5F" w:rsidRDefault="00330778" w:rsidP="00B1229B">
      <w:pPr>
        <w:pStyle w:val="subsection"/>
      </w:pPr>
      <w:r w:rsidRPr="00CF3C5F">
        <w:tab/>
        <w:t>(3)</w:t>
      </w:r>
      <w:r w:rsidRPr="00CF3C5F">
        <w:tab/>
        <w:t>A member cannot be appointed for more than 3 consecutive periods.</w:t>
      </w:r>
    </w:p>
    <w:p w14:paraId="03598123" w14:textId="77777777" w:rsidR="00330778" w:rsidRPr="00CF3C5F" w:rsidRDefault="00330778" w:rsidP="00B1229B">
      <w:pPr>
        <w:pStyle w:val="subsection"/>
      </w:pPr>
      <w:r w:rsidRPr="00CF3C5F">
        <w:tab/>
        <w:t>(4)</w:t>
      </w:r>
      <w:r w:rsidRPr="00CF3C5F">
        <w:tab/>
        <w:t>The Minister must appoint one member to be the Chair and another to be the Deputy Chair.</w:t>
      </w:r>
    </w:p>
    <w:p w14:paraId="1BBBD410" w14:textId="77777777" w:rsidR="00330778" w:rsidRPr="00CF3C5F" w:rsidRDefault="00330778" w:rsidP="00B1229B">
      <w:pPr>
        <w:pStyle w:val="subsection"/>
      </w:pPr>
      <w:r w:rsidRPr="00CF3C5F">
        <w:tab/>
        <w:t>(5)</w:t>
      </w:r>
      <w:r w:rsidRPr="00CF3C5F">
        <w:tab/>
        <w:t>The Minister must ensure that the members collectively:</w:t>
      </w:r>
    </w:p>
    <w:p w14:paraId="0FC33412" w14:textId="77777777" w:rsidR="00330778" w:rsidRPr="00CF3C5F" w:rsidRDefault="00330778" w:rsidP="00B1229B">
      <w:pPr>
        <w:pStyle w:val="paragraph"/>
      </w:pPr>
      <w:r w:rsidRPr="00CF3C5F">
        <w:tab/>
        <w:t>(a)</w:t>
      </w:r>
      <w:r w:rsidRPr="00CF3C5F">
        <w:tab/>
        <w:t>possess experience and knowledge in research and its translation and commercialisation; and</w:t>
      </w:r>
    </w:p>
    <w:p w14:paraId="4EB14A3D" w14:textId="77777777" w:rsidR="00330778" w:rsidRPr="00CF3C5F" w:rsidRDefault="00330778" w:rsidP="00B1229B">
      <w:pPr>
        <w:pStyle w:val="paragraph"/>
      </w:pPr>
      <w:r w:rsidRPr="00CF3C5F">
        <w:tab/>
        <w:t>(b)</w:t>
      </w:r>
      <w:r w:rsidRPr="00CF3C5F">
        <w:tab/>
        <w:t>represent the sectors of government, industry, business and research.</w:t>
      </w:r>
    </w:p>
    <w:p w14:paraId="0279ECBE" w14:textId="77777777" w:rsidR="00330778" w:rsidRPr="00CF3C5F" w:rsidRDefault="00330778" w:rsidP="00B1229B">
      <w:pPr>
        <w:pStyle w:val="ActHead5"/>
      </w:pPr>
      <w:bookmarkStart w:id="16" w:name="_Toc129791564"/>
      <w:r w:rsidRPr="00CF3C5F">
        <w:rPr>
          <w:rStyle w:val="CharSectno"/>
        </w:rPr>
        <w:lastRenderedPageBreak/>
        <w:t>42</w:t>
      </w:r>
      <w:r w:rsidR="00CF3C5F" w:rsidRPr="00CF3C5F">
        <w:rPr>
          <w:rStyle w:val="CharSectno"/>
        </w:rPr>
        <w:noBreakHyphen/>
      </w:r>
      <w:r w:rsidRPr="00CF3C5F">
        <w:rPr>
          <w:rStyle w:val="CharSectno"/>
        </w:rPr>
        <w:t>35</w:t>
      </w:r>
      <w:r w:rsidRPr="00CF3C5F">
        <w:t xml:space="preserve">  Acting </w:t>
      </w:r>
      <w:proofErr w:type="spellStart"/>
      <w:r w:rsidRPr="00CF3C5F">
        <w:t>AEA</w:t>
      </w:r>
      <w:proofErr w:type="spellEnd"/>
      <w:r w:rsidRPr="00CF3C5F">
        <w:t xml:space="preserve"> Advisory Board members</w:t>
      </w:r>
      <w:bookmarkEnd w:id="16"/>
    </w:p>
    <w:p w14:paraId="1A7BDBB0" w14:textId="77777777" w:rsidR="00330778" w:rsidRPr="00CF3C5F" w:rsidRDefault="00330778" w:rsidP="00B1229B">
      <w:pPr>
        <w:pStyle w:val="SubsectionHead"/>
      </w:pPr>
      <w:r w:rsidRPr="00CF3C5F">
        <w:t>Acting by operation of law</w:t>
      </w:r>
    </w:p>
    <w:p w14:paraId="1CA7BE4B" w14:textId="77777777" w:rsidR="00330778" w:rsidRPr="00CF3C5F" w:rsidRDefault="00330778" w:rsidP="00B1229B">
      <w:pPr>
        <w:pStyle w:val="subsection"/>
      </w:pPr>
      <w:r w:rsidRPr="00CF3C5F">
        <w:tab/>
        <w:t>(1)</w:t>
      </w:r>
      <w:r w:rsidRPr="00CF3C5F">
        <w:tab/>
        <w:t xml:space="preserve">The Deputy Chair of the </w:t>
      </w:r>
      <w:r w:rsidR="00B1229B" w:rsidRPr="00CF3C5F">
        <w:rPr>
          <w:position w:val="6"/>
          <w:sz w:val="16"/>
        </w:rPr>
        <w:t>*</w:t>
      </w:r>
      <w:proofErr w:type="spellStart"/>
      <w:r w:rsidRPr="00CF3C5F">
        <w:t>AEA</w:t>
      </w:r>
      <w:proofErr w:type="spellEnd"/>
      <w:r w:rsidRPr="00CF3C5F">
        <w:t xml:space="preserve"> Advisory Board is to act as the Chair of the </w:t>
      </w:r>
      <w:proofErr w:type="spellStart"/>
      <w:r w:rsidRPr="00CF3C5F">
        <w:t>AEA</w:t>
      </w:r>
      <w:proofErr w:type="spellEnd"/>
      <w:r w:rsidRPr="00CF3C5F">
        <w:t xml:space="preserve"> Advisory Board:</w:t>
      </w:r>
    </w:p>
    <w:p w14:paraId="6A3BF512" w14:textId="77777777" w:rsidR="00330778" w:rsidRPr="00CF3C5F" w:rsidRDefault="00330778" w:rsidP="00B1229B">
      <w:pPr>
        <w:pStyle w:val="paragraph"/>
      </w:pPr>
      <w:r w:rsidRPr="00CF3C5F">
        <w:tab/>
        <w:t>(a)</w:t>
      </w:r>
      <w:r w:rsidRPr="00CF3C5F">
        <w:tab/>
        <w:t>during a vacancy in the office of Chair (whether or not an appointment has previously been made to the office); or</w:t>
      </w:r>
    </w:p>
    <w:p w14:paraId="1935ABBA" w14:textId="77777777" w:rsidR="00330778" w:rsidRPr="00CF3C5F" w:rsidRDefault="00330778" w:rsidP="00B1229B">
      <w:pPr>
        <w:pStyle w:val="paragraph"/>
      </w:pPr>
      <w:r w:rsidRPr="00CF3C5F">
        <w:tab/>
        <w:t>(b)</w:t>
      </w:r>
      <w:r w:rsidRPr="00CF3C5F">
        <w:tab/>
        <w:t>during any period, or during all periods, when the Chair:</w:t>
      </w:r>
    </w:p>
    <w:p w14:paraId="3B09BF89" w14:textId="77777777" w:rsidR="00330778" w:rsidRPr="00CF3C5F" w:rsidRDefault="00330778" w:rsidP="00B1229B">
      <w:pPr>
        <w:pStyle w:val="paragraphsub"/>
      </w:pPr>
      <w:r w:rsidRPr="00CF3C5F">
        <w:tab/>
        <w:t>(i)</w:t>
      </w:r>
      <w:r w:rsidRPr="00CF3C5F">
        <w:tab/>
        <w:t>is absent from duty; or</w:t>
      </w:r>
    </w:p>
    <w:p w14:paraId="0005B0C2" w14:textId="77777777" w:rsidR="00330778" w:rsidRPr="00CF3C5F" w:rsidRDefault="00330778" w:rsidP="00B1229B">
      <w:pPr>
        <w:pStyle w:val="paragraphsub"/>
      </w:pPr>
      <w:r w:rsidRPr="00CF3C5F">
        <w:tab/>
        <w:t>(ii)</w:t>
      </w:r>
      <w:r w:rsidRPr="00CF3C5F">
        <w:tab/>
        <w:t>is, for any reason, unable to perform the duties of the office.</w:t>
      </w:r>
    </w:p>
    <w:p w14:paraId="755AA89D" w14:textId="77777777" w:rsidR="00330778" w:rsidRPr="00CF3C5F" w:rsidRDefault="00330778" w:rsidP="00B1229B">
      <w:pPr>
        <w:pStyle w:val="notetext"/>
      </w:pPr>
      <w:r w:rsidRPr="00CF3C5F">
        <w:t>Note:</w:t>
      </w:r>
      <w:r w:rsidRPr="00CF3C5F">
        <w:tab/>
        <w:t xml:space="preserve">For rules that apply to persons acting as the Chair, see section 33A of the </w:t>
      </w:r>
      <w:r w:rsidRPr="00CF3C5F">
        <w:rPr>
          <w:i/>
        </w:rPr>
        <w:t>Acts Interpretation Act 1901</w:t>
      </w:r>
      <w:r w:rsidRPr="00CF3C5F">
        <w:t>.</w:t>
      </w:r>
    </w:p>
    <w:p w14:paraId="32037A56" w14:textId="77777777" w:rsidR="00330778" w:rsidRPr="00CF3C5F" w:rsidRDefault="00330778" w:rsidP="00B1229B">
      <w:pPr>
        <w:pStyle w:val="SubsectionHead"/>
      </w:pPr>
      <w:r w:rsidRPr="00CF3C5F">
        <w:t>Acting appointments</w:t>
      </w:r>
    </w:p>
    <w:p w14:paraId="4A78FADA" w14:textId="77777777" w:rsidR="00330778" w:rsidRPr="00CF3C5F" w:rsidRDefault="00330778" w:rsidP="00B1229B">
      <w:pPr>
        <w:pStyle w:val="subsection"/>
      </w:pPr>
      <w:r w:rsidRPr="00CF3C5F">
        <w:tab/>
        <w:t>(2)</w:t>
      </w:r>
      <w:r w:rsidRPr="00CF3C5F">
        <w:tab/>
        <w:t xml:space="preserve">The Minister may, by written instrument, appoint a member to act as the Deputy Chair of the </w:t>
      </w:r>
      <w:r w:rsidR="00B1229B" w:rsidRPr="00CF3C5F">
        <w:rPr>
          <w:position w:val="6"/>
          <w:sz w:val="16"/>
        </w:rPr>
        <w:t>*</w:t>
      </w:r>
      <w:proofErr w:type="spellStart"/>
      <w:r w:rsidRPr="00CF3C5F">
        <w:t>AEA</w:t>
      </w:r>
      <w:proofErr w:type="spellEnd"/>
      <w:r w:rsidRPr="00CF3C5F">
        <w:t xml:space="preserve"> Advisory Board:</w:t>
      </w:r>
    </w:p>
    <w:p w14:paraId="1E3C4D39" w14:textId="77777777" w:rsidR="00330778" w:rsidRPr="00CF3C5F" w:rsidRDefault="00330778" w:rsidP="00B1229B">
      <w:pPr>
        <w:pStyle w:val="paragraph"/>
      </w:pPr>
      <w:r w:rsidRPr="00CF3C5F">
        <w:tab/>
        <w:t>(a)</w:t>
      </w:r>
      <w:r w:rsidRPr="00CF3C5F">
        <w:tab/>
        <w:t xml:space="preserve">during a vacancy in the office of Deputy Chair of the </w:t>
      </w:r>
      <w:proofErr w:type="spellStart"/>
      <w:r w:rsidRPr="00CF3C5F">
        <w:t>AEA</w:t>
      </w:r>
      <w:proofErr w:type="spellEnd"/>
      <w:r w:rsidRPr="00CF3C5F">
        <w:t xml:space="preserve"> Advisory Board (whether or not an appointment has previously been made to the office); or</w:t>
      </w:r>
    </w:p>
    <w:p w14:paraId="0A6B36E3" w14:textId="77777777" w:rsidR="00330778" w:rsidRPr="00CF3C5F" w:rsidRDefault="00330778" w:rsidP="00B1229B">
      <w:pPr>
        <w:pStyle w:val="paragraph"/>
      </w:pPr>
      <w:r w:rsidRPr="00CF3C5F">
        <w:tab/>
        <w:t>(b)</w:t>
      </w:r>
      <w:r w:rsidRPr="00CF3C5F">
        <w:tab/>
        <w:t xml:space="preserve">during any period, or during all periods, when the Deputy Chair of the </w:t>
      </w:r>
      <w:proofErr w:type="spellStart"/>
      <w:r w:rsidRPr="00CF3C5F">
        <w:t>AEA</w:t>
      </w:r>
      <w:proofErr w:type="spellEnd"/>
      <w:r w:rsidRPr="00CF3C5F">
        <w:t xml:space="preserve"> Advisory Board:</w:t>
      </w:r>
    </w:p>
    <w:p w14:paraId="4E255843" w14:textId="77777777" w:rsidR="00330778" w:rsidRPr="00CF3C5F" w:rsidRDefault="00330778" w:rsidP="00B1229B">
      <w:pPr>
        <w:pStyle w:val="paragraphsub"/>
      </w:pPr>
      <w:r w:rsidRPr="00CF3C5F">
        <w:tab/>
        <w:t>(i)</w:t>
      </w:r>
      <w:r w:rsidRPr="00CF3C5F">
        <w:tab/>
        <w:t xml:space="preserve">is acting as the Chair of the </w:t>
      </w:r>
      <w:proofErr w:type="spellStart"/>
      <w:r w:rsidRPr="00CF3C5F">
        <w:t>AEA</w:t>
      </w:r>
      <w:proofErr w:type="spellEnd"/>
      <w:r w:rsidRPr="00CF3C5F">
        <w:t xml:space="preserve"> Advisory Board; or</w:t>
      </w:r>
    </w:p>
    <w:p w14:paraId="09B7EC38" w14:textId="77777777" w:rsidR="00330778" w:rsidRPr="00CF3C5F" w:rsidRDefault="00330778" w:rsidP="00B1229B">
      <w:pPr>
        <w:pStyle w:val="paragraphsub"/>
      </w:pPr>
      <w:r w:rsidRPr="00CF3C5F">
        <w:tab/>
        <w:t>(ii)</w:t>
      </w:r>
      <w:r w:rsidRPr="00CF3C5F">
        <w:tab/>
        <w:t>is absent from duty; or</w:t>
      </w:r>
    </w:p>
    <w:p w14:paraId="6FEDC6B4" w14:textId="77777777" w:rsidR="00330778" w:rsidRPr="00CF3C5F" w:rsidRDefault="00330778" w:rsidP="00B1229B">
      <w:pPr>
        <w:pStyle w:val="paragraphsub"/>
      </w:pPr>
      <w:r w:rsidRPr="00CF3C5F">
        <w:tab/>
        <w:t>(iii)</w:t>
      </w:r>
      <w:r w:rsidRPr="00CF3C5F">
        <w:tab/>
        <w:t>is, for any reason, unable to perform the duties of the office.</w:t>
      </w:r>
    </w:p>
    <w:p w14:paraId="0FECE799" w14:textId="77777777" w:rsidR="00330778" w:rsidRPr="00CF3C5F" w:rsidRDefault="00330778" w:rsidP="00B1229B">
      <w:pPr>
        <w:pStyle w:val="notetext"/>
      </w:pPr>
      <w:r w:rsidRPr="00CF3C5F">
        <w:t>Note:</w:t>
      </w:r>
      <w:r w:rsidRPr="00CF3C5F">
        <w:tab/>
        <w:t xml:space="preserve">For rules that apply to acting appointments, see sections 33AB and 33A of the </w:t>
      </w:r>
      <w:r w:rsidRPr="00CF3C5F">
        <w:rPr>
          <w:i/>
        </w:rPr>
        <w:t>Acts Interpretation Act 1901</w:t>
      </w:r>
      <w:r w:rsidRPr="00CF3C5F">
        <w:t>.</w:t>
      </w:r>
    </w:p>
    <w:p w14:paraId="0E7D83F8" w14:textId="77777777" w:rsidR="00330778" w:rsidRPr="00CF3C5F" w:rsidRDefault="00330778" w:rsidP="00B1229B">
      <w:pPr>
        <w:pStyle w:val="subsection"/>
      </w:pPr>
      <w:r w:rsidRPr="00CF3C5F">
        <w:tab/>
        <w:t>(3)</w:t>
      </w:r>
      <w:r w:rsidRPr="00CF3C5F">
        <w:tab/>
        <w:t xml:space="preserve">The Minister may, by written instrument, appoint a person to act as a member (other than the Chair or Deputy Chair) of the </w:t>
      </w:r>
      <w:r w:rsidR="00B1229B" w:rsidRPr="00CF3C5F">
        <w:rPr>
          <w:position w:val="6"/>
          <w:sz w:val="16"/>
        </w:rPr>
        <w:t>*</w:t>
      </w:r>
      <w:proofErr w:type="spellStart"/>
      <w:r w:rsidRPr="00CF3C5F">
        <w:t>AEA</w:t>
      </w:r>
      <w:proofErr w:type="spellEnd"/>
      <w:r w:rsidRPr="00CF3C5F">
        <w:t xml:space="preserve"> Advisory Board:</w:t>
      </w:r>
    </w:p>
    <w:p w14:paraId="003C7B18" w14:textId="77777777" w:rsidR="00330778" w:rsidRPr="00CF3C5F" w:rsidRDefault="00330778" w:rsidP="00B1229B">
      <w:pPr>
        <w:pStyle w:val="paragraph"/>
      </w:pPr>
      <w:r w:rsidRPr="00CF3C5F">
        <w:tab/>
        <w:t>(a)</w:t>
      </w:r>
      <w:r w:rsidRPr="00CF3C5F">
        <w:tab/>
        <w:t>during a vacancy in the office of a member (whether or not an appointment has previously been made to the office); or</w:t>
      </w:r>
    </w:p>
    <w:p w14:paraId="2B4AEB76" w14:textId="77777777" w:rsidR="00330778" w:rsidRPr="00CF3C5F" w:rsidRDefault="00330778" w:rsidP="00B1229B">
      <w:pPr>
        <w:pStyle w:val="paragraph"/>
      </w:pPr>
      <w:r w:rsidRPr="00CF3C5F">
        <w:tab/>
        <w:t>(b)</w:t>
      </w:r>
      <w:r w:rsidRPr="00CF3C5F">
        <w:tab/>
        <w:t>during any period, or during all periods, when a member:</w:t>
      </w:r>
    </w:p>
    <w:p w14:paraId="7437D9FE" w14:textId="77777777" w:rsidR="00330778" w:rsidRPr="00CF3C5F" w:rsidRDefault="00330778" w:rsidP="00B1229B">
      <w:pPr>
        <w:pStyle w:val="paragraphsub"/>
      </w:pPr>
      <w:r w:rsidRPr="00CF3C5F">
        <w:tab/>
        <w:t>(i)</w:t>
      </w:r>
      <w:r w:rsidRPr="00CF3C5F">
        <w:tab/>
        <w:t>is acting as the Deputy Chair; or</w:t>
      </w:r>
    </w:p>
    <w:p w14:paraId="1DB2E27B" w14:textId="77777777" w:rsidR="00330778" w:rsidRPr="00CF3C5F" w:rsidRDefault="00330778" w:rsidP="00B1229B">
      <w:pPr>
        <w:pStyle w:val="paragraphsub"/>
      </w:pPr>
      <w:r w:rsidRPr="00CF3C5F">
        <w:tab/>
        <w:t>(ii)</w:t>
      </w:r>
      <w:r w:rsidRPr="00CF3C5F">
        <w:tab/>
        <w:t>is absent from duty; or</w:t>
      </w:r>
    </w:p>
    <w:p w14:paraId="72A7503D" w14:textId="77777777" w:rsidR="00330778" w:rsidRPr="00CF3C5F" w:rsidRDefault="00330778" w:rsidP="00B1229B">
      <w:pPr>
        <w:pStyle w:val="paragraphsub"/>
      </w:pPr>
      <w:r w:rsidRPr="00CF3C5F">
        <w:lastRenderedPageBreak/>
        <w:tab/>
        <w:t>(iii)</w:t>
      </w:r>
      <w:r w:rsidRPr="00CF3C5F">
        <w:tab/>
        <w:t>is, for any reason, unable to perform the duties of the office.</w:t>
      </w:r>
    </w:p>
    <w:p w14:paraId="17BE1FE9" w14:textId="77777777" w:rsidR="00330778" w:rsidRPr="00CF3C5F" w:rsidRDefault="00330778" w:rsidP="00B1229B">
      <w:pPr>
        <w:pStyle w:val="notetext"/>
      </w:pPr>
      <w:r w:rsidRPr="00CF3C5F">
        <w:t>Note:</w:t>
      </w:r>
      <w:r w:rsidRPr="00CF3C5F">
        <w:tab/>
        <w:t xml:space="preserve">For rules that apply to acting appointments, see sections 33AB and 33A of the </w:t>
      </w:r>
      <w:r w:rsidRPr="00CF3C5F">
        <w:rPr>
          <w:i/>
        </w:rPr>
        <w:t>Acts Interpretation Act 1901</w:t>
      </w:r>
      <w:r w:rsidRPr="00CF3C5F">
        <w:t>.</w:t>
      </w:r>
    </w:p>
    <w:p w14:paraId="73DAE8E9" w14:textId="77777777" w:rsidR="00330778" w:rsidRPr="00CF3C5F" w:rsidRDefault="00330778" w:rsidP="00B1229B">
      <w:pPr>
        <w:pStyle w:val="SubsectionHead"/>
      </w:pPr>
      <w:r w:rsidRPr="00CF3C5F">
        <w:t>Experience and knowledge etc. of acting members</w:t>
      </w:r>
    </w:p>
    <w:p w14:paraId="3026267C" w14:textId="77777777" w:rsidR="00330778" w:rsidRPr="00CF3C5F" w:rsidRDefault="00330778" w:rsidP="00B1229B">
      <w:pPr>
        <w:pStyle w:val="subsection"/>
      </w:pPr>
      <w:r w:rsidRPr="00CF3C5F">
        <w:tab/>
        <w:t>(4)</w:t>
      </w:r>
      <w:r w:rsidRPr="00CF3C5F">
        <w:tab/>
      </w:r>
      <w:r w:rsidR="0096206E" w:rsidRPr="00CF3C5F">
        <w:t>Subsection 4</w:t>
      </w:r>
      <w:r w:rsidRPr="00CF3C5F">
        <w:t>2</w:t>
      </w:r>
      <w:r w:rsidR="00CF3C5F">
        <w:noBreakHyphen/>
      </w:r>
      <w:r w:rsidRPr="00CF3C5F">
        <w:t>30(5) applies to an appointment under this section in the same way as it applies to an appointment under section 42</w:t>
      </w:r>
      <w:r w:rsidR="00CF3C5F">
        <w:noBreakHyphen/>
      </w:r>
      <w:r w:rsidRPr="00CF3C5F">
        <w:t>30.</w:t>
      </w:r>
    </w:p>
    <w:p w14:paraId="429F35FE" w14:textId="77777777" w:rsidR="00330778" w:rsidRPr="00CF3C5F" w:rsidRDefault="00330778" w:rsidP="00B1229B">
      <w:pPr>
        <w:pStyle w:val="ActHead5"/>
      </w:pPr>
      <w:bookmarkStart w:id="17" w:name="_Toc129791565"/>
      <w:r w:rsidRPr="00CF3C5F">
        <w:rPr>
          <w:rStyle w:val="CharSectno"/>
        </w:rPr>
        <w:t>42</w:t>
      </w:r>
      <w:r w:rsidR="00CF3C5F" w:rsidRPr="00CF3C5F">
        <w:rPr>
          <w:rStyle w:val="CharSectno"/>
        </w:rPr>
        <w:noBreakHyphen/>
      </w:r>
      <w:r w:rsidRPr="00CF3C5F">
        <w:rPr>
          <w:rStyle w:val="CharSectno"/>
        </w:rPr>
        <w:t>40</w:t>
      </w:r>
      <w:r w:rsidRPr="00CF3C5F">
        <w:t xml:space="preserve">  Remuneration and allowances</w:t>
      </w:r>
      <w:bookmarkEnd w:id="17"/>
    </w:p>
    <w:p w14:paraId="70E72E08" w14:textId="77777777" w:rsidR="00330778" w:rsidRPr="00CF3C5F" w:rsidRDefault="00330778" w:rsidP="00B1229B">
      <w:pPr>
        <w:pStyle w:val="subsection"/>
      </w:pPr>
      <w:r w:rsidRPr="00CF3C5F">
        <w:tab/>
        <w:t>(1)</w:t>
      </w:r>
      <w:r w:rsidRPr="00CF3C5F">
        <w:tab/>
        <w:t xml:space="preserve">A member of the </w:t>
      </w:r>
      <w:r w:rsidR="00B1229B" w:rsidRPr="00CF3C5F">
        <w:rPr>
          <w:position w:val="6"/>
          <w:sz w:val="16"/>
        </w:rPr>
        <w:t>*</w:t>
      </w:r>
      <w:proofErr w:type="spellStart"/>
      <w:r w:rsidRPr="00CF3C5F">
        <w:t>AEA</w:t>
      </w:r>
      <w:proofErr w:type="spellEnd"/>
      <w:r w:rsidRPr="00CF3C5F">
        <w:t xml:space="preserve"> Advisory Board is to be paid the remuneration that is determined by the Remuneration Tribunal. If no determination of that remuneration by the Tribunal is in operation, the member is to be paid the remuneration that is prescribed by rules made under subsection (4).</w:t>
      </w:r>
    </w:p>
    <w:p w14:paraId="6FDDE429" w14:textId="77777777" w:rsidR="00330778" w:rsidRPr="00CF3C5F" w:rsidRDefault="00330778" w:rsidP="00B1229B">
      <w:pPr>
        <w:pStyle w:val="subsection"/>
      </w:pPr>
      <w:r w:rsidRPr="00CF3C5F">
        <w:tab/>
        <w:t>(2)</w:t>
      </w:r>
      <w:r w:rsidRPr="00CF3C5F">
        <w:tab/>
        <w:t xml:space="preserve">A member of the </w:t>
      </w:r>
      <w:r w:rsidR="00B1229B" w:rsidRPr="00CF3C5F">
        <w:rPr>
          <w:position w:val="6"/>
          <w:sz w:val="16"/>
        </w:rPr>
        <w:t>*</w:t>
      </w:r>
      <w:proofErr w:type="spellStart"/>
      <w:r w:rsidRPr="00CF3C5F">
        <w:t>AEA</w:t>
      </w:r>
      <w:proofErr w:type="spellEnd"/>
      <w:r w:rsidRPr="00CF3C5F">
        <w:t xml:space="preserve"> Advisory Board is to be paid the allowances that are prescribed by rules made under subsection (4).</w:t>
      </w:r>
    </w:p>
    <w:p w14:paraId="2E86F175" w14:textId="77777777" w:rsidR="00330778" w:rsidRPr="00CF3C5F" w:rsidRDefault="00330778" w:rsidP="00B1229B">
      <w:pPr>
        <w:pStyle w:val="subsection"/>
      </w:pPr>
      <w:r w:rsidRPr="00CF3C5F">
        <w:tab/>
        <w:t>(3)</w:t>
      </w:r>
      <w:r w:rsidRPr="00CF3C5F">
        <w:tab/>
        <w:t xml:space="preserve">This section has effect subject to the </w:t>
      </w:r>
      <w:r w:rsidRPr="00CF3C5F">
        <w:rPr>
          <w:i/>
        </w:rPr>
        <w:t>Remuneration Tribunal Act 1973</w:t>
      </w:r>
      <w:r w:rsidRPr="00CF3C5F">
        <w:t>.</w:t>
      </w:r>
    </w:p>
    <w:p w14:paraId="09E9D306" w14:textId="77777777" w:rsidR="00330778" w:rsidRPr="00CF3C5F" w:rsidRDefault="00330778" w:rsidP="00B1229B">
      <w:pPr>
        <w:pStyle w:val="subsection"/>
      </w:pPr>
      <w:r w:rsidRPr="00CF3C5F">
        <w:tab/>
        <w:t>(4)</w:t>
      </w:r>
      <w:r w:rsidRPr="00CF3C5F">
        <w:tab/>
        <w:t>The Minister may, by legislative instrument, make rules prescribing matters for the purposes of this section.</w:t>
      </w:r>
    </w:p>
    <w:p w14:paraId="6A514586" w14:textId="77777777" w:rsidR="00330778" w:rsidRPr="00CF3C5F" w:rsidRDefault="00330778" w:rsidP="00B1229B">
      <w:pPr>
        <w:pStyle w:val="ActHead5"/>
      </w:pPr>
      <w:bookmarkStart w:id="18" w:name="_Toc129791566"/>
      <w:r w:rsidRPr="00CF3C5F">
        <w:rPr>
          <w:rStyle w:val="CharSectno"/>
        </w:rPr>
        <w:t>42</w:t>
      </w:r>
      <w:r w:rsidR="00CF3C5F" w:rsidRPr="00CF3C5F">
        <w:rPr>
          <w:rStyle w:val="CharSectno"/>
        </w:rPr>
        <w:noBreakHyphen/>
      </w:r>
      <w:r w:rsidRPr="00CF3C5F">
        <w:rPr>
          <w:rStyle w:val="CharSectno"/>
        </w:rPr>
        <w:t>45</w:t>
      </w:r>
      <w:r w:rsidRPr="00CF3C5F">
        <w:t xml:space="preserve">  Leave of absence</w:t>
      </w:r>
      <w:bookmarkEnd w:id="18"/>
    </w:p>
    <w:p w14:paraId="4AE5164C" w14:textId="77777777" w:rsidR="00330778" w:rsidRPr="00CF3C5F" w:rsidRDefault="00330778" w:rsidP="00B1229B">
      <w:pPr>
        <w:pStyle w:val="subsection"/>
      </w:pPr>
      <w:r w:rsidRPr="00CF3C5F">
        <w:tab/>
      </w:r>
      <w:r w:rsidRPr="00CF3C5F">
        <w:tab/>
        <w:t xml:space="preserve">The Minister may grant leave of absence to a member of the </w:t>
      </w:r>
      <w:r w:rsidR="00B1229B" w:rsidRPr="00CF3C5F">
        <w:rPr>
          <w:position w:val="6"/>
          <w:sz w:val="16"/>
        </w:rPr>
        <w:t>*</w:t>
      </w:r>
      <w:proofErr w:type="spellStart"/>
      <w:r w:rsidRPr="00CF3C5F">
        <w:t>AEA</w:t>
      </w:r>
      <w:proofErr w:type="spellEnd"/>
      <w:r w:rsidRPr="00CF3C5F">
        <w:t xml:space="preserve"> Advisory Board on the terms and conditions that the Minister determines.</w:t>
      </w:r>
    </w:p>
    <w:p w14:paraId="51953BAC" w14:textId="77777777" w:rsidR="00330778" w:rsidRPr="00CF3C5F" w:rsidRDefault="00330778" w:rsidP="00B1229B">
      <w:pPr>
        <w:pStyle w:val="ActHead5"/>
      </w:pPr>
      <w:bookmarkStart w:id="19" w:name="_Toc129791567"/>
      <w:r w:rsidRPr="00CF3C5F">
        <w:rPr>
          <w:rStyle w:val="CharSectno"/>
        </w:rPr>
        <w:t>42</w:t>
      </w:r>
      <w:r w:rsidR="00CF3C5F" w:rsidRPr="00CF3C5F">
        <w:rPr>
          <w:rStyle w:val="CharSectno"/>
        </w:rPr>
        <w:noBreakHyphen/>
      </w:r>
      <w:r w:rsidRPr="00CF3C5F">
        <w:rPr>
          <w:rStyle w:val="CharSectno"/>
        </w:rPr>
        <w:t>50</w:t>
      </w:r>
      <w:r w:rsidRPr="00CF3C5F">
        <w:t xml:space="preserve">  Disclosure of interests to the Minister</w:t>
      </w:r>
      <w:bookmarkEnd w:id="19"/>
    </w:p>
    <w:p w14:paraId="651F1C0F" w14:textId="77777777" w:rsidR="00330778" w:rsidRPr="00CF3C5F" w:rsidRDefault="00330778" w:rsidP="00B1229B">
      <w:pPr>
        <w:pStyle w:val="subsection"/>
      </w:pPr>
      <w:r w:rsidRPr="00CF3C5F">
        <w:rPr>
          <w:i/>
        </w:rPr>
        <w:tab/>
      </w:r>
      <w:r w:rsidRPr="00CF3C5F">
        <w:rPr>
          <w:i/>
        </w:rPr>
        <w:tab/>
      </w:r>
      <w:r w:rsidRPr="00CF3C5F">
        <w:t xml:space="preserve">A member of the </w:t>
      </w:r>
      <w:r w:rsidR="00B1229B" w:rsidRPr="00CF3C5F">
        <w:rPr>
          <w:position w:val="6"/>
          <w:sz w:val="16"/>
        </w:rPr>
        <w:t>*</w:t>
      </w:r>
      <w:proofErr w:type="spellStart"/>
      <w:r w:rsidRPr="00CF3C5F">
        <w:t>AEA</w:t>
      </w:r>
      <w:proofErr w:type="spellEnd"/>
      <w:r w:rsidRPr="00CF3C5F">
        <w:t xml:space="preserve"> Advisory Board must give written notice to the Minister of any direct or indirect pecuniary interest that the member has or acquires and that conflicts or could conflict with the proper performance of the member’s functions.</w:t>
      </w:r>
    </w:p>
    <w:p w14:paraId="75845ED6" w14:textId="77777777" w:rsidR="00330778" w:rsidRPr="00CF3C5F" w:rsidRDefault="00330778" w:rsidP="00B1229B">
      <w:pPr>
        <w:pStyle w:val="ActHead5"/>
      </w:pPr>
      <w:bookmarkStart w:id="20" w:name="_Toc129791568"/>
      <w:r w:rsidRPr="00CF3C5F">
        <w:rPr>
          <w:rStyle w:val="CharSectno"/>
        </w:rPr>
        <w:lastRenderedPageBreak/>
        <w:t>42</w:t>
      </w:r>
      <w:r w:rsidR="00CF3C5F" w:rsidRPr="00CF3C5F">
        <w:rPr>
          <w:rStyle w:val="CharSectno"/>
        </w:rPr>
        <w:noBreakHyphen/>
      </w:r>
      <w:r w:rsidRPr="00CF3C5F">
        <w:rPr>
          <w:rStyle w:val="CharSectno"/>
        </w:rPr>
        <w:t>55</w:t>
      </w:r>
      <w:r w:rsidRPr="00CF3C5F">
        <w:t xml:space="preserve">  Disclosure of interests to the </w:t>
      </w:r>
      <w:proofErr w:type="spellStart"/>
      <w:r w:rsidRPr="00CF3C5F">
        <w:t>AEA</w:t>
      </w:r>
      <w:proofErr w:type="spellEnd"/>
      <w:r w:rsidRPr="00CF3C5F">
        <w:t xml:space="preserve"> Advisory Board</w:t>
      </w:r>
      <w:bookmarkEnd w:id="20"/>
    </w:p>
    <w:p w14:paraId="72372D74" w14:textId="77777777" w:rsidR="00330778" w:rsidRPr="00CF3C5F" w:rsidRDefault="00330778" w:rsidP="00B1229B">
      <w:pPr>
        <w:pStyle w:val="subsection"/>
      </w:pPr>
      <w:r w:rsidRPr="00CF3C5F">
        <w:tab/>
        <w:t>(1)</w:t>
      </w:r>
      <w:r w:rsidRPr="00CF3C5F">
        <w:tab/>
        <w:t xml:space="preserve">A member of the </w:t>
      </w:r>
      <w:r w:rsidR="00B1229B" w:rsidRPr="00CF3C5F">
        <w:rPr>
          <w:position w:val="6"/>
          <w:sz w:val="16"/>
        </w:rPr>
        <w:t>*</w:t>
      </w:r>
      <w:proofErr w:type="spellStart"/>
      <w:r w:rsidRPr="00CF3C5F">
        <w:t>AEA</w:t>
      </w:r>
      <w:proofErr w:type="spellEnd"/>
      <w:r w:rsidRPr="00CF3C5F">
        <w:t xml:space="preserve"> Advisory Board who has an interest, pecuniary or otherwise, in relation to either of the following must disclose the nature of the interest to a meeting of the </w:t>
      </w:r>
      <w:proofErr w:type="spellStart"/>
      <w:r w:rsidRPr="00CF3C5F">
        <w:t>AEA</w:t>
      </w:r>
      <w:proofErr w:type="spellEnd"/>
      <w:r w:rsidRPr="00CF3C5F">
        <w:t xml:space="preserve"> Advisory Board:</w:t>
      </w:r>
    </w:p>
    <w:p w14:paraId="49D7A2C4" w14:textId="77777777" w:rsidR="00330778" w:rsidRPr="00CF3C5F" w:rsidRDefault="00330778" w:rsidP="00B1229B">
      <w:pPr>
        <w:pStyle w:val="paragraph"/>
      </w:pPr>
      <w:r w:rsidRPr="00CF3C5F">
        <w:tab/>
        <w:t>(a)</w:t>
      </w:r>
      <w:r w:rsidRPr="00CF3C5F">
        <w:tab/>
        <w:t xml:space="preserve">a decision by the </w:t>
      </w:r>
      <w:proofErr w:type="spellStart"/>
      <w:r w:rsidRPr="00CF3C5F">
        <w:t>AEA</w:t>
      </w:r>
      <w:proofErr w:type="spellEnd"/>
      <w:r w:rsidRPr="00CF3C5F">
        <w:t xml:space="preserve"> Advisory Board to recommend, or not recommend, approval of a grant under the </w:t>
      </w:r>
      <w:r w:rsidR="00B1229B" w:rsidRPr="00CF3C5F">
        <w:rPr>
          <w:position w:val="6"/>
          <w:sz w:val="16"/>
        </w:rPr>
        <w:t>*</w:t>
      </w:r>
      <w:r w:rsidRPr="00CF3C5F">
        <w:t>Australia’s Economic Accelerator program;</w:t>
      </w:r>
    </w:p>
    <w:p w14:paraId="708C1B22" w14:textId="77777777" w:rsidR="00330778" w:rsidRPr="00CF3C5F" w:rsidRDefault="00330778" w:rsidP="00B1229B">
      <w:pPr>
        <w:pStyle w:val="paragraph"/>
      </w:pPr>
      <w:r w:rsidRPr="00CF3C5F">
        <w:tab/>
        <w:t>(b)</w:t>
      </w:r>
      <w:r w:rsidRPr="00CF3C5F">
        <w:tab/>
        <w:t xml:space="preserve">another matter being considered or about to be considered by the </w:t>
      </w:r>
      <w:proofErr w:type="spellStart"/>
      <w:r w:rsidRPr="00CF3C5F">
        <w:t>AEA</w:t>
      </w:r>
      <w:proofErr w:type="spellEnd"/>
      <w:r w:rsidRPr="00CF3C5F">
        <w:t xml:space="preserve"> Advisory Board.</w:t>
      </w:r>
    </w:p>
    <w:p w14:paraId="49F9D0B3" w14:textId="77777777" w:rsidR="00330778" w:rsidRPr="00CF3C5F" w:rsidRDefault="00330778" w:rsidP="00B1229B">
      <w:pPr>
        <w:pStyle w:val="subsection"/>
      </w:pPr>
      <w:r w:rsidRPr="00CF3C5F">
        <w:tab/>
        <w:t>(2)</w:t>
      </w:r>
      <w:r w:rsidRPr="00CF3C5F">
        <w:tab/>
        <w:t>The disclosure must be made as soon as possible after the relevant facts have come to the member’s knowledge.</w:t>
      </w:r>
    </w:p>
    <w:p w14:paraId="0FC84BDB" w14:textId="77777777" w:rsidR="00330778" w:rsidRPr="00CF3C5F" w:rsidRDefault="00330778" w:rsidP="00B1229B">
      <w:pPr>
        <w:pStyle w:val="subsection"/>
      </w:pPr>
      <w:r w:rsidRPr="00CF3C5F">
        <w:tab/>
        <w:t>(3)</w:t>
      </w:r>
      <w:r w:rsidRPr="00CF3C5F">
        <w:tab/>
        <w:t xml:space="preserve">The disclosure must be recorded in the minutes of the meeting of the </w:t>
      </w:r>
      <w:r w:rsidR="00B1229B" w:rsidRPr="00CF3C5F">
        <w:rPr>
          <w:position w:val="6"/>
          <w:sz w:val="16"/>
        </w:rPr>
        <w:t>*</w:t>
      </w:r>
      <w:proofErr w:type="spellStart"/>
      <w:r w:rsidRPr="00CF3C5F">
        <w:t>AEA</w:t>
      </w:r>
      <w:proofErr w:type="spellEnd"/>
      <w:r w:rsidRPr="00CF3C5F">
        <w:t xml:space="preserve"> Advisory Board.</w:t>
      </w:r>
    </w:p>
    <w:p w14:paraId="1212C875" w14:textId="77777777" w:rsidR="00330778" w:rsidRPr="00CF3C5F" w:rsidRDefault="00330778" w:rsidP="00B1229B">
      <w:pPr>
        <w:pStyle w:val="subsection"/>
      </w:pPr>
      <w:r w:rsidRPr="00CF3C5F">
        <w:tab/>
        <w:t>(4)</w:t>
      </w:r>
      <w:r w:rsidRPr="00CF3C5F">
        <w:tab/>
        <w:t xml:space="preserve">Unless the </w:t>
      </w:r>
      <w:r w:rsidR="00B1229B" w:rsidRPr="00CF3C5F">
        <w:rPr>
          <w:position w:val="6"/>
          <w:sz w:val="16"/>
        </w:rPr>
        <w:t>*</w:t>
      </w:r>
      <w:proofErr w:type="spellStart"/>
      <w:r w:rsidRPr="00CF3C5F">
        <w:t>AEA</w:t>
      </w:r>
      <w:proofErr w:type="spellEnd"/>
      <w:r w:rsidRPr="00CF3C5F">
        <w:t xml:space="preserve"> Advisory Board determines otherwise, the member:</w:t>
      </w:r>
    </w:p>
    <w:p w14:paraId="75A0F74F" w14:textId="77777777" w:rsidR="00330778" w:rsidRPr="00CF3C5F" w:rsidRDefault="00330778" w:rsidP="00B1229B">
      <w:pPr>
        <w:pStyle w:val="paragraph"/>
      </w:pPr>
      <w:r w:rsidRPr="00CF3C5F">
        <w:tab/>
        <w:t>(a)</w:t>
      </w:r>
      <w:r w:rsidRPr="00CF3C5F">
        <w:tab/>
        <w:t xml:space="preserve">must not be present during any deliberation by the </w:t>
      </w:r>
      <w:proofErr w:type="spellStart"/>
      <w:r w:rsidRPr="00CF3C5F">
        <w:t>AEA</w:t>
      </w:r>
      <w:proofErr w:type="spellEnd"/>
      <w:r w:rsidRPr="00CF3C5F">
        <w:t xml:space="preserve"> Advisory Board on the matter; and</w:t>
      </w:r>
    </w:p>
    <w:p w14:paraId="3B3C847D" w14:textId="77777777" w:rsidR="00330778" w:rsidRPr="00CF3C5F" w:rsidRDefault="00330778" w:rsidP="00B1229B">
      <w:pPr>
        <w:pStyle w:val="paragraph"/>
      </w:pPr>
      <w:r w:rsidRPr="00CF3C5F">
        <w:tab/>
        <w:t>(b)</w:t>
      </w:r>
      <w:r w:rsidRPr="00CF3C5F">
        <w:tab/>
        <w:t xml:space="preserve">must not take </w:t>
      </w:r>
      <w:r w:rsidR="0096206E" w:rsidRPr="00CF3C5F">
        <w:t>part i</w:t>
      </w:r>
      <w:r w:rsidRPr="00CF3C5F">
        <w:t xml:space="preserve">n any decision of the </w:t>
      </w:r>
      <w:proofErr w:type="spellStart"/>
      <w:r w:rsidRPr="00CF3C5F">
        <w:t>AEA</w:t>
      </w:r>
      <w:proofErr w:type="spellEnd"/>
      <w:r w:rsidRPr="00CF3C5F">
        <w:t xml:space="preserve"> Advisory Board with respect to the matter.</w:t>
      </w:r>
    </w:p>
    <w:p w14:paraId="1BB393BE" w14:textId="77777777" w:rsidR="00330778" w:rsidRPr="00CF3C5F" w:rsidRDefault="00330778" w:rsidP="00B1229B">
      <w:pPr>
        <w:pStyle w:val="subsection"/>
      </w:pPr>
      <w:r w:rsidRPr="00CF3C5F">
        <w:tab/>
        <w:t>(5)</w:t>
      </w:r>
      <w:r w:rsidRPr="00CF3C5F">
        <w:tab/>
        <w:t>For the purposes of making a determination under subsection (4), the member:</w:t>
      </w:r>
    </w:p>
    <w:p w14:paraId="53379BD1" w14:textId="77777777" w:rsidR="00330778" w:rsidRPr="00CF3C5F" w:rsidRDefault="00330778" w:rsidP="00B1229B">
      <w:pPr>
        <w:pStyle w:val="paragraph"/>
      </w:pPr>
      <w:r w:rsidRPr="00CF3C5F">
        <w:tab/>
        <w:t>(a)</w:t>
      </w:r>
      <w:r w:rsidRPr="00CF3C5F">
        <w:tab/>
        <w:t xml:space="preserve">must not be present during any deliberation of the </w:t>
      </w:r>
      <w:r w:rsidR="00B1229B" w:rsidRPr="00CF3C5F">
        <w:rPr>
          <w:position w:val="6"/>
          <w:sz w:val="16"/>
        </w:rPr>
        <w:t>*</w:t>
      </w:r>
      <w:proofErr w:type="spellStart"/>
      <w:r w:rsidRPr="00CF3C5F">
        <w:t>AEA</w:t>
      </w:r>
      <w:proofErr w:type="spellEnd"/>
      <w:r w:rsidRPr="00CF3C5F">
        <w:t xml:space="preserve"> Advisory Board for the purpose of making the determination; and</w:t>
      </w:r>
    </w:p>
    <w:p w14:paraId="176178D2" w14:textId="77777777" w:rsidR="00330778" w:rsidRPr="00CF3C5F" w:rsidRDefault="00330778" w:rsidP="00B1229B">
      <w:pPr>
        <w:pStyle w:val="paragraph"/>
      </w:pPr>
      <w:r w:rsidRPr="00CF3C5F">
        <w:tab/>
        <w:t>(b)</w:t>
      </w:r>
      <w:r w:rsidRPr="00CF3C5F">
        <w:tab/>
        <w:t xml:space="preserve">must not take </w:t>
      </w:r>
      <w:r w:rsidR="0096206E" w:rsidRPr="00CF3C5F">
        <w:t>part i</w:t>
      </w:r>
      <w:r w:rsidRPr="00CF3C5F">
        <w:t>n making the determination.</w:t>
      </w:r>
    </w:p>
    <w:p w14:paraId="1164C63E" w14:textId="77777777" w:rsidR="00330778" w:rsidRPr="00CF3C5F" w:rsidRDefault="00330778" w:rsidP="00B1229B">
      <w:pPr>
        <w:pStyle w:val="subsection"/>
      </w:pPr>
      <w:r w:rsidRPr="00CF3C5F">
        <w:tab/>
        <w:t>(6)</w:t>
      </w:r>
      <w:r w:rsidRPr="00CF3C5F">
        <w:tab/>
        <w:t xml:space="preserve">A determination under subsection (4) must be recorded in the minutes of the meeting of the </w:t>
      </w:r>
      <w:r w:rsidR="00B1229B" w:rsidRPr="00CF3C5F">
        <w:rPr>
          <w:position w:val="6"/>
          <w:sz w:val="16"/>
        </w:rPr>
        <w:t>*</w:t>
      </w:r>
      <w:proofErr w:type="spellStart"/>
      <w:r w:rsidRPr="00CF3C5F">
        <w:t>AEA</w:t>
      </w:r>
      <w:proofErr w:type="spellEnd"/>
      <w:r w:rsidRPr="00CF3C5F">
        <w:t xml:space="preserve"> Advisory Board.</w:t>
      </w:r>
    </w:p>
    <w:p w14:paraId="6215E39B" w14:textId="77777777" w:rsidR="00330778" w:rsidRPr="00CF3C5F" w:rsidRDefault="00330778" w:rsidP="00B1229B">
      <w:pPr>
        <w:pStyle w:val="ActHead5"/>
      </w:pPr>
      <w:bookmarkStart w:id="21" w:name="_Toc129791569"/>
      <w:r w:rsidRPr="00CF3C5F">
        <w:rPr>
          <w:rStyle w:val="CharSectno"/>
        </w:rPr>
        <w:t>42</w:t>
      </w:r>
      <w:r w:rsidR="00CF3C5F" w:rsidRPr="00CF3C5F">
        <w:rPr>
          <w:rStyle w:val="CharSectno"/>
        </w:rPr>
        <w:noBreakHyphen/>
      </w:r>
      <w:r w:rsidRPr="00CF3C5F">
        <w:rPr>
          <w:rStyle w:val="CharSectno"/>
        </w:rPr>
        <w:t>60</w:t>
      </w:r>
      <w:r w:rsidRPr="00CF3C5F">
        <w:t xml:space="preserve">  Resignation</w:t>
      </w:r>
      <w:bookmarkEnd w:id="21"/>
    </w:p>
    <w:p w14:paraId="7CC99C27" w14:textId="77777777" w:rsidR="00330778" w:rsidRPr="00CF3C5F" w:rsidRDefault="00330778" w:rsidP="00B1229B">
      <w:pPr>
        <w:pStyle w:val="subsection"/>
      </w:pPr>
      <w:r w:rsidRPr="00CF3C5F">
        <w:tab/>
        <w:t>(1)</w:t>
      </w:r>
      <w:r w:rsidRPr="00CF3C5F">
        <w:tab/>
        <w:t xml:space="preserve">A member of the </w:t>
      </w:r>
      <w:r w:rsidR="00B1229B" w:rsidRPr="00CF3C5F">
        <w:rPr>
          <w:position w:val="6"/>
          <w:sz w:val="16"/>
        </w:rPr>
        <w:t>*</w:t>
      </w:r>
      <w:proofErr w:type="spellStart"/>
      <w:r w:rsidRPr="00CF3C5F">
        <w:t>AEA</w:t>
      </w:r>
      <w:proofErr w:type="spellEnd"/>
      <w:r w:rsidRPr="00CF3C5F">
        <w:t xml:space="preserve"> Advisory Board may resign the member’s appointment by giving the Minister a written resignation.</w:t>
      </w:r>
    </w:p>
    <w:p w14:paraId="5D78851E" w14:textId="77777777" w:rsidR="00330778" w:rsidRPr="00CF3C5F" w:rsidRDefault="00330778" w:rsidP="00B1229B">
      <w:pPr>
        <w:pStyle w:val="subsection"/>
      </w:pPr>
      <w:r w:rsidRPr="00CF3C5F">
        <w:lastRenderedPageBreak/>
        <w:tab/>
        <w:t>(2)</w:t>
      </w:r>
      <w:r w:rsidRPr="00CF3C5F">
        <w:tab/>
        <w:t>The resignation takes effect on the day it is received by the Minister or, if a later day is specified in the resignation, on that later day.</w:t>
      </w:r>
    </w:p>
    <w:p w14:paraId="7397C0F6" w14:textId="77777777" w:rsidR="00330778" w:rsidRPr="00CF3C5F" w:rsidRDefault="00330778" w:rsidP="00B1229B">
      <w:pPr>
        <w:pStyle w:val="ActHead5"/>
      </w:pPr>
      <w:bookmarkStart w:id="22" w:name="_Toc129791570"/>
      <w:r w:rsidRPr="00CF3C5F">
        <w:rPr>
          <w:rStyle w:val="CharSectno"/>
        </w:rPr>
        <w:t>42</w:t>
      </w:r>
      <w:r w:rsidR="00CF3C5F" w:rsidRPr="00CF3C5F">
        <w:rPr>
          <w:rStyle w:val="CharSectno"/>
        </w:rPr>
        <w:noBreakHyphen/>
      </w:r>
      <w:r w:rsidRPr="00CF3C5F">
        <w:rPr>
          <w:rStyle w:val="CharSectno"/>
        </w:rPr>
        <w:t>65</w:t>
      </w:r>
      <w:r w:rsidRPr="00CF3C5F">
        <w:t xml:space="preserve">  Termination</w:t>
      </w:r>
      <w:bookmarkEnd w:id="22"/>
    </w:p>
    <w:p w14:paraId="1FD2A13E" w14:textId="77777777" w:rsidR="00330778" w:rsidRPr="00CF3C5F" w:rsidRDefault="00330778" w:rsidP="00B1229B">
      <w:pPr>
        <w:pStyle w:val="subsection"/>
      </w:pPr>
      <w:r w:rsidRPr="00CF3C5F">
        <w:tab/>
      </w:r>
      <w:r w:rsidRPr="00CF3C5F">
        <w:tab/>
        <w:t xml:space="preserve">The Minister may terminate the appointment of a member of the </w:t>
      </w:r>
      <w:r w:rsidR="00B1229B" w:rsidRPr="00CF3C5F">
        <w:rPr>
          <w:position w:val="6"/>
          <w:sz w:val="16"/>
        </w:rPr>
        <w:t>*</w:t>
      </w:r>
      <w:proofErr w:type="spellStart"/>
      <w:r w:rsidRPr="00CF3C5F">
        <w:t>AEA</w:t>
      </w:r>
      <w:proofErr w:type="spellEnd"/>
      <w:r w:rsidRPr="00CF3C5F">
        <w:t xml:space="preserve"> Advisory Board for misbehaviour, or if any of the following applies:</w:t>
      </w:r>
    </w:p>
    <w:p w14:paraId="6E80955F" w14:textId="77777777" w:rsidR="00330778" w:rsidRPr="00CF3C5F" w:rsidRDefault="00330778" w:rsidP="00B1229B">
      <w:pPr>
        <w:pStyle w:val="paragraph"/>
      </w:pPr>
      <w:r w:rsidRPr="00CF3C5F">
        <w:tab/>
        <w:t>(a)</w:t>
      </w:r>
      <w:r w:rsidRPr="00CF3C5F">
        <w:tab/>
        <w:t>the member is unable to perform the duties of the member’s office because of physical or mental incapacity;</w:t>
      </w:r>
    </w:p>
    <w:p w14:paraId="55EF5326" w14:textId="77777777" w:rsidR="00330778" w:rsidRPr="00CF3C5F" w:rsidRDefault="00330778" w:rsidP="00B1229B">
      <w:pPr>
        <w:pStyle w:val="paragraph"/>
      </w:pPr>
      <w:r w:rsidRPr="00CF3C5F">
        <w:tab/>
        <w:t>(b)</w:t>
      </w:r>
      <w:r w:rsidRPr="00CF3C5F">
        <w:tab/>
        <w:t>the member:</w:t>
      </w:r>
    </w:p>
    <w:p w14:paraId="5955B989" w14:textId="77777777" w:rsidR="00330778" w:rsidRPr="00CF3C5F" w:rsidRDefault="00330778" w:rsidP="00B1229B">
      <w:pPr>
        <w:pStyle w:val="paragraphsub"/>
      </w:pPr>
      <w:r w:rsidRPr="00CF3C5F">
        <w:tab/>
        <w:t>(i)</w:t>
      </w:r>
      <w:r w:rsidRPr="00CF3C5F">
        <w:tab/>
        <w:t>becomes bankrupt; or</w:t>
      </w:r>
    </w:p>
    <w:p w14:paraId="48BBA9B7" w14:textId="77777777" w:rsidR="00330778" w:rsidRPr="00CF3C5F" w:rsidRDefault="00330778" w:rsidP="00B1229B">
      <w:pPr>
        <w:pStyle w:val="paragraphsub"/>
      </w:pPr>
      <w:r w:rsidRPr="00CF3C5F">
        <w:tab/>
        <w:t>(ii)</w:t>
      </w:r>
      <w:r w:rsidRPr="00CF3C5F">
        <w:tab/>
        <w:t>applies to take the benefit of any law for the relief of bankrupt or insolvent debtors; or</w:t>
      </w:r>
    </w:p>
    <w:p w14:paraId="626AAF5D" w14:textId="77777777" w:rsidR="00330778" w:rsidRPr="00CF3C5F" w:rsidRDefault="00330778" w:rsidP="00B1229B">
      <w:pPr>
        <w:pStyle w:val="paragraphsub"/>
      </w:pPr>
      <w:r w:rsidRPr="00CF3C5F">
        <w:tab/>
        <w:t>(iii)</w:t>
      </w:r>
      <w:r w:rsidRPr="00CF3C5F">
        <w:tab/>
        <w:t>compounds with the member’s creditors; or</w:t>
      </w:r>
    </w:p>
    <w:p w14:paraId="31D6737A" w14:textId="77777777" w:rsidR="00330778" w:rsidRPr="00CF3C5F" w:rsidRDefault="00330778" w:rsidP="00B1229B">
      <w:pPr>
        <w:pStyle w:val="paragraphsub"/>
      </w:pPr>
      <w:r w:rsidRPr="00CF3C5F">
        <w:tab/>
        <w:t>(iv)</w:t>
      </w:r>
      <w:r w:rsidRPr="00CF3C5F">
        <w:tab/>
        <w:t>makes an assignment of the member’s remuneration for the benefit of the member’s creditors;</w:t>
      </w:r>
    </w:p>
    <w:p w14:paraId="0B18F05B" w14:textId="77777777" w:rsidR="00330778" w:rsidRPr="00CF3C5F" w:rsidRDefault="00330778" w:rsidP="00B1229B">
      <w:pPr>
        <w:pStyle w:val="paragraph"/>
      </w:pPr>
      <w:r w:rsidRPr="00CF3C5F">
        <w:tab/>
        <w:t>(c)</w:t>
      </w:r>
      <w:r w:rsidRPr="00CF3C5F">
        <w:tab/>
        <w:t xml:space="preserve">the member is absent, except on leave of absence, from 3 consecutive meetings of the </w:t>
      </w:r>
      <w:proofErr w:type="spellStart"/>
      <w:r w:rsidRPr="00CF3C5F">
        <w:t>AEA</w:t>
      </w:r>
      <w:proofErr w:type="spellEnd"/>
      <w:r w:rsidRPr="00CF3C5F">
        <w:t xml:space="preserve"> Advisory Board;</w:t>
      </w:r>
    </w:p>
    <w:p w14:paraId="56C98F26" w14:textId="77777777" w:rsidR="00330778" w:rsidRPr="00CF3C5F" w:rsidRDefault="00330778" w:rsidP="00B1229B">
      <w:pPr>
        <w:pStyle w:val="paragraph"/>
      </w:pPr>
      <w:r w:rsidRPr="00CF3C5F">
        <w:tab/>
        <w:t>(d)</w:t>
      </w:r>
      <w:r w:rsidRPr="00CF3C5F">
        <w:tab/>
        <w:t>the member fails, without reasonable excuse, to comply with section 42</w:t>
      </w:r>
      <w:r w:rsidR="00CF3C5F">
        <w:noBreakHyphen/>
      </w:r>
      <w:r w:rsidRPr="00CF3C5F">
        <w:t>50 or 42</w:t>
      </w:r>
      <w:r w:rsidR="00CF3C5F">
        <w:noBreakHyphen/>
      </w:r>
      <w:r w:rsidRPr="00CF3C5F">
        <w:t>55 (which deal with the disclosure of interests).</w:t>
      </w:r>
    </w:p>
    <w:p w14:paraId="0D859893" w14:textId="77777777" w:rsidR="00330778" w:rsidRPr="00CF3C5F" w:rsidRDefault="00330778" w:rsidP="00B1229B">
      <w:pPr>
        <w:pStyle w:val="ActHead5"/>
      </w:pPr>
      <w:bookmarkStart w:id="23" w:name="_Toc129791571"/>
      <w:r w:rsidRPr="00CF3C5F">
        <w:rPr>
          <w:rStyle w:val="CharSectno"/>
        </w:rPr>
        <w:t>42</w:t>
      </w:r>
      <w:r w:rsidR="00CF3C5F" w:rsidRPr="00CF3C5F">
        <w:rPr>
          <w:rStyle w:val="CharSectno"/>
        </w:rPr>
        <w:noBreakHyphen/>
      </w:r>
      <w:r w:rsidRPr="00CF3C5F">
        <w:rPr>
          <w:rStyle w:val="CharSectno"/>
        </w:rPr>
        <w:t>70</w:t>
      </w:r>
      <w:r w:rsidRPr="00CF3C5F">
        <w:t xml:space="preserve">  Other terms and conditions</w:t>
      </w:r>
      <w:bookmarkEnd w:id="23"/>
    </w:p>
    <w:p w14:paraId="593AE4DE" w14:textId="77777777" w:rsidR="00330778" w:rsidRPr="00CF3C5F" w:rsidRDefault="00330778" w:rsidP="00B1229B">
      <w:pPr>
        <w:pStyle w:val="subsection"/>
      </w:pPr>
      <w:r w:rsidRPr="00CF3C5F">
        <w:tab/>
      </w:r>
      <w:r w:rsidRPr="00CF3C5F">
        <w:tab/>
        <w:t xml:space="preserve">A member of the </w:t>
      </w:r>
      <w:r w:rsidR="00B1229B" w:rsidRPr="00CF3C5F">
        <w:rPr>
          <w:position w:val="6"/>
          <w:sz w:val="16"/>
        </w:rPr>
        <w:t>*</w:t>
      </w:r>
      <w:proofErr w:type="spellStart"/>
      <w:r w:rsidRPr="00CF3C5F">
        <w:t>AEA</w:t>
      </w:r>
      <w:proofErr w:type="spellEnd"/>
      <w:r w:rsidRPr="00CF3C5F">
        <w:t xml:space="preserve"> Advisory Board holds office on the terms and conditions (if any) in relation to matters not covered by this Act that are determined, in writing, by the Minister.</w:t>
      </w:r>
    </w:p>
    <w:p w14:paraId="436AEB98" w14:textId="77777777" w:rsidR="00330778" w:rsidRPr="00CF3C5F" w:rsidRDefault="00330778" w:rsidP="00B1229B">
      <w:pPr>
        <w:pStyle w:val="ActHead4"/>
      </w:pPr>
      <w:bookmarkStart w:id="24" w:name="_Toc129791572"/>
      <w:r w:rsidRPr="00CF3C5F">
        <w:rPr>
          <w:rStyle w:val="CharSubdNo"/>
        </w:rPr>
        <w:t>Subdivision 42</w:t>
      </w:r>
      <w:r w:rsidR="00CF3C5F" w:rsidRPr="00CF3C5F">
        <w:rPr>
          <w:rStyle w:val="CharSubdNo"/>
        </w:rPr>
        <w:noBreakHyphen/>
      </w:r>
      <w:r w:rsidRPr="00CF3C5F">
        <w:rPr>
          <w:rStyle w:val="CharSubdNo"/>
        </w:rPr>
        <w:t>C</w:t>
      </w:r>
      <w:r w:rsidRPr="00CF3C5F">
        <w:t>—</w:t>
      </w:r>
      <w:r w:rsidRPr="00CF3C5F">
        <w:rPr>
          <w:rStyle w:val="CharSubdText"/>
        </w:rPr>
        <w:t>Priority managers</w:t>
      </w:r>
      <w:bookmarkEnd w:id="24"/>
    </w:p>
    <w:p w14:paraId="77DD02FA" w14:textId="77777777" w:rsidR="00330778" w:rsidRPr="00CF3C5F" w:rsidRDefault="00330778" w:rsidP="00B1229B">
      <w:pPr>
        <w:pStyle w:val="ActHead5"/>
      </w:pPr>
      <w:bookmarkStart w:id="25" w:name="_Toc129791573"/>
      <w:r w:rsidRPr="00CF3C5F">
        <w:rPr>
          <w:rStyle w:val="CharSectno"/>
        </w:rPr>
        <w:t>42</w:t>
      </w:r>
      <w:r w:rsidR="00CF3C5F" w:rsidRPr="00CF3C5F">
        <w:rPr>
          <w:rStyle w:val="CharSectno"/>
        </w:rPr>
        <w:noBreakHyphen/>
      </w:r>
      <w:r w:rsidRPr="00CF3C5F">
        <w:rPr>
          <w:rStyle w:val="CharSectno"/>
        </w:rPr>
        <w:t>75</w:t>
      </w:r>
      <w:r w:rsidRPr="00CF3C5F">
        <w:t xml:space="preserve">  Priority managers</w:t>
      </w:r>
      <w:bookmarkEnd w:id="25"/>
    </w:p>
    <w:p w14:paraId="74C82C13" w14:textId="77777777" w:rsidR="00330778" w:rsidRPr="00CF3C5F" w:rsidRDefault="00330778" w:rsidP="00B1229B">
      <w:pPr>
        <w:pStyle w:val="subsection"/>
      </w:pPr>
      <w:r w:rsidRPr="00CF3C5F">
        <w:tab/>
        <w:t>(1)</w:t>
      </w:r>
      <w:r w:rsidRPr="00CF3C5F">
        <w:tab/>
        <w:t>The Secretary may, on behalf of the Commonwealth, engage persons to be known as priority managers:</w:t>
      </w:r>
    </w:p>
    <w:p w14:paraId="3E4FCD76" w14:textId="77777777" w:rsidR="00330778" w:rsidRPr="00CF3C5F" w:rsidRDefault="00330778" w:rsidP="00B1229B">
      <w:pPr>
        <w:pStyle w:val="paragraph"/>
      </w:pPr>
      <w:r w:rsidRPr="00CF3C5F">
        <w:tab/>
        <w:t>(a)</w:t>
      </w:r>
      <w:r w:rsidRPr="00CF3C5F">
        <w:tab/>
        <w:t xml:space="preserve">to perform any functions conferred by the Other Grants Guidelines on priority managers in relation to the </w:t>
      </w:r>
      <w:r w:rsidR="00B1229B" w:rsidRPr="00CF3C5F">
        <w:rPr>
          <w:position w:val="6"/>
          <w:sz w:val="16"/>
        </w:rPr>
        <w:t>*</w:t>
      </w:r>
      <w:r w:rsidRPr="00CF3C5F">
        <w:t>Australia’s Economic Accelerator program; and</w:t>
      </w:r>
    </w:p>
    <w:p w14:paraId="168A0BC0" w14:textId="77777777" w:rsidR="00330778" w:rsidRPr="00CF3C5F" w:rsidRDefault="00330778" w:rsidP="00B1229B">
      <w:pPr>
        <w:pStyle w:val="paragraph"/>
      </w:pPr>
      <w:r w:rsidRPr="00CF3C5F">
        <w:lastRenderedPageBreak/>
        <w:tab/>
        <w:t>(b)</w:t>
      </w:r>
      <w:r w:rsidRPr="00CF3C5F">
        <w:tab/>
        <w:t xml:space="preserve">to provide technical and specialist advisory services to assist the </w:t>
      </w:r>
      <w:r w:rsidR="00B1229B" w:rsidRPr="00CF3C5F">
        <w:rPr>
          <w:position w:val="6"/>
          <w:sz w:val="16"/>
        </w:rPr>
        <w:t>*</w:t>
      </w:r>
      <w:proofErr w:type="spellStart"/>
      <w:r w:rsidRPr="00CF3C5F">
        <w:t>AEA</w:t>
      </w:r>
      <w:proofErr w:type="spellEnd"/>
      <w:r w:rsidRPr="00CF3C5F">
        <w:t xml:space="preserve"> Advisory Board in performing any functions conferred by the Guidelines on the Board in relation to the Australia’s Economic Accelerator program.</w:t>
      </w:r>
    </w:p>
    <w:p w14:paraId="48F17D19" w14:textId="77777777" w:rsidR="00330778" w:rsidRPr="00CF3C5F" w:rsidRDefault="00330778" w:rsidP="00B1229B">
      <w:pPr>
        <w:pStyle w:val="subsection"/>
      </w:pPr>
      <w:r w:rsidRPr="00CF3C5F">
        <w:tab/>
        <w:t>(2)</w:t>
      </w:r>
      <w:r w:rsidRPr="00CF3C5F">
        <w:tab/>
        <w:t>The persons are to be engaged on the terms and conditions that the Secretary determines.</w:t>
      </w:r>
    </w:p>
    <w:p w14:paraId="7358F255" w14:textId="77777777" w:rsidR="00330778" w:rsidRPr="00CF3C5F" w:rsidRDefault="00B1229B" w:rsidP="00B1229B">
      <w:pPr>
        <w:pStyle w:val="ItemHead"/>
      </w:pPr>
      <w:r w:rsidRPr="00CF3C5F">
        <w:t>4</w:t>
      </w:r>
      <w:r w:rsidR="00330778" w:rsidRPr="00CF3C5F">
        <w:t xml:space="preserve">  At the end of subsection 179</w:t>
      </w:r>
      <w:r w:rsidR="00CF3C5F">
        <w:noBreakHyphen/>
      </w:r>
      <w:r w:rsidR="00330778" w:rsidRPr="00CF3C5F">
        <w:t>5</w:t>
      </w:r>
    </w:p>
    <w:p w14:paraId="3655A74F" w14:textId="77777777" w:rsidR="00330778" w:rsidRPr="00CF3C5F" w:rsidRDefault="00330778" w:rsidP="00B1229B">
      <w:pPr>
        <w:pStyle w:val="Item"/>
      </w:pPr>
      <w:r w:rsidRPr="00CF3C5F">
        <w:t>Add:</w:t>
      </w:r>
    </w:p>
    <w:p w14:paraId="0F004211" w14:textId="77777777" w:rsidR="00330778" w:rsidRPr="00CF3C5F" w:rsidRDefault="00330778" w:rsidP="00B1229B">
      <w:pPr>
        <w:pStyle w:val="paragraph"/>
      </w:pPr>
      <w:r w:rsidRPr="00CF3C5F">
        <w:tab/>
        <w:t>; and (c)</w:t>
      </w:r>
      <w:r w:rsidRPr="00CF3C5F">
        <w:tab/>
        <w:t xml:space="preserve">not </w:t>
      </w:r>
      <w:r w:rsidR="00B1229B" w:rsidRPr="00CF3C5F">
        <w:rPr>
          <w:position w:val="6"/>
          <w:sz w:val="16"/>
        </w:rPr>
        <w:t>*</w:t>
      </w:r>
      <w:r w:rsidRPr="00CF3C5F">
        <w:t>Australia’s Economic Accelerator program information.</w:t>
      </w:r>
    </w:p>
    <w:p w14:paraId="17F33AC7" w14:textId="77777777" w:rsidR="00330778" w:rsidRPr="00CF3C5F" w:rsidRDefault="00330778" w:rsidP="00B1229B">
      <w:pPr>
        <w:pStyle w:val="notetext"/>
      </w:pPr>
      <w:r w:rsidRPr="00CF3C5F">
        <w:t>Note:</w:t>
      </w:r>
      <w:r w:rsidRPr="00CF3C5F">
        <w:tab/>
        <w:t xml:space="preserve">See Division 181 for </w:t>
      </w:r>
      <w:r w:rsidR="00B1229B" w:rsidRPr="00CF3C5F">
        <w:rPr>
          <w:position w:val="6"/>
          <w:sz w:val="16"/>
        </w:rPr>
        <w:t>*</w:t>
      </w:r>
      <w:r w:rsidRPr="00CF3C5F">
        <w:t>Australia’s Economic Accelerator program information.</w:t>
      </w:r>
    </w:p>
    <w:p w14:paraId="6922AB66" w14:textId="77777777" w:rsidR="00330778" w:rsidRPr="00CF3C5F" w:rsidRDefault="00B1229B" w:rsidP="00B1229B">
      <w:pPr>
        <w:pStyle w:val="ItemHead"/>
      </w:pPr>
      <w:r w:rsidRPr="00CF3C5F">
        <w:t>5</w:t>
      </w:r>
      <w:r w:rsidR="00330778" w:rsidRPr="00CF3C5F">
        <w:t xml:space="preserve">  Section 180</w:t>
      </w:r>
      <w:r w:rsidR="00CF3C5F">
        <w:noBreakHyphen/>
      </w:r>
      <w:r w:rsidR="00330778" w:rsidRPr="00CF3C5F">
        <w:t>5</w:t>
      </w:r>
    </w:p>
    <w:p w14:paraId="7216505A" w14:textId="77777777" w:rsidR="00330778" w:rsidRPr="00CF3C5F" w:rsidRDefault="00330778" w:rsidP="00B1229B">
      <w:pPr>
        <w:pStyle w:val="Item"/>
      </w:pPr>
      <w:r w:rsidRPr="00CF3C5F">
        <w:t>Before “</w:t>
      </w:r>
      <w:r w:rsidRPr="00CF3C5F">
        <w:rPr>
          <w:b/>
          <w:i/>
        </w:rPr>
        <w:t>Higher</w:t>
      </w:r>
      <w:r w:rsidRPr="00CF3C5F">
        <w:t>”, insert “(1)”.</w:t>
      </w:r>
    </w:p>
    <w:p w14:paraId="5D1586E7" w14:textId="77777777" w:rsidR="00330778" w:rsidRPr="00CF3C5F" w:rsidRDefault="00B1229B" w:rsidP="00B1229B">
      <w:pPr>
        <w:pStyle w:val="ItemHead"/>
      </w:pPr>
      <w:r w:rsidRPr="00CF3C5F">
        <w:t>6</w:t>
      </w:r>
      <w:r w:rsidR="00330778" w:rsidRPr="00CF3C5F">
        <w:t xml:space="preserve">  At the end of section 180</w:t>
      </w:r>
      <w:r w:rsidR="00CF3C5F">
        <w:noBreakHyphen/>
      </w:r>
      <w:r w:rsidR="00330778" w:rsidRPr="00CF3C5F">
        <w:t>5</w:t>
      </w:r>
    </w:p>
    <w:p w14:paraId="1DE52FA6" w14:textId="77777777" w:rsidR="00330778" w:rsidRPr="00CF3C5F" w:rsidRDefault="00330778" w:rsidP="00B1229B">
      <w:pPr>
        <w:pStyle w:val="Item"/>
      </w:pPr>
      <w:r w:rsidRPr="00CF3C5F">
        <w:t>Add:</w:t>
      </w:r>
    </w:p>
    <w:p w14:paraId="7C61C413" w14:textId="77777777" w:rsidR="00330778" w:rsidRPr="00CF3C5F" w:rsidRDefault="00330778" w:rsidP="00B1229B">
      <w:pPr>
        <w:pStyle w:val="subsection"/>
      </w:pPr>
      <w:r w:rsidRPr="00CF3C5F">
        <w:tab/>
        <w:t>(2)</w:t>
      </w:r>
      <w:r w:rsidRPr="00CF3C5F">
        <w:tab/>
        <w:t xml:space="preserve">However, </w:t>
      </w:r>
      <w:r w:rsidR="00B1229B" w:rsidRPr="00CF3C5F">
        <w:rPr>
          <w:position w:val="6"/>
          <w:sz w:val="16"/>
        </w:rPr>
        <w:t>*</w:t>
      </w:r>
      <w:r w:rsidRPr="00CF3C5F">
        <w:t xml:space="preserve">Australia’s Economic Accelerator program information is not </w:t>
      </w:r>
      <w:r w:rsidRPr="00CF3C5F">
        <w:rPr>
          <w:b/>
          <w:i/>
        </w:rPr>
        <w:t>Higher Education Support Act information</w:t>
      </w:r>
      <w:r w:rsidRPr="00CF3C5F">
        <w:t>.</w:t>
      </w:r>
    </w:p>
    <w:p w14:paraId="4DAC05C3" w14:textId="77777777" w:rsidR="00330778" w:rsidRPr="00CF3C5F" w:rsidRDefault="00330778" w:rsidP="00B1229B">
      <w:pPr>
        <w:pStyle w:val="notetext"/>
      </w:pPr>
      <w:r w:rsidRPr="00CF3C5F">
        <w:t>Note:</w:t>
      </w:r>
      <w:r w:rsidRPr="00CF3C5F">
        <w:tab/>
        <w:t xml:space="preserve">See Division 181 for </w:t>
      </w:r>
      <w:r w:rsidR="00B1229B" w:rsidRPr="00CF3C5F">
        <w:rPr>
          <w:position w:val="6"/>
          <w:sz w:val="16"/>
        </w:rPr>
        <w:t>*</w:t>
      </w:r>
      <w:r w:rsidRPr="00CF3C5F">
        <w:t>Australia’s Economic Accelerator program information.</w:t>
      </w:r>
    </w:p>
    <w:p w14:paraId="5B65E33A" w14:textId="77777777" w:rsidR="00330778" w:rsidRPr="00CF3C5F" w:rsidRDefault="00B1229B" w:rsidP="00B1229B">
      <w:pPr>
        <w:pStyle w:val="ItemHead"/>
      </w:pPr>
      <w:r w:rsidRPr="00CF3C5F">
        <w:t>7</w:t>
      </w:r>
      <w:r w:rsidR="00330778" w:rsidRPr="00CF3C5F">
        <w:t xml:space="preserve">  After Division 180</w:t>
      </w:r>
    </w:p>
    <w:p w14:paraId="6ECB1CA8" w14:textId="77777777" w:rsidR="00330778" w:rsidRPr="00CF3C5F" w:rsidRDefault="00330778" w:rsidP="00B1229B">
      <w:pPr>
        <w:pStyle w:val="Item"/>
      </w:pPr>
      <w:r w:rsidRPr="00CF3C5F">
        <w:t>Insert:</w:t>
      </w:r>
    </w:p>
    <w:p w14:paraId="01174B27" w14:textId="77777777" w:rsidR="00330778" w:rsidRPr="00CF3C5F" w:rsidRDefault="00330778" w:rsidP="00B1229B">
      <w:pPr>
        <w:pStyle w:val="ActHead3"/>
      </w:pPr>
      <w:bookmarkStart w:id="26" w:name="_Toc129791574"/>
      <w:r w:rsidRPr="00CF3C5F">
        <w:rPr>
          <w:rStyle w:val="CharDivNo"/>
        </w:rPr>
        <w:t>Division 181</w:t>
      </w:r>
      <w:r w:rsidRPr="00CF3C5F">
        <w:t>—</w:t>
      </w:r>
      <w:r w:rsidRPr="00CF3C5F">
        <w:rPr>
          <w:rStyle w:val="CharDivText"/>
        </w:rPr>
        <w:t>Protection, disclosure and use of Australia’s Economic Accelerator program information</w:t>
      </w:r>
      <w:bookmarkEnd w:id="26"/>
    </w:p>
    <w:p w14:paraId="75AABCDB" w14:textId="77777777" w:rsidR="00330778" w:rsidRPr="00CF3C5F" w:rsidRDefault="00330778" w:rsidP="00B1229B">
      <w:pPr>
        <w:pStyle w:val="ActHead5"/>
      </w:pPr>
      <w:bookmarkStart w:id="27" w:name="_Toc129791575"/>
      <w:r w:rsidRPr="00CF3C5F">
        <w:rPr>
          <w:rStyle w:val="CharSectno"/>
        </w:rPr>
        <w:t>181</w:t>
      </w:r>
      <w:r w:rsidR="00CF3C5F" w:rsidRPr="00CF3C5F">
        <w:rPr>
          <w:rStyle w:val="CharSectno"/>
        </w:rPr>
        <w:noBreakHyphen/>
      </w:r>
      <w:r w:rsidRPr="00CF3C5F">
        <w:rPr>
          <w:rStyle w:val="CharSectno"/>
        </w:rPr>
        <w:t>1</w:t>
      </w:r>
      <w:r w:rsidRPr="00CF3C5F">
        <w:t xml:space="preserve">  What this Division is about</w:t>
      </w:r>
      <w:bookmarkEnd w:id="27"/>
    </w:p>
    <w:p w14:paraId="321C0569" w14:textId="77777777" w:rsidR="00330778" w:rsidRPr="00CF3C5F" w:rsidRDefault="00330778" w:rsidP="00B1229B">
      <w:pPr>
        <w:pStyle w:val="SOText"/>
      </w:pPr>
      <w:r w:rsidRPr="00CF3C5F">
        <w:t xml:space="preserve">An officer who discloses, copies or records information obtained or created by the officer for the purposes of the Australia’s Economic Accelerator program, other than in the course of official employment, commits an offence if the information is personal information, or the officer’s actions are likely to cause competitive </w:t>
      </w:r>
      <w:r w:rsidRPr="00CF3C5F">
        <w:lastRenderedPageBreak/>
        <w:t>detriment to a person or found an action for breach of confidence. This is the case unless an exception in this Division applies.</w:t>
      </w:r>
    </w:p>
    <w:p w14:paraId="78086914" w14:textId="77777777" w:rsidR="00330778" w:rsidRPr="00CF3C5F" w:rsidRDefault="00330778" w:rsidP="00B1229B">
      <w:pPr>
        <w:pStyle w:val="ActHead5"/>
      </w:pPr>
      <w:bookmarkStart w:id="28" w:name="_Toc129791576"/>
      <w:r w:rsidRPr="00CF3C5F">
        <w:rPr>
          <w:rStyle w:val="CharSectno"/>
        </w:rPr>
        <w:t>181</w:t>
      </w:r>
      <w:r w:rsidR="00CF3C5F" w:rsidRPr="00CF3C5F">
        <w:rPr>
          <w:rStyle w:val="CharSectno"/>
        </w:rPr>
        <w:noBreakHyphen/>
      </w:r>
      <w:r w:rsidRPr="00CF3C5F">
        <w:rPr>
          <w:rStyle w:val="CharSectno"/>
        </w:rPr>
        <w:t>5</w:t>
      </w:r>
      <w:r w:rsidRPr="00CF3C5F">
        <w:t xml:space="preserve">  Object of this Division</w:t>
      </w:r>
      <w:bookmarkEnd w:id="28"/>
    </w:p>
    <w:p w14:paraId="75B41F98" w14:textId="77777777" w:rsidR="00330778" w:rsidRPr="00CF3C5F" w:rsidRDefault="00330778" w:rsidP="00B1229B">
      <w:pPr>
        <w:pStyle w:val="subsection"/>
      </w:pPr>
      <w:r w:rsidRPr="00CF3C5F">
        <w:tab/>
      </w:r>
      <w:r w:rsidRPr="00CF3C5F">
        <w:tab/>
        <w:t xml:space="preserve">The object of this Division is to give recipients and potential recipients of grants under the </w:t>
      </w:r>
      <w:r w:rsidR="00B1229B" w:rsidRPr="00CF3C5F">
        <w:rPr>
          <w:position w:val="6"/>
          <w:sz w:val="16"/>
        </w:rPr>
        <w:t>*</w:t>
      </w:r>
      <w:r w:rsidRPr="00CF3C5F">
        <w:t>Australia’s Economic Accelerator program, and their industry partners, confidence that personal information and other sensitive information they provide in relation to the program will be dealt with appropriately.</w:t>
      </w:r>
    </w:p>
    <w:p w14:paraId="1A2D09D3" w14:textId="77777777" w:rsidR="00330778" w:rsidRPr="00CF3C5F" w:rsidRDefault="00330778" w:rsidP="00B1229B">
      <w:pPr>
        <w:pStyle w:val="ActHead5"/>
      </w:pPr>
      <w:bookmarkStart w:id="29" w:name="_Toc129791577"/>
      <w:r w:rsidRPr="00CF3C5F">
        <w:rPr>
          <w:rStyle w:val="CharSectno"/>
        </w:rPr>
        <w:t>181</w:t>
      </w:r>
      <w:r w:rsidR="00CF3C5F" w:rsidRPr="00CF3C5F">
        <w:rPr>
          <w:rStyle w:val="CharSectno"/>
        </w:rPr>
        <w:noBreakHyphen/>
      </w:r>
      <w:r w:rsidRPr="00CF3C5F">
        <w:rPr>
          <w:rStyle w:val="CharSectno"/>
        </w:rPr>
        <w:t>10</w:t>
      </w:r>
      <w:r w:rsidRPr="00CF3C5F">
        <w:t xml:space="preserve">  Meaning of Australia’s Economic Accelerator program information</w:t>
      </w:r>
      <w:bookmarkEnd w:id="29"/>
    </w:p>
    <w:p w14:paraId="4CDEA404" w14:textId="77777777" w:rsidR="00330778" w:rsidRPr="00CF3C5F" w:rsidRDefault="00330778" w:rsidP="00B1229B">
      <w:pPr>
        <w:pStyle w:val="subsection"/>
      </w:pPr>
      <w:r w:rsidRPr="00CF3C5F">
        <w:tab/>
      </w:r>
      <w:r w:rsidRPr="00CF3C5F">
        <w:tab/>
      </w:r>
      <w:r w:rsidRPr="00CF3C5F">
        <w:rPr>
          <w:b/>
          <w:i/>
        </w:rPr>
        <w:t>Australia’s Economic Accelerator program information</w:t>
      </w:r>
      <w:r w:rsidRPr="00CF3C5F">
        <w:t xml:space="preserve"> is any information that was obtained or created by an </w:t>
      </w:r>
      <w:r w:rsidR="00B1229B" w:rsidRPr="00CF3C5F">
        <w:rPr>
          <w:position w:val="6"/>
          <w:sz w:val="16"/>
        </w:rPr>
        <w:t>*</w:t>
      </w:r>
      <w:r w:rsidRPr="00CF3C5F">
        <w:t xml:space="preserve">officer for the purposes of the </w:t>
      </w:r>
      <w:r w:rsidR="00B1229B" w:rsidRPr="00CF3C5F">
        <w:rPr>
          <w:position w:val="6"/>
          <w:sz w:val="16"/>
        </w:rPr>
        <w:t>*</w:t>
      </w:r>
      <w:r w:rsidRPr="00CF3C5F">
        <w:t>Australia’s Economic Accelerator program.</w:t>
      </w:r>
    </w:p>
    <w:p w14:paraId="1447086B" w14:textId="77777777" w:rsidR="00330778" w:rsidRPr="00CF3C5F" w:rsidRDefault="00330778" w:rsidP="00B1229B">
      <w:pPr>
        <w:pStyle w:val="ActHead5"/>
      </w:pPr>
      <w:bookmarkStart w:id="30" w:name="_Toc129791578"/>
      <w:r w:rsidRPr="00CF3C5F">
        <w:rPr>
          <w:rStyle w:val="CharSectno"/>
        </w:rPr>
        <w:t>181</w:t>
      </w:r>
      <w:r w:rsidR="00CF3C5F" w:rsidRPr="00CF3C5F">
        <w:rPr>
          <w:rStyle w:val="CharSectno"/>
        </w:rPr>
        <w:noBreakHyphen/>
      </w:r>
      <w:r w:rsidRPr="00CF3C5F">
        <w:rPr>
          <w:rStyle w:val="CharSectno"/>
        </w:rPr>
        <w:t>15</w:t>
      </w:r>
      <w:r w:rsidRPr="00CF3C5F">
        <w:t xml:space="preserve">  Use of Australia’s Economic Accelerator program information</w:t>
      </w:r>
      <w:bookmarkEnd w:id="30"/>
    </w:p>
    <w:p w14:paraId="041AB7FB" w14:textId="77777777" w:rsidR="00330778" w:rsidRPr="00CF3C5F" w:rsidRDefault="00330778" w:rsidP="00B1229B">
      <w:pPr>
        <w:pStyle w:val="SubsectionHead"/>
      </w:pPr>
      <w:r w:rsidRPr="00CF3C5F">
        <w:t>Offence</w:t>
      </w:r>
    </w:p>
    <w:p w14:paraId="1010DA20" w14:textId="77777777" w:rsidR="00330778" w:rsidRPr="00CF3C5F" w:rsidRDefault="00330778" w:rsidP="00B1229B">
      <w:pPr>
        <w:pStyle w:val="subsection"/>
      </w:pPr>
      <w:r w:rsidRPr="00CF3C5F">
        <w:tab/>
        <w:t>(1)</w:t>
      </w:r>
      <w:r w:rsidRPr="00CF3C5F">
        <w:tab/>
        <w:t xml:space="preserve">An </w:t>
      </w:r>
      <w:r w:rsidR="00B1229B" w:rsidRPr="00CF3C5F">
        <w:rPr>
          <w:position w:val="6"/>
          <w:sz w:val="16"/>
        </w:rPr>
        <w:t>*</w:t>
      </w:r>
      <w:r w:rsidRPr="00CF3C5F">
        <w:t>officer commits an offence if:</w:t>
      </w:r>
    </w:p>
    <w:p w14:paraId="718CAB1B" w14:textId="77777777" w:rsidR="00330778" w:rsidRPr="00CF3C5F" w:rsidRDefault="00330778" w:rsidP="00B1229B">
      <w:pPr>
        <w:pStyle w:val="paragraph"/>
      </w:pPr>
      <w:r w:rsidRPr="00CF3C5F">
        <w:tab/>
        <w:t>(a)</w:t>
      </w:r>
      <w:r w:rsidRPr="00CF3C5F">
        <w:tab/>
        <w:t>the officer:</w:t>
      </w:r>
    </w:p>
    <w:p w14:paraId="3C8D0E77" w14:textId="77777777" w:rsidR="00330778" w:rsidRPr="00CF3C5F" w:rsidRDefault="00330778" w:rsidP="00B1229B">
      <w:pPr>
        <w:pStyle w:val="paragraphsub"/>
      </w:pPr>
      <w:r w:rsidRPr="00CF3C5F">
        <w:tab/>
        <w:t>(i)</w:t>
      </w:r>
      <w:r w:rsidRPr="00CF3C5F">
        <w:tab/>
        <w:t>discloses information; or</w:t>
      </w:r>
    </w:p>
    <w:p w14:paraId="0A70B530" w14:textId="77777777" w:rsidR="00330778" w:rsidRPr="00CF3C5F" w:rsidRDefault="00330778" w:rsidP="00B1229B">
      <w:pPr>
        <w:pStyle w:val="paragraphsub"/>
      </w:pPr>
      <w:r w:rsidRPr="00CF3C5F">
        <w:tab/>
        <w:t>(ii)</w:t>
      </w:r>
      <w:r w:rsidRPr="00CF3C5F">
        <w:tab/>
        <w:t>makes a copy or other record of information; and</w:t>
      </w:r>
    </w:p>
    <w:p w14:paraId="20E3B0A1" w14:textId="77777777" w:rsidR="00330778" w:rsidRPr="00CF3C5F" w:rsidRDefault="00330778" w:rsidP="00B1229B">
      <w:pPr>
        <w:pStyle w:val="paragraph"/>
      </w:pPr>
      <w:r w:rsidRPr="00CF3C5F">
        <w:tab/>
        <w:t>(b)</w:t>
      </w:r>
      <w:r w:rsidRPr="00CF3C5F">
        <w:tab/>
        <w:t xml:space="preserve">the information is </w:t>
      </w:r>
      <w:r w:rsidR="00B1229B" w:rsidRPr="00CF3C5F">
        <w:rPr>
          <w:position w:val="6"/>
          <w:sz w:val="16"/>
        </w:rPr>
        <w:t>*</w:t>
      </w:r>
      <w:r w:rsidRPr="00CF3C5F">
        <w:t xml:space="preserve">Australia’s Economic Accelerator program information that was obtained or created by the officer in the course of the officer’s </w:t>
      </w:r>
      <w:r w:rsidR="00B1229B" w:rsidRPr="00CF3C5F">
        <w:rPr>
          <w:position w:val="6"/>
          <w:sz w:val="16"/>
        </w:rPr>
        <w:t>*</w:t>
      </w:r>
      <w:r w:rsidRPr="00CF3C5F">
        <w:t>official employment; and</w:t>
      </w:r>
    </w:p>
    <w:p w14:paraId="59FBE12F" w14:textId="77777777" w:rsidR="00330778" w:rsidRPr="00CF3C5F" w:rsidRDefault="00330778" w:rsidP="00B1229B">
      <w:pPr>
        <w:pStyle w:val="paragraph"/>
      </w:pPr>
      <w:r w:rsidRPr="00CF3C5F">
        <w:tab/>
        <w:t>(c)</w:t>
      </w:r>
      <w:r w:rsidRPr="00CF3C5F">
        <w:tab/>
        <w:t>the disclosure did not occur, or the copy or record was not made, in the course of that official employment; and</w:t>
      </w:r>
    </w:p>
    <w:p w14:paraId="2EFAB9F7" w14:textId="77777777" w:rsidR="00330778" w:rsidRPr="00CF3C5F" w:rsidRDefault="00330778" w:rsidP="00B1229B">
      <w:pPr>
        <w:pStyle w:val="paragraph"/>
      </w:pPr>
      <w:r w:rsidRPr="00CF3C5F">
        <w:tab/>
        <w:t>(d)</w:t>
      </w:r>
      <w:r w:rsidRPr="00CF3C5F">
        <w:tab/>
        <w:t>any of the following circumstances exist:</w:t>
      </w:r>
    </w:p>
    <w:p w14:paraId="63BD162A" w14:textId="77777777" w:rsidR="00330778" w:rsidRPr="00CF3C5F" w:rsidRDefault="00330778" w:rsidP="00B1229B">
      <w:pPr>
        <w:pStyle w:val="paragraphsub"/>
      </w:pPr>
      <w:r w:rsidRPr="00CF3C5F">
        <w:tab/>
        <w:t>(i)</w:t>
      </w:r>
      <w:r w:rsidRPr="00CF3C5F">
        <w:tab/>
        <w:t xml:space="preserve">the information is personal information within the meaning of the </w:t>
      </w:r>
      <w:r w:rsidRPr="00CF3C5F">
        <w:rPr>
          <w:i/>
        </w:rPr>
        <w:t>Privacy Act 1988</w:t>
      </w:r>
      <w:r w:rsidRPr="00CF3C5F">
        <w:t>;</w:t>
      </w:r>
    </w:p>
    <w:p w14:paraId="68083680" w14:textId="77777777" w:rsidR="00330778" w:rsidRPr="00CF3C5F" w:rsidRDefault="00330778" w:rsidP="00B1229B">
      <w:pPr>
        <w:pStyle w:val="paragraphsub"/>
      </w:pPr>
      <w:r w:rsidRPr="00CF3C5F">
        <w:tab/>
        <w:t>(ii)</w:t>
      </w:r>
      <w:r w:rsidRPr="00CF3C5F">
        <w:tab/>
        <w:t>the disclosure, or the making of the copy or record, causes or is likely to cause competitive detriment to a person;</w:t>
      </w:r>
    </w:p>
    <w:p w14:paraId="1E1FC643" w14:textId="77777777" w:rsidR="00330778" w:rsidRPr="00CF3C5F" w:rsidRDefault="00330778" w:rsidP="00B1229B">
      <w:pPr>
        <w:pStyle w:val="paragraphsub"/>
      </w:pPr>
      <w:r w:rsidRPr="00CF3C5F">
        <w:lastRenderedPageBreak/>
        <w:tab/>
        <w:t>(iii)</w:t>
      </w:r>
      <w:r w:rsidRPr="00CF3C5F">
        <w:tab/>
        <w:t>the disclosure, or the making of the copy or record, founds or is likely to found an action by a person (other than the Commonwealth) for breach of a duty of confidence.</w:t>
      </w:r>
    </w:p>
    <w:p w14:paraId="4405B22F" w14:textId="77777777" w:rsidR="00330778" w:rsidRPr="00CF3C5F" w:rsidRDefault="00330778" w:rsidP="00B1229B">
      <w:pPr>
        <w:pStyle w:val="Penalty"/>
      </w:pPr>
      <w:r w:rsidRPr="00CF3C5F">
        <w:t>Penalty:</w:t>
      </w:r>
      <w:r w:rsidRPr="00CF3C5F">
        <w:tab/>
        <w:t>Imprisonment for 2 years.</w:t>
      </w:r>
    </w:p>
    <w:p w14:paraId="2991979B" w14:textId="77777777" w:rsidR="00330778" w:rsidRPr="00CF3C5F" w:rsidRDefault="00330778" w:rsidP="00B1229B">
      <w:pPr>
        <w:pStyle w:val="SubsectionHead"/>
      </w:pPr>
      <w:r w:rsidRPr="00CF3C5F">
        <w:t>Exception—consent</w:t>
      </w:r>
    </w:p>
    <w:p w14:paraId="5171E9AD" w14:textId="77777777" w:rsidR="00330778" w:rsidRPr="00CF3C5F" w:rsidRDefault="00330778" w:rsidP="00B1229B">
      <w:pPr>
        <w:pStyle w:val="subsection"/>
      </w:pPr>
      <w:r w:rsidRPr="00CF3C5F">
        <w:tab/>
        <w:t>(2)</w:t>
      </w:r>
      <w:r w:rsidRPr="00CF3C5F">
        <w:tab/>
        <w:t>Subsection (1) does not apply if the person to whom the information relates has consented to the disclosure, or the making of the copy or record.</w:t>
      </w:r>
    </w:p>
    <w:p w14:paraId="1A1E7FEC" w14:textId="77777777" w:rsidR="00330778" w:rsidRPr="00CF3C5F" w:rsidRDefault="00330778" w:rsidP="00B1229B">
      <w:pPr>
        <w:pStyle w:val="notetext"/>
      </w:pPr>
      <w:r w:rsidRPr="00CF3C5F">
        <w:t>Note:</w:t>
      </w:r>
      <w:r w:rsidRPr="00CF3C5F">
        <w:tab/>
        <w:t xml:space="preserve">A defendant bears an evidential burden in relation to the matter in this subsection: see subsection 13.3(3) of the </w:t>
      </w:r>
      <w:r w:rsidRPr="00CF3C5F">
        <w:rPr>
          <w:i/>
        </w:rPr>
        <w:t>Criminal Code</w:t>
      </w:r>
      <w:r w:rsidRPr="00CF3C5F">
        <w:t>.</w:t>
      </w:r>
    </w:p>
    <w:p w14:paraId="1F1E2DB2" w14:textId="77777777" w:rsidR="00330778" w:rsidRPr="00CF3C5F" w:rsidRDefault="00330778" w:rsidP="00B1229B">
      <w:pPr>
        <w:pStyle w:val="SubsectionHead"/>
      </w:pPr>
      <w:r w:rsidRPr="00CF3C5F">
        <w:t>Exception—authorised by this Division</w:t>
      </w:r>
    </w:p>
    <w:p w14:paraId="63CBB88A" w14:textId="77777777" w:rsidR="00330778" w:rsidRPr="00CF3C5F" w:rsidRDefault="00330778" w:rsidP="00B1229B">
      <w:pPr>
        <w:pStyle w:val="subsection"/>
      </w:pPr>
      <w:r w:rsidRPr="00CF3C5F">
        <w:tab/>
        <w:t>(3)</w:t>
      </w:r>
      <w:r w:rsidRPr="00CF3C5F">
        <w:tab/>
        <w:t>Subsection (1) does not apply if the disclosure, or the making of the copy or record, is authorised by this Division.</w:t>
      </w:r>
    </w:p>
    <w:p w14:paraId="19736CCA" w14:textId="77777777" w:rsidR="00330778" w:rsidRPr="00CF3C5F" w:rsidRDefault="00330778" w:rsidP="00B1229B">
      <w:pPr>
        <w:pStyle w:val="notetext"/>
      </w:pPr>
      <w:r w:rsidRPr="00CF3C5F">
        <w:t>Note:</w:t>
      </w:r>
      <w:r w:rsidRPr="00CF3C5F">
        <w:tab/>
        <w:t xml:space="preserve">A defendant bears an evidential burden in relation to the matter in this subsection (see subsection 13.3(3) of the </w:t>
      </w:r>
      <w:r w:rsidRPr="00CF3C5F">
        <w:rPr>
          <w:i/>
        </w:rPr>
        <w:t>Criminal Code</w:t>
      </w:r>
      <w:r w:rsidRPr="00CF3C5F">
        <w:t>).</w:t>
      </w:r>
    </w:p>
    <w:p w14:paraId="7C212F03" w14:textId="77777777" w:rsidR="00330778" w:rsidRPr="00CF3C5F" w:rsidRDefault="00330778" w:rsidP="00B1229B">
      <w:pPr>
        <w:pStyle w:val="SubsectionHead"/>
      </w:pPr>
      <w:r w:rsidRPr="00CF3C5F">
        <w:t>Exception—required by a Commonwealth law</w:t>
      </w:r>
    </w:p>
    <w:p w14:paraId="201577AF" w14:textId="77777777" w:rsidR="00330778" w:rsidRPr="00CF3C5F" w:rsidRDefault="00330778" w:rsidP="00B1229B">
      <w:pPr>
        <w:pStyle w:val="subsection"/>
      </w:pPr>
      <w:r w:rsidRPr="00CF3C5F">
        <w:tab/>
        <w:t>(4)</w:t>
      </w:r>
      <w:r w:rsidRPr="00CF3C5F">
        <w:tab/>
        <w:t>Subsection (1) does not apply if the disclosure, or the making of the copy or record, is required by a law of the Commonwealth.</w:t>
      </w:r>
    </w:p>
    <w:p w14:paraId="729D3622" w14:textId="77777777" w:rsidR="00330778" w:rsidRPr="00CF3C5F" w:rsidRDefault="00330778" w:rsidP="00B1229B">
      <w:pPr>
        <w:pStyle w:val="notetext"/>
      </w:pPr>
      <w:r w:rsidRPr="00CF3C5F">
        <w:t>Note:</w:t>
      </w:r>
      <w:r w:rsidRPr="00CF3C5F">
        <w:tab/>
        <w:t xml:space="preserve">A defendant bears an evidential burden in relation to the matter in this subsection: see subsection 13.3(3) of the </w:t>
      </w:r>
      <w:r w:rsidRPr="00CF3C5F">
        <w:rPr>
          <w:i/>
        </w:rPr>
        <w:t>Criminal Code</w:t>
      </w:r>
      <w:r w:rsidRPr="00CF3C5F">
        <w:t>.</w:t>
      </w:r>
    </w:p>
    <w:p w14:paraId="1432B416" w14:textId="77777777" w:rsidR="00330778" w:rsidRPr="00CF3C5F" w:rsidRDefault="00330778" w:rsidP="00B1229B">
      <w:pPr>
        <w:pStyle w:val="ActHead5"/>
      </w:pPr>
      <w:bookmarkStart w:id="31" w:name="_Toc129791579"/>
      <w:r w:rsidRPr="00CF3C5F">
        <w:rPr>
          <w:rStyle w:val="CharSectno"/>
        </w:rPr>
        <w:t>181</w:t>
      </w:r>
      <w:r w:rsidR="00CF3C5F" w:rsidRPr="00CF3C5F">
        <w:rPr>
          <w:rStyle w:val="CharSectno"/>
        </w:rPr>
        <w:noBreakHyphen/>
      </w:r>
      <w:r w:rsidRPr="00CF3C5F">
        <w:rPr>
          <w:rStyle w:val="CharSectno"/>
        </w:rPr>
        <w:t>20</w:t>
      </w:r>
      <w:r w:rsidRPr="00CF3C5F">
        <w:t xml:space="preserve">  Disclosure of Australia’s Economic Accelerator program information to Minister and staff</w:t>
      </w:r>
      <w:bookmarkEnd w:id="31"/>
    </w:p>
    <w:p w14:paraId="78335BAC" w14:textId="77777777" w:rsidR="00330778" w:rsidRPr="00CF3C5F" w:rsidRDefault="00330778" w:rsidP="00B1229B">
      <w:pPr>
        <w:pStyle w:val="subsection"/>
      </w:pPr>
      <w:r w:rsidRPr="00CF3C5F">
        <w:tab/>
      </w:r>
      <w:r w:rsidRPr="00CF3C5F">
        <w:tab/>
        <w:t xml:space="preserve">A </w:t>
      </w:r>
      <w:r w:rsidR="00B1229B" w:rsidRPr="00CF3C5F">
        <w:rPr>
          <w:position w:val="6"/>
          <w:sz w:val="16"/>
        </w:rPr>
        <w:t>*</w:t>
      </w:r>
      <w:r w:rsidRPr="00CF3C5F">
        <w:t xml:space="preserve">Commonwealth officer may disclose </w:t>
      </w:r>
      <w:r w:rsidR="00B1229B" w:rsidRPr="00CF3C5F">
        <w:rPr>
          <w:position w:val="6"/>
          <w:sz w:val="16"/>
        </w:rPr>
        <w:t>*</w:t>
      </w:r>
      <w:r w:rsidRPr="00CF3C5F">
        <w:t>Australia’s Economic Accelerator program information to:</w:t>
      </w:r>
    </w:p>
    <w:p w14:paraId="6550D1B7" w14:textId="77777777" w:rsidR="00330778" w:rsidRPr="00CF3C5F" w:rsidRDefault="00330778" w:rsidP="00B1229B">
      <w:pPr>
        <w:pStyle w:val="paragraph"/>
      </w:pPr>
      <w:r w:rsidRPr="00CF3C5F">
        <w:tab/>
        <w:t>(a)</w:t>
      </w:r>
      <w:r w:rsidRPr="00CF3C5F">
        <w:tab/>
        <w:t>the Minister; or</w:t>
      </w:r>
    </w:p>
    <w:p w14:paraId="688A399C" w14:textId="77777777" w:rsidR="00330778" w:rsidRPr="00CF3C5F" w:rsidRDefault="00330778" w:rsidP="00B1229B">
      <w:pPr>
        <w:pStyle w:val="paragraph"/>
      </w:pPr>
      <w:r w:rsidRPr="00CF3C5F">
        <w:tab/>
        <w:t>(b)</w:t>
      </w:r>
      <w:r w:rsidRPr="00CF3C5F">
        <w:tab/>
        <w:t xml:space="preserve">a person employed under section 13 or 20 of the </w:t>
      </w:r>
      <w:r w:rsidRPr="00CF3C5F">
        <w:rPr>
          <w:i/>
        </w:rPr>
        <w:t>Members of Parliament (Staff) Act 1984</w:t>
      </w:r>
      <w:r w:rsidRPr="00CF3C5F">
        <w:t xml:space="preserve"> as a member of staff of the Minister.</w:t>
      </w:r>
    </w:p>
    <w:p w14:paraId="19D1179A" w14:textId="77777777" w:rsidR="00330778" w:rsidRPr="00CF3C5F" w:rsidRDefault="00330778" w:rsidP="00B1229B">
      <w:pPr>
        <w:pStyle w:val="ActHead5"/>
      </w:pPr>
      <w:bookmarkStart w:id="32" w:name="_Toc129791580"/>
      <w:r w:rsidRPr="00CF3C5F">
        <w:rPr>
          <w:rStyle w:val="CharSectno"/>
        </w:rPr>
        <w:lastRenderedPageBreak/>
        <w:t>181</w:t>
      </w:r>
      <w:r w:rsidR="00CF3C5F" w:rsidRPr="00CF3C5F">
        <w:rPr>
          <w:rStyle w:val="CharSectno"/>
        </w:rPr>
        <w:noBreakHyphen/>
      </w:r>
      <w:r w:rsidRPr="00CF3C5F">
        <w:rPr>
          <w:rStyle w:val="CharSectno"/>
        </w:rPr>
        <w:t>25</w:t>
      </w:r>
      <w:r w:rsidRPr="00CF3C5F">
        <w:t xml:space="preserve">  Disclosure of Australia’s Economic Accelerator program information by Minister</w:t>
      </w:r>
      <w:bookmarkEnd w:id="32"/>
    </w:p>
    <w:p w14:paraId="05832114" w14:textId="77777777" w:rsidR="00330778" w:rsidRPr="00CF3C5F" w:rsidRDefault="00330778" w:rsidP="00B1229B">
      <w:pPr>
        <w:pStyle w:val="subsection"/>
      </w:pPr>
      <w:r w:rsidRPr="00CF3C5F">
        <w:tab/>
        <w:t>(1)</w:t>
      </w:r>
      <w:r w:rsidRPr="00CF3C5F">
        <w:tab/>
        <w:t xml:space="preserve">The Minister may make </w:t>
      </w:r>
      <w:r w:rsidR="00B1229B" w:rsidRPr="00CF3C5F">
        <w:rPr>
          <w:position w:val="6"/>
          <w:sz w:val="16"/>
        </w:rPr>
        <w:t>*</w:t>
      </w:r>
      <w:r w:rsidRPr="00CF3C5F">
        <w:t>Australia’s Economic Accelerator program information publicly available, if the information:</w:t>
      </w:r>
    </w:p>
    <w:p w14:paraId="12989D3D" w14:textId="77777777" w:rsidR="00330778" w:rsidRPr="00CF3C5F" w:rsidRDefault="00330778" w:rsidP="00B1229B">
      <w:pPr>
        <w:pStyle w:val="paragraph"/>
      </w:pPr>
      <w:r w:rsidRPr="00CF3C5F">
        <w:tab/>
        <w:t>(a)</w:t>
      </w:r>
      <w:r w:rsidRPr="00CF3C5F">
        <w:tab/>
        <w:t>relates to programs of research in respect of which grants have been approved for the purposes of item 1</w:t>
      </w:r>
      <w:r w:rsidR="000A2A72" w:rsidRPr="00CF3C5F">
        <w:t>4</w:t>
      </w:r>
      <w:r w:rsidRPr="00CF3C5F">
        <w:t xml:space="preserve"> of the table in subsection 41</w:t>
      </w:r>
      <w:r w:rsidR="00CF3C5F">
        <w:noBreakHyphen/>
      </w:r>
      <w:r w:rsidRPr="00CF3C5F">
        <w:t>10(1); and</w:t>
      </w:r>
    </w:p>
    <w:p w14:paraId="03D4DDA5" w14:textId="77777777" w:rsidR="00330778" w:rsidRPr="00CF3C5F" w:rsidRDefault="00330778" w:rsidP="00B1229B">
      <w:pPr>
        <w:pStyle w:val="paragraph"/>
      </w:pPr>
      <w:r w:rsidRPr="00CF3C5F">
        <w:tab/>
        <w:t>(b)</w:t>
      </w:r>
      <w:r w:rsidRPr="00CF3C5F">
        <w:tab/>
        <w:t>is any of the following:</w:t>
      </w:r>
    </w:p>
    <w:p w14:paraId="1847A410" w14:textId="77777777" w:rsidR="00330778" w:rsidRPr="00CF3C5F" w:rsidRDefault="00330778" w:rsidP="00B1229B">
      <w:pPr>
        <w:pStyle w:val="paragraphsub"/>
      </w:pPr>
      <w:r w:rsidRPr="00CF3C5F">
        <w:tab/>
        <w:t>(i)</w:t>
      </w:r>
      <w:r w:rsidRPr="00CF3C5F">
        <w:tab/>
        <w:t>the name of a researcher;</w:t>
      </w:r>
    </w:p>
    <w:p w14:paraId="0F6DB83B" w14:textId="77777777" w:rsidR="00330778" w:rsidRPr="00CF3C5F" w:rsidRDefault="00330778" w:rsidP="00B1229B">
      <w:pPr>
        <w:pStyle w:val="paragraphsub"/>
      </w:pPr>
      <w:r w:rsidRPr="00CF3C5F">
        <w:tab/>
        <w:t>(ii)</w:t>
      </w:r>
      <w:r w:rsidRPr="00CF3C5F">
        <w:tab/>
        <w:t>a description of the field of research;</w:t>
      </w:r>
    </w:p>
    <w:p w14:paraId="7F416EAB" w14:textId="77777777" w:rsidR="00330778" w:rsidRPr="00CF3C5F" w:rsidRDefault="00330778" w:rsidP="00B1229B">
      <w:pPr>
        <w:pStyle w:val="paragraphsub"/>
      </w:pPr>
      <w:r w:rsidRPr="00CF3C5F">
        <w:tab/>
        <w:t>(iii)</w:t>
      </w:r>
      <w:r w:rsidRPr="00CF3C5F">
        <w:tab/>
        <w:t>the amount of a grant;</w:t>
      </w:r>
    </w:p>
    <w:p w14:paraId="0C3FA204" w14:textId="77777777" w:rsidR="00330778" w:rsidRPr="00CF3C5F" w:rsidRDefault="00330778" w:rsidP="00B1229B">
      <w:pPr>
        <w:pStyle w:val="paragraphsub"/>
      </w:pPr>
      <w:r w:rsidRPr="00CF3C5F">
        <w:tab/>
        <w:t>(iv)</w:t>
      </w:r>
      <w:r w:rsidRPr="00CF3C5F">
        <w:tab/>
        <w:t>other information of a general nature.</w:t>
      </w:r>
    </w:p>
    <w:p w14:paraId="00372BBA" w14:textId="77777777" w:rsidR="00330778" w:rsidRPr="00CF3C5F" w:rsidRDefault="00330778" w:rsidP="00B1229B">
      <w:pPr>
        <w:pStyle w:val="subsection"/>
      </w:pPr>
      <w:r w:rsidRPr="00CF3C5F">
        <w:tab/>
        <w:t>(2)</w:t>
      </w:r>
      <w:r w:rsidRPr="00CF3C5F">
        <w:tab/>
        <w:t>Despite subsection (1), the Minister must not disclose the information if a person demonstrates to the Minister that:</w:t>
      </w:r>
    </w:p>
    <w:p w14:paraId="5F9541DB" w14:textId="77777777" w:rsidR="00330778" w:rsidRPr="00CF3C5F" w:rsidRDefault="00330778" w:rsidP="00B1229B">
      <w:pPr>
        <w:pStyle w:val="paragraph"/>
      </w:pPr>
      <w:r w:rsidRPr="00CF3C5F">
        <w:tab/>
        <w:t>(a)</w:t>
      </w:r>
      <w:r w:rsidRPr="00CF3C5F">
        <w:tab/>
        <w:t>release of the information would cause competitive detriment to the person; and</w:t>
      </w:r>
    </w:p>
    <w:p w14:paraId="7C0C4CBE" w14:textId="77777777" w:rsidR="00330778" w:rsidRPr="00CF3C5F" w:rsidRDefault="00330778" w:rsidP="00B1229B">
      <w:pPr>
        <w:pStyle w:val="paragraph"/>
      </w:pPr>
      <w:r w:rsidRPr="00CF3C5F">
        <w:tab/>
        <w:t>(b)</w:t>
      </w:r>
      <w:r w:rsidRPr="00CF3C5F">
        <w:tab/>
        <w:t>the information is not in the public domain; and</w:t>
      </w:r>
    </w:p>
    <w:p w14:paraId="7EE9099C" w14:textId="77777777" w:rsidR="00330778" w:rsidRPr="00CF3C5F" w:rsidRDefault="00330778" w:rsidP="00B1229B">
      <w:pPr>
        <w:pStyle w:val="paragraph"/>
      </w:pPr>
      <w:r w:rsidRPr="00CF3C5F">
        <w:tab/>
        <w:t>(c)</w:t>
      </w:r>
      <w:r w:rsidRPr="00CF3C5F">
        <w:tab/>
        <w:t>the information is not required to be disclosed under another law of the Commonwealth, a State or a Territory; and</w:t>
      </w:r>
    </w:p>
    <w:p w14:paraId="4D2297CA" w14:textId="77777777" w:rsidR="00330778" w:rsidRPr="00CF3C5F" w:rsidRDefault="00330778" w:rsidP="00B1229B">
      <w:pPr>
        <w:pStyle w:val="paragraph"/>
      </w:pPr>
      <w:r w:rsidRPr="00CF3C5F">
        <w:tab/>
        <w:t>(d)</w:t>
      </w:r>
      <w:r w:rsidRPr="00CF3C5F">
        <w:tab/>
        <w:t>the information is not readily discoverable.</w:t>
      </w:r>
    </w:p>
    <w:p w14:paraId="4325EC6F" w14:textId="77777777" w:rsidR="00330778" w:rsidRPr="00CF3C5F" w:rsidRDefault="00B1229B" w:rsidP="00B1229B">
      <w:pPr>
        <w:pStyle w:val="ItemHead"/>
      </w:pPr>
      <w:r w:rsidRPr="00CF3C5F">
        <w:t>8</w:t>
      </w:r>
      <w:r w:rsidR="00330778" w:rsidRPr="00CF3C5F">
        <w:t xml:space="preserve">  Section 206</w:t>
      </w:r>
      <w:r w:rsidR="00CF3C5F">
        <w:noBreakHyphen/>
      </w:r>
      <w:r w:rsidR="00330778" w:rsidRPr="00CF3C5F">
        <w:t>1 (after table item 1A)</w:t>
      </w:r>
    </w:p>
    <w:p w14:paraId="20EC462D" w14:textId="77777777" w:rsidR="00330778" w:rsidRPr="00CF3C5F" w:rsidRDefault="00330778" w:rsidP="00B1229B">
      <w:pPr>
        <w:pStyle w:val="Item"/>
      </w:pPr>
      <w:r w:rsidRPr="00CF3C5F">
        <w:t>Insert:</w:t>
      </w:r>
    </w:p>
    <w:p w14:paraId="234CFCBF" w14:textId="77777777" w:rsidR="00330778" w:rsidRPr="00CF3C5F" w:rsidRDefault="00330778" w:rsidP="00B1229B">
      <w:pPr>
        <w:pStyle w:val="Tabletext"/>
      </w:pPr>
    </w:p>
    <w:tbl>
      <w:tblPr>
        <w:tblW w:w="0" w:type="auto"/>
        <w:tblInd w:w="113" w:type="dxa"/>
        <w:tblLayout w:type="fixed"/>
        <w:tblLook w:val="0000" w:firstRow="0" w:lastRow="0" w:firstColumn="0" w:lastColumn="0" w:noHBand="0" w:noVBand="0"/>
      </w:tblPr>
      <w:tblGrid>
        <w:gridCol w:w="714"/>
        <w:gridCol w:w="2124"/>
        <w:gridCol w:w="2309"/>
        <w:gridCol w:w="1939"/>
      </w:tblGrid>
      <w:tr w:rsidR="00330778" w:rsidRPr="00CF3C5F" w14:paraId="5E81014E" w14:textId="77777777" w:rsidTr="0096206E">
        <w:trPr>
          <w:cantSplit/>
        </w:trPr>
        <w:tc>
          <w:tcPr>
            <w:tcW w:w="714" w:type="dxa"/>
            <w:shd w:val="clear" w:color="auto" w:fill="auto"/>
          </w:tcPr>
          <w:p w14:paraId="5B890167" w14:textId="77777777" w:rsidR="00330778" w:rsidRPr="00CF3C5F" w:rsidRDefault="00330778" w:rsidP="00B1229B">
            <w:pPr>
              <w:pStyle w:val="Tabletext"/>
            </w:pPr>
            <w:r w:rsidRPr="00CF3C5F">
              <w:t>1AAA</w:t>
            </w:r>
          </w:p>
        </w:tc>
        <w:tc>
          <w:tcPr>
            <w:tcW w:w="2124" w:type="dxa"/>
            <w:shd w:val="clear" w:color="auto" w:fill="auto"/>
          </w:tcPr>
          <w:p w14:paraId="3207BA57" w14:textId="77777777" w:rsidR="00330778" w:rsidRPr="00CF3C5F" w:rsidRDefault="00330778" w:rsidP="00B1229B">
            <w:pPr>
              <w:pStyle w:val="Tabletext"/>
            </w:pPr>
            <w:r w:rsidRPr="00CF3C5F">
              <w:t>If a person applies for a grant for the purposes specified in item </w:t>
            </w:r>
            <w:r w:rsidR="000A2A72" w:rsidRPr="00CF3C5F">
              <w:t>14</w:t>
            </w:r>
            <w:r w:rsidRPr="00CF3C5F">
              <w:t xml:space="preserve"> of the table in subsection 41</w:t>
            </w:r>
            <w:r w:rsidR="00CF3C5F">
              <w:noBreakHyphen/>
            </w:r>
            <w:r w:rsidRPr="00CF3C5F">
              <w:t>10(1) and the grant is not approved—the decision not to approve the grant</w:t>
            </w:r>
          </w:p>
        </w:tc>
        <w:tc>
          <w:tcPr>
            <w:tcW w:w="2309" w:type="dxa"/>
            <w:shd w:val="clear" w:color="auto" w:fill="auto"/>
          </w:tcPr>
          <w:p w14:paraId="6D8460FD" w14:textId="77777777" w:rsidR="00330778" w:rsidRPr="00CF3C5F" w:rsidRDefault="00330778" w:rsidP="00B1229B">
            <w:pPr>
              <w:pStyle w:val="Tabletext"/>
            </w:pPr>
            <w:r w:rsidRPr="00CF3C5F">
              <w:t>section 41</w:t>
            </w:r>
            <w:r w:rsidR="00CF3C5F">
              <w:noBreakHyphen/>
            </w:r>
            <w:r w:rsidRPr="00CF3C5F">
              <w:t>20</w:t>
            </w:r>
          </w:p>
        </w:tc>
        <w:tc>
          <w:tcPr>
            <w:tcW w:w="1939" w:type="dxa"/>
            <w:shd w:val="clear" w:color="auto" w:fill="auto"/>
          </w:tcPr>
          <w:p w14:paraId="0A89AB65" w14:textId="77777777" w:rsidR="00330778" w:rsidRPr="00CF3C5F" w:rsidRDefault="00330778" w:rsidP="00B1229B">
            <w:pPr>
              <w:pStyle w:val="Tabletext"/>
            </w:pPr>
            <w:r w:rsidRPr="00CF3C5F">
              <w:t>the Minister</w:t>
            </w:r>
          </w:p>
        </w:tc>
      </w:tr>
    </w:tbl>
    <w:p w14:paraId="161BEF58" w14:textId="77777777" w:rsidR="00330778" w:rsidRPr="00CF3C5F" w:rsidRDefault="00B1229B" w:rsidP="00B1229B">
      <w:pPr>
        <w:pStyle w:val="ItemHead"/>
      </w:pPr>
      <w:r w:rsidRPr="00CF3C5F">
        <w:t>9</w:t>
      </w:r>
      <w:r w:rsidR="00330778" w:rsidRPr="00CF3C5F">
        <w:t xml:space="preserve">  Section 238</w:t>
      </w:r>
      <w:r w:rsidR="00CF3C5F">
        <w:noBreakHyphen/>
      </w:r>
      <w:r w:rsidR="00330778" w:rsidRPr="00CF3C5F">
        <w:t>12</w:t>
      </w:r>
    </w:p>
    <w:p w14:paraId="48B9CCEC" w14:textId="77777777" w:rsidR="00330778" w:rsidRPr="00CF3C5F" w:rsidRDefault="00330778" w:rsidP="00B1229B">
      <w:pPr>
        <w:pStyle w:val="Item"/>
      </w:pPr>
      <w:r w:rsidRPr="00CF3C5F">
        <w:t>Before “Amounts”, insert “(1)”.</w:t>
      </w:r>
    </w:p>
    <w:p w14:paraId="1AF75E4A" w14:textId="77777777" w:rsidR="00330778" w:rsidRPr="00CF3C5F" w:rsidRDefault="00B1229B" w:rsidP="00B1229B">
      <w:pPr>
        <w:pStyle w:val="ItemHead"/>
      </w:pPr>
      <w:r w:rsidRPr="00CF3C5F">
        <w:lastRenderedPageBreak/>
        <w:t>10</w:t>
      </w:r>
      <w:r w:rsidR="00330778" w:rsidRPr="00CF3C5F">
        <w:t xml:space="preserve">  At the end of section 238</w:t>
      </w:r>
      <w:r w:rsidR="00CF3C5F">
        <w:noBreakHyphen/>
      </w:r>
      <w:r w:rsidR="00330778" w:rsidRPr="00CF3C5F">
        <w:t>12</w:t>
      </w:r>
    </w:p>
    <w:p w14:paraId="1EE90D95" w14:textId="77777777" w:rsidR="00330778" w:rsidRPr="00CF3C5F" w:rsidRDefault="00330778" w:rsidP="00B1229B">
      <w:pPr>
        <w:pStyle w:val="Item"/>
      </w:pPr>
      <w:r w:rsidRPr="00CF3C5F">
        <w:t>Add:</w:t>
      </w:r>
    </w:p>
    <w:p w14:paraId="6DBAD8A7" w14:textId="77777777" w:rsidR="00330778" w:rsidRPr="00CF3C5F" w:rsidRDefault="00330778" w:rsidP="00B1229B">
      <w:pPr>
        <w:pStyle w:val="subsection"/>
      </w:pPr>
      <w:r w:rsidRPr="00CF3C5F">
        <w:tab/>
        <w:t>(2)</w:t>
      </w:r>
      <w:r w:rsidRPr="00CF3C5F">
        <w:tab/>
        <w:t xml:space="preserve">Subsection (1) does not apply in relation to amounts payable in respect of members of the </w:t>
      </w:r>
      <w:r w:rsidR="00B1229B" w:rsidRPr="00CF3C5F">
        <w:rPr>
          <w:position w:val="6"/>
          <w:sz w:val="16"/>
        </w:rPr>
        <w:t>*</w:t>
      </w:r>
      <w:proofErr w:type="spellStart"/>
      <w:r w:rsidRPr="00CF3C5F">
        <w:t>AEA</w:t>
      </w:r>
      <w:proofErr w:type="spellEnd"/>
      <w:r w:rsidRPr="00CF3C5F">
        <w:t xml:space="preserve"> Advisory Board (see Subdivision 42</w:t>
      </w:r>
      <w:r w:rsidR="00CF3C5F">
        <w:noBreakHyphen/>
      </w:r>
      <w:r w:rsidRPr="00CF3C5F">
        <w:t>B) or priority managers engaged under section 42</w:t>
      </w:r>
      <w:r w:rsidR="00CF3C5F">
        <w:noBreakHyphen/>
      </w:r>
      <w:r w:rsidRPr="00CF3C5F">
        <w:t>75.</w:t>
      </w:r>
    </w:p>
    <w:p w14:paraId="34168278" w14:textId="77777777" w:rsidR="00330778" w:rsidRPr="00CF3C5F" w:rsidRDefault="00B1229B" w:rsidP="00B1229B">
      <w:pPr>
        <w:pStyle w:val="ItemHead"/>
      </w:pPr>
      <w:r w:rsidRPr="00CF3C5F">
        <w:t>11</w:t>
      </w:r>
      <w:r w:rsidR="00330778" w:rsidRPr="00CF3C5F">
        <w:t xml:space="preserve">  Subclause 1(1) of Schedule 1</w:t>
      </w:r>
    </w:p>
    <w:p w14:paraId="5E97FC8D" w14:textId="77777777" w:rsidR="00330778" w:rsidRPr="00CF3C5F" w:rsidRDefault="00330778" w:rsidP="00B1229B">
      <w:pPr>
        <w:pStyle w:val="Item"/>
      </w:pPr>
      <w:r w:rsidRPr="00CF3C5F">
        <w:t>Insert:</w:t>
      </w:r>
    </w:p>
    <w:p w14:paraId="07C08797" w14:textId="77777777" w:rsidR="00330778" w:rsidRPr="00CF3C5F" w:rsidRDefault="00330778" w:rsidP="00B1229B">
      <w:pPr>
        <w:pStyle w:val="Definition"/>
      </w:pPr>
      <w:proofErr w:type="spellStart"/>
      <w:r w:rsidRPr="00CF3C5F">
        <w:rPr>
          <w:b/>
          <w:i/>
        </w:rPr>
        <w:t>AEA</w:t>
      </w:r>
      <w:proofErr w:type="spellEnd"/>
      <w:r w:rsidRPr="00CF3C5F">
        <w:rPr>
          <w:b/>
          <w:i/>
        </w:rPr>
        <w:t xml:space="preserve"> Advisory Board</w:t>
      </w:r>
      <w:r w:rsidRPr="00CF3C5F">
        <w:t xml:space="preserve"> has the meaning given by section 42</w:t>
      </w:r>
      <w:r w:rsidR="00CF3C5F">
        <w:noBreakHyphen/>
      </w:r>
      <w:r w:rsidRPr="00CF3C5F">
        <w:t>10.</w:t>
      </w:r>
    </w:p>
    <w:p w14:paraId="001E6195" w14:textId="77777777" w:rsidR="00330778" w:rsidRPr="00CF3C5F" w:rsidRDefault="00330778" w:rsidP="00B1229B">
      <w:pPr>
        <w:pStyle w:val="Definition"/>
      </w:pPr>
      <w:r w:rsidRPr="00CF3C5F">
        <w:rPr>
          <w:b/>
          <w:i/>
        </w:rPr>
        <w:t>Australia’s Economic Accelerator program</w:t>
      </w:r>
      <w:r w:rsidRPr="00CF3C5F">
        <w:t xml:space="preserve"> means a program specified in the Other Grants Guidelines under which grants for purposes specified in item 1</w:t>
      </w:r>
      <w:r w:rsidR="000A2A72" w:rsidRPr="00CF3C5F">
        <w:t>4</w:t>
      </w:r>
      <w:r w:rsidRPr="00CF3C5F">
        <w:t xml:space="preserve"> of the table in subsection 41</w:t>
      </w:r>
      <w:r w:rsidR="00CF3C5F">
        <w:noBreakHyphen/>
      </w:r>
      <w:r w:rsidRPr="00CF3C5F">
        <w:t>10(1) are to be paid.</w:t>
      </w:r>
    </w:p>
    <w:p w14:paraId="2B90A23F" w14:textId="77777777" w:rsidR="00182794" w:rsidRDefault="00330778" w:rsidP="00182794">
      <w:pPr>
        <w:pStyle w:val="Definition"/>
      </w:pPr>
      <w:r w:rsidRPr="00CF3C5F">
        <w:rPr>
          <w:b/>
          <w:i/>
        </w:rPr>
        <w:t>Australia’s Economic Accelerator program information</w:t>
      </w:r>
      <w:r w:rsidRPr="00CF3C5F">
        <w:t xml:space="preserve"> has the meaning given by section 181</w:t>
      </w:r>
      <w:r w:rsidR="00CF3C5F">
        <w:noBreakHyphen/>
      </w:r>
      <w:r w:rsidRPr="00CF3C5F">
        <w:t>10.</w:t>
      </w:r>
    </w:p>
    <w:p w14:paraId="4E82DAFD" w14:textId="667B8455" w:rsidR="00182794" w:rsidRPr="00182794" w:rsidRDefault="00182794" w:rsidP="00182794">
      <w:pPr>
        <w:pStyle w:val="Definition"/>
        <w:rPr>
          <w:b/>
          <w:i/>
        </w:rPr>
      </w:pPr>
      <w:r w:rsidRPr="00D91026">
        <w:rPr>
          <w:b/>
          <w:i/>
        </w:rPr>
        <w:t>Australia’s greenhouse gas emissions reduction targets</w:t>
      </w:r>
      <w:r w:rsidRPr="00D91026">
        <w:t xml:space="preserve"> means:</w:t>
      </w:r>
    </w:p>
    <w:p w14:paraId="0D180410" w14:textId="77777777" w:rsidR="00182794" w:rsidRPr="00D91026" w:rsidRDefault="00182794" w:rsidP="00182794">
      <w:pPr>
        <w:pStyle w:val="paragraph"/>
      </w:pPr>
      <w:r w:rsidRPr="00D91026">
        <w:tab/>
        <w:t>(a)</w:t>
      </w:r>
      <w:r w:rsidRPr="00D91026">
        <w:tab/>
        <w:t>if:</w:t>
      </w:r>
    </w:p>
    <w:p w14:paraId="6D609FB8" w14:textId="77777777" w:rsidR="00182794" w:rsidRPr="00D91026" w:rsidRDefault="00182794" w:rsidP="00182794">
      <w:pPr>
        <w:pStyle w:val="paragraphsub"/>
      </w:pPr>
      <w:r w:rsidRPr="00D91026">
        <w:tab/>
        <w:t>(i)</w:t>
      </w:r>
      <w:r w:rsidRPr="00D91026">
        <w:tab/>
        <w:t>Australia’s current nationally determined contribution was communicated in accordance with Article 4 of the Paris Agreement in June 2022; and</w:t>
      </w:r>
    </w:p>
    <w:p w14:paraId="2EDC41BE" w14:textId="77777777" w:rsidR="00182794" w:rsidRPr="00D91026" w:rsidRDefault="00182794" w:rsidP="00182794">
      <w:pPr>
        <w:pStyle w:val="paragraphsub"/>
      </w:pPr>
      <w:r w:rsidRPr="00D91026">
        <w:tab/>
        <w:t>(ii)</w:t>
      </w:r>
      <w:r w:rsidRPr="00D91026">
        <w:tab/>
        <w:t>that nationally determined contribution has not been adjusted in accordance with paragraph 11 of Article 4 of the Paris Agreement;</w:t>
      </w:r>
    </w:p>
    <w:p w14:paraId="52D2DF14" w14:textId="77777777" w:rsidR="00182794" w:rsidRPr="00D91026" w:rsidRDefault="00182794" w:rsidP="00182794">
      <w:pPr>
        <w:pStyle w:val="paragraph"/>
      </w:pPr>
      <w:r w:rsidRPr="00D91026">
        <w:tab/>
      </w:r>
      <w:r w:rsidRPr="00D91026">
        <w:tab/>
        <w:t xml:space="preserve">the greenhouse gas emissions reduction targets set out in paragraphs 10(1)(a) and (b) of the </w:t>
      </w:r>
      <w:r w:rsidRPr="00D91026">
        <w:rPr>
          <w:i/>
        </w:rPr>
        <w:t>Climate Change Act 2022</w:t>
      </w:r>
      <w:r w:rsidRPr="00D91026">
        <w:t>; or</w:t>
      </w:r>
    </w:p>
    <w:p w14:paraId="7EC4DFEC" w14:textId="77777777" w:rsidR="00182794" w:rsidRPr="00D91026" w:rsidRDefault="00182794" w:rsidP="00182794">
      <w:pPr>
        <w:pStyle w:val="paragraph"/>
      </w:pPr>
      <w:r w:rsidRPr="00D91026">
        <w:tab/>
        <w:t>(b)</w:t>
      </w:r>
      <w:r w:rsidRPr="00D91026">
        <w:tab/>
        <w:t>in any other case—the greenhouse gas emissions reduction targets included in:</w:t>
      </w:r>
    </w:p>
    <w:p w14:paraId="61CF62E2" w14:textId="77777777" w:rsidR="00182794" w:rsidRPr="00D91026" w:rsidRDefault="00182794" w:rsidP="00182794">
      <w:pPr>
        <w:pStyle w:val="paragraphsub"/>
      </w:pPr>
      <w:r w:rsidRPr="00D91026">
        <w:tab/>
        <w:t>(i)</w:t>
      </w:r>
      <w:r w:rsidRPr="00D91026">
        <w:tab/>
        <w:t>Australia’s current nationally determined contribution communicated in accordance with Article 4 of the Paris Agreement; or</w:t>
      </w:r>
    </w:p>
    <w:p w14:paraId="6C116592" w14:textId="77777777" w:rsidR="00182794" w:rsidRPr="00D91026" w:rsidRDefault="00182794" w:rsidP="00182794">
      <w:pPr>
        <w:pStyle w:val="paragraphsub"/>
      </w:pPr>
      <w:r w:rsidRPr="00D91026">
        <w:tab/>
        <w:t>(ii)</w:t>
      </w:r>
      <w:r w:rsidRPr="00D91026">
        <w:tab/>
        <w:t xml:space="preserve">if that nationally determined contribution has been adjusted in accordance with paragraph 11 of Article 4 of </w:t>
      </w:r>
      <w:r w:rsidRPr="00D91026">
        <w:lastRenderedPageBreak/>
        <w:t>the Paris Agreement—that nationally determined contribution, as adjusted and in force from time to time.</w:t>
      </w:r>
    </w:p>
    <w:p w14:paraId="72727A56" w14:textId="77777777" w:rsidR="00182794" w:rsidRPr="00D91026" w:rsidRDefault="00182794" w:rsidP="00182794">
      <w:pPr>
        <w:pStyle w:val="Definition"/>
      </w:pPr>
      <w:r w:rsidRPr="00D91026">
        <w:rPr>
          <w:b/>
          <w:i/>
        </w:rPr>
        <w:t>Paris Agreement</w:t>
      </w:r>
      <w:r w:rsidRPr="00D91026">
        <w:t xml:space="preserve"> means the Paris Agreement, done at Paris on 12 December 2015, as amended and in force for Australia from time to time.</w:t>
      </w:r>
    </w:p>
    <w:p w14:paraId="56CFEB8E" w14:textId="488F8222" w:rsidR="00182794" w:rsidRDefault="00182794" w:rsidP="00182794">
      <w:pPr>
        <w:pStyle w:val="notetext"/>
      </w:pPr>
      <w:r w:rsidRPr="00D91026">
        <w:t>Note:</w:t>
      </w:r>
      <w:r w:rsidRPr="00D91026">
        <w:tab/>
        <w:t xml:space="preserve">The Agreement is in Australian Treaty Series 2016 No. 24 ([2016] ATS 24) and could in 2023 be viewed in the Australian Treaties Library on the </w:t>
      </w:r>
      <w:proofErr w:type="spellStart"/>
      <w:r w:rsidRPr="00D91026">
        <w:t>AustLII</w:t>
      </w:r>
      <w:proofErr w:type="spellEnd"/>
      <w:r w:rsidRPr="00D91026">
        <w:t xml:space="preserve"> website (http://www.austlii.edu.au).</w:t>
      </w:r>
    </w:p>
    <w:p w14:paraId="1641E49B" w14:textId="77777777" w:rsidR="00F74375" w:rsidRDefault="00F74375" w:rsidP="00F74375"/>
    <w:p w14:paraId="78EBD5A3" w14:textId="77777777" w:rsidR="00F74375" w:rsidRDefault="00F74375" w:rsidP="00F74375">
      <w:pPr>
        <w:pStyle w:val="AssentBk"/>
        <w:keepNext/>
      </w:pPr>
    </w:p>
    <w:p w14:paraId="0A6FCB6C" w14:textId="77777777" w:rsidR="00F74375" w:rsidRDefault="00F74375" w:rsidP="00F74375">
      <w:pPr>
        <w:pStyle w:val="AssentBk"/>
        <w:keepNext/>
      </w:pPr>
    </w:p>
    <w:p w14:paraId="7DDBB5CA" w14:textId="77777777" w:rsidR="00F74375" w:rsidRDefault="00F74375" w:rsidP="00F74375">
      <w:pPr>
        <w:pStyle w:val="2ndRd"/>
        <w:keepNext/>
        <w:pBdr>
          <w:top w:val="single" w:sz="2" w:space="1" w:color="auto"/>
        </w:pBdr>
      </w:pPr>
    </w:p>
    <w:p w14:paraId="70011949" w14:textId="77777777" w:rsidR="00F74375" w:rsidRDefault="00F74375" w:rsidP="000C5962">
      <w:pPr>
        <w:pStyle w:val="2ndRd"/>
        <w:keepNext/>
        <w:spacing w:line="260" w:lineRule="atLeast"/>
        <w:rPr>
          <w:i/>
        </w:rPr>
      </w:pPr>
      <w:r>
        <w:t>[</w:t>
      </w:r>
      <w:r>
        <w:rPr>
          <w:i/>
        </w:rPr>
        <w:t>Minister’s second reading speech made in—</w:t>
      </w:r>
    </w:p>
    <w:p w14:paraId="7533FFCD" w14:textId="043E79EF" w:rsidR="00F74375" w:rsidRDefault="00F74375" w:rsidP="000C5962">
      <w:pPr>
        <w:pStyle w:val="2ndRd"/>
        <w:keepNext/>
        <w:spacing w:line="260" w:lineRule="atLeast"/>
        <w:rPr>
          <w:i/>
        </w:rPr>
      </w:pPr>
      <w:r>
        <w:rPr>
          <w:i/>
        </w:rPr>
        <w:t>House of Representatives on 1 December 2022</w:t>
      </w:r>
    </w:p>
    <w:p w14:paraId="66E94618" w14:textId="7073811B" w:rsidR="00F74375" w:rsidRDefault="00F74375" w:rsidP="000C5962">
      <w:pPr>
        <w:pStyle w:val="2ndRd"/>
        <w:keepNext/>
        <w:spacing w:line="260" w:lineRule="atLeast"/>
        <w:rPr>
          <w:i/>
        </w:rPr>
      </w:pPr>
      <w:r>
        <w:rPr>
          <w:i/>
        </w:rPr>
        <w:t>Senate on 9 February 2023</w:t>
      </w:r>
      <w:r>
        <w:t>]</w:t>
      </w:r>
    </w:p>
    <w:p w14:paraId="1E32F2D8" w14:textId="77777777" w:rsidR="00F74375" w:rsidRDefault="00F74375" w:rsidP="000C5962"/>
    <w:p w14:paraId="03500782" w14:textId="26E3E6FD" w:rsidR="00A50712" w:rsidRPr="00F74375" w:rsidRDefault="00F74375" w:rsidP="00F74375">
      <w:pPr>
        <w:framePr w:hSpace="181" w:wrap="around" w:vAnchor="page" w:hAnchor="page" w:x="2399" w:y="12106"/>
      </w:pPr>
      <w:r>
        <w:t>(142/22)</w:t>
      </w:r>
    </w:p>
    <w:p w14:paraId="6E0091BD" w14:textId="77777777" w:rsidR="00F74375" w:rsidRDefault="00F74375"/>
    <w:sectPr w:rsidR="00F74375" w:rsidSect="00A5071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37D37" w14:textId="77777777" w:rsidR="0096206E" w:rsidRDefault="0096206E" w:rsidP="0048364F">
      <w:pPr>
        <w:spacing w:line="240" w:lineRule="auto"/>
      </w:pPr>
      <w:r>
        <w:separator/>
      </w:r>
    </w:p>
  </w:endnote>
  <w:endnote w:type="continuationSeparator" w:id="0">
    <w:p w14:paraId="42CA9B59" w14:textId="77777777" w:rsidR="0096206E" w:rsidRDefault="0096206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0AB6D" w14:textId="77777777" w:rsidR="0096206E" w:rsidRPr="005F1388" w:rsidRDefault="0096206E" w:rsidP="00B1229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32C2" w14:textId="1B43E04F" w:rsidR="00F74375" w:rsidRDefault="00F74375" w:rsidP="00CD12A5">
    <w:pPr>
      <w:pStyle w:val="ScalePlusRef"/>
    </w:pPr>
    <w:r>
      <w:t>Note: An electronic version of this Act is available on the Federal Register of Legislation (</w:t>
    </w:r>
    <w:hyperlink r:id="rId1" w:history="1">
      <w:r>
        <w:t>https://www.legislation.gov.au/</w:t>
      </w:r>
    </w:hyperlink>
    <w:r>
      <w:t>)</w:t>
    </w:r>
  </w:p>
  <w:p w14:paraId="52AEE995" w14:textId="77777777" w:rsidR="00F74375" w:rsidRDefault="00F74375" w:rsidP="00CD12A5"/>
  <w:p w14:paraId="6288869A" w14:textId="278DB05A" w:rsidR="0096206E" w:rsidRDefault="0096206E" w:rsidP="00B1229B">
    <w:pPr>
      <w:pStyle w:val="Footer"/>
      <w:spacing w:before="120"/>
    </w:pPr>
  </w:p>
  <w:p w14:paraId="2AA0AD9E" w14:textId="77777777" w:rsidR="0096206E" w:rsidRPr="005F1388" w:rsidRDefault="0096206E" w:rsidP="0096206E">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767C" w14:textId="77777777" w:rsidR="0096206E" w:rsidRPr="00ED79B6" w:rsidRDefault="0096206E" w:rsidP="00B1229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8F3C" w14:textId="77777777" w:rsidR="0096206E" w:rsidRDefault="0096206E" w:rsidP="00B122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6206E" w14:paraId="3E7A2C6F" w14:textId="77777777" w:rsidTr="0096206E">
      <w:tc>
        <w:tcPr>
          <w:tcW w:w="646" w:type="dxa"/>
        </w:tcPr>
        <w:p w14:paraId="2FA7CBFC" w14:textId="77777777" w:rsidR="0096206E" w:rsidRDefault="0096206E" w:rsidP="0096206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3495E8F" w14:textId="74C8D0B2" w:rsidR="0096206E" w:rsidRDefault="0096206E" w:rsidP="0096206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0E52">
            <w:rPr>
              <w:i/>
              <w:sz w:val="18"/>
            </w:rPr>
            <w:t>Higher Education Support Amendment (Australia’s Economic Accelerator) Act 2023</w:t>
          </w:r>
          <w:r w:rsidRPr="00ED79B6">
            <w:rPr>
              <w:i/>
              <w:sz w:val="18"/>
            </w:rPr>
            <w:fldChar w:fldCharType="end"/>
          </w:r>
        </w:p>
      </w:tc>
      <w:tc>
        <w:tcPr>
          <w:tcW w:w="1270" w:type="dxa"/>
        </w:tcPr>
        <w:p w14:paraId="40BD6FE3" w14:textId="002F98D4" w:rsidR="0096206E" w:rsidRDefault="0096206E" w:rsidP="0096206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60E52">
            <w:rPr>
              <w:i/>
              <w:sz w:val="18"/>
            </w:rPr>
            <w:t>No. 5, 2023</w:t>
          </w:r>
          <w:r w:rsidRPr="00ED79B6">
            <w:rPr>
              <w:i/>
              <w:sz w:val="18"/>
            </w:rPr>
            <w:fldChar w:fldCharType="end"/>
          </w:r>
        </w:p>
      </w:tc>
    </w:tr>
  </w:tbl>
  <w:p w14:paraId="70077769" w14:textId="77777777" w:rsidR="0096206E" w:rsidRDefault="0096206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EC4F1" w14:textId="77777777" w:rsidR="0096206E" w:rsidRDefault="0096206E" w:rsidP="00B122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6206E" w14:paraId="21BF3696" w14:textId="77777777" w:rsidTr="0096206E">
      <w:tc>
        <w:tcPr>
          <w:tcW w:w="1247" w:type="dxa"/>
        </w:tcPr>
        <w:p w14:paraId="3DD64265" w14:textId="45F274D5" w:rsidR="0096206E" w:rsidRDefault="0096206E" w:rsidP="0096206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60E52">
            <w:rPr>
              <w:i/>
              <w:sz w:val="18"/>
            </w:rPr>
            <w:t>No. 5, 2023</w:t>
          </w:r>
          <w:r w:rsidRPr="00ED79B6">
            <w:rPr>
              <w:i/>
              <w:sz w:val="18"/>
            </w:rPr>
            <w:fldChar w:fldCharType="end"/>
          </w:r>
        </w:p>
      </w:tc>
      <w:tc>
        <w:tcPr>
          <w:tcW w:w="5387" w:type="dxa"/>
        </w:tcPr>
        <w:p w14:paraId="5FBDE572" w14:textId="17E26C25" w:rsidR="0096206E" w:rsidRDefault="0096206E" w:rsidP="0096206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0E52">
            <w:rPr>
              <w:i/>
              <w:sz w:val="18"/>
            </w:rPr>
            <w:t>Higher Education Support Amendment (Australia’s Economic Accelerator) Act 2023</w:t>
          </w:r>
          <w:r w:rsidRPr="00ED79B6">
            <w:rPr>
              <w:i/>
              <w:sz w:val="18"/>
            </w:rPr>
            <w:fldChar w:fldCharType="end"/>
          </w:r>
        </w:p>
      </w:tc>
      <w:tc>
        <w:tcPr>
          <w:tcW w:w="669" w:type="dxa"/>
        </w:tcPr>
        <w:p w14:paraId="13182E91" w14:textId="77777777" w:rsidR="0096206E" w:rsidRDefault="0096206E" w:rsidP="0096206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F9DDE07" w14:textId="77777777" w:rsidR="0096206E" w:rsidRPr="00ED79B6" w:rsidRDefault="0096206E" w:rsidP="0096206E">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8656" w14:textId="77777777" w:rsidR="0096206E" w:rsidRPr="00A961C4" w:rsidRDefault="0096206E" w:rsidP="00B1229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6206E" w14:paraId="12962EE7" w14:textId="77777777" w:rsidTr="00CF3C5F">
      <w:tc>
        <w:tcPr>
          <w:tcW w:w="646" w:type="dxa"/>
        </w:tcPr>
        <w:p w14:paraId="33BC7858" w14:textId="77777777" w:rsidR="0096206E" w:rsidRDefault="0096206E" w:rsidP="0096206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0619F69" w14:textId="600DBA8C" w:rsidR="0096206E" w:rsidRDefault="0096206E" w:rsidP="009620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0E52">
            <w:rPr>
              <w:i/>
              <w:sz w:val="18"/>
            </w:rPr>
            <w:t>Higher Education Support Amendment (Australia’s Economic Accelerator) Act 2023</w:t>
          </w:r>
          <w:r w:rsidRPr="007A1328">
            <w:rPr>
              <w:i/>
              <w:sz w:val="18"/>
            </w:rPr>
            <w:fldChar w:fldCharType="end"/>
          </w:r>
        </w:p>
      </w:tc>
      <w:tc>
        <w:tcPr>
          <w:tcW w:w="1270" w:type="dxa"/>
        </w:tcPr>
        <w:p w14:paraId="1C2D5803" w14:textId="4F7B6D44" w:rsidR="0096206E" w:rsidRDefault="0096206E" w:rsidP="0096206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0E52">
            <w:rPr>
              <w:i/>
              <w:sz w:val="18"/>
            </w:rPr>
            <w:t>No. 5, 2023</w:t>
          </w:r>
          <w:r w:rsidRPr="007A1328">
            <w:rPr>
              <w:i/>
              <w:sz w:val="18"/>
            </w:rPr>
            <w:fldChar w:fldCharType="end"/>
          </w:r>
        </w:p>
      </w:tc>
    </w:tr>
  </w:tbl>
  <w:p w14:paraId="26921628" w14:textId="77777777" w:rsidR="0096206E" w:rsidRPr="00A961C4" w:rsidRDefault="0096206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68A3" w14:textId="77777777" w:rsidR="0096206E" w:rsidRPr="00A961C4" w:rsidRDefault="0096206E" w:rsidP="00B122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6206E" w14:paraId="2088AF8A" w14:textId="77777777" w:rsidTr="00CF3C5F">
      <w:tc>
        <w:tcPr>
          <w:tcW w:w="1247" w:type="dxa"/>
        </w:tcPr>
        <w:p w14:paraId="0AC70085" w14:textId="3B1B3D9D" w:rsidR="0096206E" w:rsidRDefault="0096206E" w:rsidP="0096206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0E52">
            <w:rPr>
              <w:i/>
              <w:sz w:val="18"/>
            </w:rPr>
            <w:t>No. 5, 2023</w:t>
          </w:r>
          <w:r w:rsidRPr="007A1328">
            <w:rPr>
              <w:i/>
              <w:sz w:val="18"/>
            </w:rPr>
            <w:fldChar w:fldCharType="end"/>
          </w:r>
        </w:p>
      </w:tc>
      <w:tc>
        <w:tcPr>
          <w:tcW w:w="5387" w:type="dxa"/>
        </w:tcPr>
        <w:p w14:paraId="0F6BB6DA" w14:textId="63C976CA" w:rsidR="0096206E" w:rsidRDefault="0096206E" w:rsidP="009620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0E52">
            <w:rPr>
              <w:i/>
              <w:sz w:val="18"/>
            </w:rPr>
            <w:t>Higher Education Support Amendment (Australia’s Economic Accelerator) Act 2023</w:t>
          </w:r>
          <w:r w:rsidRPr="007A1328">
            <w:rPr>
              <w:i/>
              <w:sz w:val="18"/>
            </w:rPr>
            <w:fldChar w:fldCharType="end"/>
          </w:r>
        </w:p>
      </w:tc>
      <w:tc>
        <w:tcPr>
          <w:tcW w:w="669" w:type="dxa"/>
        </w:tcPr>
        <w:p w14:paraId="32527614" w14:textId="77777777" w:rsidR="0096206E" w:rsidRDefault="0096206E" w:rsidP="0096206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6C3058B" w14:textId="77777777" w:rsidR="0096206E" w:rsidRPr="00055B5C" w:rsidRDefault="0096206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C753" w14:textId="77777777" w:rsidR="0096206E" w:rsidRPr="00A961C4" w:rsidRDefault="0096206E" w:rsidP="00B122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6206E" w14:paraId="15AF5BD4" w14:textId="77777777" w:rsidTr="00CF3C5F">
      <w:tc>
        <w:tcPr>
          <w:tcW w:w="1247" w:type="dxa"/>
        </w:tcPr>
        <w:p w14:paraId="7210742C" w14:textId="00FE35DD" w:rsidR="0096206E" w:rsidRDefault="0096206E" w:rsidP="0096206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0E52">
            <w:rPr>
              <w:i/>
              <w:sz w:val="18"/>
            </w:rPr>
            <w:t>No. 5, 2023</w:t>
          </w:r>
          <w:r w:rsidRPr="007A1328">
            <w:rPr>
              <w:i/>
              <w:sz w:val="18"/>
            </w:rPr>
            <w:fldChar w:fldCharType="end"/>
          </w:r>
        </w:p>
      </w:tc>
      <w:tc>
        <w:tcPr>
          <w:tcW w:w="5387" w:type="dxa"/>
        </w:tcPr>
        <w:p w14:paraId="7C459E96" w14:textId="481D4E0C" w:rsidR="0096206E" w:rsidRDefault="0096206E" w:rsidP="009620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0E52">
            <w:rPr>
              <w:i/>
              <w:sz w:val="18"/>
            </w:rPr>
            <w:t>Higher Education Support Amendment (Australia’s Economic Accelerator) Act 2023</w:t>
          </w:r>
          <w:r w:rsidRPr="007A1328">
            <w:rPr>
              <w:i/>
              <w:sz w:val="18"/>
            </w:rPr>
            <w:fldChar w:fldCharType="end"/>
          </w:r>
        </w:p>
      </w:tc>
      <w:tc>
        <w:tcPr>
          <w:tcW w:w="669" w:type="dxa"/>
        </w:tcPr>
        <w:p w14:paraId="15E1E232" w14:textId="77777777" w:rsidR="0096206E" w:rsidRDefault="0096206E" w:rsidP="0096206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3628852" w14:textId="77777777" w:rsidR="0096206E" w:rsidRPr="00A961C4" w:rsidRDefault="0096206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FF4BC" w14:textId="77777777" w:rsidR="0096206E" w:rsidRDefault="0096206E" w:rsidP="0048364F">
      <w:pPr>
        <w:spacing w:line="240" w:lineRule="auto"/>
      </w:pPr>
      <w:r>
        <w:separator/>
      </w:r>
    </w:p>
  </w:footnote>
  <w:footnote w:type="continuationSeparator" w:id="0">
    <w:p w14:paraId="590DE4E6" w14:textId="77777777" w:rsidR="0096206E" w:rsidRDefault="0096206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167D" w14:textId="77777777" w:rsidR="0096206E" w:rsidRPr="005F1388" w:rsidRDefault="0096206E" w:rsidP="0096206E">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07CC" w14:textId="77777777" w:rsidR="0096206E" w:rsidRPr="005F1388" w:rsidRDefault="0096206E" w:rsidP="0096206E">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FB4AC" w14:textId="77777777" w:rsidR="0096206E" w:rsidRPr="005F1388" w:rsidRDefault="0096206E" w:rsidP="0096206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3E9" w14:textId="77777777" w:rsidR="0096206E" w:rsidRPr="00ED79B6" w:rsidRDefault="0096206E" w:rsidP="0096206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C8663" w14:textId="77777777" w:rsidR="0096206E" w:rsidRPr="00ED79B6" w:rsidRDefault="0096206E" w:rsidP="0096206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7A3F" w14:textId="77777777" w:rsidR="0096206E" w:rsidRPr="00ED79B6" w:rsidRDefault="0096206E" w:rsidP="0096206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35C19" w14:textId="6466E39F" w:rsidR="0096206E" w:rsidRPr="00A961C4" w:rsidRDefault="0096206E" w:rsidP="0048364F">
    <w:pPr>
      <w:rPr>
        <w:b/>
        <w:sz w:val="20"/>
      </w:rPr>
    </w:pPr>
    <w:r>
      <w:rPr>
        <w:b/>
        <w:sz w:val="20"/>
      </w:rPr>
      <w:fldChar w:fldCharType="begin"/>
    </w:r>
    <w:r>
      <w:rPr>
        <w:b/>
        <w:sz w:val="20"/>
      </w:rPr>
      <w:instrText xml:space="preserve"> STYLEREF CharAmSchNo </w:instrText>
    </w:r>
    <w:r w:rsidR="00A60E52">
      <w:rPr>
        <w:b/>
        <w:sz w:val="20"/>
      </w:rPr>
      <w:fldChar w:fldCharType="separate"/>
    </w:r>
    <w:r w:rsidR="00A60E5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60E52">
      <w:rPr>
        <w:sz w:val="20"/>
      </w:rPr>
      <w:fldChar w:fldCharType="separate"/>
    </w:r>
    <w:r w:rsidR="00A60E52">
      <w:rPr>
        <w:noProof/>
        <w:sz w:val="20"/>
      </w:rPr>
      <w:t>Amendments</w:t>
    </w:r>
    <w:r>
      <w:rPr>
        <w:sz w:val="20"/>
      </w:rPr>
      <w:fldChar w:fldCharType="end"/>
    </w:r>
  </w:p>
  <w:p w14:paraId="6710E60C" w14:textId="4AB93DC7" w:rsidR="0096206E" w:rsidRPr="00A961C4" w:rsidRDefault="0096206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E5658B1" w14:textId="77777777" w:rsidR="0096206E" w:rsidRPr="00A961C4" w:rsidRDefault="0096206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A0AB" w14:textId="339AB04D" w:rsidR="0096206E" w:rsidRPr="00A961C4" w:rsidRDefault="0096206E" w:rsidP="0048364F">
    <w:pPr>
      <w:jc w:val="right"/>
      <w:rPr>
        <w:sz w:val="20"/>
      </w:rPr>
    </w:pPr>
    <w:r w:rsidRPr="00A961C4">
      <w:rPr>
        <w:sz w:val="20"/>
      </w:rPr>
      <w:fldChar w:fldCharType="begin"/>
    </w:r>
    <w:r w:rsidRPr="00A961C4">
      <w:rPr>
        <w:sz w:val="20"/>
      </w:rPr>
      <w:instrText xml:space="preserve"> STYLEREF CharAmSchText </w:instrText>
    </w:r>
    <w:r w:rsidR="00A60E52">
      <w:rPr>
        <w:sz w:val="20"/>
      </w:rPr>
      <w:fldChar w:fldCharType="separate"/>
    </w:r>
    <w:r w:rsidR="00A60E5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60E52">
      <w:rPr>
        <w:b/>
        <w:sz w:val="20"/>
      </w:rPr>
      <w:fldChar w:fldCharType="separate"/>
    </w:r>
    <w:r w:rsidR="00A60E52">
      <w:rPr>
        <w:b/>
        <w:noProof/>
        <w:sz w:val="20"/>
      </w:rPr>
      <w:t>Schedule 1</w:t>
    </w:r>
    <w:r>
      <w:rPr>
        <w:b/>
        <w:sz w:val="20"/>
      </w:rPr>
      <w:fldChar w:fldCharType="end"/>
    </w:r>
  </w:p>
  <w:p w14:paraId="26D9AB58" w14:textId="4792BE42" w:rsidR="0096206E" w:rsidRPr="00A961C4" w:rsidRDefault="0096206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78F261D" w14:textId="77777777" w:rsidR="0096206E" w:rsidRPr="00A961C4" w:rsidRDefault="0096206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42A6" w14:textId="77777777" w:rsidR="0096206E" w:rsidRPr="00A961C4" w:rsidRDefault="0096206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0778"/>
    <w:rsid w:val="00002C83"/>
    <w:rsid w:val="000113BC"/>
    <w:rsid w:val="000136AF"/>
    <w:rsid w:val="000417C9"/>
    <w:rsid w:val="00055B5C"/>
    <w:rsid w:val="00056391"/>
    <w:rsid w:val="00060FF9"/>
    <w:rsid w:val="000614BF"/>
    <w:rsid w:val="000A2A72"/>
    <w:rsid w:val="000A6C4F"/>
    <w:rsid w:val="000B1FD2"/>
    <w:rsid w:val="000C5F08"/>
    <w:rsid w:val="000D05EF"/>
    <w:rsid w:val="000F21C1"/>
    <w:rsid w:val="000F316E"/>
    <w:rsid w:val="00101D90"/>
    <w:rsid w:val="0010745C"/>
    <w:rsid w:val="00113BD1"/>
    <w:rsid w:val="00114E4C"/>
    <w:rsid w:val="00122206"/>
    <w:rsid w:val="0015646E"/>
    <w:rsid w:val="001643C9"/>
    <w:rsid w:val="00165568"/>
    <w:rsid w:val="00166C2F"/>
    <w:rsid w:val="001716C9"/>
    <w:rsid w:val="00173363"/>
    <w:rsid w:val="00173B94"/>
    <w:rsid w:val="00182794"/>
    <w:rsid w:val="001854B4"/>
    <w:rsid w:val="0019312B"/>
    <w:rsid w:val="001939E1"/>
    <w:rsid w:val="00195382"/>
    <w:rsid w:val="001A3658"/>
    <w:rsid w:val="001A759A"/>
    <w:rsid w:val="001B633C"/>
    <w:rsid w:val="001B7A5D"/>
    <w:rsid w:val="001C2418"/>
    <w:rsid w:val="001C69C4"/>
    <w:rsid w:val="001E3590"/>
    <w:rsid w:val="001E7407"/>
    <w:rsid w:val="00201D27"/>
    <w:rsid w:val="00202618"/>
    <w:rsid w:val="00240749"/>
    <w:rsid w:val="00263820"/>
    <w:rsid w:val="00275197"/>
    <w:rsid w:val="00293B89"/>
    <w:rsid w:val="00297ECB"/>
    <w:rsid w:val="002B5A30"/>
    <w:rsid w:val="002D043A"/>
    <w:rsid w:val="002D395A"/>
    <w:rsid w:val="002D7C26"/>
    <w:rsid w:val="002F5A80"/>
    <w:rsid w:val="003159C0"/>
    <w:rsid w:val="003160DB"/>
    <w:rsid w:val="00330778"/>
    <w:rsid w:val="003415D3"/>
    <w:rsid w:val="00350417"/>
    <w:rsid w:val="00352B0F"/>
    <w:rsid w:val="00373874"/>
    <w:rsid w:val="00375C6C"/>
    <w:rsid w:val="003A6B32"/>
    <w:rsid w:val="003A7B3C"/>
    <w:rsid w:val="003B42C1"/>
    <w:rsid w:val="003B4E3D"/>
    <w:rsid w:val="003C5469"/>
    <w:rsid w:val="003C5F2B"/>
    <w:rsid w:val="003D0BFE"/>
    <w:rsid w:val="003D5700"/>
    <w:rsid w:val="00405579"/>
    <w:rsid w:val="00410B8E"/>
    <w:rsid w:val="004116CD"/>
    <w:rsid w:val="00421FC1"/>
    <w:rsid w:val="004229C7"/>
    <w:rsid w:val="00424CA9"/>
    <w:rsid w:val="004252F1"/>
    <w:rsid w:val="00435D13"/>
    <w:rsid w:val="00436785"/>
    <w:rsid w:val="00436BD5"/>
    <w:rsid w:val="00437E4B"/>
    <w:rsid w:val="0044291A"/>
    <w:rsid w:val="004443A4"/>
    <w:rsid w:val="00445BFE"/>
    <w:rsid w:val="00467834"/>
    <w:rsid w:val="0048196B"/>
    <w:rsid w:val="0048364F"/>
    <w:rsid w:val="00486D05"/>
    <w:rsid w:val="00496F97"/>
    <w:rsid w:val="004C7C8C"/>
    <w:rsid w:val="004E2A4A"/>
    <w:rsid w:val="004F0D23"/>
    <w:rsid w:val="004F1FAC"/>
    <w:rsid w:val="00516B8D"/>
    <w:rsid w:val="00537FBC"/>
    <w:rsid w:val="00540463"/>
    <w:rsid w:val="00543469"/>
    <w:rsid w:val="00545D52"/>
    <w:rsid w:val="00551B54"/>
    <w:rsid w:val="00584811"/>
    <w:rsid w:val="00593AA6"/>
    <w:rsid w:val="00594161"/>
    <w:rsid w:val="00594749"/>
    <w:rsid w:val="005A0D92"/>
    <w:rsid w:val="005B4067"/>
    <w:rsid w:val="005C3F41"/>
    <w:rsid w:val="005E152A"/>
    <w:rsid w:val="005E2050"/>
    <w:rsid w:val="005F11B1"/>
    <w:rsid w:val="00600219"/>
    <w:rsid w:val="006139CB"/>
    <w:rsid w:val="006167FD"/>
    <w:rsid w:val="00641DE5"/>
    <w:rsid w:val="00656F0C"/>
    <w:rsid w:val="00677CC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B30AA"/>
    <w:rsid w:val="007E7D4A"/>
    <w:rsid w:val="008006CC"/>
    <w:rsid w:val="00807F18"/>
    <w:rsid w:val="00831E8D"/>
    <w:rsid w:val="00856A31"/>
    <w:rsid w:val="00857D6B"/>
    <w:rsid w:val="008754D0"/>
    <w:rsid w:val="00876322"/>
    <w:rsid w:val="00877D48"/>
    <w:rsid w:val="00883781"/>
    <w:rsid w:val="00885570"/>
    <w:rsid w:val="00893958"/>
    <w:rsid w:val="008A2E77"/>
    <w:rsid w:val="008C6F6F"/>
    <w:rsid w:val="008D0EE0"/>
    <w:rsid w:val="008D3E94"/>
    <w:rsid w:val="008F4F1C"/>
    <w:rsid w:val="008F77C4"/>
    <w:rsid w:val="00900280"/>
    <w:rsid w:val="009103F3"/>
    <w:rsid w:val="0092212D"/>
    <w:rsid w:val="00932377"/>
    <w:rsid w:val="00943221"/>
    <w:rsid w:val="0096206E"/>
    <w:rsid w:val="00967042"/>
    <w:rsid w:val="0098255A"/>
    <w:rsid w:val="009845BE"/>
    <w:rsid w:val="009969C9"/>
    <w:rsid w:val="009C7BEC"/>
    <w:rsid w:val="009E186E"/>
    <w:rsid w:val="009F7BD0"/>
    <w:rsid w:val="00A048FF"/>
    <w:rsid w:val="00A10775"/>
    <w:rsid w:val="00A231E2"/>
    <w:rsid w:val="00A36C48"/>
    <w:rsid w:val="00A41E0B"/>
    <w:rsid w:val="00A50712"/>
    <w:rsid w:val="00A55631"/>
    <w:rsid w:val="00A60E52"/>
    <w:rsid w:val="00A64912"/>
    <w:rsid w:val="00A70A74"/>
    <w:rsid w:val="00AA3795"/>
    <w:rsid w:val="00AB3668"/>
    <w:rsid w:val="00AC1E75"/>
    <w:rsid w:val="00AD5641"/>
    <w:rsid w:val="00AE1088"/>
    <w:rsid w:val="00AE188B"/>
    <w:rsid w:val="00AF1BA4"/>
    <w:rsid w:val="00B032D8"/>
    <w:rsid w:val="00B1229B"/>
    <w:rsid w:val="00B24D2F"/>
    <w:rsid w:val="00B32BE2"/>
    <w:rsid w:val="00B33B3C"/>
    <w:rsid w:val="00B6382D"/>
    <w:rsid w:val="00BA5026"/>
    <w:rsid w:val="00BB40BF"/>
    <w:rsid w:val="00BC0CD1"/>
    <w:rsid w:val="00BD4A2F"/>
    <w:rsid w:val="00BE719A"/>
    <w:rsid w:val="00BE720A"/>
    <w:rsid w:val="00BF0461"/>
    <w:rsid w:val="00BF4944"/>
    <w:rsid w:val="00BF56D4"/>
    <w:rsid w:val="00C04409"/>
    <w:rsid w:val="00C067E5"/>
    <w:rsid w:val="00C164CA"/>
    <w:rsid w:val="00C176CF"/>
    <w:rsid w:val="00C24EE9"/>
    <w:rsid w:val="00C42BF8"/>
    <w:rsid w:val="00C460AE"/>
    <w:rsid w:val="00C50043"/>
    <w:rsid w:val="00C54E84"/>
    <w:rsid w:val="00C7573B"/>
    <w:rsid w:val="00C76CF3"/>
    <w:rsid w:val="00CC4B7E"/>
    <w:rsid w:val="00CE1E31"/>
    <w:rsid w:val="00CE4264"/>
    <w:rsid w:val="00CF0BB2"/>
    <w:rsid w:val="00CF3C5F"/>
    <w:rsid w:val="00D00EAA"/>
    <w:rsid w:val="00D07260"/>
    <w:rsid w:val="00D13441"/>
    <w:rsid w:val="00D243A3"/>
    <w:rsid w:val="00D477C3"/>
    <w:rsid w:val="00D52EFE"/>
    <w:rsid w:val="00D63EF6"/>
    <w:rsid w:val="00D7025D"/>
    <w:rsid w:val="00D70DFB"/>
    <w:rsid w:val="00D73029"/>
    <w:rsid w:val="00D766DF"/>
    <w:rsid w:val="00D83345"/>
    <w:rsid w:val="00DE2002"/>
    <w:rsid w:val="00DF7AE9"/>
    <w:rsid w:val="00E05704"/>
    <w:rsid w:val="00E0703C"/>
    <w:rsid w:val="00E24D66"/>
    <w:rsid w:val="00E37760"/>
    <w:rsid w:val="00E54292"/>
    <w:rsid w:val="00E74DC7"/>
    <w:rsid w:val="00E84ECA"/>
    <w:rsid w:val="00E87699"/>
    <w:rsid w:val="00E947C6"/>
    <w:rsid w:val="00EB510C"/>
    <w:rsid w:val="00ED492F"/>
    <w:rsid w:val="00EE3E36"/>
    <w:rsid w:val="00EF2E3A"/>
    <w:rsid w:val="00F047E2"/>
    <w:rsid w:val="00F078DC"/>
    <w:rsid w:val="00F13E86"/>
    <w:rsid w:val="00F17B00"/>
    <w:rsid w:val="00F44B31"/>
    <w:rsid w:val="00F5584C"/>
    <w:rsid w:val="00F677A9"/>
    <w:rsid w:val="00F74375"/>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DD5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1229B"/>
    <w:pPr>
      <w:spacing w:line="260" w:lineRule="atLeast"/>
    </w:pPr>
    <w:rPr>
      <w:sz w:val="22"/>
    </w:rPr>
  </w:style>
  <w:style w:type="paragraph" w:styleId="Heading1">
    <w:name w:val="heading 1"/>
    <w:basedOn w:val="Normal"/>
    <w:next w:val="Normal"/>
    <w:link w:val="Heading1Char"/>
    <w:uiPriority w:val="9"/>
    <w:qFormat/>
    <w:rsid w:val="00A507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507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5071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5071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5071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5071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5071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5071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071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229B"/>
  </w:style>
  <w:style w:type="paragraph" w:customStyle="1" w:styleId="OPCParaBase">
    <w:name w:val="OPCParaBase"/>
    <w:qFormat/>
    <w:rsid w:val="00B1229B"/>
    <w:pPr>
      <w:spacing w:line="260" w:lineRule="atLeast"/>
    </w:pPr>
    <w:rPr>
      <w:rFonts w:eastAsia="Times New Roman" w:cs="Times New Roman"/>
      <w:sz w:val="22"/>
      <w:lang w:eastAsia="en-AU"/>
    </w:rPr>
  </w:style>
  <w:style w:type="paragraph" w:customStyle="1" w:styleId="ShortT">
    <w:name w:val="ShortT"/>
    <w:basedOn w:val="OPCParaBase"/>
    <w:next w:val="Normal"/>
    <w:qFormat/>
    <w:rsid w:val="00B1229B"/>
    <w:pPr>
      <w:spacing w:line="240" w:lineRule="auto"/>
    </w:pPr>
    <w:rPr>
      <w:b/>
      <w:sz w:val="40"/>
    </w:rPr>
  </w:style>
  <w:style w:type="paragraph" w:customStyle="1" w:styleId="ActHead1">
    <w:name w:val="ActHead 1"/>
    <w:aliases w:val="c"/>
    <w:basedOn w:val="OPCParaBase"/>
    <w:next w:val="Normal"/>
    <w:qFormat/>
    <w:rsid w:val="00B122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22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22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22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122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22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22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22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229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1229B"/>
  </w:style>
  <w:style w:type="paragraph" w:customStyle="1" w:styleId="Blocks">
    <w:name w:val="Blocks"/>
    <w:aliases w:val="bb"/>
    <w:basedOn w:val="OPCParaBase"/>
    <w:qFormat/>
    <w:rsid w:val="00B1229B"/>
    <w:pPr>
      <w:spacing w:line="240" w:lineRule="auto"/>
    </w:pPr>
    <w:rPr>
      <w:sz w:val="24"/>
    </w:rPr>
  </w:style>
  <w:style w:type="paragraph" w:customStyle="1" w:styleId="BoxText">
    <w:name w:val="BoxText"/>
    <w:aliases w:val="bt"/>
    <w:basedOn w:val="OPCParaBase"/>
    <w:qFormat/>
    <w:rsid w:val="00B122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229B"/>
    <w:rPr>
      <w:b/>
    </w:rPr>
  </w:style>
  <w:style w:type="paragraph" w:customStyle="1" w:styleId="BoxHeadItalic">
    <w:name w:val="BoxHeadItalic"/>
    <w:aliases w:val="bhi"/>
    <w:basedOn w:val="BoxText"/>
    <w:next w:val="BoxStep"/>
    <w:qFormat/>
    <w:rsid w:val="00B1229B"/>
    <w:rPr>
      <w:i/>
    </w:rPr>
  </w:style>
  <w:style w:type="paragraph" w:customStyle="1" w:styleId="BoxList">
    <w:name w:val="BoxList"/>
    <w:aliases w:val="bl"/>
    <w:basedOn w:val="BoxText"/>
    <w:qFormat/>
    <w:rsid w:val="00B1229B"/>
    <w:pPr>
      <w:ind w:left="1559" w:hanging="425"/>
    </w:pPr>
  </w:style>
  <w:style w:type="paragraph" w:customStyle="1" w:styleId="BoxNote">
    <w:name w:val="BoxNote"/>
    <w:aliases w:val="bn"/>
    <w:basedOn w:val="BoxText"/>
    <w:qFormat/>
    <w:rsid w:val="00B1229B"/>
    <w:pPr>
      <w:tabs>
        <w:tab w:val="left" w:pos="1985"/>
      </w:tabs>
      <w:spacing w:before="122" w:line="198" w:lineRule="exact"/>
      <w:ind w:left="2948" w:hanging="1814"/>
    </w:pPr>
    <w:rPr>
      <w:sz w:val="18"/>
    </w:rPr>
  </w:style>
  <w:style w:type="paragraph" w:customStyle="1" w:styleId="BoxPara">
    <w:name w:val="BoxPara"/>
    <w:aliases w:val="bp"/>
    <w:basedOn w:val="BoxText"/>
    <w:qFormat/>
    <w:rsid w:val="00B1229B"/>
    <w:pPr>
      <w:tabs>
        <w:tab w:val="right" w:pos="2268"/>
      </w:tabs>
      <w:ind w:left="2552" w:hanging="1418"/>
    </w:pPr>
  </w:style>
  <w:style w:type="paragraph" w:customStyle="1" w:styleId="BoxStep">
    <w:name w:val="BoxStep"/>
    <w:aliases w:val="bs"/>
    <w:basedOn w:val="BoxText"/>
    <w:qFormat/>
    <w:rsid w:val="00B1229B"/>
    <w:pPr>
      <w:ind w:left="1985" w:hanging="851"/>
    </w:pPr>
  </w:style>
  <w:style w:type="character" w:customStyle="1" w:styleId="CharAmPartNo">
    <w:name w:val="CharAmPartNo"/>
    <w:basedOn w:val="OPCCharBase"/>
    <w:qFormat/>
    <w:rsid w:val="00B1229B"/>
  </w:style>
  <w:style w:type="character" w:customStyle="1" w:styleId="CharAmPartText">
    <w:name w:val="CharAmPartText"/>
    <w:basedOn w:val="OPCCharBase"/>
    <w:qFormat/>
    <w:rsid w:val="00B1229B"/>
  </w:style>
  <w:style w:type="character" w:customStyle="1" w:styleId="CharAmSchNo">
    <w:name w:val="CharAmSchNo"/>
    <w:basedOn w:val="OPCCharBase"/>
    <w:qFormat/>
    <w:rsid w:val="00B1229B"/>
  </w:style>
  <w:style w:type="character" w:customStyle="1" w:styleId="CharAmSchText">
    <w:name w:val="CharAmSchText"/>
    <w:basedOn w:val="OPCCharBase"/>
    <w:qFormat/>
    <w:rsid w:val="00B1229B"/>
  </w:style>
  <w:style w:type="character" w:customStyle="1" w:styleId="CharBoldItalic">
    <w:name w:val="CharBoldItalic"/>
    <w:basedOn w:val="OPCCharBase"/>
    <w:uiPriority w:val="1"/>
    <w:qFormat/>
    <w:rsid w:val="00B1229B"/>
    <w:rPr>
      <w:b/>
      <w:i/>
    </w:rPr>
  </w:style>
  <w:style w:type="character" w:customStyle="1" w:styleId="CharChapNo">
    <w:name w:val="CharChapNo"/>
    <w:basedOn w:val="OPCCharBase"/>
    <w:uiPriority w:val="1"/>
    <w:qFormat/>
    <w:rsid w:val="00B1229B"/>
  </w:style>
  <w:style w:type="character" w:customStyle="1" w:styleId="CharChapText">
    <w:name w:val="CharChapText"/>
    <w:basedOn w:val="OPCCharBase"/>
    <w:uiPriority w:val="1"/>
    <w:qFormat/>
    <w:rsid w:val="00B1229B"/>
  </w:style>
  <w:style w:type="character" w:customStyle="1" w:styleId="CharDivNo">
    <w:name w:val="CharDivNo"/>
    <w:basedOn w:val="OPCCharBase"/>
    <w:uiPriority w:val="1"/>
    <w:qFormat/>
    <w:rsid w:val="00B1229B"/>
  </w:style>
  <w:style w:type="character" w:customStyle="1" w:styleId="CharDivText">
    <w:name w:val="CharDivText"/>
    <w:basedOn w:val="OPCCharBase"/>
    <w:uiPriority w:val="1"/>
    <w:qFormat/>
    <w:rsid w:val="00B1229B"/>
  </w:style>
  <w:style w:type="character" w:customStyle="1" w:styleId="CharItalic">
    <w:name w:val="CharItalic"/>
    <w:basedOn w:val="OPCCharBase"/>
    <w:uiPriority w:val="1"/>
    <w:qFormat/>
    <w:rsid w:val="00B1229B"/>
    <w:rPr>
      <w:i/>
    </w:rPr>
  </w:style>
  <w:style w:type="character" w:customStyle="1" w:styleId="CharPartNo">
    <w:name w:val="CharPartNo"/>
    <w:basedOn w:val="OPCCharBase"/>
    <w:uiPriority w:val="1"/>
    <w:qFormat/>
    <w:rsid w:val="00B1229B"/>
  </w:style>
  <w:style w:type="character" w:customStyle="1" w:styleId="CharPartText">
    <w:name w:val="CharPartText"/>
    <w:basedOn w:val="OPCCharBase"/>
    <w:uiPriority w:val="1"/>
    <w:qFormat/>
    <w:rsid w:val="00B1229B"/>
  </w:style>
  <w:style w:type="character" w:customStyle="1" w:styleId="CharSectno">
    <w:name w:val="CharSectno"/>
    <w:basedOn w:val="OPCCharBase"/>
    <w:qFormat/>
    <w:rsid w:val="00B1229B"/>
  </w:style>
  <w:style w:type="character" w:customStyle="1" w:styleId="CharSubdNo">
    <w:name w:val="CharSubdNo"/>
    <w:basedOn w:val="OPCCharBase"/>
    <w:uiPriority w:val="1"/>
    <w:qFormat/>
    <w:rsid w:val="00B1229B"/>
  </w:style>
  <w:style w:type="character" w:customStyle="1" w:styleId="CharSubdText">
    <w:name w:val="CharSubdText"/>
    <w:basedOn w:val="OPCCharBase"/>
    <w:uiPriority w:val="1"/>
    <w:qFormat/>
    <w:rsid w:val="00B1229B"/>
  </w:style>
  <w:style w:type="paragraph" w:customStyle="1" w:styleId="CTA--">
    <w:name w:val="CTA --"/>
    <w:basedOn w:val="OPCParaBase"/>
    <w:next w:val="Normal"/>
    <w:rsid w:val="00B1229B"/>
    <w:pPr>
      <w:spacing w:before="60" w:line="240" w:lineRule="atLeast"/>
      <w:ind w:left="142" w:hanging="142"/>
    </w:pPr>
    <w:rPr>
      <w:sz w:val="20"/>
    </w:rPr>
  </w:style>
  <w:style w:type="paragraph" w:customStyle="1" w:styleId="CTA-">
    <w:name w:val="CTA -"/>
    <w:basedOn w:val="OPCParaBase"/>
    <w:rsid w:val="00B1229B"/>
    <w:pPr>
      <w:spacing w:before="60" w:line="240" w:lineRule="atLeast"/>
      <w:ind w:left="85" w:hanging="85"/>
    </w:pPr>
    <w:rPr>
      <w:sz w:val="20"/>
    </w:rPr>
  </w:style>
  <w:style w:type="paragraph" w:customStyle="1" w:styleId="CTA---">
    <w:name w:val="CTA ---"/>
    <w:basedOn w:val="OPCParaBase"/>
    <w:next w:val="Normal"/>
    <w:rsid w:val="00B1229B"/>
    <w:pPr>
      <w:spacing w:before="60" w:line="240" w:lineRule="atLeast"/>
      <w:ind w:left="198" w:hanging="198"/>
    </w:pPr>
    <w:rPr>
      <w:sz w:val="20"/>
    </w:rPr>
  </w:style>
  <w:style w:type="paragraph" w:customStyle="1" w:styleId="CTA----">
    <w:name w:val="CTA ----"/>
    <w:basedOn w:val="OPCParaBase"/>
    <w:next w:val="Normal"/>
    <w:rsid w:val="00B1229B"/>
    <w:pPr>
      <w:spacing w:before="60" w:line="240" w:lineRule="atLeast"/>
      <w:ind w:left="255" w:hanging="255"/>
    </w:pPr>
    <w:rPr>
      <w:sz w:val="20"/>
    </w:rPr>
  </w:style>
  <w:style w:type="paragraph" w:customStyle="1" w:styleId="CTA1a">
    <w:name w:val="CTA 1(a)"/>
    <w:basedOn w:val="OPCParaBase"/>
    <w:rsid w:val="00B1229B"/>
    <w:pPr>
      <w:tabs>
        <w:tab w:val="right" w:pos="414"/>
      </w:tabs>
      <w:spacing w:before="40" w:line="240" w:lineRule="atLeast"/>
      <w:ind w:left="675" w:hanging="675"/>
    </w:pPr>
    <w:rPr>
      <w:sz w:val="20"/>
    </w:rPr>
  </w:style>
  <w:style w:type="paragraph" w:customStyle="1" w:styleId="CTA1ai">
    <w:name w:val="CTA 1(a)(i)"/>
    <w:basedOn w:val="OPCParaBase"/>
    <w:rsid w:val="00B1229B"/>
    <w:pPr>
      <w:tabs>
        <w:tab w:val="right" w:pos="1004"/>
      </w:tabs>
      <w:spacing w:before="40" w:line="240" w:lineRule="atLeast"/>
      <w:ind w:left="1253" w:hanging="1253"/>
    </w:pPr>
    <w:rPr>
      <w:sz w:val="20"/>
    </w:rPr>
  </w:style>
  <w:style w:type="paragraph" w:customStyle="1" w:styleId="CTA2a">
    <w:name w:val="CTA 2(a)"/>
    <w:basedOn w:val="OPCParaBase"/>
    <w:rsid w:val="00B1229B"/>
    <w:pPr>
      <w:tabs>
        <w:tab w:val="right" w:pos="482"/>
      </w:tabs>
      <w:spacing w:before="40" w:line="240" w:lineRule="atLeast"/>
      <w:ind w:left="748" w:hanging="748"/>
    </w:pPr>
    <w:rPr>
      <w:sz w:val="20"/>
    </w:rPr>
  </w:style>
  <w:style w:type="paragraph" w:customStyle="1" w:styleId="CTA2ai">
    <w:name w:val="CTA 2(a)(i)"/>
    <w:basedOn w:val="OPCParaBase"/>
    <w:rsid w:val="00B1229B"/>
    <w:pPr>
      <w:tabs>
        <w:tab w:val="right" w:pos="1089"/>
      </w:tabs>
      <w:spacing w:before="40" w:line="240" w:lineRule="atLeast"/>
      <w:ind w:left="1327" w:hanging="1327"/>
    </w:pPr>
    <w:rPr>
      <w:sz w:val="20"/>
    </w:rPr>
  </w:style>
  <w:style w:type="paragraph" w:customStyle="1" w:styleId="CTA3a">
    <w:name w:val="CTA 3(a)"/>
    <w:basedOn w:val="OPCParaBase"/>
    <w:rsid w:val="00B1229B"/>
    <w:pPr>
      <w:tabs>
        <w:tab w:val="right" w:pos="556"/>
      </w:tabs>
      <w:spacing w:before="40" w:line="240" w:lineRule="atLeast"/>
      <w:ind w:left="805" w:hanging="805"/>
    </w:pPr>
    <w:rPr>
      <w:sz w:val="20"/>
    </w:rPr>
  </w:style>
  <w:style w:type="paragraph" w:customStyle="1" w:styleId="CTA3ai">
    <w:name w:val="CTA 3(a)(i)"/>
    <w:basedOn w:val="OPCParaBase"/>
    <w:rsid w:val="00B1229B"/>
    <w:pPr>
      <w:tabs>
        <w:tab w:val="right" w:pos="1140"/>
      </w:tabs>
      <w:spacing w:before="40" w:line="240" w:lineRule="atLeast"/>
      <w:ind w:left="1361" w:hanging="1361"/>
    </w:pPr>
    <w:rPr>
      <w:sz w:val="20"/>
    </w:rPr>
  </w:style>
  <w:style w:type="paragraph" w:customStyle="1" w:styleId="CTA4a">
    <w:name w:val="CTA 4(a)"/>
    <w:basedOn w:val="OPCParaBase"/>
    <w:rsid w:val="00B1229B"/>
    <w:pPr>
      <w:tabs>
        <w:tab w:val="right" w:pos="624"/>
      </w:tabs>
      <w:spacing w:before="40" w:line="240" w:lineRule="atLeast"/>
      <w:ind w:left="873" w:hanging="873"/>
    </w:pPr>
    <w:rPr>
      <w:sz w:val="20"/>
    </w:rPr>
  </w:style>
  <w:style w:type="paragraph" w:customStyle="1" w:styleId="CTA4ai">
    <w:name w:val="CTA 4(a)(i)"/>
    <w:basedOn w:val="OPCParaBase"/>
    <w:rsid w:val="00B1229B"/>
    <w:pPr>
      <w:tabs>
        <w:tab w:val="right" w:pos="1213"/>
      </w:tabs>
      <w:spacing w:before="40" w:line="240" w:lineRule="atLeast"/>
      <w:ind w:left="1452" w:hanging="1452"/>
    </w:pPr>
    <w:rPr>
      <w:sz w:val="20"/>
    </w:rPr>
  </w:style>
  <w:style w:type="paragraph" w:customStyle="1" w:styleId="CTACAPS">
    <w:name w:val="CTA CAPS"/>
    <w:basedOn w:val="OPCParaBase"/>
    <w:rsid w:val="00B1229B"/>
    <w:pPr>
      <w:spacing w:before="60" w:line="240" w:lineRule="atLeast"/>
    </w:pPr>
    <w:rPr>
      <w:sz w:val="20"/>
    </w:rPr>
  </w:style>
  <w:style w:type="paragraph" w:customStyle="1" w:styleId="CTAright">
    <w:name w:val="CTA right"/>
    <w:basedOn w:val="OPCParaBase"/>
    <w:rsid w:val="00B1229B"/>
    <w:pPr>
      <w:spacing w:before="60" w:line="240" w:lineRule="auto"/>
      <w:jc w:val="right"/>
    </w:pPr>
    <w:rPr>
      <w:sz w:val="20"/>
    </w:rPr>
  </w:style>
  <w:style w:type="paragraph" w:customStyle="1" w:styleId="subsection">
    <w:name w:val="subsection"/>
    <w:aliases w:val="ss"/>
    <w:basedOn w:val="OPCParaBase"/>
    <w:link w:val="subsectionChar"/>
    <w:rsid w:val="00B1229B"/>
    <w:pPr>
      <w:tabs>
        <w:tab w:val="right" w:pos="1021"/>
      </w:tabs>
      <w:spacing w:before="180" w:line="240" w:lineRule="auto"/>
      <w:ind w:left="1134" w:hanging="1134"/>
    </w:pPr>
  </w:style>
  <w:style w:type="paragraph" w:customStyle="1" w:styleId="Definition">
    <w:name w:val="Definition"/>
    <w:aliases w:val="dd"/>
    <w:basedOn w:val="OPCParaBase"/>
    <w:rsid w:val="00B1229B"/>
    <w:pPr>
      <w:spacing w:before="180" w:line="240" w:lineRule="auto"/>
      <w:ind w:left="1134"/>
    </w:pPr>
  </w:style>
  <w:style w:type="paragraph" w:customStyle="1" w:styleId="ETAsubitem">
    <w:name w:val="ETA(subitem)"/>
    <w:basedOn w:val="OPCParaBase"/>
    <w:rsid w:val="00B1229B"/>
    <w:pPr>
      <w:tabs>
        <w:tab w:val="right" w:pos="340"/>
      </w:tabs>
      <w:spacing w:before="60" w:line="240" w:lineRule="auto"/>
      <w:ind w:left="454" w:hanging="454"/>
    </w:pPr>
    <w:rPr>
      <w:sz w:val="20"/>
    </w:rPr>
  </w:style>
  <w:style w:type="paragraph" w:customStyle="1" w:styleId="ETApara">
    <w:name w:val="ETA(para)"/>
    <w:basedOn w:val="OPCParaBase"/>
    <w:rsid w:val="00B1229B"/>
    <w:pPr>
      <w:tabs>
        <w:tab w:val="right" w:pos="754"/>
      </w:tabs>
      <w:spacing w:before="60" w:line="240" w:lineRule="auto"/>
      <w:ind w:left="828" w:hanging="828"/>
    </w:pPr>
    <w:rPr>
      <w:sz w:val="20"/>
    </w:rPr>
  </w:style>
  <w:style w:type="paragraph" w:customStyle="1" w:styleId="ETAsubpara">
    <w:name w:val="ETA(subpara)"/>
    <w:basedOn w:val="OPCParaBase"/>
    <w:rsid w:val="00B1229B"/>
    <w:pPr>
      <w:tabs>
        <w:tab w:val="right" w:pos="1083"/>
      </w:tabs>
      <w:spacing w:before="60" w:line="240" w:lineRule="auto"/>
      <w:ind w:left="1191" w:hanging="1191"/>
    </w:pPr>
    <w:rPr>
      <w:sz w:val="20"/>
    </w:rPr>
  </w:style>
  <w:style w:type="paragraph" w:customStyle="1" w:styleId="ETAsub-subpara">
    <w:name w:val="ETA(sub-subpara)"/>
    <w:basedOn w:val="OPCParaBase"/>
    <w:rsid w:val="00B1229B"/>
    <w:pPr>
      <w:tabs>
        <w:tab w:val="right" w:pos="1412"/>
      </w:tabs>
      <w:spacing w:before="60" w:line="240" w:lineRule="auto"/>
      <w:ind w:left="1525" w:hanging="1525"/>
    </w:pPr>
    <w:rPr>
      <w:sz w:val="20"/>
    </w:rPr>
  </w:style>
  <w:style w:type="paragraph" w:customStyle="1" w:styleId="Formula">
    <w:name w:val="Formula"/>
    <w:basedOn w:val="OPCParaBase"/>
    <w:rsid w:val="00B1229B"/>
    <w:pPr>
      <w:spacing w:line="240" w:lineRule="auto"/>
      <w:ind w:left="1134"/>
    </w:pPr>
    <w:rPr>
      <w:sz w:val="20"/>
    </w:rPr>
  </w:style>
  <w:style w:type="paragraph" w:styleId="Header">
    <w:name w:val="header"/>
    <w:basedOn w:val="OPCParaBase"/>
    <w:link w:val="HeaderChar"/>
    <w:unhideWhenUsed/>
    <w:rsid w:val="00B1229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229B"/>
    <w:rPr>
      <w:rFonts w:eastAsia="Times New Roman" w:cs="Times New Roman"/>
      <w:sz w:val="16"/>
      <w:lang w:eastAsia="en-AU"/>
    </w:rPr>
  </w:style>
  <w:style w:type="paragraph" w:customStyle="1" w:styleId="House">
    <w:name w:val="House"/>
    <w:basedOn w:val="OPCParaBase"/>
    <w:rsid w:val="00B1229B"/>
    <w:pPr>
      <w:spacing w:line="240" w:lineRule="auto"/>
    </w:pPr>
    <w:rPr>
      <w:sz w:val="28"/>
    </w:rPr>
  </w:style>
  <w:style w:type="paragraph" w:customStyle="1" w:styleId="Item">
    <w:name w:val="Item"/>
    <w:aliases w:val="i"/>
    <w:basedOn w:val="OPCParaBase"/>
    <w:next w:val="ItemHead"/>
    <w:rsid w:val="00B1229B"/>
    <w:pPr>
      <w:keepLines/>
      <w:spacing w:before="80" w:line="240" w:lineRule="auto"/>
      <w:ind w:left="709"/>
    </w:pPr>
  </w:style>
  <w:style w:type="paragraph" w:customStyle="1" w:styleId="ItemHead">
    <w:name w:val="ItemHead"/>
    <w:aliases w:val="ih"/>
    <w:basedOn w:val="OPCParaBase"/>
    <w:next w:val="Item"/>
    <w:rsid w:val="00B1229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229B"/>
    <w:pPr>
      <w:spacing w:line="240" w:lineRule="auto"/>
    </w:pPr>
    <w:rPr>
      <w:b/>
      <w:sz w:val="32"/>
    </w:rPr>
  </w:style>
  <w:style w:type="paragraph" w:customStyle="1" w:styleId="notedraft">
    <w:name w:val="note(draft)"/>
    <w:aliases w:val="nd"/>
    <w:basedOn w:val="OPCParaBase"/>
    <w:rsid w:val="00B1229B"/>
    <w:pPr>
      <w:spacing w:before="240" w:line="240" w:lineRule="auto"/>
      <w:ind w:left="284" w:hanging="284"/>
    </w:pPr>
    <w:rPr>
      <w:i/>
      <w:sz w:val="24"/>
    </w:rPr>
  </w:style>
  <w:style w:type="paragraph" w:customStyle="1" w:styleId="notemargin">
    <w:name w:val="note(margin)"/>
    <w:aliases w:val="nm"/>
    <w:basedOn w:val="OPCParaBase"/>
    <w:rsid w:val="00B1229B"/>
    <w:pPr>
      <w:tabs>
        <w:tab w:val="left" w:pos="709"/>
      </w:tabs>
      <w:spacing w:before="122" w:line="198" w:lineRule="exact"/>
      <w:ind w:left="709" w:hanging="709"/>
    </w:pPr>
    <w:rPr>
      <w:sz w:val="18"/>
    </w:rPr>
  </w:style>
  <w:style w:type="paragraph" w:customStyle="1" w:styleId="noteToPara">
    <w:name w:val="noteToPara"/>
    <w:aliases w:val="ntp"/>
    <w:basedOn w:val="OPCParaBase"/>
    <w:rsid w:val="00B1229B"/>
    <w:pPr>
      <w:spacing w:before="122" w:line="198" w:lineRule="exact"/>
      <w:ind w:left="2353" w:hanging="709"/>
    </w:pPr>
    <w:rPr>
      <w:sz w:val="18"/>
    </w:rPr>
  </w:style>
  <w:style w:type="paragraph" w:customStyle="1" w:styleId="noteParlAmend">
    <w:name w:val="note(ParlAmend)"/>
    <w:aliases w:val="npp"/>
    <w:basedOn w:val="OPCParaBase"/>
    <w:next w:val="ParlAmend"/>
    <w:rsid w:val="00B1229B"/>
    <w:pPr>
      <w:spacing w:line="240" w:lineRule="auto"/>
      <w:jc w:val="right"/>
    </w:pPr>
    <w:rPr>
      <w:rFonts w:ascii="Arial" w:hAnsi="Arial"/>
      <w:b/>
      <w:i/>
    </w:rPr>
  </w:style>
  <w:style w:type="paragraph" w:customStyle="1" w:styleId="Page1">
    <w:name w:val="Page1"/>
    <w:basedOn w:val="OPCParaBase"/>
    <w:rsid w:val="00B1229B"/>
    <w:pPr>
      <w:spacing w:before="5600" w:line="240" w:lineRule="auto"/>
    </w:pPr>
    <w:rPr>
      <w:b/>
      <w:sz w:val="32"/>
    </w:rPr>
  </w:style>
  <w:style w:type="paragraph" w:customStyle="1" w:styleId="PageBreak">
    <w:name w:val="PageBreak"/>
    <w:aliases w:val="pb"/>
    <w:basedOn w:val="OPCParaBase"/>
    <w:rsid w:val="00B1229B"/>
    <w:pPr>
      <w:spacing w:line="240" w:lineRule="auto"/>
    </w:pPr>
    <w:rPr>
      <w:sz w:val="20"/>
    </w:rPr>
  </w:style>
  <w:style w:type="paragraph" w:customStyle="1" w:styleId="paragraphsub">
    <w:name w:val="paragraph(sub)"/>
    <w:aliases w:val="aa"/>
    <w:basedOn w:val="OPCParaBase"/>
    <w:rsid w:val="00B1229B"/>
    <w:pPr>
      <w:tabs>
        <w:tab w:val="right" w:pos="1985"/>
      </w:tabs>
      <w:spacing w:before="40" w:line="240" w:lineRule="auto"/>
      <w:ind w:left="2098" w:hanging="2098"/>
    </w:pPr>
  </w:style>
  <w:style w:type="paragraph" w:customStyle="1" w:styleId="paragraphsub-sub">
    <w:name w:val="paragraph(sub-sub)"/>
    <w:aliases w:val="aaa"/>
    <w:basedOn w:val="OPCParaBase"/>
    <w:rsid w:val="00B1229B"/>
    <w:pPr>
      <w:tabs>
        <w:tab w:val="right" w:pos="2722"/>
      </w:tabs>
      <w:spacing w:before="40" w:line="240" w:lineRule="auto"/>
      <w:ind w:left="2835" w:hanging="2835"/>
    </w:pPr>
  </w:style>
  <w:style w:type="paragraph" w:customStyle="1" w:styleId="paragraph">
    <w:name w:val="paragraph"/>
    <w:aliases w:val="a"/>
    <w:basedOn w:val="OPCParaBase"/>
    <w:link w:val="paragraphChar"/>
    <w:rsid w:val="00B1229B"/>
    <w:pPr>
      <w:tabs>
        <w:tab w:val="right" w:pos="1531"/>
      </w:tabs>
      <w:spacing w:before="40" w:line="240" w:lineRule="auto"/>
      <w:ind w:left="1644" w:hanging="1644"/>
    </w:pPr>
  </w:style>
  <w:style w:type="paragraph" w:customStyle="1" w:styleId="ParlAmend">
    <w:name w:val="ParlAmend"/>
    <w:aliases w:val="pp"/>
    <w:basedOn w:val="OPCParaBase"/>
    <w:rsid w:val="00B1229B"/>
    <w:pPr>
      <w:spacing w:before="240" w:line="240" w:lineRule="atLeast"/>
      <w:ind w:hanging="567"/>
    </w:pPr>
    <w:rPr>
      <w:sz w:val="24"/>
    </w:rPr>
  </w:style>
  <w:style w:type="paragraph" w:customStyle="1" w:styleId="Penalty">
    <w:name w:val="Penalty"/>
    <w:basedOn w:val="OPCParaBase"/>
    <w:rsid w:val="00B1229B"/>
    <w:pPr>
      <w:tabs>
        <w:tab w:val="left" w:pos="2977"/>
      </w:tabs>
      <w:spacing w:before="180" w:line="240" w:lineRule="auto"/>
      <w:ind w:left="1985" w:hanging="851"/>
    </w:pPr>
  </w:style>
  <w:style w:type="paragraph" w:customStyle="1" w:styleId="Portfolio">
    <w:name w:val="Portfolio"/>
    <w:basedOn w:val="OPCParaBase"/>
    <w:rsid w:val="00B1229B"/>
    <w:pPr>
      <w:spacing w:line="240" w:lineRule="auto"/>
    </w:pPr>
    <w:rPr>
      <w:i/>
      <w:sz w:val="20"/>
    </w:rPr>
  </w:style>
  <w:style w:type="paragraph" w:customStyle="1" w:styleId="Preamble">
    <w:name w:val="Preamble"/>
    <w:basedOn w:val="OPCParaBase"/>
    <w:next w:val="Normal"/>
    <w:rsid w:val="00B1229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229B"/>
    <w:pPr>
      <w:spacing w:line="240" w:lineRule="auto"/>
    </w:pPr>
    <w:rPr>
      <w:i/>
      <w:sz w:val="20"/>
    </w:rPr>
  </w:style>
  <w:style w:type="paragraph" w:customStyle="1" w:styleId="Session">
    <w:name w:val="Session"/>
    <w:basedOn w:val="OPCParaBase"/>
    <w:rsid w:val="00B1229B"/>
    <w:pPr>
      <w:spacing w:line="240" w:lineRule="auto"/>
    </w:pPr>
    <w:rPr>
      <w:sz w:val="28"/>
    </w:rPr>
  </w:style>
  <w:style w:type="paragraph" w:customStyle="1" w:styleId="Sponsor">
    <w:name w:val="Sponsor"/>
    <w:basedOn w:val="OPCParaBase"/>
    <w:rsid w:val="00B1229B"/>
    <w:pPr>
      <w:spacing w:line="240" w:lineRule="auto"/>
    </w:pPr>
    <w:rPr>
      <w:i/>
    </w:rPr>
  </w:style>
  <w:style w:type="paragraph" w:customStyle="1" w:styleId="Subitem">
    <w:name w:val="Subitem"/>
    <w:aliases w:val="iss"/>
    <w:basedOn w:val="OPCParaBase"/>
    <w:rsid w:val="00B1229B"/>
    <w:pPr>
      <w:spacing w:before="180" w:line="240" w:lineRule="auto"/>
      <w:ind w:left="709" w:hanging="709"/>
    </w:pPr>
  </w:style>
  <w:style w:type="paragraph" w:customStyle="1" w:styleId="SubitemHead">
    <w:name w:val="SubitemHead"/>
    <w:aliases w:val="issh"/>
    <w:basedOn w:val="OPCParaBase"/>
    <w:rsid w:val="00B122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229B"/>
    <w:pPr>
      <w:spacing w:before="40" w:line="240" w:lineRule="auto"/>
      <w:ind w:left="1134"/>
    </w:pPr>
  </w:style>
  <w:style w:type="paragraph" w:customStyle="1" w:styleId="SubsectionHead">
    <w:name w:val="SubsectionHead"/>
    <w:aliases w:val="ssh"/>
    <w:basedOn w:val="OPCParaBase"/>
    <w:next w:val="subsection"/>
    <w:rsid w:val="00B1229B"/>
    <w:pPr>
      <w:keepNext/>
      <w:keepLines/>
      <w:spacing w:before="240" w:line="240" w:lineRule="auto"/>
      <w:ind w:left="1134"/>
    </w:pPr>
    <w:rPr>
      <w:i/>
    </w:rPr>
  </w:style>
  <w:style w:type="paragraph" w:customStyle="1" w:styleId="Tablea">
    <w:name w:val="Table(a)"/>
    <w:aliases w:val="ta"/>
    <w:basedOn w:val="OPCParaBase"/>
    <w:rsid w:val="00B1229B"/>
    <w:pPr>
      <w:spacing w:before="60" w:line="240" w:lineRule="auto"/>
      <w:ind w:left="284" w:hanging="284"/>
    </w:pPr>
    <w:rPr>
      <w:sz w:val="20"/>
    </w:rPr>
  </w:style>
  <w:style w:type="paragraph" w:customStyle="1" w:styleId="TableAA">
    <w:name w:val="Table(AA)"/>
    <w:aliases w:val="taaa"/>
    <w:basedOn w:val="OPCParaBase"/>
    <w:rsid w:val="00B1229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229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229B"/>
    <w:pPr>
      <w:spacing w:before="60" w:line="240" w:lineRule="atLeast"/>
    </w:pPr>
    <w:rPr>
      <w:sz w:val="20"/>
    </w:rPr>
  </w:style>
  <w:style w:type="paragraph" w:customStyle="1" w:styleId="TLPBoxTextnote">
    <w:name w:val="TLPBoxText(note"/>
    <w:aliases w:val="right)"/>
    <w:basedOn w:val="OPCParaBase"/>
    <w:rsid w:val="00B122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229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229B"/>
    <w:pPr>
      <w:spacing w:before="122" w:line="198" w:lineRule="exact"/>
      <w:ind w:left="1985" w:hanging="851"/>
      <w:jc w:val="right"/>
    </w:pPr>
    <w:rPr>
      <w:sz w:val="18"/>
    </w:rPr>
  </w:style>
  <w:style w:type="paragraph" w:customStyle="1" w:styleId="TLPTableBullet">
    <w:name w:val="TLPTableBullet"/>
    <w:aliases w:val="ttb"/>
    <w:basedOn w:val="OPCParaBase"/>
    <w:rsid w:val="00B1229B"/>
    <w:pPr>
      <w:spacing w:line="240" w:lineRule="exact"/>
      <w:ind w:left="284" w:hanging="284"/>
    </w:pPr>
    <w:rPr>
      <w:sz w:val="20"/>
    </w:rPr>
  </w:style>
  <w:style w:type="paragraph" w:styleId="TOC1">
    <w:name w:val="toc 1"/>
    <w:basedOn w:val="OPCParaBase"/>
    <w:next w:val="Normal"/>
    <w:uiPriority w:val="39"/>
    <w:semiHidden/>
    <w:unhideWhenUsed/>
    <w:rsid w:val="00B1229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1229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1229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1229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7437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1229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1229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1229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1229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229B"/>
    <w:pPr>
      <w:keepLines/>
      <w:spacing w:before="240" w:after="120" w:line="240" w:lineRule="auto"/>
      <w:ind w:left="794"/>
    </w:pPr>
    <w:rPr>
      <w:b/>
      <w:kern w:val="28"/>
      <w:sz w:val="20"/>
    </w:rPr>
  </w:style>
  <w:style w:type="paragraph" w:customStyle="1" w:styleId="TofSectsHeading">
    <w:name w:val="TofSects(Heading)"/>
    <w:basedOn w:val="OPCParaBase"/>
    <w:rsid w:val="00B1229B"/>
    <w:pPr>
      <w:spacing w:before="240" w:after="120" w:line="240" w:lineRule="auto"/>
    </w:pPr>
    <w:rPr>
      <w:b/>
      <w:sz w:val="24"/>
    </w:rPr>
  </w:style>
  <w:style w:type="paragraph" w:customStyle="1" w:styleId="TofSectsSection">
    <w:name w:val="TofSects(Section)"/>
    <w:basedOn w:val="OPCParaBase"/>
    <w:rsid w:val="00B1229B"/>
    <w:pPr>
      <w:keepLines/>
      <w:spacing w:before="40" w:line="240" w:lineRule="auto"/>
      <w:ind w:left="1588" w:hanging="794"/>
    </w:pPr>
    <w:rPr>
      <w:kern w:val="28"/>
      <w:sz w:val="18"/>
    </w:rPr>
  </w:style>
  <w:style w:type="paragraph" w:customStyle="1" w:styleId="TofSectsSubdiv">
    <w:name w:val="TofSects(Subdiv)"/>
    <w:basedOn w:val="OPCParaBase"/>
    <w:rsid w:val="00B1229B"/>
    <w:pPr>
      <w:keepLines/>
      <w:spacing w:before="80" w:line="240" w:lineRule="auto"/>
      <w:ind w:left="1588" w:hanging="794"/>
    </w:pPr>
    <w:rPr>
      <w:kern w:val="28"/>
    </w:rPr>
  </w:style>
  <w:style w:type="paragraph" w:customStyle="1" w:styleId="WRStyle">
    <w:name w:val="WR Style"/>
    <w:aliases w:val="WR"/>
    <w:basedOn w:val="OPCParaBase"/>
    <w:rsid w:val="00B1229B"/>
    <w:pPr>
      <w:spacing w:before="240" w:line="240" w:lineRule="auto"/>
      <w:ind w:left="284" w:hanging="284"/>
    </w:pPr>
    <w:rPr>
      <w:b/>
      <w:i/>
      <w:kern w:val="28"/>
      <w:sz w:val="24"/>
    </w:rPr>
  </w:style>
  <w:style w:type="paragraph" w:customStyle="1" w:styleId="notepara">
    <w:name w:val="note(para)"/>
    <w:aliases w:val="na"/>
    <w:basedOn w:val="OPCParaBase"/>
    <w:rsid w:val="00B1229B"/>
    <w:pPr>
      <w:spacing w:before="40" w:line="198" w:lineRule="exact"/>
      <w:ind w:left="2354" w:hanging="369"/>
    </w:pPr>
    <w:rPr>
      <w:sz w:val="18"/>
    </w:rPr>
  </w:style>
  <w:style w:type="paragraph" w:styleId="Footer">
    <w:name w:val="footer"/>
    <w:link w:val="FooterChar"/>
    <w:rsid w:val="00B1229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229B"/>
    <w:rPr>
      <w:rFonts w:eastAsia="Times New Roman" w:cs="Times New Roman"/>
      <w:sz w:val="22"/>
      <w:szCs w:val="24"/>
      <w:lang w:eastAsia="en-AU"/>
    </w:rPr>
  </w:style>
  <w:style w:type="character" w:styleId="LineNumber">
    <w:name w:val="line number"/>
    <w:basedOn w:val="OPCCharBase"/>
    <w:uiPriority w:val="99"/>
    <w:semiHidden/>
    <w:unhideWhenUsed/>
    <w:rsid w:val="00B1229B"/>
    <w:rPr>
      <w:sz w:val="16"/>
    </w:rPr>
  </w:style>
  <w:style w:type="table" w:customStyle="1" w:styleId="CFlag">
    <w:name w:val="CFlag"/>
    <w:basedOn w:val="TableNormal"/>
    <w:uiPriority w:val="99"/>
    <w:rsid w:val="00B1229B"/>
    <w:rPr>
      <w:rFonts w:eastAsia="Times New Roman" w:cs="Times New Roman"/>
      <w:lang w:eastAsia="en-AU"/>
    </w:rPr>
    <w:tblPr/>
  </w:style>
  <w:style w:type="paragraph" w:customStyle="1" w:styleId="NotesHeading1">
    <w:name w:val="NotesHeading 1"/>
    <w:basedOn w:val="OPCParaBase"/>
    <w:next w:val="Normal"/>
    <w:rsid w:val="00B1229B"/>
    <w:rPr>
      <w:b/>
      <w:sz w:val="28"/>
      <w:szCs w:val="28"/>
    </w:rPr>
  </w:style>
  <w:style w:type="paragraph" w:customStyle="1" w:styleId="NotesHeading2">
    <w:name w:val="NotesHeading 2"/>
    <w:basedOn w:val="OPCParaBase"/>
    <w:next w:val="Normal"/>
    <w:rsid w:val="00B1229B"/>
    <w:rPr>
      <w:b/>
      <w:sz w:val="28"/>
      <w:szCs w:val="28"/>
    </w:rPr>
  </w:style>
  <w:style w:type="paragraph" w:customStyle="1" w:styleId="SignCoverPageEnd">
    <w:name w:val="SignCoverPageEnd"/>
    <w:basedOn w:val="OPCParaBase"/>
    <w:next w:val="Normal"/>
    <w:rsid w:val="00B122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229B"/>
    <w:pPr>
      <w:pBdr>
        <w:top w:val="single" w:sz="4" w:space="1" w:color="auto"/>
      </w:pBdr>
      <w:spacing w:before="360"/>
      <w:ind w:right="397"/>
      <w:jc w:val="both"/>
    </w:pPr>
  </w:style>
  <w:style w:type="paragraph" w:customStyle="1" w:styleId="Paragraphsub-sub-sub">
    <w:name w:val="Paragraph(sub-sub-sub)"/>
    <w:aliases w:val="aaaa"/>
    <w:basedOn w:val="OPCParaBase"/>
    <w:rsid w:val="00B1229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22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22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22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229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1229B"/>
    <w:pPr>
      <w:spacing w:before="120"/>
    </w:pPr>
  </w:style>
  <w:style w:type="paragraph" w:customStyle="1" w:styleId="TableTextEndNotes">
    <w:name w:val="TableTextEndNotes"/>
    <w:aliases w:val="Tten"/>
    <w:basedOn w:val="Normal"/>
    <w:rsid w:val="00B1229B"/>
    <w:pPr>
      <w:spacing w:before="60" w:line="240" w:lineRule="auto"/>
    </w:pPr>
    <w:rPr>
      <w:rFonts w:cs="Arial"/>
      <w:sz w:val="20"/>
      <w:szCs w:val="22"/>
    </w:rPr>
  </w:style>
  <w:style w:type="paragraph" w:customStyle="1" w:styleId="TableHeading">
    <w:name w:val="TableHeading"/>
    <w:aliases w:val="th"/>
    <w:basedOn w:val="OPCParaBase"/>
    <w:next w:val="Tabletext"/>
    <w:rsid w:val="00B1229B"/>
    <w:pPr>
      <w:keepNext/>
      <w:spacing w:before="60" w:line="240" w:lineRule="atLeast"/>
    </w:pPr>
    <w:rPr>
      <w:b/>
      <w:sz w:val="20"/>
    </w:rPr>
  </w:style>
  <w:style w:type="paragraph" w:customStyle="1" w:styleId="NoteToSubpara">
    <w:name w:val="NoteToSubpara"/>
    <w:aliases w:val="nts"/>
    <w:basedOn w:val="OPCParaBase"/>
    <w:rsid w:val="00B1229B"/>
    <w:pPr>
      <w:spacing w:before="40" w:line="198" w:lineRule="exact"/>
      <w:ind w:left="2835" w:hanging="709"/>
    </w:pPr>
    <w:rPr>
      <w:sz w:val="18"/>
    </w:rPr>
  </w:style>
  <w:style w:type="paragraph" w:customStyle="1" w:styleId="ENoteTableHeading">
    <w:name w:val="ENoteTableHeading"/>
    <w:aliases w:val="enth"/>
    <w:basedOn w:val="OPCParaBase"/>
    <w:rsid w:val="00B1229B"/>
    <w:pPr>
      <w:keepNext/>
      <w:spacing w:before="60" w:line="240" w:lineRule="atLeast"/>
    </w:pPr>
    <w:rPr>
      <w:rFonts w:ascii="Arial" w:hAnsi="Arial"/>
      <w:b/>
      <w:sz w:val="16"/>
    </w:rPr>
  </w:style>
  <w:style w:type="paragraph" w:customStyle="1" w:styleId="ENoteTTi">
    <w:name w:val="ENoteTTi"/>
    <w:aliases w:val="entti"/>
    <w:basedOn w:val="OPCParaBase"/>
    <w:rsid w:val="00B1229B"/>
    <w:pPr>
      <w:keepNext/>
      <w:spacing w:before="60" w:line="240" w:lineRule="atLeast"/>
      <w:ind w:left="170"/>
    </w:pPr>
    <w:rPr>
      <w:sz w:val="16"/>
    </w:rPr>
  </w:style>
  <w:style w:type="paragraph" w:customStyle="1" w:styleId="ENotesHeading1">
    <w:name w:val="ENotesHeading 1"/>
    <w:aliases w:val="Enh1"/>
    <w:basedOn w:val="OPCParaBase"/>
    <w:next w:val="Normal"/>
    <w:rsid w:val="00B1229B"/>
    <w:pPr>
      <w:spacing w:before="120"/>
      <w:outlineLvl w:val="1"/>
    </w:pPr>
    <w:rPr>
      <w:b/>
      <w:sz w:val="28"/>
      <w:szCs w:val="28"/>
    </w:rPr>
  </w:style>
  <w:style w:type="paragraph" w:customStyle="1" w:styleId="ENotesHeading2">
    <w:name w:val="ENotesHeading 2"/>
    <w:aliases w:val="Enh2"/>
    <w:basedOn w:val="OPCParaBase"/>
    <w:next w:val="Normal"/>
    <w:rsid w:val="00B1229B"/>
    <w:pPr>
      <w:spacing w:before="120" w:after="120"/>
      <w:outlineLvl w:val="2"/>
    </w:pPr>
    <w:rPr>
      <w:b/>
      <w:sz w:val="24"/>
      <w:szCs w:val="28"/>
    </w:rPr>
  </w:style>
  <w:style w:type="paragraph" w:customStyle="1" w:styleId="ENoteTTIndentHeading">
    <w:name w:val="ENoteTTIndentHeading"/>
    <w:aliases w:val="enTTHi"/>
    <w:basedOn w:val="OPCParaBase"/>
    <w:rsid w:val="00B1229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1229B"/>
    <w:pPr>
      <w:spacing w:before="60" w:line="240" w:lineRule="atLeast"/>
    </w:pPr>
    <w:rPr>
      <w:sz w:val="16"/>
    </w:rPr>
  </w:style>
  <w:style w:type="paragraph" w:customStyle="1" w:styleId="MadeunderText">
    <w:name w:val="MadeunderText"/>
    <w:basedOn w:val="OPCParaBase"/>
    <w:next w:val="Normal"/>
    <w:rsid w:val="00B1229B"/>
    <w:pPr>
      <w:spacing w:before="240"/>
    </w:pPr>
    <w:rPr>
      <w:sz w:val="24"/>
      <w:szCs w:val="24"/>
    </w:rPr>
  </w:style>
  <w:style w:type="paragraph" w:customStyle="1" w:styleId="ENotesHeading3">
    <w:name w:val="ENotesHeading 3"/>
    <w:aliases w:val="Enh3"/>
    <w:basedOn w:val="OPCParaBase"/>
    <w:next w:val="Normal"/>
    <w:rsid w:val="00B1229B"/>
    <w:pPr>
      <w:keepNext/>
      <w:spacing w:before="120" w:line="240" w:lineRule="auto"/>
      <w:outlineLvl w:val="4"/>
    </w:pPr>
    <w:rPr>
      <w:b/>
      <w:szCs w:val="24"/>
    </w:rPr>
  </w:style>
  <w:style w:type="paragraph" w:customStyle="1" w:styleId="SubPartCASA">
    <w:name w:val="SubPart(CASA)"/>
    <w:aliases w:val="csp"/>
    <w:basedOn w:val="OPCParaBase"/>
    <w:next w:val="ActHead3"/>
    <w:rsid w:val="00B1229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1229B"/>
  </w:style>
  <w:style w:type="character" w:customStyle="1" w:styleId="CharSubPartNoCASA">
    <w:name w:val="CharSubPartNo(CASA)"/>
    <w:basedOn w:val="OPCCharBase"/>
    <w:uiPriority w:val="1"/>
    <w:rsid w:val="00B1229B"/>
  </w:style>
  <w:style w:type="paragraph" w:customStyle="1" w:styleId="ENoteTTIndentHeadingSub">
    <w:name w:val="ENoteTTIndentHeadingSub"/>
    <w:aliases w:val="enTTHis"/>
    <w:basedOn w:val="OPCParaBase"/>
    <w:rsid w:val="00B1229B"/>
    <w:pPr>
      <w:keepNext/>
      <w:spacing w:before="60" w:line="240" w:lineRule="atLeast"/>
      <w:ind w:left="340"/>
    </w:pPr>
    <w:rPr>
      <w:b/>
      <w:sz w:val="16"/>
    </w:rPr>
  </w:style>
  <w:style w:type="paragraph" w:customStyle="1" w:styleId="ENoteTTiSub">
    <w:name w:val="ENoteTTiSub"/>
    <w:aliases w:val="enttis"/>
    <w:basedOn w:val="OPCParaBase"/>
    <w:rsid w:val="00B1229B"/>
    <w:pPr>
      <w:keepNext/>
      <w:spacing w:before="60" w:line="240" w:lineRule="atLeast"/>
      <w:ind w:left="340"/>
    </w:pPr>
    <w:rPr>
      <w:sz w:val="16"/>
    </w:rPr>
  </w:style>
  <w:style w:type="paragraph" w:customStyle="1" w:styleId="SubDivisionMigration">
    <w:name w:val="SubDivisionMigration"/>
    <w:aliases w:val="sdm"/>
    <w:basedOn w:val="OPCParaBase"/>
    <w:rsid w:val="00B122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229B"/>
    <w:pPr>
      <w:keepNext/>
      <w:keepLines/>
      <w:spacing w:before="240" w:line="240" w:lineRule="auto"/>
      <w:ind w:left="1134" w:hanging="1134"/>
    </w:pPr>
    <w:rPr>
      <w:b/>
      <w:sz w:val="28"/>
    </w:rPr>
  </w:style>
  <w:style w:type="table" w:styleId="TableGrid">
    <w:name w:val="Table Grid"/>
    <w:basedOn w:val="TableNormal"/>
    <w:uiPriority w:val="59"/>
    <w:rsid w:val="00B1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1229B"/>
    <w:pPr>
      <w:spacing w:before="122" w:line="240" w:lineRule="auto"/>
      <w:ind w:left="1985" w:hanging="851"/>
    </w:pPr>
    <w:rPr>
      <w:sz w:val="18"/>
    </w:rPr>
  </w:style>
  <w:style w:type="paragraph" w:customStyle="1" w:styleId="FreeForm">
    <w:name w:val="FreeForm"/>
    <w:rsid w:val="00B1229B"/>
    <w:rPr>
      <w:rFonts w:ascii="Arial" w:hAnsi="Arial"/>
      <w:sz w:val="22"/>
    </w:rPr>
  </w:style>
  <w:style w:type="paragraph" w:customStyle="1" w:styleId="SOText">
    <w:name w:val="SO Text"/>
    <w:aliases w:val="sot"/>
    <w:link w:val="SOTextChar"/>
    <w:rsid w:val="00B1229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229B"/>
    <w:rPr>
      <w:sz w:val="22"/>
    </w:rPr>
  </w:style>
  <w:style w:type="paragraph" w:customStyle="1" w:styleId="SOTextNote">
    <w:name w:val="SO TextNote"/>
    <w:aliases w:val="sont"/>
    <w:basedOn w:val="SOText"/>
    <w:qFormat/>
    <w:rsid w:val="00B1229B"/>
    <w:pPr>
      <w:spacing w:before="122" w:line="198" w:lineRule="exact"/>
      <w:ind w:left="1843" w:hanging="709"/>
    </w:pPr>
    <w:rPr>
      <w:sz w:val="18"/>
    </w:rPr>
  </w:style>
  <w:style w:type="paragraph" w:customStyle="1" w:styleId="SOPara">
    <w:name w:val="SO Para"/>
    <w:aliases w:val="soa"/>
    <w:basedOn w:val="SOText"/>
    <w:link w:val="SOParaChar"/>
    <w:qFormat/>
    <w:rsid w:val="00B1229B"/>
    <w:pPr>
      <w:tabs>
        <w:tab w:val="right" w:pos="1786"/>
      </w:tabs>
      <w:spacing w:before="40"/>
      <w:ind w:left="2070" w:hanging="936"/>
    </w:pPr>
  </w:style>
  <w:style w:type="character" w:customStyle="1" w:styleId="SOParaChar">
    <w:name w:val="SO Para Char"/>
    <w:aliases w:val="soa Char"/>
    <w:basedOn w:val="DefaultParagraphFont"/>
    <w:link w:val="SOPara"/>
    <w:rsid w:val="00B1229B"/>
    <w:rPr>
      <w:sz w:val="22"/>
    </w:rPr>
  </w:style>
  <w:style w:type="paragraph" w:customStyle="1" w:styleId="FileName">
    <w:name w:val="FileName"/>
    <w:basedOn w:val="Normal"/>
    <w:rsid w:val="00B1229B"/>
  </w:style>
  <w:style w:type="paragraph" w:customStyle="1" w:styleId="SOHeadBold">
    <w:name w:val="SO HeadBold"/>
    <w:aliases w:val="sohb"/>
    <w:basedOn w:val="SOText"/>
    <w:next w:val="SOText"/>
    <w:link w:val="SOHeadBoldChar"/>
    <w:qFormat/>
    <w:rsid w:val="00B1229B"/>
    <w:rPr>
      <w:b/>
    </w:rPr>
  </w:style>
  <w:style w:type="character" w:customStyle="1" w:styleId="SOHeadBoldChar">
    <w:name w:val="SO HeadBold Char"/>
    <w:aliases w:val="sohb Char"/>
    <w:basedOn w:val="DefaultParagraphFont"/>
    <w:link w:val="SOHeadBold"/>
    <w:rsid w:val="00B1229B"/>
    <w:rPr>
      <w:b/>
      <w:sz w:val="22"/>
    </w:rPr>
  </w:style>
  <w:style w:type="paragraph" w:customStyle="1" w:styleId="SOHeadItalic">
    <w:name w:val="SO HeadItalic"/>
    <w:aliases w:val="sohi"/>
    <w:basedOn w:val="SOText"/>
    <w:next w:val="SOText"/>
    <w:link w:val="SOHeadItalicChar"/>
    <w:qFormat/>
    <w:rsid w:val="00B1229B"/>
    <w:rPr>
      <w:i/>
    </w:rPr>
  </w:style>
  <w:style w:type="character" w:customStyle="1" w:styleId="SOHeadItalicChar">
    <w:name w:val="SO HeadItalic Char"/>
    <w:aliases w:val="sohi Char"/>
    <w:basedOn w:val="DefaultParagraphFont"/>
    <w:link w:val="SOHeadItalic"/>
    <w:rsid w:val="00B1229B"/>
    <w:rPr>
      <w:i/>
      <w:sz w:val="22"/>
    </w:rPr>
  </w:style>
  <w:style w:type="paragraph" w:customStyle="1" w:styleId="SOBullet">
    <w:name w:val="SO Bullet"/>
    <w:aliases w:val="sotb"/>
    <w:basedOn w:val="SOText"/>
    <w:link w:val="SOBulletChar"/>
    <w:qFormat/>
    <w:rsid w:val="00B1229B"/>
    <w:pPr>
      <w:ind w:left="1559" w:hanging="425"/>
    </w:pPr>
  </w:style>
  <w:style w:type="character" w:customStyle="1" w:styleId="SOBulletChar">
    <w:name w:val="SO Bullet Char"/>
    <w:aliases w:val="sotb Char"/>
    <w:basedOn w:val="DefaultParagraphFont"/>
    <w:link w:val="SOBullet"/>
    <w:rsid w:val="00B1229B"/>
    <w:rPr>
      <w:sz w:val="22"/>
    </w:rPr>
  </w:style>
  <w:style w:type="paragraph" w:customStyle="1" w:styleId="SOBulletNote">
    <w:name w:val="SO BulletNote"/>
    <w:aliases w:val="sonb"/>
    <w:basedOn w:val="SOTextNote"/>
    <w:link w:val="SOBulletNoteChar"/>
    <w:qFormat/>
    <w:rsid w:val="00B1229B"/>
    <w:pPr>
      <w:tabs>
        <w:tab w:val="left" w:pos="1560"/>
      </w:tabs>
      <w:ind w:left="2268" w:hanging="1134"/>
    </w:pPr>
  </w:style>
  <w:style w:type="character" w:customStyle="1" w:styleId="SOBulletNoteChar">
    <w:name w:val="SO BulletNote Char"/>
    <w:aliases w:val="sonb Char"/>
    <w:basedOn w:val="DefaultParagraphFont"/>
    <w:link w:val="SOBulletNote"/>
    <w:rsid w:val="00B1229B"/>
    <w:rPr>
      <w:sz w:val="18"/>
    </w:rPr>
  </w:style>
  <w:style w:type="paragraph" w:customStyle="1" w:styleId="SOText2">
    <w:name w:val="SO Text2"/>
    <w:aliases w:val="sot2"/>
    <w:basedOn w:val="Normal"/>
    <w:next w:val="SOText"/>
    <w:link w:val="SOText2Char"/>
    <w:rsid w:val="00B1229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229B"/>
    <w:rPr>
      <w:sz w:val="22"/>
    </w:rPr>
  </w:style>
  <w:style w:type="paragraph" w:customStyle="1" w:styleId="Transitional">
    <w:name w:val="Transitional"/>
    <w:aliases w:val="tr"/>
    <w:basedOn w:val="ItemHead"/>
    <w:next w:val="Item"/>
    <w:rsid w:val="00B1229B"/>
  </w:style>
  <w:style w:type="character" w:customStyle="1" w:styleId="subsectionChar">
    <w:name w:val="subsection Char"/>
    <w:aliases w:val="ss Char"/>
    <w:basedOn w:val="DefaultParagraphFont"/>
    <w:link w:val="subsection"/>
    <w:locked/>
    <w:rsid w:val="00330778"/>
    <w:rPr>
      <w:rFonts w:eastAsia="Times New Roman" w:cs="Times New Roman"/>
      <w:sz w:val="22"/>
      <w:lang w:eastAsia="en-AU"/>
    </w:rPr>
  </w:style>
  <w:style w:type="character" w:customStyle="1" w:styleId="notetextChar">
    <w:name w:val="note(text) Char"/>
    <w:aliases w:val="n Char"/>
    <w:basedOn w:val="DefaultParagraphFont"/>
    <w:link w:val="notetext"/>
    <w:rsid w:val="00330778"/>
    <w:rPr>
      <w:rFonts w:eastAsia="Times New Roman" w:cs="Times New Roman"/>
      <w:sz w:val="18"/>
      <w:lang w:eastAsia="en-AU"/>
    </w:rPr>
  </w:style>
  <w:style w:type="character" w:customStyle="1" w:styleId="paragraphChar">
    <w:name w:val="paragraph Char"/>
    <w:aliases w:val="a Char"/>
    <w:basedOn w:val="DefaultParagraphFont"/>
    <w:link w:val="paragraph"/>
    <w:locked/>
    <w:rsid w:val="00330778"/>
    <w:rPr>
      <w:rFonts w:eastAsia="Times New Roman" w:cs="Times New Roman"/>
      <w:sz w:val="22"/>
      <w:lang w:eastAsia="en-AU"/>
    </w:rPr>
  </w:style>
  <w:style w:type="character" w:customStyle="1" w:styleId="ActHead5Char">
    <w:name w:val="ActHead 5 Char"/>
    <w:aliases w:val="s Char"/>
    <w:link w:val="ActHead5"/>
    <w:locked/>
    <w:rsid w:val="00330778"/>
    <w:rPr>
      <w:rFonts w:eastAsia="Times New Roman" w:cs="Times New Roman"/>
      <w:b/>
      <w:kern w:val="28"/>
      <w:sz w:val="24"/>
      <w:lang w:eastAsia="en-AU"/>
    </w:rPr>
  </w:style>
  <w:style w:type="character" w:styleId="Hyperlink">
    <w:name w:val="Hyperlink"/>
    <w:basedOn w:val="DefaultParagraphFont"/>
    <w:uiPriority w:val="99"/>
    <w:semiHidden/>
    <w:unhideWhenUsed/>
    <w:rsid w:val="00A50712"/>
    <w:rPr>
      <w:color w:val="0000FF" w:themeColor="hyperlink"/>
      <w:u w:val="single"/>
    </w:rPr>
  </w:style>
  <w:style w:type="character" w:styleId="FollowedHyperlink">
    <w:name w:val="FollowedHyperlink"/>
    <w:basedOn w:val="DefaultParagraphFont"/>
    <w:uiPriority w:val="99"/>
    <w:semiHidden/>
    <w:unhideWhenUsed/>
    <w:rsid w:val="00A50712"/>
    <w:rPr>
      <w:color w:val="0000FF" w:themeColor="hyperlink"/>
      <w:u w:val="single"/>
    </w:rPr>
  </w:style>
  <w:style w:type="character" w:customStyle="1" w:styleId="Heading1Char">
    <w:name w:val="Heading 1 Char"/>
    <w:basedOn w:val="DefaultParagraphFont"/>
    <w:link w:val="Heading1"/>
    <w:uiPriority w:val="9"/>
    <w:rsid w:val="00A5071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5071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5071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5071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5071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5071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5071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507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0712"/>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A50712"/>
    <w:pPr>
      <w:spacing w:before="800"/>
    </w:pPr>
  </w:style>
  <w:style w:type="character" w:customStyle="1" w:styleId="ShortTP1Char">
    <w:name w:val="ShortTP1 Char"/>
    <w:basedOn w:val="DefaultParagraphFont"/>
    <w:link w:val="ShortTP1"/>
    <w:rsid w:val="00A50712"/>
    <w:rPr>
      <w:rFonts w:eastAsia="Times New Roman" w:cs="Times New Roman"/>
      <w:b/>
      <w:sz w:val="40"/>
      <w:lang w:eastAsia="en-AU"/>
    </w:rPr>
  </w:style>
  <w:style w:type="paragraph" w:customStyle="1" w:styleId="ActNoP1">
    <w:name w:val="ActNoP1"/>
    <w:basedOn w:val="Actno"/>
    <w:link w:val="ActNoP1Char"/>
    <w:rsid w:val="00A50712"/>
    <w:pPr>
      <w:spacing w:before="800"/>
    </w:pPr>
    <w:rPr>
      <w:sz w:val="28"/>
    </w:rPr>
  </w:style>
  <w:style w:type="character" w:customStyle="1" w:styleId="ActNoP1Char">
    <w:name w:val="ActNoP1 Char"/>
    <w:basedOn w:val="DefaultParagraphFont"/>
    <w:link w:val="ActNoP1"/>
    <w:rsid w:val="00A50712"/>
    <w:rPr>
      <w:rFonts w:eastAsia="Times New Roman" w:cs="Times New Roman"/>
      <w:b/>
      <w:sz w:val="28"/>
      <w:lang w:eastAsia="en-AU"/>
    </w:rPr>
  </w:style>
  <w:style w:type="paragraph" w:customStyle="1" w:styleId="AssentBk">
    <w:name w:val="AssentBk"/>
    <w:basedOn w:val="Normal"/>
    <w:rsid w:val="00A50712"/>
    <w:pPr>
      <w:spacing w:line="240" w:lineRule="auto"/>
    </w:pPr>
    <w:rPr>
      <w:rFonts w:eastAsia="Times New Roman" w:cs="Times New Roman"/>
      <w:sz w:val="20"/>
      <w:lang w:eastAsia="en-AU"/>
    </w:rPr>
  </w:style>
  <w:style w:type="paragraph" w:customStyle="1" w:styleId="AssentDt">
    <w:name w:val="AssentDt"/>
    <w:basedOn w:val="Normal"/>
    <w:rsid w:val="00F74375"/>
    <w:pPr>
      <w:spacing w:line="240" w:lineRule="auto"/>
    </w:pPr>
    <w:rPr>
      <w:rFonts w:eastAsia="Times New Roman" w:cs="Times New Roman"/>
      <w:sz w:val="20"/>
      <w:lang w:eastAsia="en-AU"/>
    </w:rPr>
  </w:style>
  <w:style w:type="paragraph" w:customStyle="1" w:styleId="2ndRd">
    <w:name w:val="2ndRd"/>
    <w:basedOn w:val="Normal"/>
    <w:rsid w:val="00F74375"/>
    <w:pPr>
      <w:spacing w:line="240" w:lineRule="auto"/>
    </w:pPr>
    <w:rPr>
      <w:rFonts w:eastAsia="Times New Roman" w:cs="Times New Roman"/>
      <w:sz w:val="20"/>
      <w:lang w:eastAsia="en-AU"/>
    </w:rPr>
  </w:style>
  <w:style w:type="paragraph" w:customStyle="1" w:styleId="ScalePlusRef">
    <w:name w:val="ScalePlusRef"/>
    <w:basedOn w:val="Normal"/>
    <w:rsid w:val="00F7437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20</Pages>
  <Words>3146</Words>
  <Characters>17933</Characters>
  <Application>Microsoft Office Word</Application>
  <DocSecurity>0</DocSecurity>
  <PresentationFormat/>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2022-11-27T20:53:00Z</dcterms:created>
  <dcterms:modified xsi:type="dcterms:W3CDTF">2023-03-15T05:58:00Z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Higher Education Support Amendment (Australia’s Economic Accelerator) Act 2023</vt:lpwstr>
  </property>
  <property fmtid="{D5CDD505-2E9C-101B-9397-08002B2CF9AE}" pid="3" name="ActNo">
    <vt:lpwstr>No. 5,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OPC8168</vt:lpwstr>
  </property>
  <property fmtid="{D5CDD505-2E9C-101B-9397-08002B2CF9AE}" pid="10" name="MSIP_Label_234ea0fa-41da-4eb0-b95e-07c328641c0b_Enabled">
    <vt:lpwstr>true</vt:lpwstr>
  </property>
  <property fmtid="{D5CDD505-2E9C-101B-9397-08002B2CF9AE}" pid="11" name="MSIP_Label_234ea0fa-41da-4eb0-b95e-07c328641c0b_SetDate">
    <vt:lpwstr>2023-03-07T01:32:32Z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1aee2a05-fc7d-42e3-a684-bfefb75d0767</vt:lpwstr>
  </property>
  <property fmtid="{D5CDD505-2E9C-101B-9397-08002B2CF9AE}" pid="16" name="MSIP_Label_234ea0fa-41da-4eb0-b95e-07c328641c0b_ContentBits">
    <vt:lpwstr>0</vt:lpwstr>
  </property>
</Properties>
</file>