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229140"/>
    <w:p w14:paraId="7FB6B2EB" w14:textId="30BE4B56" w:rsidR="005A59CA" w:rsidRDefault="005A59CA" w:rsidP="005A59CA">
      <w:r>
        <w:object w:dxaOrig="2146" w:dyaOrig="1561" w14:anchorId="571E8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2803596" r:id="rId8"/>
        </w:object>
      </w:r>
    </w:p>
    <w:p w14:paraId="543681B1" w14:textId="77777777" w:rsidR="005A59CA" w:rsidRDefault="005A59CA" w:rsidP="005A59CA"/>
    <w:p w14:paraId="680324EE" w14:textId="77777777" w:rsidR="005A59CA" w:rsidRDefault="005A59CA" w:rsidP="005A59CA"/>
    <w:p w14:paraId="05FAE7B7" w14:textId="77777777" w:rsidR="005A59CA" w:rsidRDefault="005A59CA" w:rsidP="005A59CA"/>
    <w:p w14:paraId="7644B52A" w14:textId="77777777" w:rsidR="005A59CA" w:rsidRDefault="005A59CA" w:rsidP="005A59CA"/>
    <w:p w14:paraId="5BB0AE21" w14:textId="77777777" w:rsidR="005A59CA" w:rsidRDefault="005A59CA" w:rsidP="005A59CA"/>
    <w:p w14:paraId="453734F3" w14:textId="77777777" w:rsidR="005A59CA" w:rsidRDefault="005A59CA" w:rsidP="005A59CA"/>
    <w:p w14:paraId="541C99A5" w14:textId="136E3BC3" w:rsidR="0048364F" w:rsidRPr="000F422D" w:rsidRDefault="005A59CA" w:rsidP="0048364F">
      <w:pPr>
        <w:pStyle w:val="ShortT"/>
      </w:pPr>
      <w:r>
        <w:t>Workplace Gender Equali</w:t>
      </w:r>
      <w:bookmarkStart w:id="1" w:name="_GoBack"/>
      <w:bookmarkEnd w:id="1"/>
      <w:r>
        <w:t>ty Amendment (Closing the Gender Pay Gap) Act 2023</w:t>
      </w:r>
    </w:p>
    <w:bookmarkEnd w:id="0"/>
    <w:p w14:paraId="683F2F5F" w14:textId="77777777" w:rsidR="0048364F" w:rsidRPr="000F422D" w:rsidRDefault="0048364F" w:rsidP="0048364F"/>
    <w:p w14:paraId="5B0946F2" w14:textId="54EA19F1" w:rsidR="00982597" w:rsidRPr="000F422D" w:rsidRDefault="00982597" w:rsidP="005A59CA">
      <w:pPr>
        <w:pStyle w:val="Actno"/>
        <w:spacing w:before="400"/>
      </w:pPr>
      <w:r w:rsidRPr="000F422D">
        <w:t>No.</w:t>
      </w:r>
      <w:r w:rsidR="00341F08">
        <w:t xml:space="preserve"> 18</w:t>
      </w:r>
      <w:r w:rsidRPr="000F422D">
        <w:t>, 2023</w:t>
      </w:r>
    </w:p>
    <w:p w14:paraId="0DF3A049" w14:textId="77777777" w:rsidR="0048364F" w:rsidRPr="000F422D" w:rsidRDefault="0048364F" w:rsidP="0048364F"/>
    <w:p w14:paraId="226A275F" w14:textId="77777777" w:rsidR="00341A7D" w:rsidRDefault="00341A7D" w:rsidP="00341A7D">
      <w:pPr>
        <w:rPr>
          <w:lang w:eastAsia="en-AU"/>
        </w:rPr>
      </w:pPr>
    </w:p>
    <w:p w14:paraId="29971A74" w14:textId="5FF7043B" w:rsidR="0048364F" w:rsidRPr="000F422D" w:rsidRDefault="0048364F" w:rsidP="0048364F"/>
    <w:p w14:paraId="24DE95EE" w14:textId="77777777" w:rsidR="0048364F" w:rsidRPr="000F422D" w:rsidRDefault="0048364F" w:rsidP="0048364F"/>
    <w:p w14:paraId="0A2A915F" w14:textId="77777777" w:rsidR="0048364F" w:rsidRPr="000F422D" w:rsidRDefault="0048364F" w:rsidP="0048364F"/>
    <w:p w14:paraId="4198CA08" w14:textId="77777777" w:rsidR="005A59CA" w:rsidRDefault="005A59CA" w:rsidP="005A59CA">
      <w:pPr>
        <w:pStyle w:val="LongT"/>
      </w:pPr>
      <w:r>
        <w:t xml:space="preserve">An Act to amend the </w:t>
      </w:r>
      <w:r w:rsidRPr="005A59CA">
        <w:rPr>
          <w:i/>
        </w:rPr>
        <w:t>Workplace Gender Equality Act 2012</w:t>
      </w:r>
      <w:r>
        <w:t>, and for related purposes</w:t>
      </w:r>
    </w:p>
    <w:p w14:paraId="0DA3286B" w14:textId="12F7A59A" w:rsidR="0048364F" w:rsidRPr="000F422D" w:rsidRDefault="0048364F" w:rsidP="0048364F">
      <w:pPr>
        <w:pStyle w:val="Header"/>
        <w:tabs>
          <w:tab w:val="clear" w:pos="4150"/>
          <w:tab w:val="clear" w:pos="8307"/>
        </w:tabs>
      </w:pPr>
      <w:r w:rsidRPr="000F422D">
        <w:rPr>
          <w:rStyle w:val="CharAmSchNo"/>
        </w:rPr>
        <w:t xml:space="preserve"> </w:t>
      </w:r>
      <w:r w:rsidRPr="000F422D">
        <w:rPr>
          <w:rStyle w:val="CharAmSchText"/>
        </w:rPr>
        <w:t xml:space="preserve"> </w:t>
      </w:r>
    </w:p>
    <w:p w14:paraId="4752482B" w14:textId="77777777" w:rsidR="0048364F" w:rsidRPr="000F422D" w:rsidRDefault="0048364F" w:rsidP="0048364F">
      <w:pPr>
        <w:pStyle w:val="Header"/>
        <w:tabs>
          <w:tab w:val="clear" w:pos="4150"/>
          <w:tab w:val="clear" w:pos="8307"/>
        </w:tabs>
      </w:pPr>
      <w:r w:rsidRPr="000F422D">
        <w:rPr>
          <w:rStyle w:val="CharAmPartNo"/>
        </w:rPr>
        <w:t xml:space="preserve"> </w:t>
      </w:r>
      <w:r w:rsidRPr="000F422D">
        <w:rPr>
          <w:rStyle w:val="CharAmPartText"/>
        </w:rPr>
        <w:t xml:space="preserve"> </w:t>
      </w:r>
    </w:p>
    <w:p w14:paraId="3AA77569" w14:textId="77777777" w:rsidR="0048364F" w:rsidRPr="000F422D" w:rsidRDefault="0048364F" w:rsidP="0048364F">
      <w:pPr>
        <w:sectPr w:rsidR="0048364F" w:rsidRPr="000F422D" w:rsidSect="005A59CA">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550042D" w14:textId="77777777" w:rsidR="0048364F" w:rsidRPr="000F422D" w:rsidRDefault="0048364F" w:rsidP="0048364F">
      <w:pPr>
        <w:outlineLvl w:val="0"/>
        <w:rPr>
          <w:sz w:val="36"/>
        </w:rPr>
      </w:pPr>
      <w:r w:rsidRPr="000F422D">
        <w:rPr>
          <w:sz w:val="36"/>
        </w:rPr>
        <w:lastRenderedPageBreak/>
        <w:t>Contents</w:t>
      </w:r>
    </w:p>
    <w:p w14:paraId="535E91A2" w14:textId="5728ECE0" w:rsidR="00197D09" w:rsidRDefault="00197D0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97D09">
        <w:rPr>
          <w:noProof/>
        </w:rPr>
        <w:tab/>
      </w:r>
      <w:r w:rsidRPr="00197D09">
        <w:rPr>
          <w:noProof/>
        </w:rPr>
        <w:fldChar w:fldCharType="begin"/>
      </w:r>
      <w:r w:rsidRPr="00197D09">
        <w:rPr>
          <w:noProof/>
        </w:rPr>
        <w:instrText xml:space="preserve"> PAGEREF _Toc132190351 \h </w:instrText>
      </w:r>
      <w:r w:rsidRPr="00197D09">
        <w:rPr>
          <w:noProof/>
        </w:rPr>
      </w:r>
      <w:r w:rsidRPr="00197D09">
        <w:rPr>
          <w:noProof/>
        </w:rPr>
        <w:fldChar w:fldCharType="separate"/>
      </w:r>
      <w:r w:rsidR="0083664B">
        <w:rPr>
          <w:noProof/>
        </w:rPr>
        <w:t>1</w:t>
      </w:r>
      <w:r w:rsidRPr="00197D09">
        <w:rPr>
          <w:noProof/>
        </w:rPr>
        <w:fldChar w:fldCharType="end"/>
      </w:r>
    </w:p>
    <w:p w14:paraId="6E05C320" w14:textId="1B7E54A2" w:rsidR="00197D09" w:rsidRDefault="00197D09">
      <w:pPr>
        <w:pStyle w:val="TOC5"/>
        <w:rPr>
          <w:rFonts w:asciiTheme="minorHAnsi" w:eastAsiaTheme="minorEastAsia" w:hAnsiTheme="minorHAnsi" w:cstheme="minorBidi"/>
          <w:noProof/>
          <w:kern w:val="0"/>
          <w:sz w:val="22"/>
          <w:szCs w:val="22"/>
        </w:rPr>
      </w:pPr>
      <w:r>
        <w:rPr>
          <w:noProof/>
        </w:rPr>
        <w:t>2</w:t>
      </w:r>
      <w:r>
        <w:rPr>
          <w:noProof/>
        </w:rPr>
        <w:tab/>
        <w:t>Commencement</w:t>
      </w:r>
      <w:r w:rsidRPr="00197D09">
        <w:rPr>
          <w:noProof/>
        </w:rPr>
        <w:tab/>
      </w:r>
      <w:r w:rsidRPr="00197D09">
        <w:rPr>
          <w:noProof/>
        </w:rPr>
        <w:fldChar w:fldCharType="begin"/>
      </w:r>
      <w:r w:rsidRPr="00197D09">
        <w:rPr>
          <w:noProof/>
        </w:rPr>
        <w:instrText xml:space="preserve"> PAGEREF _Toc132190352 \h </w:instrText>
      </w:r>
      <w:r w:rsidRPr="00197D09">
        <w:rPr>
          <w:noProof/>
        </w:rPr>
      </w:r>
      <w:r w:rsidRPr="00197D09">
        <w:rPr>
          <w:noProof/>
        </w:rPr>
        <w:fldChar w:fldCharType="separate"/>
      </w:r>
      <w:r w:rsidR="0083664B">
        <w:rPr>
          <w:noProof/>
        </w:rPr>
        <w:t>2</w:t>
      </w:r>
      <w:r w:rsidRPr="00197D09">
        <w:rPr>
          <w:noProof/>
        </w:rPr>
        <w:fldChar w:fldCharType="end"/>
      </w:r>
    </w:p>
    <w:p w14:paraId="6E1B8335" w14:textId="7D2E1349" w:rsidR="00197D09" w:rsidRDefault="00197D09">
      <w:pPr>
        <w:pStyle w:val="TOC5"/>
        <w:rPr>
          <w:rFonts w:asciiTheme="minorHAnsi" w:eastAsiaTheme="minorEastAsia" w:hAnsiTheme="minorHAnsi" w:cstheme="minorBidi"/>
          <w:noProof/>
          <w:kern w:val="0"/>
          <w:sz w:val="22"/>
          <w:szCs w:val="22"/>
        </w:rPr>
      </w:pPr>
      <w:r>
        <w:rPr>
          <w:noProof/>
        </w:rPr>
        <w:t>3</w:t>
      </w:r>
      <w:r>
        <w:rPr>
          <w:noProof/>
        </w:rPr>
        <w:tab/>
        <w:t>Schedules</w:t>
      </w:r>
      <w:r w:rsidRPr="00197D09">
        <w:rPr>
          <w:noProof/>
        </w:rPr>
        <w:tab/>
      </w:r>
      <w:r w:rsidRPr="00197D09">
        <w:rPr>
          <w:noProof/>
        </w:rPr>
        <w:fldChar w:fldCharType="begin"/>
      </w:r>
      <w:r w:rsidRPr="00197D09">
        <w:rPr>
          <w:noProof/>
        </w:rPr>
        <w:instrText xml:space="preserve"> PAGEREF _Toc132190353 \h </w:instrText>
      </w:r>
      <w:r w:rsidRPr="00197D09">
        <w:rPr>
          <w:noProof/>
        </w:rPr>
      </w:r>
      <w:r w:rsidRPr="00197D09">
        <w:rPr>
          <w:noProof/>
        </w:rPr>
        <w:fldChar w:fldCharType="separate"/>
      </w:r>
      <w:r w:rsidR="0083664B">
        <w:rPr>
          <w:noProof/>
        </w:rPr>
        <w:t>2</w:t>
      </w:r>
      <w:r w:rsidRPr="00197D09">
        <w:rPr>
          <w:noProof/>
        </w:rPr>
        <w:fldChar w:fldCharType="end"/>
      </w:r>
    </w:p>
    <w:p w14:paraId="30856757" w14:textId="78A37D7D" w:rsidR="00197D09" w:rsidRDefault="00197D09">
      <w:pPr>
        <w:pStyle w:val="TOC6"/>
        <w:rPr>
          <w:rFonts w:asciiTheme="minorHAnsi" w:eastAsiaTheme="minorEastAsia" w:hAnsiTheme="minorHAnsi" w:cstheme="minorBidi"/>
          <w:b w:val="0"/>
          <w:noProof/>
          <w:kern w:val="0"/>
          <w:sz w:val="22"/>
          <w:szCs w:val="22"/>
        </w:rPr>
      </w:pPr>
      <w:r>
        <w:rPr>
          <w:noProof/>
        </w:rPr>
        <w:t>Schedule 1—Amendments</w:t>
      </w:r>
      <w:r w:rsidRPr="00197D09">
        <w:rPr>
          <w:b w:val="0"/>
          <w:noProof/>
          <w:sz w:val="18"/>
        </w:rPr>
        <w:tab/>
      </w:r>
      <w:r w:rsidRPr="00197D09">
        <w:rPr>
          <w:b w:val="0"/>
          <w:noProof/>
          <w:sz w:val="18"/>
        </w:rPr>
        <w:fldChar w:fldCharType="begin"/>
      </w:r>
      <w:r w:rsidRPr="00197D09">
        <w:rPr>
          <w:b w:val="0"/>
          <w:noProof/>
          <w:sz w:val="18"/>
        </w:rPr>
        <w:instrText xml:space="preserve"> PAGEREF _Toc132190354 \h </w:instrText>
      </w:r>
      <w:r w:rsidRPr="00197D09">
        <w:rPr>
          <w:b w:val="0"/>
          <w:noProof/>
          <w:sz w:val="18"/>
        </w:rPr>
      </w:r>
      <w:r w:rsidRPr="00197D09">
        <w:rPr>
          <w:b w:val="0"/>
          <w:noProof/>
          <w:sz w:val="18"/>
        </w:rPr>
        <w:fldChar w:fldCharType="separate"/>
      </w:r>
      <w:r w:rsidR="0083664B">
        <w:rPr>
          <w:b w:val="0"/>
          <w:noProof/>
          <w:sz w:val="18"/>
        </w:rPr>
        <w:t>3</w:t>
      </w:r>
      <w:r w:rsidRPr="00197D09">
        <w:rPr>
          <w:b w:val="0"/>
          <w:noProof/>
          <w:sz w:val="18"/>
        </w:rPr>
        <w:fldChar w:fldCharType="end"/>
      </w:r>
    </w:p>
    <w:p w14:paraId="08DA3B6B" w14:textId="587B3F25" w:rsidR="00197D09" w:rsidRDefault="00197D09">
      <w:pPr>
        <w:pStyle w:val="TOC7"/>
        <w:rPr>
          <w:rFonts w:asciiTheme="minorHAnsi" w:eastAsiaTheme="minorEastAsia" w:hAnsiTheme="minorHAnsi" w:cstheme="minorBidi"/>
          <w:noProof/>
          <w:kern w:val="0"/>
          <w:sz w:val="22"/>
          <w:szCs w:val="22"/>
        </w:rPr>
      </w:pPr>
      <w:r>
        <w:rPr>
          <w:noProof/>
        </w:rPr>
        <w:t>Part 1—Amendments</w:t>
      </w:r>
      <w:r w:rsidRPr="00197D09">
        <w:rPr>
          <w:noProof/>
          <w:sz w:val="18"/>
        </w:rPr>
        <w:tab/>
      </w:r>
      <w:r w:rsidRPr="00197D09">
        <w:rPr>
          <w:noProof/>
          <w:sz w:val="18"/>
        </w:rPr>
        <w:fldChar w:fldCharType="begin"/>
      </w:r>
      <w:r w:rsidRPr="00197D09">
        <w:rPr>
          <w:noProof/>
          <w:sz w:val="18"/>
        </w:rPr>
        <w:instrText xml:space="preserve"> PAGEREF _Toc132190355 \h </w:instrText>
      </w:r>
      <w:r w:rsidRPr="00197D09">
        <w:rPr>
          <w:noProof/>
          <w:sz w:val="18"/>
        </w:rPr>
      </w:r>
      <w:r w:rsidRPr="00197D09">
        <w:rPr>
          <w:noProof/>
          <w:sz w:val="18"/>
        </w:rPr>
        <w:fldChar w:fldCharType="separate"/>
      </w:r>
      <w:r w:rsidR="0083664B">
        <w:rPr>
          <w:noProof/>
          <w:sz w:val="18"/>
        </w:rPr>
        <w:t>3</w:t>
      </w:r>
      <w:r w:rsidRPr="00197D09">
        <w:rPr>
          <w:noProof/>
          <w:sz w:val="18"/>
        </w:rPr>
        <w:fldChar w:fldCharType="end"/>
      </w:r>
    </w:p>
    <w:p w14:paraId="37261DEF" w14:textId="257B87C4" w:rsidR="00197D09" w:rsidRDefault="00197D09">
      <w:pPr>
        <w:pStyle w:val="TOC8"/>
        <w:rPr>
          <w:rFonts w:asciiTheme="minorHAnsi" w:eastAsiaTheme="minorEastAsia" w:hAnsiTheme="minorHAnsi" w:cstheme="minorBidi"/>
          <w:noProof/>
          <w:kern w:val="0"/>
          <w:sz w:val="22"/>
          <w:szCs w:val="22"/>
        </w:rPr>
      </w:pPr>
      <w:r>
        <w:rPr>
          <w:noProof/>
        </w:rPr>
        <w:t>Division 1—Publishing gender pay gap information</w:t>
      </w:r>
      <w:r w:rsidRPr="00197D09">
        <w:rPr>
          <w:noProof/>
          <w:sz w:val="18"/>
        </w:rPr>
        <w:tab/>
      </w:r>
      <w:r w:rsidRPr="00197D09">
        <w:rPr>
          <w:noProof/>
          <w:sz w:val="18"/>
        </w:rPr>
        <w:fldChar w:fldCharType="begin"/>
      </w:r>
      <w:r w:rsidRPr="00197D09">
        <w:rPr>
          <w:noProof/>
          <w:sz w:val="18"/>
        </w:rPr>
        <w:instrText xml:space="preserve"> PAGEREF _Toc132190356 \h </w:instrText>
      </w:r>
      <w:r w:rsidRPr="00197D09">
        <w:rPr>
          <w:noProof/>
          <w:sz w:val="18"/>
        </w:rPr>
      </w:r>
      <w:r w:rsidRPr="00197D09">
        <w:rPr>
          <w:noProof/>
          <w:sz w:val="18"/>
        </w:rPr>
        <w:fldChar w:fldCharType="separate"/>
      </w:r>
      <w:r w:rsidR="0083664B">
        <w:rPr>
          <w:noProof/>
          <w:sz w:val="18"/>
        </w:rPr>
        <w:t>3</w:t>
      </w:r>
      <w:r w:rsidRPr="00197D09">
        <w:rPr>
          <w:noProof/>
          <w:sz w:val="18"/>
        </w:rPr>
        <w:fldChar w:fldCharType="end"/>
      </w:r>
    </w:p>
    <w:p w14:paraId="4C573E27" w14:textId="15A8E102"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_Toc132190357 \h </w:instrText>
      </w:r>
      <w:r w:rsidRPr="00197D09">
        <w:rPr>
          <w:i w:val="0"/>
          <w:noProof/>
          <w:sz w:val="18"/>
        </w:rPr>
      </w:r>
      <w:r w:rsidRPr="00197D09">
        <w:rPr>
          <w:i w:val="0"/>
          <w:noProof/>
          <w:sz w:val="18"/>
        </w:rPr>
        <w:fldChar w:fldCharType="separate"/>
      </w:r>
      <w:r w:rsidR="0083664B">
        <w:rPr>
          <w:i w:val="0"/>
          <w:noProof/>
          <w:sz w:val="18"/>
        </w:rPr>
        <w:t>3</w:t>
      </w:r>
      <w:r w:rsidRPr="00197D09">
        <w:rPr>
          <w:i w:val="0"/>
          <w:noProof/>
          <w:sz w:val="18"/>
        </w:rPr>
        <w:fldChar w:fldCharType="end"/>
      </w:r>
    </w:p>
    <w:p w14:paraId="53C8880B" w14:textId="6F9C765B" w:rsidR="00197D09" w:rsidRDefault="00197D09">
      <w:pPr>
        <w:pStyle w:val="TOC8"/>
        <w:rPr>
          <w:rFonts w:asciiTheme="minorHAnsi" w:eastAsiaTheme="minorEastAsia" w:hAnsiTheme="minorHAnsi" w:cstheme="minorBidi"/>
          <w:noProof/>
          <w:kern w:val="0"/>
          <w:sz w:val="22"/>
          <w:szCs w:val="22"/>
        </w:rPr>
      </w:pPr>
      <w:r>
        <w:rPr>
          <w:noProof/>
        </w:rPr>
        <w:t>Division 2—Gender equality standards</w:t>
      </w:r>
      <w:r w:rsidRPr="00197D09">
        <w:rPr>
          <w:noProof/>
          <w:sz w:val="18"/>
        </w:rPr>
        <w:tab/>
      </w:r>
      <w:r w:rsidRPr="00197D09">
        <w:rPr>
          <w:noProof/>
          <w:sz w:val="18"/>
        </w:rPr>
        <w:fldChar w:fldCharType="begin"/>
      </w:r>
      <w:r w:rsidRPr="00197D09">
        <w:rPr>
          <w:noProof/>
          <w:sz w:val="18"/>
        </w:rPr>
        <w:instrText xml:space="preserve"> PAGEREF _Toc132190359 \h </w:instrText>
      </w:r>
      <w:r w:rsidRPr="00197D09">
        <w:rPr>
          <w:noProof/>
          <w:sz w:val="18"/>
        </w:rPr>
      </w:r>
      <w:r w:rsidRPr="00197D09">
        <w:rPr>
          <w:noProof/>
          <w:sz w:val="18"/>
        </w:rPr>
        <w:fldChar w:fldCharType="separate"/>
      </w:r>
      <w:r w:rsidR="0083664B">
        <w:rPr>
          <w:noProof/>
          <w:sz w:val="18"/>
        </w:rPr>
        <w:t>4</w:t>
      </w:r>
      <w:r w:rsidRPr="00197D09">
        <w:rPr>
          <w:noProof/>
          <w:sz w:val="18"/>
        </w:rPr>
        <w:fldChar w:fldCharType="end"/>
      </w:r>
    </w:p>
    <w:p w14:paraId="4F17EA4F" w14:textId="15A7E7C7"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_Toc132190360 \h </w:instrText>
      </w:r>
      <w:r w:rsidRPr="00197D09">
        <w:rPr>
          <w:i w:val="0"/>
          <w:noProof/>
          <w:sz w:val="18"/>
        </w:rPr>
      </w:r>
      <w:r w:rsidRPr="00197D09">
        <w:rPr>
          <w:i w:val="0"/>
          <w:noProof/>
          <w:sz w:val="18"/>
        </w:rPr>
        <w:fldChar w:fldCharType="separate"/>
      </w:r>
      <w:r w:rsidR="0083664B">
        <w:rPr>
          <w:i w:val="0"/>
          <w:noProof/>
          <w:sz w:val="18"/>
        </w:rPr>
        <w:t>4</w:t>
      </w:r>
      <w:r w:rsidRPr="00197D09">
        <w:rPr>
          <w:i w:val="0"/>
          <w:noProof/>
          <w:sz w:val="18"/>
        </w:rPr>
        <w:fldChar w:fldCharType="end"/>
      </w:r>
    </w:p>
    <w:p w14:paraId="6384AA25" w14:textId="1B8B86C8" w:rsidR="00197D09" w:rsidRDefault="00197D09">
      <w:pPr>
        <w:pStyle w:val="TOC8"/>
        <w:rPr>
          <w:rFonts w:asciiTheme="minorHAnsi" w:eastAsiaTheme="minorEastAsia" w:hAnsiTheme="minorHAnsi" w:cstheme="minorBidi"/>
          <w:noProof/>
          <w:kern w:val="0"/>
          <w:sz w:val="22"/>
          <w:szCs w:val="22"/>
        </w:rPr>
      </w:pPr>
      <w:r>
        <w:rPr>
          <w:noProof/>
        </w:rPr>
        <w:t>Division 3—Giving reports to governing bodies</w:t>
      </w:r>
      <w:r w:rsidRPr="00197D09">
        <w:rPr>
          <w:noProof/>
          <w:sz w:val="18"/>
        </w:rPr>
        <w:tab/>
      </w:r>
      <w:r w:rsidRPr="00197D09">
        <w:rPr>
          <w:noProof/>
          <w:sz w:val="18"/>
        </w:rPr>
        <w:fldChar w:fldCharType="begin"/>
      </w:r>
      <w:r w:rsidRPr="00197D09">
        <w:rPr>
          <w:noProof/>
          <w:sz w:val="18"/>
        </w:rPr>
        <w:instrText xml:space="preserve"> PAGEREF _Toc132190361 \h </w:instrText>
      </w:r>
      <w:r w:rsidRPr="00197D09">
        <w:rPr>
          <w:noProof/>
          <w:sz w:val="18"/>
        </w:rPr>
      </w:r>
      <w:r w:rsidRPr="00197D09">
        <w:rPr>
          <w:noProof/>
          <w:sz w:val="18"/>
        </w:rPr>
        <w:fldChar w:fldCharType="separate"/>
      </w:r>
      <w:r w:rsidR="0083664B">
        <w:rPr>
          <w:noProof/>
          <w:sz w:val="18"/>
        </w:rPr>
        <w:t>6</w:t>
      </w:r>
      <w:r w:rsidRPr="00197D09">
        <w:rPr>
          <w:noProof/>
          <w:sz w:val="18"/>
        </w:rPr>
        <w:fldChar w:fldCharType="end"/>
      </w:r>
    </w:p>
    <w:p w14:paraId="73803849" w14:textId="6BB9FA57"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_Toc132190362 \h </w:instrText>
      </w:r>
      <w:r w:rsidRPr="00197D09">
        <w:rPr>
          <w:i w:val="0"/>
          <w:noProof/>
          <w:sz w:val="18"/>
        </w:rPr>
      </w:r>
      <w:r w:rsidRPr="00197D09">
        <w:rPr>
          <w:i w:val="0"/>
          <w:noProof/>
          <w:sz w:val="18"/>
        </w:rPr>
        <w:fldChar w:fldCharType="separate"/>
      </w:r>
      <w:r w:rsidR="0083664B">
        <w:rPr>
          <w:i w:val="0"/>
          <w:noProof/>
          <w:sz w:val="18"/>
        </w:rPr>
        <w:t>6</w:t>
      </w:r>
      <w:r w:rsidRPr="00197D09">
        <w:rPr>
          <w:i w:val="0"/>
          <w:noProof/>
          <w:sz w:val="18"/>
        </w:rPr>
        <w:fldChar w:fldCharType="end"/>
      </w:r>
    </w:p>
    <w:p w14:paraId="63643DE7" w14:textId="3735A10D" w:rsidR="00197D09" w:rsidRDefault="00197D09">
      <w:pPr>
        <w:pStyle w:val="TOC8"/>
        <w:rPr>
          <w:rFonts w:asciiTheme="minorHAnsi" w:eastAsiaTheme="minorEastAsia" w:hAnsiTheme="minorHAnsi" w:cstheme="minorBidi"/>
          <w:noProof/>
          <w:kern w:val="0"/>
          <w:sz w:val="22"/>
          <w:szCs w:val="22"/>
        </w:rPr>
      </w:pPr>
      <w:r>
        <w:rPr>
          <w:noProof/>
        </w:rPr>
        <w:t>Division 4—Gender equality indicators</w:t>
      </w:r>
      <w:r w:rsidRPr="00197D09">
        <w:rPr>
          <w:noProof/>
          <w:sz w:val="18"/>
        </w:rPr>
        <w:tab/>
      </w:r>
      <w:r w:rsidRPr="00197D09">
        <w:rPr>
          <w:noProof/>
          <w:sz w:val="18"/>
        </w:rPr>
        <w:fldChar w:fldCharType="begin"/>
      </w:r>
      <w:r w:rsidRPr="00197D09">
        <w:rPr>
          <w:noProof/>
          <w:sz w:val="18"/>
        </w:rPr>
        <w:instrText xml:space="preserve"> PAGEREF _Toc132190365 \h </w:instrText>
      </w:r>
      <w:r w:rsidRPr="00197D09">
        <w:rPr>
          <w:noProof/>
          <w:sz w:val="18"/>
        </w:rPr>
      </w:r>
      <w:r w:rsidRPr="00197D09">
        <w:rPr>
          <w:noProof/>
          <w:sz w:val="18"/>
        </w:rPr>
        <w:fldChar w:fldCharType="separate"/>
      </w:r>
      <w:r w:rsidR="0083664B">
        <w:rPr>
          <w:noProof/>
          <w:sz w:val="18"/>
        </w:rPr>
        <w:t>8</w:t>
      </w:r>
      <w:r w:rsidRPr="00197D09">
        <w:rPr>
          <w:noProof/>
          <w:sz w:val="18"/>
        </w:rPr>
        <w:fldChar w:fldCharType="end"/>
      </w:r>
    </w:p>
    <w:p w14:paraId="17A7BB22" w14:textId="30A0980C"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_Toc132190366 \h </w:instrText>
      </w:r>
      <w:r w:rsidRPr="00197D09">
        <w:rPr>
          <w:i w:val="0"/>
          <w:noProof/>
          <w:sz w:val="18"/>
        </w:rPr>
      </w:r>
      <w:r w:rsidRPr="00197D09">
        <w:rPr>
          <w:i w:val="0"/>
          <w:noProof/>
          <w:sz w:val="18"/>
        </w:rPr>
        <w:fldChar w:fldCharType="separate"/>
      </w:r>
      <w:r w:rsidR="0083664B">
        <w:rPr>
          <w:i w:val="0"/>
          <w:noProof/>
          <w:sz w:val="18"/>
        </w:rPr>
        <w:t>8</w:t>
      </w:r>
      <w:r w:rsidRPr="00197D09">
        <w:rPr>
          <w:i w:val="0"/>
          <w:noProof/>
          <w:sz w:val="18"/>
        </w:rPr>
        <w:fldChar w:fldCharType="end"/>
      </w:r>
    </w:p>
    <w:p w14:paraId="18C2D6A1" w14:textId="416B86EF" w:rsidR="00197D09" w:rsidRDefault="00197D09">
      <w:pPr>
        <w:pStyle w:val="TOC8"/>
        <w:rPr>
          <w:rFonts w:asciiTheme="minorHAnsi" w:eastAsiaTheme="minorEastAsia" w:hAnsiTheme="minorHAnsi" w:cstheme="minorBidi"/>
          <w:noProof/>
          <w:kern w:val="0"/>
          <w:sz w:val="22"/>
          <w:szCs w:val="22"/>
        </w:rPr>
      </w:pPr>
      <w:r>
        <w:rPr>
          <w:noProof/>
        </w:rPr>
        <w:t>Division 5—CEO of the Workplace Gender Equality Agency</w:t>
      </w:r>
      <w:r w:rsidRPr="00197D09">
        <w:rPr>
          <w:noProof/>
          <w:sz w:val="18"/>
        </w:rPr>
        <w:tab/>
      </w:r>
      <w:r w:rsidRPr="00197D09">
        <w:rPr>
          <w:noProof/>
          <w:sz w:val="18"/>
        </w:rPr>
        <w:fldChar w:fldCharType="begin"/>
      </w:r>
      <w:r w:rsidRPr="00197D09">
        <w:rPr>
          <w:noProof/>
          <w:sz w:val="18"/>
        </w:rPr>
        <w:instrText xml:space="preserve"> PAGEREF _Toc132190367 \h </w:instrText>
      </w:r>
      <w:r w:rsidRPr="00197D09">
        <w:rPr>
          <w:noProof/>
          <w:sz w:val="18"/>
        </w:rPr>
      </w:r>
      <w:r w:rsidRPr="00197D09">
        <w:rPr>
          <w:noProof/>
          <w:sz w:val="18"/>
        </w:rPr>
        <w:fldChar w:fldCharType="separate"/>
      </w:r>
      <w:r w:rsidR="0083664B">
        <w:rPr>
          <w:noProof/>
          <w:sz w:val="18"/>
        </w:rPr>
        <w:t>9</w:t>
      </w:r>
      <w:r w:rsidRPr="00197D09">
        <w:rPr>
          <w:noProof/>
          <w:sz w:val="18"/>
        </w:rPr>
        <w:fldChar w:fldCharType="end"/>
      </w:r>
    </w:p>
    <w:p w14:paraId="05B098B6" w14:textId="6DDD69C4"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_Toc132190368 \h </w:instrText>
      </w:r>
      <w:r w:rsidRPr="00197D09">
        <w:rPr>
          <w:i w:val="0"/>
          <w:noProof/>
          <w:sz w:val="18"/>
        </w:rPr>
      </w:r>
      <w:r w:rsidRPr="00197D09">
        <w:rPr>
          <w:i w:val="0"/>
          <w:noProof/>
          <w:sz w:val="18"/>
        </w:rPr>
        <w:fldChar w:fldCharType="separate"/>
      </w:r>
      <w:r w:rsidR="0083664B">
        <w:rPr>
          <w:i w:val="0"/>
          <w:noProof/>
          <w:sz w:val="18"/>
        </w:rPr>
        <w:t>9</w:t>
      </w:r>
      <w:r w:rsidRPr="00197D09">
        <w:rPr>
          <w:i w:val="0"/>
          <w:noProof/>
          <w:sz w:val="18"/>
        </w:rPr>
        <w:fldChar w:fldCharType="end"/>
      </w:r>
    </w:p>
    <w:p w14:paraId="2844BCF8" w14:textId="4FAA6CFC" w:rsidR="00197D09" w:rsidRDefault="00197D09">
      <w:pPr>
        <w:pStyle w:val="TOC8"/>
        <w:rPr>
          <w:rFonts w:asciiTheme="minorHAnsi" w:eastAsiaTheme="minorEastAsia" w:hAnsiTheme="minorHAnsi" w:cstheme="minorBidi"/>
          <w:noProof/>
          <w:kern w:val="0"/>
          <w:sz w:val="22"/>
          <w:szCs w:val="22"/>
        </w:rPr>
      </w:pPr>
      <w:r>
        <w:rPr>
          <w:noProof/>
        </w:rPr>
        <w:t>Division 6—Technical amendment</w:t>
      </w:r>
      <w:r w:rsidRPr="00197D09">
        <w:rPr>
          <w:noProof/>
          <w:sz w:val="18"/>
        </w:rPr>
        <w:tab/>
      </w:r>
      <w:r w:rsidRPr="00197D09">
        <w:rPr>
          <w:noProof/>
          <w:sz w:val="18"/>
        </w:rPr>
        <w:fldChar w:fldCharType="begin"/>
      </w:r>
      <w:r w:rsidRPr="00197D09">
        <w:rPr>
          <w:noProof/>
          <w:sz w:val="18"/>
        </w:rPr>
        <w:instrText xml:space="preserve"> PAGEREF _Toc132190370 \h </w:instrText>
      </w:r>
      <w:r w:rsidRPr="00197D09">
        <w:rPr>
          <w:noProof/>
          <w:sz w:val="18"/>
        </w:rPr>
      </w:r>
      <w:r w:rsidRPr="00197D09">
        <w:rPr>
          <w:noProof/>
          <w:sz w:val="18"/>
        </w:rPr>
        <w:fldChar w:fldCharType="separate"/>
      </w:r>
      <w:r w:rsidR="0083664B">
        <w:rPr>
          <w:noProof/>
          <w:sz w:val="18"/>
        </w:rPr>
        <w:t>11</w:t>
      </w:r>
      <w:r w:rsidRPr="00197D09">
        <w:rPr>
          <w:noProof/>
          <w:sz w:val="18"/>
        </w:rPr>
        <w:fldChar w:fldCharType="end"/>
      </w:r>
    </w:p>
    <w:p w14:paraId="70123FAC" w14:textId="731813F8" w:rsidR="00197D09" w:rsidRDefault="00197D09">
      <w:pPr>
        <w:pStyle w:val="TOC9"/>
        <w:rPr>
          <w:rFonts w:asciiTheme="minorHAnsi" w:eastAsiaTheme="minorEastAsia" w:hAnsiTheme="minorHAnsi" w:cstheme="minorBidi"/>
          <w:i w:val="0"/>
          <w:noProof/>
          <w:kern w:val="0"/>
          <w:sz w:val="22"/>
          <w:szCs w:val="22"/>
        </w:rPr>
      </w:pPr>
      <w:r>
        <w:rPr>
          <w:noProof/>
        </w:rPr>
        <w:t>Workplace Gender Equality Act 2012</w:t>
      </w:r>
      <w:r w:rsidRPr="00197D09">
        <w:rPr>
          <w:i w:val="0"/>
          <w:noProof/>
          <w:sz w:val="18"/>
        </w:rPr>
        <w:tab/>
      </w:r>
      <w:r w:rsidRPr="00197D09">
        <w:rPr>
          <w:i w:val="0"/>
          <w:noProof/>
          <w:sz w:val="18"/>
        </w:rPr>
        <w:fldChar w:fldCharType="begin"/>
      </w:r>
      <w:r w:rsidRPr="00197D09">
        <w:rPr>
          <w:i w:val="0"/>
          <w:noProof/>
          <w:sz w:val="18"/>
        </w:rPr>
        <w:instrText xml:space="preserve"> PAGEREF _Toc132190371 \h </w:instrText>
      </w:r>
      <w:r w:rsidRPr="00197D09">
        <w:rPr>
          <w:i w:val="0"/>
          <w:noProof/>
          <w:sz w:val="18"/>
        </w:rPr>
      </w:r>
      <w:r w:rsidRPr="00197D09">
        <w:rPr>
          <w:i w:val="0"/>
          <w:noProof/>
          <w:sz w:val="18"/>
        </w:rPr>
        <w:fldChar w:fldCharType="separate"/>
      </w:r>
      <w:r w:rsidR="0083664B">
        <w:rPr>
          <w:i w:val="0"/>
          <w:noProof/>
          <w:sz w:val="18"/>
        </w:rPr>
        <w:t>11</w:t>
      </w:r>
      <w:r w:rsidRPr="00197D09">
        <w:rPr>
          <w:i w:val="0"/>
          <w:noProof/>
          <w:sz w:val="18"/>
        </w:rPr>
        <w:fldChar w:fldCharType="end"/>
      </w:r>
    </w:p>
    <w:p w14:paraId="07219190" w14:textId="3E47D01F" w:rsidR="00197D09" w:rsidRDefault="00197D09">
      <w:pPr>
        <w:pStyle w:val="TOC7"/>
        <w:rPr>
          <w:rFonts w:asciiTheme="minorHAnsi" w:eastAsiaTheme="minorEastAsia" w:hAnsiTheme="minorHAnsi" w:cstheme="minorBidi"/>
          <w:noProof/>
          <w:kern w:val="0"/>
          <w:sz w:val="22"/>
          <w:szCs w:val="22"/>
        </w:rPr>
      </w:pPr>
      <w:r>
        <w:rPr>
          <w:noProof/>
        </w:rPr>
        <w:t>Part 2—Application and transitional provisions</w:t>
      </w:r>
      <w:r w:rsidRPr="00197D09">
        <w:rPr>
          <w:noProof/>
          <w:sz w:val="18"/>
        </w:rPr>
        <w:tab/>
      </w:r>
      <w:r w:rsidRPr="00197D09">
        <w:rPr>
          <w:noProof/>
          <w:sz w:val="18"/>
        </w:rPr>
        <w:fldChar w:fldCharType="begin"/>
      </w:r>
      <w:r w:rsidRPr="00197D09">
        <w:rPr>
          <w:noProof/>
          <w:sz w:val="18"/>
        </w:rPr>
        <w:instrText xml:space="preserve"> PAGEREF _Toc132190372 \h </w:instrText>
      </w:r>
      <w:r w:rsidRPr="00197D09">
        <w:rPr>
          <w:noProof/>
          <w:sz w:val="18"/>
        </w:rPr>
      </w:r>
      <w:r w:rsidRPr="00197D09">
        <w:rPr>
          <w:noProof/>
          <w:sz w:val="18"/>
        </w:rPr>
        <w:fldChar w:fldCharType="separate"/>
      </w:r>
      <w:r w:rsidR="0083664B">
        <w:rPr>
          <w:noProof/>
          <w:sz w:val="18"/>
        </w:rPr>
        <w:t>12</w:t>
      </w:r>
      <w:r w:rsidRPr="00197D09">
        <w:rPr>
          <w:noProof/>
          <w:sz w:val="18"/>
        </w:rPr>
        <w:fldChar w:fldCharType="end"/>
      </w:r>
    </w:p>
    <w:p w14:paraId="6464260A" w14:textId="569C937F" w:rsidR="00055B5C" w:rsidRPr="005A59CA" w:rsidRDefault="00197D09" w:rsidP="0048364F">
      <w:pPr>
        <w:rPr>
          <w:rFonts w:cs="Times New Roman"/>
          <w:sz w:val="18"/>
        </w:rPr>
      </w:pPr>
      <w:r>
        <w:rPr>
          <w:rFonts w:cs="Times New Roman"/>
          <w:sz w:val="18"/>
        </w:rPr>
        <w:fldChar w:fldCharType="end"/>
      </w:r>
    </w:p>
    <w:p w14:paraId="31D5A99B" w14:textId="77777777" w:rsidR="00FE7F93" w:rsidRPr="000F422D" w:rsidRDefault="00FE7F93" w:rsidP="0048364F">
      <w:pPr>
        <w:sectPr w:rsidR="00FE7F93" w:rsidRPr="000F422D" w:rsidSect="005A59CA">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612F348" w14:textId="77777777" w:rsidR="005A59CA" w:rsidRDefault="005A59CA">
      <w:r>
        <w:object w:dxaOrig="2146" w:dyaOrig="1561" w14:anchorId="05E750C9">
          <v:shape id="_x0000_i1027" type="#_x0000_t75" alt="Commonwealth Coat of Arms of Australia" style="width:110.25pt;height:80.25pt" o:ole="" fillcolor="window">
            <v:imagedata r:id="rId7" o:title=""/>
          </v:shape>
          <o:OLEObject Type="Embed" ProgID="Word.Picture.8" ShapeID="_x0000_i1027" DrawAspect="Content" ObjectID="_1742803597" r:id="rId20"/>
        </w:object>
      </w:r>
    </w:p>
    <w:p w14:paraId="700BD6D6" w14:textId="77777777" w:rsidR="005A59CA" w:rsidRDefault="005A59CA"/>
    <w:p w14:paraId="113DCD1A" w14:textId="77777777" w:rsidR="005A59CA" w:rsidRDefault="005A59CA" w:rsidP="000178F8">
      <w:pPr>
        <w:spacing w:line="240" w:lineRule="auto"/>
      </w:pPr>
    </w:p>
    <w:p w14:paraId="0AF20D94" w14:textId="21414C43" w:rsidR="005A59CA" w:rsidRDefault="0083664B" w:rsidP="000178F8">
      <w:pPr>
        <w:pStyle w:val="ShortTP1"/>
      </w:pPr>
      <w:r>
        <w:fldChar w:fldCharType="begin"/>
      </w:r>
      <w:r>
        <w:instrText xml:space="preserve"> STYLEREF ShortT </w:instrText>
      </w:r>
      <w:r>
        <w:fldChar w:fldCharType="separate"/>
      </w:r>
      <w:r>
        <w:rPr>
          <w:noProof/>
        </w:rPr>
        <w:t>Workplace Gender Equality Amendment (Closing the Gender Pay Gap) Act 2023</w:t>
      </w:r>
      <w:r>
        <w:rPr>
          <w:noProof/>
        </w:rPr>
        <w:fldChar w:fldCharType="end"/>
      </w:r>
    </w:p>
    <w:p w14:paraId="02FFA3E9" w14:textId="59DD2194" w:rsidR="005A59CA" w:rsidRDefault="0083664B" w:rsidP="000178F8">
      <w:pPr>
        <w:pStyle w:val="ActNoP1"/>
      </w:pPr>
      <w:r>
        <w:fldChar w:fldCharType="begin"/>
      </w:r>
      <w:r>
        <w:instrText xml:space="preserve"> STYLEREF Actno </w:instrText>
      </w:r>
      <w:r>
        <w:fldChar w:fldCharType="separate"/>
      </w:r>
      <w:r>
        <w:rPr>
          <w:noProof/>
        </w:rPr>
        <w:t>No. 18, 2023</w:t>
      </w:r>
      <w:r>
        <w:rPr>
          <w:noProof/>
        </w:rPr>
        <w:fldChar w:fldCharType="end"/>
      </w:r>
    </w:p>
    <w:p w14:paraId="243FDD84" w14:textId="77777777" w:rsidR="005A59CA" w:rsidRPr="009A0728" w:rsidRDefault="005A59CA" w:rsidP="009A0728">
      <w:pPr>
        <w:pBdr>
          <w:bottom w:val="single" w:sz="6" w:space="0" w:color="auto"/>
        </w:pBdr>
        <w:spacing w:before="400" w:line="240" w:lineRule="auto"/>
        <w:rPr>
          <w:rFonts w:eastAsia="Times New Roman"/>
          <w:b/>
          <w:sz w:val="28"/>
        </w:rPr>
      </w:pPr>
    </w:p>
    <w:p w14:paraId="4121C974" w14:textId="77777777" w:rsidR="005A59CA" w:rsidRPr="009A0728" w:rsidRDefault="005A59CA" w:rsidP="009A0728">
      <w:pPr>
        <w:spacing w:line="40" w:lineRule="exact"/>
        <w:rPr>
          <w:rFonts w:eastAsia="Calibri"/>
          <w:b/>
          <w:sz w:val="28"/>
        </w:rPr>
      </w:pPr>
    </w:p>
    <w:p w14:paraId="483A2FF9" w14:textId="77777777" w:rsidR="005A59CA" w:rsidRPr="009A0728" w:rsidRDefault="005A59CA" w:rsidP="009A0728">
      <w:pPr>
        <w:pBdr>
          <w:top w:val="single" w:sz="12" w:space="0" w:color="auto"/>
        </w:pBdr>
        <w:spacing w:line="240" w:lineRule="auto"/>
        <w:rPr>
          <w:rFonts w:eastAsia="Times New Roman"/>
          <w:b/>
          <w:sz w:val="28"/>
        </w:rPr>
      </w:pPr>
    </w:p>
    <w:p w14:paraId="034F7EA7" w14:textId="77777777" w:rsidR="005A59CA" w:rsidRDefault="005A59CA" w:rsidP="005A59CA">
      <w:pPr>
        <w:pStyle w:val="Page1"/>
        <w:spacing w:before="400"/>
      </w:pPr>
      <w:r>
        <w:t xml:space="preserve">An Act to amend the </w:t>
      </w:r>
      <w:r w:rsidRPr="005A59CA">
        <w:rPr>
          <w:i/>
        </w:rPr>
        <w:t>Workplace Gender Equality Act 2012</w:t>
      </w:r>
      <w:r>
        <w:t>, and for related purposes</w:t>
      </w:r>
    </w:p>
    <w:p w14:paraId="773E92E9" w14:textId="0C3605B0" w:rsidR="00341F08" w:rsidRDefault="00341F08" w:rsidP="000C5962">
      <w:pPr>
        <w:pStyle w:val="AssentDt"/>
        <w:spacing w:before="240"/>
        <w:rPr>
          <w:sz w:val="24"/>
        </w:rPr>
      </w:pPr>
      <w:r>
        <w:rPr>
          <w:sz w:val="24"/>
        </w:rPr>
        <w:t>[</w:t>
      </w:r>
      <w:r>
        <w:rPr>
          <w:i/>
          <w:sz w:val="24"/>
        </w:rPr>
        <w:t>Assented to 11 April 2023</w:t>
      </w:r>
      <w:r>
        <w:rPr>
          <w:sz w:val="24"/>
        </w:rPr>
        <w:t>]</w:t>
      </w:r>
    </w:p>
    <w:p w14:paraId="475BFC19" w14:textId="38E2FE32" w:rsidR="0048364F" w:rsidRPr="000F422D" w:rsidRDefault="0048364F" w:rsidP="000F422D">
      <w:pPr>
        <w:spacing w:before="240" w:line="240" w:lineRule="auto"/>
        <w:rPr>
          <w:sz w:val="32"/>
        </w:rPr>
      </w:pPr>
      <w:r w:rsidRPr="000F422D">
        <w:rPr>
          <w:sz w:val="32"/>
        </w:rPr>
        <w:t>The Parliament of Australia enacts:</w:t>
      </w:r>
    </w:p>
    <w:p w14:paraId="2EE324EC" w14:textId="77777777" w:rsidR="0048364F" w:rsidRPr="000F422D" w:rsidRDefault="0048364F" w:rsidP="000F422D">
      <w:pPr>
        <w:pStyle w:val="ActHead5"/>
      </w:pPr>
      <w:bookmarkStart w:id="2" w:name="_Toc132190351"/>
      <w:r w:rsidRPr="000F422D">
        <w:rPr>
          <w:rStyle w:val="CharSectno"/>
        </w:rPr>
        <w:t>1</w:t>
      </w:r>
      <w:r w:rsidRPr="000F422D">
        <w:t xml:space="preserve">  Short title</w:t>
      </w:r>
      <w:bookmarkEnd w:id="2"/>
    </w:p>
    <w:p w14:paraId="5B0C4368" w14:textId="77777777" w:rsidR="0048364F" w:rsidRPr="000F422D" w:rsidRDefault="0048364F" w:rsidP="000F422D">
      <w:pPr>
        <w:pStyle w:val="subsection"/>
      </w:pPr>
      <w:r w:rsidRPr="000F422D">
        <w:tab/>
      </w:r>
      <w:r w:rsidRPr="000F422D">
        <w:tab/>
        <w:t xml:space="preserve">This Act </w:t>
      </w:r>
      <w:r w:rsidR="00275197" w:rsidRPr="000F422D">
        <w:t xml:space="preserve">is </w:t>
      </w:r>
      <w:r w:rsidRPr="000F422D">
        <w:t xml:space="preserve">the </w:t>
      </w:r>
      <w:r w:rsidR="00145864" w:rsidRPr="000F422D">
        <w:rPr>
          <w:i/>
        </w:rPr>
        <w:t>Workplace Gender Equality Amendment (Closing the Gender Pay Gap)</w:t>
      </w:r>
      <w:r w:rsidR="00EE3E36" w:rsidRPr="000F422D">
        <w:rPr>
          <w:i/>
        </w:rPr>
        <w:t xml:space="preserve"> Act 20</w:t>
      </w:r>
      <w:r w:rsidR="009E186E" w:rsidRPr="000F422D">
        <w:rPr>
          <w:i/>
        </w:rPr>
        <w:t>2</w:t>
      </w:r>
      <w:r w:rsidR="00982597" w:rsidRPr="000F422D">
        <w:rPr>
          <w:i/>
        </w:rPr>
        <w:t>3</w:t>
      </w:r>
      <w:r w:rsidRPr="000F422D">
        <w:t>.</w:t>
      </w:r>
    </w:p>
    <w:p w14:paraId="0082C62D" w14:textId="77777777" w:rsidR="0048364F" w:rsidRPr="000F422D" w:rsidRDefault="0048364F" w:rsidP="000F422D">
      <w:pPr>
        <w:pStyle w:val="ActHead5"/>
      </w:pPr>
      <w:bookmarkStart w:id="3" w:name="_Toc132190352"/>
      <w:r w:rsidRPr="000F422D">
        <w:rPr>
          <w:rStyle w:val="CharSectno"/>
        </w:rPr>
        <w:t>2</w:t>
      </w:r>
      <w:r w:rsidRPr="000F422D">
        <w:t xml:space="preserve">  Commencement</w:t>
      </w:r>
      <w:bookmarkEnd w:id="3"/>
    </w:p>
    <w:p w14:paraId="33F95436" w14:textId="77777777" w:rsidR="0048364F" w:rsidRPr="000F422D" w:rsidRDefault="0048364F" w:rsidP="000F422D">
      <w:pPr>
        <w:pStyle w:val="subsection"/>
      </w:pPr>
      <w:r w:rsidRPr="000F422D">
        <w:tab/>
        <w:t>(1)</w:t>
      </w:r>
      <w:r w:rsidRPr="000F422D">
        <w:tab/>
        <w:t>Each provision of this Act specified in column 1 of the table commences, or is taken to have commenced, in accordance with column 2 of the table. Any other statement in column 2 has effect according to its terms.</w:t>
      </w:r>
    </w:p>
    <w:p w14:paraId="7F20675E" w14:textId="77777777" w:rsidR="0048364F" w:rsidRPr="000F422D" w:rsidRDefault="0048364F" w:rsidP="000F422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F422D" w14:paraId="0E569F7B" w14:textId="77777777" w:rsidTr="004E60A6">
        <w:trPr>
          <w:tblHeader/>
        </w:trPr>
        <w:tc>
          <w:tcPr>
            <w:tcW w:w="7111" w:type="dxa"/>
            <w:gridSpan w:val="3"/>
            <w:tcBorders>
              <w:top w:val="single" w:sz="12" w:space="0" w:color="auto"/>
              <w:bottom w:val="single" w:sz="6" w:space="0" w:color="auto"/>
            </w:tcBorders>
            <w:shd w:val="clear" w:color="auto" w:fill="auto"/>
          </w:tcPr>
          <w:p w14:paraId="192A7EFE" w14:textId="77777777" w:rsidR="0048364F" w:rsidRPr="000F422D" w:rsidRDefault="0048364F" w:rsidP="000F422D">
            <w:pPr>
              <w:pStyle w:val="TableHeading"/>
            </w:pPr>
            <w:r w:rsidRPr="000F422D">
              <w:lastRenderedPageBreak/>
              <w:t>Commencement information</w:t>
            </w:r>
          </w:p>
        </w:tc>
      </w:tr>
      <w:tr w:rsidR="0048364F" w:rsidRPr="000F422D" w14:paraId="409AFD9B" w14:textId="77777777" w:rsidTr="004E60A6">
        <w:trPr>
          <w:tblHeader/>
        </w:trPr>
        <w:tc>
          <w:tcPr>
            <w:tcW w:w="1701" w:type="dxa"/>
            <w:tcBorders>
              <w:top w:val="single" w:sz="6" w:space="0" w:color="auto"/>
              <w:bottom w:val="single" w:sz="6" w:space="0" w:color="auto"/>
            </w:tcBorders>
            <w:shd w:val="clear" w:color="auto" w:fill="auto"/>
          </w:tcPr>
          <w:p w14:paraId="2C30F6EB" w14:textId="77777777" w:rsidR="0048364F" w:rsidRPr="000F422D" w:rsidRDefault="0048364F" w:rsidP="000F422D">
            <w:pPr>
              <w:pStyle w:val="TableHeading"/>
            </w:pPr>
            <w:r w:rsidRPr="000F422D">
              <w:t>Column 1</w:t>
            </w:r>
          </w:p>
        </w:tc>
        <w:tc>
          <w:tcPr>
            <w:tcW w:w="3828" w:type="dxa"/>
            <w:tcBorders>
              <w:top w:val="single" w:sz="6" w:space="0" w:color="auto"/>
              <w:bottom w:val="single" w:sz="6" w:space="0" w:color="auto"/>
            </w:tcBorders>
            <w:shd w:val="clear" w:color="auto" w:fill="auto"/>
          </w:tcPr>
          <w:p w14:paraId="6D7D68EA" w14:textId="77777777" w:rsidR="0048364F" w:rsidRPr="000F422D" w:rsidRDefault="0048364F" w:rsidP="000F422D">
            <w:pPr>
              <w:pStyle w:val="TableHeading"/>
            </w:pPr>
            <w:r w:rsidRPr="000F422D">
              <w:t>Column 2</w:t>
            </w:r>
          </w:p>
        </w:tc>
        <w:tc>
          <w:tcPr>
            <w:tcW w:w="1582" w:type="dxa"/>
            <w:tcBorders>
              <w:top w:val="single" w:sz="6" w:space="0" w:color="auto"/>
              <w:bottom w:val="single" w:sz="6" w:space="0" w:color="auto"/>
            </w:tcBorders>
            <w:shd w:val="clear" w:color="auto" w:fill="auto"/>
          </w:tcPr>
          <w:p w14:paraId="7F2EC726" w14:textId="77777777" w:rsidR="0048364F" w:rsidRPr="000F422D" w:rsidRDefault="0048364F" w:rsidP="000F422D">
            <w:pPr>
              <w:pStyle w:val="TableHeading"/>
            </w:pPr>
            <w:r w:rsidRPr="000F422D">
              <w:t>Column 3</w:t>
            </w:r>
          </w:p>
        </w:tc>
      </w:tr>
      <w:tr w:rsidR="0048364F" w:rsidRPr="000F422D" w14:paraId="443BB67C" w14:textId="77777777" w:rsidTr="004E60A6">
        <w:trPr>
          <w:tblHeader/>
        </w:trPr>
        <w:tc>
          <w:tcPr>
            <w:tcW w:w="1701" w:type="dxa"/>
            <w:tcBorders>
              <w:top w:val="single" w:sz="6" w:space="0" w:color="auto"/>
              <w:bottom w:val="single" w:sz="12" w:space="0" w:color="auto"/>
            </w:tcBorders>
            <w:shd w:val="clear" w:color="auto" w:fill="auto"/>
          </w:tcPr>
          <w:p w14:paraId="15000671" w14:textId="77777777" w:rsidR="0048364F" w:rsidRPr="000F422D" w:rsidRDefault="0048364F" w:rsidP="000F422D">
            <w:pPr>
              <w:pStyle w:val="TableHeading"/>
            </w:pPr>
            <w:r w:rsidRPr="000F422D">
              <w:t>Provisions</w:t>
            </w:r>
          </w:p>
        </w:tc>
        <w:tc>
          <w:tcPr>
            <w:tcW w:w="3828" w:type="dxa"/>
            <w:tcBorders>
              <w:top w:val="single" w:sz="6" w:space="0" w:color="auto"/>
              <w:bottom w:val="single" w:sz="12" w:space="0" w:color="auto"/>
            </w:tcBorders>
            <w:shd w:val="clear" w:color="auto" w:fill="auto"/>
          </w:tcPr>
          <w:p w14:paraId="3D03DC71" w14:textId="77777777" w:rsidR="0048364F" w:rsidRPr="000F422D" w:rsidRDefault="0048364F" w:rsidP="000F422D">
            <w:pPr>
              <w:pStyle w:val="TableHeading"/>
            </w:pPr>
            <w:r w:rsidRPr="000F422D">
              <w:t>Commencement</w:t>
            </w:r>
          </w:p>
        </w:tc>
        <w:tc>
          <w:tcPr>
            <w:tcW w:w="1582" w:type="dxa"/>
            <w:tcBorders>
              <w:top w:val="single" w:sz="6" w:space="0" w:color="auto"/>
              <w:bottom w:val="single" w:sz="12" w:space="0" w:color="auto"/>
            </w:tcBorders>
            <w:shd w:val="clear" w:color="auto" w:fill="auto"/>
          </w:tcPr>
          <w:p w14:paraId="582CA827" w14:textId="77777777" w:rsidR="0048364F" w:rsidRPr="000F422D" w:rsidRDefault="0048364F" w:rsidP="000F422D">
            <w:pPr>
              <w:pStyle w:val="TableHeading"/>
            </w:pPr>
            <w:r w:rsidRPr="000F422D">
              <w:t>Date/Details</w:t>
            </w:r>
          </w:p>
        </w:tc>
      </w:tr>
      <w:tr w:rsidR="0048364F" w:rsidRPr="000F422D" w14:paraId="16A66DFE" w14:textId="77777777" w:rsidTr="004E60A6">
        <w:tc>
          <w:tcPr>
            <w:tcW w:w="1701" w:type="dxa"/>
            <w:tcBorders>
              <w:top w:val="single" w:sz="12" w:space="0" w:color="auto"/>
              <w:bottom w:val="single" w:sz="12" w:space="0" w:color="auto"/>
            </w:tcBorders>
            <w:shd w:val="clear" w:color="auto" w:fill="auto"/>
          </w:tcPr>
          <w:p w14:paraId="41D4967A" w14:textId="77777777" w:rsidR="0048364F" w:rsidRPr="000F422D" w:rsidRDefault="0048364F" w:rsidP="000F422D">
            <w:pPr>
              <w:pStyle w:val="Tabletext"/>
            </w:pPr>
            <w:r w:rsidRPr="000F422D">
              <w:t xml:space="preserve">1.  </w:t>
            </w:r>
            <w:r w:rsidR="004E60A6" w:rsidRPr="000F422D">
              <w:t>The whole of this Act</w:t>
            </w:r>
          </w:p>
        </w:tc>
        <w:tc>
          <w:tcPr>
            <w:tcW w:w="3828" w:type="dxa"/>
            <w:tcBorders>
              <w:top w:val="single" w:sz="12" w:space="0" w:color="auto"/>
              <w:bottom w:val="single" w:sz="12" w:space="0" w:color="auto"/>
            </w:tcBorders>
            <w:shd w:val="clear" w:color="auto" w:fill="auto"/>
          </w:tcPr>
          <w:p w14:paraId="139DA196" w14:textId="77777777" w:rsidR="0048364F" w:rsidRPr="000F422D" w:rsidRDefault="004E60A6" w:rsidP="000F422D">
            <w:pPr>
              <w:pStyle w:val="Tabletext"/>
            </w:pPr>
            <w:r w:rsidRPr="000F422D">
              <w:t>The day after this Act receives the Royal Assent.</w:t>
            </w:r>
          </w:p>
        </w:tc>
        <w:tc>
          <w:tcPr>
            <w:tcW w:w="1582" w:type="dxa"/>
            <w:tcBorders>
              <w:top w:val="single" w:sz="12" w:space="0" w:color="auto"/>
              <w:bottom w:val="single" w:sz="12" w:space="0" w:color="auto"/>
            </w:tcBorders>
            <w:shd w:val="clear" w:color="auto" w:fill="auto"/>
          </w:tcPr>
          <w:p w14:paraId="214CB41D" w14:textId="250F58DA" w:rsidR="0048364F" w:rsidRPr="000F422D" w:rsidRDefault="00197D09" w:rsidP="000F422D">
            <w:pPr>
              <w:pStyle w:val="Tabletext"/>
            </w:pPr>
            <w:r>
              <w:t>12 April 2023</w:t>
            </w:r>
          </w:p>
        </w:tc>
      </w:tr>
    </w:tbl>
    <w:p w14:paraId="09D65842" w14:textId="77777777" w:rsidR="0048364F" w:rsidRPr="000F422D" w:rsidRDefault="00201D27" w:rsidP="000F422D">
      <w:pPr>
        <w:pStyle w:val="notetext"/>
      </w:pPr>
      <w:r w:rsidRPr="000F422D">
        <w:t>Note:</w:t>
      </w:r>
      <w:r w:rsidRPr="000F422D">
        <w:tab/>
        <w:t>This table relates only to the provisions of this Act as originally enacted. It will not be amended to deal with any later amendments of this Act.</w:t>
      </w:r>
    </w:p>
    <w:p w14:paraId="7F048B2E" w14:textId="77777777" w:rsidR="0048364F" w:rsidRPr="000F422D" w:rsidRDefault="0048364F" w:rsidP="000F422D">
      <w:pPr>
        <w:pStyle w:val="subsection"/>
      </w:pPr>
      <w:r w:rsidRPr="000F422D">
        <w:tab/>
        <w:t>(2)</w:t>
      </w:r>
      <w:r w:rsidRPr="000F422D">
        <w:tab/>
      </w:r>
      <w:r w:rsidR="00201D27" w:rsidRPr="000F422D">
        <w:t xml:space="preserve">Any information in </w:t>
      </w:r>
      <w:r w:rsidR="00877D48" w:rsidRPr="000F422D">
        <w:t>c</w:t>
      </w:r>
      <w:r w:rsidR="00201D27" w:rsidRPr="000F422D">
        <w:t>olumn 3 of the table is not part of this Act. Information may be inserted in this column, or information in it may be edited, in any published version of this Act.</w:t>
      </w:r>
    </w:p>
    <w:p w14:paraId="6C5C4E2F" w14:textId="77777777" w:rsidR="0048364F" w:rsidRPr="000F422D" w:rsidRDefault="0048364F" w:rsidP="000F422D">
      <w:pPr>
        <w:pStyle w:val="ActHead5"/>
      </w:pPr>
      <w:bookmarkStart w:id="4" w:name="_Toc132190353"/>
      <w:r w:rsidRPr="000F422D">
        <w:rPr>
          <w:rStyle w:val="CharSectno"/>
        </w:rPr>
        <w:t>3</w:t>
      </w:r>
      <w:r w:rsidRPr="000F422D">
        <w:t xml:space="preserve">  Schedules</w:t>
      </w:r>
      <w:bookmarkEnd w:id="4"/>
    </w:p>
    <w:p w14:paraId="2C303F43" w14:textId="77777777" w:rsidR="00520E80" w:rsidRPr="000F422D" w:rsidRDefault="0048364F" w:rsidP="000F422D">
      <w:pPr>
        <w:pStyle w:val="subsection"/>
      </w:pPr>
      <w:r w:rsidRPr="000F422D">
        <w:tab/>
      </w:r>
      <w:r w:rsidRPr="000F422D">
        <w:tab/>
      </w:r>
      <w:r w:rsidR="00202618" w:rsidRPr="000F422D">
        <w:t>Legislation that is specified in a Schedule to this Act is amended or repealed as set out in the applicable items in the Schedule concerned, and any other item in a Schedule to this Act has effect according to its terms.</w:t>
      </w:r>
    </w:p>
    <w:p w14:paraId="51F7AD41" w14:textId="77777777" w:rsidR="004E60A6" w:rsidRPr="000F422D" w:rsidRDefault="0048364F" w:rsidP="000F422D">
      <w:pPr>
        <w:pStyle w:val="ActHead6"/>
        <w:pageBreakBefore/>
      </w:pPr>
      <w:bookmarkStart w:id="5" w:name="_Toc132190354"/>
      <w:r w:rsidRPr="000F422D">
        <w:rPr>
          <w:rStyle w:val="CharAmSchNo"/>
        </w:rPr>
        <w:lastRenderedPageBreak/>
        <w:t>Schedule 1</w:t>
      </w:r>
      <w:r w:rsidRPr="000F422D">
        <w:t>—</w:t>
      </w:r>
      <w:r w:rsidR="004E60A6" w:rsidRPr="000F422D">
        <w:rPr>
          <w:rStyle w:val="CharAmSchText"/>
        </w:rPr>
        <w:t>Amendments</w:t>
      </w:r>
      <w:bookmarkEnd w:id="5"/>
    </w:p>
    <w:p w14:paraId="25BE6E22" w14:textId="77777777" w:rsidR="00C62D23" w:rsidRPr="000F422D" w:rsidRDefault="00BF3497" w:rsidP="000F422D">
      <w:pPr>
        <w:pStyle w:val="ActHead7"/>
      </w:pPr>
      <w:bookmarkStart w:id="6" w:name="_Toc132190355"/>
      <w:r w:rsidRPr="000F422D">
        <w:rPr>
          <w:rStyle w:val="CharAmPartNo"/>
        </w:rPr>
        <w:t>Part 1</w:t>
      </w:r>
      <w:r w:rsidR="0049201C" w:rsidRPr="000F422D">
        <w:t>—</w:t>
      </w:r>
      <w:r w:rsidR="0049201C" w:rsidRPr="000F422D">
        <w:rPr>
          <w:rStyle w:val="CharAmPartText"/>
        </w:rPr>
        <w:t>Amendments</w:t>
      </w:r>
      <w:bookmarkEnd w:id="6"/>
    </w:p>
    <w:p w14:paraId="1593C7D3" w14:textId="77777777" w:rsidR="00B9592D" w:rsidRPr="000F422D" w:rsidRDefault="00490C88" w:rsidP="000F422D">
      <w:pPr>
        <w:pStyle w:val="ActHead8"/>
      </w:pPr>
      <w:bookmarkStart w:id="7" w:name="_Toc132190356"/>
      <w:r w:rsidRPr="000F422D">
        <w:t>Division 1</w:t>
      </w:r>
      <w:r w:rsidR="00B9592D" w:rsidRPr="000F422D">
        <w:t>—</w:t>
      </w:r>
      <w:r w:rsidR="00CF1C3A" w:rsidRPr="000F422D">
        <w:t xml:space="preserve">Publishing </w:t>
      </w:r>
      <w:r w:rsidR="00602FDA" w:rsidRPr="000F422D">
        <w:t>gender pay gap information</w:t>
      </w:r>
      <w:bookmarkEnd w:id="7"/>
    </w:p>
    <w:p w14:paraId="6165A957" w14:textId="77777777" w:rsidR="001343D8" w:rsidRPr="000F422D" w:rsidRDefault="00CC5842" w:rsidP="000F422D">
      <w:pPr>
        <w:pStyle w:val="ActHead9"/>
      </w:pPr>
      <w:bookmarkStart w:id="8" w:name="_Toc132190357"/>
      <w:r w:rsidRPr="000F422D">
        <w:t>Workplace Gender Equality Act 2012</w:t>
      </w:r>
      <w:bookmarkEnd w:id="8"/>
    </w:p>
    <w:p w14:paraId="141E5795" w14:textId="77777777" w:rsidR="006E1AA2" w:rsidRPr="000F422D" w:rsidRDefault="005E3CD3" w:rsidP="000F422D">
      <w:pPr>
        <w:pStyle w:val="ItemHead"/>
      </w:pPr>
      <w:r w:rsidRPr="000F422D">
        <w:t>1</w:t>
      </w:r>
      <w:r w:rsidR="006E1AA2" w:rsidRPr="000F422D">
        <w:t xml:space="preserve">  </w:t>
      </w:r>
      <w:r w:rsidR="00CE629F" w:rsidRPr="000F422D">
        <w:t>Section 2</w:t>
      </w:r>
      <w:r w:rsidR="006E1AA2" w:rsidRPr="000F422D">
        <w:t>B (a</w:t>
      </w:r>
      <w:r w:rsidR="000E18B4" w:rsidRPr="000F422D">
        <w:t>t the end of</w:t>
      </w:r>
      <w:r w:rsidR="006E1AA2" w:rsidRPr="000F422D">
        <w:t xml:space="preserve"> the paragraph beginning “Those reports are available to the public”)</w:t>
      </w:r>
    </w:p>
    <w:p w14:paraId="6B12B4F6" w14:textId="77777777" w:rsidR="000E18B4" w:rsidRPr="000F422D" w:rsidRDefault="000E18B4" w:rsidP="000F422D">
      <w:pPr>
        <w:pStyle w:val="Item"/>
      </w:pPr>
      <w:r w:rsidRPr="000F422D">
        <w:t>Add “Information contained in those reports may also be used in publishing information for the purposes of showing a relevant employer’s performance and progress in achieving gender equality in relation to remuneration for the employer’s workforce.”.</w:t>
      </w:r>
    </w:p>
    <w:p w14:paraId="47B5264C" w14:textId="77777777" w:rsidR="00515E76" w:rsidRPr="000F422D" w:rsidRDefault="005E3CD3" w:rsidP="000F422D">
      <w:pPr>
        <w:pStyle w:val="ItemHead"/>
      </w:pPr>
      <w:r w:rsidRPr="000F422D">
        <w:t>2</w:t>
      </w:r>
      <w:r w:rsidR="00515E76" w:rsidRPr="000F422D">
        <w:t xml:space="preserve">  At the end of </w:t>
      </w:r>
      <w:r w:rsidR="00CE629F" w:rsidRPr="000F422D">
        <w:t>subsection 1</w:t>
      </w:r>
      <w:r w:rsidR="00515E76" w:rsidRPr="000F422D">
        <w:t>3C(2)</w:t>
      </w:r>
    </w:p>
    <w:p w14:paraId="0B8AFEDD" w14:textId="77777777" w:rsidR="00515E76" w:rsidRPr="000F422D" w:rsidRDefault="00515E76" w:rsidP="000F422D">
      <w:pPr>
        <w:pStyle w:val="Item"/>
      </w:pPr>
      <w:r w:rsidRPr="000F422D">
        <w:t>Add:</w:t>
      </w:r>
    </w:p>
    <w:p w14:paraId="6E60222C" w14:textId="77777777" w:rsidR="00515E76" w:rsidRPr="000F422D" w:rsidRDefault="00515E76" w:rsidP="000F422D">
      <w:pPr>
        <w:pStyle w:val="notetext"/>
      </w:pPr>
      <w:r w:rsidRPr="000F422D">
        <w:t>Note:</w:t>
      </w:r>
      <w:r w:rsidRPr="000F422D">
        <w:tab/>
        <w:t xml:space="preserve">However, such information may be used </w:t>
      </w:r>
      <w:r w:rsidR="000E18B4" w:rsidRPr="000F422D">
        <w:t xml:space="preserve">for the purposes of publishing information under </w:t>
      </w:r>
      <w:r w:rsidR="00CE629F" w:rsidRPr="000F422D">
        <w:t>subsection 1</w:t>
      </w:r>
      <w:r w:rsidR="000E18B4" w:rsidRPr="000F422D">
        <w:t xml:space="preserve">5A(1) (see </w:t>
      </w:r>
      <w:r w:rsidR="00CE629F" w:rsidRPr="000F422D">
        <w:t>subsection 1</w:t>
      </w:r>
      <w:r w:rsidR="000E18B4" w:rsidRPr="000F422D">
        <w:t xml:space="preserve">5A(3)). The publishing of information </w:t>
      </w:r>
      <w:r w:rsidR="00602FDA" w:rsidRPr="000F422D">
        <w:t xml:space="preserve">under </w:t>
      </w:r>
      <w:r w:rsidR="00CE629F" w:rsidRPr="000F422D">
        <w:t>subsection 1</w:t>
      </w:r>
      <w:r w:rsidRPr="000F422D">
        <w:t>5A</w:t>
      </w:r>
      <w:r w:rsidR="00602FDA" w:rsidRPr="000F422D">
        <w:t>(</w:t>
      </w:r>
      <w:r w:rsidR="000E18B4" w:rsidRPr="000F422D">
        <w:t>1</w:t>
      </w:r>
      <w:r w:rsidR="00602FDA" w:rsidRPr="000F422D">
        <w:t>)</w:t>
      </w:r>
      <w:r w:rsidR="000E18B4" w:rsidRPr="000F422D">
        <w:t xml:space="preserve"> is</w:t>
      </w:r>
      <w:r w:rsidRPr="000F422D">
        <w:t xml:space="preserve"> subject to </w:t>
      </w:r>
      <w:r w:rsidR="000E18B4" w:rsidRPr="000F422D">
        <w:t>certain</w:t>
      </w:r>
      <w:r w:rsidRPr="000F422D">
        <w:t xml:space="preserve"> </w:t>
      </w:r>
      <w:r w:rsidR="00602FDA" w:rsidRPr="000F422D">
        <w:t>protections</w:t>
      </w:r>
      <w:r w:rsidR="000E18B4" w:rsidRPr="000F422D">
        <w:t xml:space="preserve"> (see </w:t>
      </w:r>
      <w:r w:rsidR="00CE629F" w:rsidRPr="000F422D">
        <w:t>subsection 1</w:t>
      </w:r>
      <w:r w:rsidR="00602FDA" w:rsidRPr="000F422D">
        <w:t>5A(4)</w:t>
      </w:r>
      <w:r w:rsidR="000E18B4" w:rsidRPr="000F422D">
        <w:t>)</w:t>
      </w:r>
      <w:r w:rsidRPr="000F422D">
        <w:t>.</w:t>
      </w:r>
    </w:p>
    <w:p w14:paraId="790BF388" w14:textId="77777777" w:rsidR="00B9592D" w:rsidRPr="000F422D" w:rsidRDefault="005E3CD3" w:rsidP="000F422D">
      <w:pPr>
        <w:pStyle w:val="ItemHead"/>
      </w:pPr>
      <w:r w:rsidRPr="000F422D">
        <w:t>3</w:t>
      </w:r>
      <w:r w:rsidR="007E0766" w:rsidRPr="000F422D">
        <w:t xml:space="preserve">  At the end of </w:t>
      </w:r>
      <w:r w:rsidR="00CE629F" w:rsidRPr="000F422D">
        <w:t>subsection 1</w:t>
      </w:r>
      <w:r w:rsidR="007E0766" w:rsidRPr="000F422D">
        <w:t>4(1)</w:t>
      </w:r>
    </w:p>
    <w:p w14:paraId="5A8AAADB" w14:textId="77777777" w:rsidR="007E0766" w:rsidRPr="000F422D" w:rsidRDefault="007E0766" w:rsidP="000F422D">
      <w:pPr>
        <w:pStyle w:val="Item"/>
      </w:pPr>
      <w:r w:rsidRPr="000F422D">
        <w:t>Add:</w:t>
      </w:r>
    </w:p>
    <w:p w14:paraId="14C9768B" w14:textId="77777777" w:rsidR="007E0766" w:rsidRPr="000F422D" w:rsidRDefault="000E18B4" w:rsidP="000F422D">
      <w:pPr>
        <w:pStyle w:val="notetext"/>
      </w:pPr>
      <w:r w:rsidRPr="000F422D">
        <w:t>Note:</w:t>
      </w:r>
      <w:r w:rsidRPr="000F422D">
        <w:tab/>
        <w:t xml:space="preserve">However, such information may be used for the purposes of publishing information under </w:t>
      </w:r>
      <w:r w:rsidR="00CE629F" w:rsidRPr="000F422D">
        <w:t>subsection 1</w:t>
      </w:r>
      <w:r w:rsidRPr="000F422D">
        <w:t xml:space="preserve">5A(1) (see </w:t>
      </w:r>
      <w:r w:rsidR="00CE629F" w:rsidRPr="000F422D">
        <w:t>subsection 1</w:t>
      </w:r>
      <w:r w:rsidRPr="000F422D">
        <w:t xml:space="preserve">5A(3)). The publishing of information under </w:t>
      </w:r>
      <w:r w:rsidR="00CE629F" w:rsidRPr="000F422D">
        <w:t>subsection 1</w:t>
      </w:r>
      <w:r w:rsidRPr="000F422D">
        <w:t xml:space="preserve">5A(1) is subject to certain protections (see </w:t>
      </w:r>
      <w:r w:rsidR="00CE629F" w:rsidRPr="000F422D">
        <w:t>subsection 1</w:t>
      </w:r>
      <w:r w:rsidRPr="000F422D">
        <w:t>5A(4)).</w:t>
      </w:r>
    </w:p>
    <w:p w14:paraId="0FD563F4" w14:textId="77777777" w:rsidR="000E18B4" w:rsidRPr="000F422D" w:rsidRDefault="005E3CD3" w:rsidP="000F422D">
      <w:pPr>
        <w:pStyle w:val="ItemHead"/>
      </w:pPr>
      <w:r w:rsidRPr="000F422D">
        <w:t>4</w:t>
      </w:r>
      <w:r w:rsidR="000E18B4" w:rsidRPr="000F422D">
        <w:t xml:space="preserve">  At the end of </w:t>
      </w:r>
      <w:r w:rsidR="00CE629F" w:rsidRPr="000F422D">
        <w:t>subsection 1</w:t>
      </w:r>
      <w:r w:rsidR="000E18B4" w:rsidRPr="000F422D">
        <w:t>4A(1)</w:t>
      </w:r>
    </w:p>
    <w:p w14:paraId="086836A0" w14:textId="77777777" w:rsidR="000E18B4" w:rsidRPr="000F422D" w:rsidRDefault="000E18B4" w:rsidP="000F422D">
      <w:pPr>
        <w:pStyle w:val="Item"/>
      </w:pPr>
      <w:r w:rsidRPr="000F422D">
        <w:t>Add:</w:t>
      </w:r>
    </w:p>
    <w:p w14:paraId="21044755" w14:textId="77777777" w:rsidR="000E18B4" w:rsidRPr="000F422D" w:rsidRDefault="000E18B4" w:rsidP="000F422D">
      <w:pPr>
        <w:pStyle w:val="notetext"/>
      </w:pPr>
      <w:r w:rsidRPr="000F422D">
        <w:t>Note:</w:t>
      </w:r>
      <w:r w:rsidRPr="000F422D">
        <w:tab/>
        <w:t xml:space="preserve">However, such information may be used for the purposes of publishing information under </w:t>
      </w:r>
      <w:r w:rsidR="00CE629F" w:rsidRPr="000F422D">
        <w:t>subsection 1</w:t>
      </w:r>
      <w:r w:rsidRPr="000F422D">
        <w:t xml:space="preserve">5A(1) (see </w:t>
      </w:r>
      <w:r w:rsidR="00CE629F" w:rsidRPr="000F422D">
        <w:t>subsection 1</w:t>
      </w:r>
      <w:r w:rsidRPr="000F422D">
        <w:t xml:space="preserve">5A(3)). The publishing of information under </w:t>
      </w:r>
      <w:r w:rsidR="00CE629F" w:rsidRPr="000F422D">
        <w:t>subsection 1</w:t>
      </w:r>
      <w:r w:rsidRPr="000F422D">
        <w:t xml:space="preserve">5A(1) is subject to certain protections (see </w:t>
      </w:r>
      <w:r w:rsidR="00CE629F" w:rsidRPr="000F422D">
        <w:t>subsection 1</w:t>
      </w:r>
      <w:r w:rsidRPr="000F422D">
        <w:t>5A(4)).</w:t>
      </w:r>
    </w:p>
    <w:p w14:paraId="3C314BFD" w14:textId="77777777" w:rsidR="007E0766" w:rsidRPr="000F422D" w:rsidRDefault="005E3CD3" w:rsidP="000F422D">
      <w:pPr>
        <w:pStyle w:val="ItemHead"/>
      </w:pPr>
      <w:r w:rsidRPr="000F422D">
        <w:lastRenderedPageBreak/>
        <w:t>5</w:t>
      </w:r>
      <w:r w:rsidR="007E0766" w:rsidRPr="000F422D">
        <w:t xml:space="preserve">  After </w:t>
      </w:r>
      <w:r w:rsidR="006E1AA2" w:rsidRPr="000F422D">
        <w:t>section 1</w:t>
      </w:r>
      <w:r w:rsidR="007E0766" w:rsidRPr="000F422D">
        <w:t>5</w:t>
      </w:r>
    </w:p>
    <w:p w14:paraId="4A3D0705" w14:textId="77777777" w:rsidR="007E0766" w:rsidRPr="000F422D" w:rsidRDefault="007E0766" w:rsidP="000F422D">
      <w:pPr>
        <w:pStyle w:val="Item"/>
      </w:pPr>
      <w:r w:rsidRPr="000F422D">
        <w:t>Insert:</w:t>
      </w:r>
    </w:p>
    <w:p w14:paraId="22432A0D" w14:textId="77777777" w:rsidR="007E0766" w:rsidRPr="000F422D" w:rsidRDefault="007E0766" w:rsidP="000F422D">
      <w:pPr>
        <w:pStyle w:val="ActHead5"/>
      </w:pPr>
      <w:bookmarkStart w:id="9" w:name="_Toc132190358"/>
      <w:r w:rsidRPr="000F422D">
        <w:rPr>
          <w:rStyle w:val="CharSectno"/>
        </w:rPr>
        <w:t>15A</w:t>
      </w:r>
      <w:r w:rsidRPr="000F422D">
        <w:t xml:space="preserve">  Agency m</w:t>
      </w:r>
      <w:r w:rsidR="00562CC6" w:rsidRPr="000F422D">
        <w:t>ust</w:t>
      </w:r>
      <w:r w:rsidRPr="000F422D">
        <w:t xml:space="preserve"> publish information </w:t>
      </w:r>
      <w:r w:rsidR="00B27CAF" w:rsidRPr="000F422D">
        <w:t>for relevant employers</w:t>
      </w:r>
      <w:r w:rsidR="00602FDA" w:rsidRPr="000F422D">
        <w:t>—</w:t>
      </w:r>
      <w:r w:rsidR="00B27CAF" w:rsidRPr="000F422D">
        <w:t>achieving gender equality in relation to remuneration</w:t>
      </w:r>
      <w:bookmarkEnd w:id="9"/>
    </w:p>
    <w:p w14:paraId="05B10965" w14:textId="77777777" w:rsidR="00967A5D" w:rsidRPr="000F422D" w:rsidRDefault="00CC5FAA" w:rsidP="000F422D">
      <w:pPr>
        <w:pStyle w:val="subsection"/>
      </w:pPr>
      <w:r w:rsidRPr="000F422D">
        <w:tab/>
      </w:r>
      <w:r w:rsidR="00967A5D" w:rsidRPr="000F422D">
        <w:t>(1)</w:t>
      </w:r>
      <w:r w:rsidR="00967A5D" w:rsidRPr="000F422D">
        <w:tab/>
        <w:t>The Agency must publish aggregate information</w:t>
      </w:r>
      <w:r w:rsidR="00602FDA" w:rsidRPr="000F422D">
        <w:t>,</w:t>
      </w:r>
      <w:r w:rsidR="00967A5D" w:rsidRPr="000F422D">
        <w:t xml:space="preserve"> for each relevant employer for each reporting period</w:t>
      </w:r>
      <w:r w:rsidR="00602FDA" w:rsidRPr="000F422D">
        <w:t>,</w:t>
      </w:r>
      <w:r w:rsidR="00967A5D" w:rsidRPr="000F422D">
        <w:t xml:space="preserve"> for the purpose of showing the employer’s </w:t>
      </w:r>
      <w:r w:rsidR="00515E76" w:rsidRPr="000F422D">
        <w:t xml:space="preserve">performance and </w:t>
      </w:r>
      <w:r w:rsidR="00967A5D" w:rsidRPr="000F422D">
        <w:t>progress in achieving gender equality in relation to remuneration for the employer’s workforce.</w:t>
      </w:r>
    </w:p>
    <w:p w14:paraId="73C224E8" w14:textId="77777777" w:rsidR="00CC5FAA" w:rsidRPr="000F422D" w:rsidRDefault="00CC5FAA" w:rsidP="000F422D">
      <w:pPr>
        <w:pStyle w:val="subsection"/>
      </w:pPr>
      <w:r w:rsidRPr="000F422D">
        <w:tab/>
        <w:t>(2)</w:t>
      </w:r>
      <w:r w:rsidRPr="000F422D">
        <w:tab/>
        <w:t>The information may be published by electronic or other means.</w:t>
      </w:r>
    </w:p>
    <w:p w14:paraId="7A0EC17A" w14:textId="77777777" w:rsidR="00F5789D" w:rsidRPr="000F422D" w:rsidRDefault="00F5789D" w:rsidP="000F422D">
      <w:pPr>
        <w:pStyle w:val="subsection"/>
      </w:pPr>
      <w:r w:rsidRPr="000F422D">
        <w:tab/>
        <w:t>(3)</w:t>
      </w:r>
      <w:r w:rsidRPr="000F422D">
        <w:tab/>
        <w:t xml:space="preserve">The Agency may use </w:t>
      </w:r>
      <w:r w:rsidR="00602FDA" w:rsidRPr="000F422D">
        <w:t xml:space="preserve">information in </w:t>
      </w:r>
      <w:r w:rsidRPr="000F422D">
        <w:t xml:space="preserve">a public report for the purposes of </w:t>
      </w:r>
      <w:r w:rsidR="00CE629F" w:rsidRPr="000F422D">
        <w:t>subsection (</w:t>
      </w:r>
      <w:r w:rsidR="00543C8D" w:rsidRPr="000F422D">
        <w:t>1)</w:t>
      </w:r>
      <w:r w:rsidRPr="000F422D">
        <w:t>.</w:t>
      </w:r>
    </w:p>
    <w:p w14:paraId="2321666D" w14:textId="77777777" w:rsidR="00F5789D" w:rsidRPr="000F422D" w:rsidRDefault="00F5789D" w:rsidP="000F422D">
      <w:pPr>
        <w:pStyle w:val="subsection"/>
      </w:pPr>
      <w:r w:rsidRPr="000F422D">
        <w:tab/>
        <w:t>(4)</w:t>
      </w:r>
      <w:r w:rsidRPr="000F422D">
        <w:tab/>
        <w:t xml:space="preserve">However, the Agency must not publish information </w:t>
      </w:r>
      <w:r w:rsidR="00601F8E" w:rsidRPr="000F422D">
        <w:t xml:space="preserve">under </w:t>
      </w:r>
      <w:r w:rsidR="00CE629F" w:rsidRPr="000F422D">
        <w:t>subsection (</w:t>
      </w:r>
      <w:r w:rsidR="00601F8E" w:rsidRPr="000F422D">
        <w:t xml:space="preserve">1) </w:t>
      </w:r>
      <w:r w:rsidRPr="000F422D">
        <w:t>that</w:t>
      </w:r>
      <w:r w:rsidR="00543C8D" w:rsidRPr="000F422D">
        <w:t xml:space="preserve"> </w:t>
      </w:r>
      <w:r w:rsidRPr="000F422D">
        <w:t>discloses, either directly or indirectly:</w:t>
      </w:r>
    </w:p>
    <w:p w14:paraId="536315E0" w14:textId="77777777" w:rsidR="00F5789D" w:rsidRPr="000F422D" w:rsidRDefault="00F5789D" w:rsidP="000F422D">
      <w:pPr>
        <w:pStyle w:val="paragraph"/>
      </w:pPr>
      <w:r w:rsidRPr="000F422D">
        <w:tab/>
        <w:t>(</w:t>
      </w:r>
      <w:r w:rsidR="00543C8D" w:rsidRPr="000F422D">
        <w:t>a</w:t>
      </w:r>
      <w:r w:rsidRPr="000F422D">
        <w:t>)</w:t>
      </w:r>
      <w:r w:rsidRPr="000F422D">
        <w:tab/>
        <w:t>personal information; or</w:t>
      </w:r>
    </w:p>
    <w:p w14:paraId="1B4B07A5" w14:textId="77777777" w:rsidR="00543C8D" w:rsidRPr="000F422D" w:rsidRDefault="00F5789D" w:rsidP="000F422D">
      <w:pPr>
        <w:pStyle w:val="paragraph"/>
      </w:pPr>
      <w:r w:rsidRPr="000F422D">
        <w:tab/>
        <w:t>(</w:t>
      </w:r>
      <w:r w:rsidR="00543C8D" w:rsidRPr="000F422D">
        <w:t>b</w:t>
      </w:r>
      <w:r w:rsidRPr="000F422D">
        <w:t>)</w:t>
      </w:r>
      <w:r w:rsidRPr="000F422D">
        <w:tab/>
        <w:t>other information about the remuneration paid to a specific individual.</w:t>
      </w:r>
    </w:p>
    <w:p w14:paraId="2871138B" w14:textId="77777777" w:rsidR="00506A80" w:rsidRPr="000F422D" w:rsidRDefault="00BF3497" w:rsidP="000F422D">
      <w:pPr>
        <w:pStyle w:val="ActHead8"/>
      </w:pPr>
      <w:bookmarkStart w:id="10" w:name="_Toc132190359"/>
      <w:r w:rsidRPr="000F422D">
        <w:t>Division </w:t>
      </w:r>
      <w:r w:rsidR="00B9592D" w:rsidRPr="000F422D">
        <w:t>2</w:t>
      </w:r>
      <w:r w:rsidR="00506A80" w:rsidRPr="000F422D">
        <w:t>—</w:t>
      </w:r>
      <w:r w:rsidR="00542C76" w:rsidRPr="000F422D">
        <w:t>G</w:t>
      </w:r>
      <w:r w:rsidR="00506A80" w:rsidRPr="000F422D">
        <w:t>ender equality standards</w:t>
      </w:r>
      <w:bookmarkEnd w:id="10"/>
    </w:p>
    <w:p w14:paraId="150783BB" w14:textId="77777777" w:rsidR="004E60A6" w:rsidRPr="000F422D" w:rsidRDefault="004E60A6" w:rsidP="000F422D">
      <w:pPr>
        <w:pStyle w:val="ActHead9"/>
      </w:pPr>
      <w:bookmarkStart w:id="11" w:name="_Toc132190360"/>
      <w:r w:rsidRPr="000F422D">
        <w:t>Workplace Gender Equality Act 2012</w:t>
      </w:r>
      <w:bookmarkEnd w:id="11"/>
    </w:p>
    <w:p w14:paraId="5C55544E" w14:textId="77777777" w:rsidR="0049201C" w:rsidRPr="000F422D" w:rsidRDefault="005E3CD3" w:rsidP="000F422D">
      <w:pPr>
        <w:pStyle w:val="ItemHead"/>
      </w:pPr>
      <w:r w:rsidRPr="000F422D">
        <w:t>6</w:t>
      </w:r>
      <w:r w:rsidR="0049201C" w:rsidRPr="000F422D">
        <w:t xml:space="preserve">  </w:t>
      </w:r>
      <w:r w:rsidR="00490C88" w:rsidRPr="000F422D">
        <w:t>Subsection 3</w:t>
      </w:r>
      <w:r w:rsidR="0049201C" w:rsidRPr="000F422D">
        <w:t>(1)</w:t>
      </w:r>
    </w:p>
    <w:p w14:paraId="50901717" w14:textId="77777777" w:rsidR="0049201C" w:rsidRPr="000F422D" w:rsidRDefault="0049201C" w:rsidP="000F422D">
      <w:pPr>
        <w:pStyle w:val="Item"/>
      </w:pPr>
      <w:r w:rsidRPr="000F422D">
        <w:t>Insert:</w:t>
      </w:r>
    </w:p>
    <w:p w14:paraId="42D2B6A1" w14:textId="77777777" w:rsidR="0049201C" w:rsidRPr="000F422D" w:rsidRDefault="0049201C" w:rsidP="000F422D">
      <w:pPr>
        <w:pStyle w:val="Definition"/>
      </w:pPr>
      <w:r w:rsidRPr="000F422D">
        <w:rPr>
          <w:b/>
          <w:i/>
        </w:rPr>
        <w:t>gender equality standard</w:t>
      </w:r>
      <w:r w:rsidRPr="000F422D">
        <w:t xml:space="preserve">: see </w:t>
      </w:r>
      <w:r w:rsidR="00CE629F" w:rsidRPr="000F422D">
        <w:t>subsection 1</w:t>
      </w:r>
      <w:r w:rsidRPr="000F422D">
        <w:t>9(1A).</w:t>
      </w:r>
    </w:p>
    <w:p w14:paraId="28B52032" w14:textId="77777777" w:rsidR="0049201C" w:rsidRPr="000F422D" w:rsidRDefault="005E3CD3" w:rsidP="000F422D">
      <w:pPr>
        <w:pStyle w:val="ItemHead"/>
      </w:pPr>
      <w:r w:rsidRPr="000F422D">
        <w:t>7</w:t>
      </w:r>
      <w:r w:rsidR="0049201C" w:rsidRPr="000F422D">
        <w:t xml:space="preserve">  </w:t>
      </w:r>
      <w:r w:rsidR="00490C88" w:rsidRPr="000F422D">
        <w:t>Subsection 3</w:t>
      </w:r>
      <w:r w:rsidR="0049201C" w:rsidRPr="000F422D">
        <w:t xml:space="preserve">(1) (definition of </w:t>
      </w:r>
      <w:r w:rsidR="0049201C" w:rsidRPr="000F422D">
        <w:rPr>
          <w:i/>
        </w:rPr>
        <w:t>minimum standard</w:t>
      </w:r>
      <w:r w:rsidR="0049201C" w:rsidRPr="000F422D">
        <w:t>)</w:t>
      </w:r>
    </w:p>
    <w:p w14:paraId="47A0F29C" w14:textId="77777777" w:rsidR="008D3E94" w:rsidRPr="000F422D" w:rsidRDefault="0049201C" w:rsidP="000F422D">
      <w:pPr>
        <w:pStyle w:val="Item"/>
      </w:pPr>
      <w:r w:rsidRPr="000F422D">
        <w:t>Repeal the definition.</w:t>
      </w:r>
    </w:p>
    <w:p w14:paraId="0488195A" w14:textId="77777777" w:rsidR="00D901A5" w:rsidRPr="000F422D" w:rsidRDefault="005E3CD3" w:rsidP="000F422D">
      <w:pPr>
        <w:pStyle w:val="ItemHead"/>
      </w:pPr>
      <w:r w:rsidRPr="000F422D">
        <w:t>8</w:t>
      </w:r>
      <w:r w:rsidR="00D901A5" w:rsidRPr="000F422D">
        <w:t xml:space="preserve">  </w:t>
      </w:r>
      <w:r w:rsidR="00562CC6" w:rsidRPr="000F422D">
        <w:t>Section 1</w:t>
      </w:r>
      <w:r w:rsidR="00D901A5" w:rsidRPr="000F422D">
        <w:t>8 (paragraph beginning “The Minister will set minimum standards”)</w:t>
      </w:r>
    </w:p>
    <w:p w14:paraId="74413A87" w14:textId="77777777" w:rsidR="00D901A5" w:rsidRPr="000F422D" w:rsidRDefault="00D901A5" w:rsidP="000F422D">
      <w:pPr>
        <w:pStyle w:val="Item"/>
      </w:pPr>
      <w:r w:rsidRPr="000F422D">
        <w:t>Omit “</w:t>
      </w:r>
      <w:r w:rsidR="0051395A" w:rsidRPr="000F422D">
        <w:t xml:space="preserve">will set </w:t>
      </w:r>
      <w:r w:rsidRPr="000F422D">
        <w:t>minimum standards”, substitute “</w:t>
      </w:r>
      <w:r w:rsidR="0051395A" w:rsidRPr="000F422D">
        <w:t xml:space="preserve">must set </w:t>
      </w:r>
      <w:r w:rsidRPr="000F422D">
        <w:t>gender equality standards”.</w:t>
      </w:r>
    </w:p>
    <w:p w14:paraId="056F4D06" w14:textId="77777777" w:rsidR="00D901A5" w:rsidRPr="000F422D" w:rsidRDefault="005E3CD3" w:rsidP="000F422D">
      <w:pPr>
        <w:pStyle w:val="ItemHead"/>
      </w:pPr>
      <w:r w:rsidRPr="000F422D">
        <w:lastRenderedPageBreak/>
        <w:t>9</w:t>
      </w:r>
      <w:r w:rsidR="00D901A5" w:rsidRPr="000F422D">
        <w:t xml:space="preserve">  </w:t>
      </w:r>
      <w:r w:rsidR="00562CC6" w:rsidRPr="000F422D">
        <w:t>Section 1</w:t>
      </w:r>
      <w:r w:rsidR="00D901A5" w:rsidRPr="000F422D">
        <w:t>9 (heading)</w:t>
      </w:r>
    </w:p>
    <w:p w14:paraId="19EA9BF3" w14:textId="77777777" w:rsidR="00D901A5" w:rsidRPr="000F422D" w:rsidRDefault="00D901A5" w:rsidP="000F422D">
      <w:pPr>
        <w:pStyle w:val="Item"/>
      </w:pPr>
      <w:r w:rsidRPr="000F422D">
        <w:t>Omit “</w:t>
      </w:r>
      <w:r w:rsidR="0051395A" w:rsidRPr="000F422D">
        <w:rPr>
          <w:b/>
        </w:rPr>
        <w:t xml:space="preserve">will set </w:t>
      </w:r>
      <w:r w:rsidRPr="000F422D">
        <w:rPr>
          <w:b/>
        </w:rPr>
        <w:t>minimum standards</w:t>
      </w:r>
      <w:r w:rsidRPr="000F422D">
        <w:t>”, substitute “</w:t>
      </w:r>
      <w:r w:rsidR="0051395A" w:rsidRPr="000F422D">
        <w:rPr>
          <w:b/>
        </w:rPr>
        <w:t xml:space="preserve">to set </w:t>
      </w:r>
      <w:r w:rsidRPr="000F422D">
        <w:rPr>
          <w:b/>
        </w:rPr>
        <w:t>gender equality standards</w:t>
      </w:r>
      <w:r w:rsidRPr="000F422D">
        <w:t>”.</w:t>
      </w:r>
    </w:p>
    <w:p w14:paraId="586D78AA" w14:textId="77777777" w:rsidR="0049201C" w:rsidRPr="000F422D" w:rsidRDefault="005E3CD3" w:rsidP="000F422D">
      <w:pPr>
        <w:pStyle w:val="ItemHead"/>
      </w:pPr>
      <w:r w:rsidRPr="000F422D">
        <w:t>10</w:t>
      </w:r>
      <w:r w:rsidR="0049201C" w:rsidRPr="000F422D">
        <w:t xml:space="preserve">  </w:t>
      </w:r>
      <w:r w:rsidR="00B84942" w:rsidRPr="000F422D">
        <w:t>Sub</w:t>
      </w:r>
      <w:r w:rsidR="006E1AA2" w:rsidRPr="000F422D">
        <w:t>section 1</w:t>
      </w:r>
      <w:r w:rsidR="0049201C" w:rsidRPr="000F422D">
        <w:t>9(1)</w:t>
      </w:r>
    </w:p>
    <w:p w14:paraId="7ABB0538" w14:textId="77777777" w:rsidR="0049201C" w:rsidRPr="000F422D" w:rsidRDefault="0049201C" w:rsidP="000F422D">
      <w:pPr>
        <w:pStyle w:val="Item"/>
      </w:pPr>
      <w:r w:rsidRPr="000F422D">
        <w:t>Repeal the subsection, substitute:</w:t>
      </w:r>
    </w:p>
    <w:p w14:paraId="73C43206" w14:textId="77777777" w:rsidR="0049201C" w:rsidRPr="000F422D" w:rsidRDefault="0049201C" w:rsidP="000F422D">
      <w:pPr>
        <w:pStyle w:val="subsection"/>
      </w:pPr>
      <w:r w:rsidRPr="000F422D">
        <w:tab/>
        <w:t>(1)</w:t>
      </w:r>
      <w:r w:rsidRPr="000F422D">
        <w:tab/>
        <w:t>The Minister must, by legislative instrument, set standards in relation to specified gender equality indicators, specified relevant employers and specified reporting periods.</w:t>
      </w:r>
    </w:p>
    <w:p w14:paraId="48BFF39C" w14:textId="77777777" w:rsidR="0049201C" w:rsidRPr="000F422D" w:rsidRDefault="0049201C" w:rsidP="000F422D">
      <w:pPr>
        <w:pStyle w:val="notetext"/>
      </w:pPr>
      <w:r w:rsidRPr="000F422D">
        <w:t>Note 1:</w:t>
      </w:r>
      <w:r w:rsidRPr="000F422D">
        <w:tab/>
        <w:t xml:space="preserve">The Minister must consult the Agency before making legislative instruments under this Act (see </w:t>
      </w:r>
      <w:r w:rsidR="00D950A6" w:rsidRPr="000F422D">
        <w:t>section 3</w:t>
      </w:r>
      <w:r w:rsidRPr="000F422D">
        <w:t>3A).</w:t>
      </w:r>
    </w:p>
    <w:p w14:paraId="06F18303" w14:textId="77777777" w:rsidR="0049201C" w:rsidRPr="000F422D" w:rsidRDefault="0049201C" w:rsidP="000F422D">
      <w:pPr>
        <w:pStyle w:val="notetext"/>
      </w:pPr>
      <w:r w:rsidRPr="000F422D">
        <w:t>Note 2:</w:t>
      </w:r>
      <w:r w:rsidRPr="000F422D">
        <w:tab/>
        <w:t xml:space="preserve">For specification by class, see </w:t>
      </w:r>
      <w:r w:rsidR="00CE629F" w:rsidRPr="000F422D">
        <w:t>subsection 1</w:t>
      </w:r>
      <w:r w:rsidRPr="000F422D">
        <w:t xml:space="preserve">3(3) of the </w:t>
      </w:r>
      <w:r w:rsidRPr="000F422D">
        <w:rPr>
          <w:i/>
        </w:rPr>
        <w:t>Legislation Act 2003</w:t>
      </w:r>
      <w:r w:rsidRPr="000F422D">
        <w:t>.</w:t>
      </w:r>
    </w:p>
    <w:p w14:paraId="7A3BCDAC" w14:textId="77777777" w:rsidR="0049201C" w:rsidRPr="000F422D" w:rsidRDefault="0049201C" w:rsidP="000F422D">
      <w:pPr>
        <w:pStyle w:val="notetext"/>
        <w:spacing w:before="240"/>
      </w:pPr>
      <w:r w:rsidRPr="000F422D">
        <w:t>Note 3:</w:t>
      </w:r>
      <w:r w:rsidRPr="000F422D">
        <w:tab/>
        <w:t xml:space="preserve">An instrument under </w:t>
      </w:r>
      <w:r w:rsidR="00CE629F" w:rsidRPr="000F422D">
        <w:t>subsection (</w:t>
      </w:r>
      <w:r w:rsidRPr="000F422D">
        <w:t xml:space="preserve">1) may make different provision with respect to different relevant employers and different reporting periods (see </w:t>
      </w:r>
      <w:r w:rsidR="00CE629F" w:rsidRPr="000F422D">
        <w:t>subsection 3</w:t>
      </w:r>
      <w:r w:rsidRPr="000F422D">
        <w:t xml:space="preserve">3(3A) of the </w:t>
      </w:r>
      <w:r w:rsidRPr="000F422D">
        <w:rPr>
          <w:i/>
        </w:rPr>
        <w:t>Acts Interpretation Act 1901</w:t>
      </w:r>
      <w:r w:rsidRPr="000F422D">
        <w:t>).</w:t>
      </w:r>
    </w:p>
    <w:p w14:paraId="634E398A" w14:textId="77777777" w:rsidR="0051395A" w:rsidRPr="000F422D" w:rsidRDefault="0049201C" w:rsidP="000F422D">
      <w:pPr>
        <w:pStyle w:val="subsection"/>
      </w:pPr>
      <w:r w:rsidRPr="000F422D">
        <w:tab/>
        <w:t>(1A)</w:t>
      </w:r>
      <w:r w:rsidRPr="000F422D">
        <w:tab/>
        <w:t>A standard set</w:t>
      </w:r>
      <w:r w:rsidR="0051395A" w:rsidRPr="000F422D">
        <w:t xml:space="preserve"> by an instrument in force</w:t>
      </w:r>
      <w:r w:rsidRPr="000F422D">
        <w:t xml:space="preserve"> under </w:t>
      </w:r>
      <w:r w:rsidR="00CE629F" w:rsidRPr="000F422D">
        <w:t>subsection (</w:t>
      </w:r>
      <w:r w:rsidRPr="000F422D">
        <w:t xml:space="preserve">1) is to be known as a </w:t>
      </w:r>
      <w:r w:rsidRPr="000F422D">
        <w:rPr>
          <w:b/>
          <w:i/>
        </w:rPr>
        <w:t>gender equality standard</w:t>
      </w:r>
      <w:r w:rsidRPr="000F422D">
        <w:t>.</w:t>
      </w:r>
    </w:p>
    <w:p w14:paraId="4B025F4A" w14:textId="77777777" w:rsidR="00D901A5" w:rsidRPr="000F422D" w:rsidRDefault="005E3CD3" w:rsidP="000F422D">
      <w:pPr>
        <w:pStyle w:val="ItemHead"/>
      </w:pPr>
      <w:r w:rsidRPr="000F422D">
        <w:t>11</w:t>
      </w:r>
      <w:r w:rsidR="00D901A5" w:rsidRPr="000F422D">
        <w:t xml:space="preserve">  </w:t>
      </w:r>
      <w:r w:rsidR="00CF6179" w:rsidRPr="000F422D">
        <w:t>Paragraph 1</w:t>
      </w:r>
      <w:r w:rsidR="00D901A5" w:rsidRPr="000F422D">
        <w:t>9A(1)(a)</w:t>
      </w:r>
    </w:p>
    <w:p w14:paraId="350E72E6" w14:textId="77777777" w:rsidR="00D901A5" w:rsidRPr="000F422D" w:rsidRDefault="00D901A5" w:rsidP="000F422D">
      <w:pPr>
        <w:pStyle w:val="Item"/>
      </w:pPr>
      <w:r w:rsidRPr="000F422D">
        <w:t>Omit “minimum standards”, substitute “gender equality standards”.</w:t>
      </w:r>
    </w:p>
    <w:p w14:paraId="065AB34E" w14:textId="77777777" w:rsidR="00D901A5" w:rsidRPr="000F422D" w:rsidRDefault="005E3CD3" w:rsidP="000F422D">
      <w:pPr>
        <w:pStyle w:val="ItemHead"/>
      </w:pPr>
      <w:r w:rsidRPr="000F422D">
        <w:t>12</w:t>
      </w:r>
      <w:r w:rsidR="00D901A5" w:rsidRPr="000F422D">
        <w:t xml:space="preserve">  </w:t>
      </w:r>
      <w:r w:rsidR="00562CC6" w:rsidRPr="000F422D">
        <w:t>Section 1</w:t>
      </w:r>
      <w:r w:rsidR="00D901A5" w:rsidRPr="000F422D">
        <w:t>9C (heading)</w:t>
      </w:r>
    </w:p>
    <w:p w14:paraId="609D7154" w14:textId="77777777" w:rsidR="00D901A5" w:rsidRPr="000F422D" w:rsidRDefault="00D901A5" w:rsidP="000F422D">
      <w:pPr>
        <w:pStyle w:val="Item"/>
      </w:pPr>
      <w:r w:rsidRPr="000F422D">
        <w:t>Omit “</w:t>
      </w:r>
      <w:r w:rsidRPr="000F422D">
        <w:rPr>
          <w:b/>
        </w:rPr>
        <w:t>minimum standard</w:t>
      </w:r>
      <w:r w:rsidRPr="000F422D">
        <w:t>”, substitute “</w:t>
      </w:r>
      <w:r w:rsidRPr="000F422D">
        <w:rPr>
          <w:b/>
        </w:rPr>
        <w:t>gender equality standard</w:t>
      </w:r>
      <w:r w:rsidRPr="000F422D">
        <w:t>”.</w:t>
      </w:r>
    </w:p>
    <w:p w14:paraId="131193FC" w14:textId="77777777" w:rsidR="00D901A5" w:rsidRPr="000F422D" w:rsidRDefault="005E3CD3" w:rsidP="000F422D">
      <w:pPr>
        <w:pStyle w:val="ItemHead"/>
      </w:pPr>
      <w:r w:rsidRPr="000F422D">
        <w:t>13</w:t>
      </w:r>
      <w:r w:rsidR="00D901A5" w:rsidRPr="000F422D">
        <w:t xml:space="preserve">  </w:t>
      </w:r>
      <w:r w:rsidR="00CF6179" w:rsidRPr="000F422D">
        <w:t>Paragraph 1</w:t>
      </w:r>
      <w:r w:rsidR="00D901A5" w:rsidRPr="000F422D">
        <w:t>9C(b)</w:t>
      </w:r>
    </w:p>
    <w:p w14:paraId="2466F6AD" w14:textId="77777777" w:rsidR="00D901A5" w:rsidRPr="000F422D" w:rsidRDefault="00D901A5" w:rsidP="000F422D">
      <w:pPr>
        <w:pStyle w:val="Item"/>
      </w:pPr>
      <w:r w:rsidRPr="000F422D">
        <w:t>Omit “minimum standard”, substitute “gender equality standard”.</w:t>
      </w:r>
    </w:p>
    <w:p w14:paraId="1D12134E" w14:textId="77777777" w:rsidR="00D901A5" w:rsidRPr="000F422D" w:rsidRDefault="005E3CD3" w:rsidP="000F422D">
      <w:pPr>
        <w:pStyle w:val="ItemHead"/>
      </w:pPr>
      <w:r w:rsidRPr="000F422D">
        <w:t>14</w:t>
      </w:r>
      <w:r w:rsidR="00D901A5" w:rsidRPr="000F422D">
        <w:t xml:space="preserve">  </w:t>
      </w:r>
      <w:r w:rsidR="00562CC6" w:rsidRPr="000F422D">
        <w:t>Section 1</w:t>
      </w:r>
      <w:r w:rsidR="00D901A5" w:rsidRPr="000F422D">
        <w:t>9E (heading)</w:t>
      </w:r>
    </w:p>
    <w:p w14:paraId="597B639D" w14:textId="77777777" w:rsidR="00D901A5" w:rsidRPr="000F422D" w:rsidRDefault="00D901A5" w:rsidP="000F422D">
      <w:pPr>
        <w:pStyle w:val="Item"/>
      </w:pPr>
      <w:r w:rsidRPr="000F422D">
        <w:t>Omit “</w:t>
      </w:r>
      <w:r w:rsidRPr="000F422D">
        <w:rPr>
          <w:b/>
        </w:rPr>
        <w:t>minimum standards</w:t>
      </w:r>
      <w:r w:rsidRPr="000F422D">
        <w:t>”, substitute “</w:t>
      </w:r>
      <w:r w:rsidRPr="000F422D">
        <w:rPr>
          <w:b/>
        </w:rPr>
        <w:t>gender equality standards</w:t>
      </w:r>
      <w:r w:rsidRPr="000F422D">
        <w:t>”.</w:t>
      </w:r>
    </w:p>
    <w:p w14:paraId="6DA9546D" w14:textId="77777777" w:rsidR="00D901A5" w:rsidRPr="000F422D" w:rsidRDefault="005E3CD3" w:rsidP="000F422D">
      <w:pPr>
        <w:pStyle w:val="ItemHead"/>
      </w:pPr>
      <w:r w:rsidRPr="000F422D">
        <w:t>15</w:t>
      </w:r>
      <w:r w:rsidR="00D901A5" w:rsidRPr="000F422D">
        <w:t xml:space="preserve">  </w:t>
      </w:r>
      <w:r w:rsidR="00CF6179" w:rsidRPr="000F422D">
        <w:t>Paragraph 1</w:t>
      </w:r>
      <w:r w:rsidR="00D901A5" w:rsidRPr="000F422D">
        <w:t>9E(b)</w:t>
      </w:r>
    </w:p>
    <w:p w14:paraId="1418C400" w14:textId="77777777" w:rsidR="00B9592D" w:rsidRPr="000F422D" w:rsidRDefault="00D901A5" w:rsidP="000F422D">
      <w:pPr>
        <w:pStyle w:val="Item"/>
      </w:pPr>
      <w:r w:rsidRPr="000F422D">
        <w:t>Omit “minimum standard”, substitute “gender equality standard”.</w:t>
      </w:r>
    </w:p>
    <w:p w14:paraId="1523E4C8" w14:textId="77777777" w:rsidR="00A973EE" w:rsidRPr="000F422D" w:rsidRDefault="00524A2B" w:rsidP="000F422D">
      <w:pPr>
        <w:pStyle w:val="ActHead8"/>
      </w:pPr>
      <w:bookmarkStart w:id="12" w:name="_Toc132190361"/>
      <w:r w:rsidRPr="000F422D">
        <w:t>Division </w:t>
      </w:r>
      <w:r w:rsidR="00B9592D" w:rsidRPr="000F422D">
        <w:t>3</w:t>
      </w:r>
      <w:r w:rsidR="00A973EE" w:rsidRPr="000F422D">
        <w:t>—</w:t>
      </w:r>
      <w:r w:rsidR="00C06B00" w:rsidRPr="000F422D">
        <w:t>Giving</w:t>
      </w:r>
      <w:r w:rsidR="00A973EE" w:rsidRPr="000F422D">
        <w:t xml:space="preserve"> reports to governing bodies</w:t>
      </w:r>
      <w:bookmarkEnd w:id="12"/>
    </w:p>
    <w:p w14:paraId="1D0C89A6" w14:textId="77777777" w:rsidR="006E42EE" w:rsidRPr="000F422D" w:rsidRDefault="00AE749B" w:rsidP="000F422D">
      <w:pPr>
        <w:pStyle w:val="ActHead9"/>
      </w:pPr>
      <w:bookmarkStart w:id="13" w:name="_Toc132190362"/>
      <w:r w:rsidRPr="000F422D">
        <w:t>Workplace Gender Equality Act 2012</w:t>
      </w:r>
      <w:bookmarkEnd w:id="13"/>
    </w:p>
    <w:p w14:paraId="0509799A" w14:textId="77777777" w:rsidR="00AE749B" w:rsidRPr="000F422D" w:rsidRDefault="005E3CD3" w:rsidP="000F422D">
      <w:pPr>
        <w:pStyle w:val="ItemHead"/>
      </w:pPr>
      <w:r w:rsidRPr="000F422D">
        <w:t>16</w:t>
      </w:r>
      <w:r w:rsidR="00AE749B" w:rsidRPr="000F422D">
        <w:t xml:space="preserve">  </w:t>
      </w:r>
      <w:r w:rsidR="00490C88" w:rsidRPr="000F422D">
        <w:t>Subsection 3</w:t>
      </w:r>
      <w:r w:rsidR="00AE749B" w:rsidRPr="000F422D">
        <w:t>(1)</w:t>
      </w:r>
    </w:p>
    <w:p w14:paraId="578AC9AF" w14:textId="77777777" w:rsidR="00AE749B" w:rsidRPr="000F422D" w:rsidRDefault="00AE749B" w:rsidP="000F422D">
      <w:pPr>
        <w:pStyle w:val="Item"/>
      </w:pPr>
      <w:r w:rsidRPr="000F422D">
        <w:t>Insert:</w:t>
      </w:r>
    </w:p>
    <w:p w14:paraId="02681605" w14:textId="77777777" w:rsidR="006E42EE" w:rsidRPr="000F422D" w:rsidRDefault="006E42EE" w:rsidP="000F422D">
      <w:pPr>
        <w:pStyle w:val="Definition"/>
      </w:pPr>
      <w:r w:rsidRPr="000F422D">
        <w:rPr>
          <w:b/>
          <w:i/>
        </w:rPr>
        <w:t>CEO</w:t>
      </w:r>
      <w:r w:rsidRPr="000F422D">
        <w:t>, when used in relation to a relevant employer, means the Chief Executive Officer (however described) of the relevant employer.</w:t>
      </w:r>
    </w:p>
    <w:p w14:paraId="6E217051" w14:textId="77777777" w:rsidR="005E4613" w:rsidRPr="000F422D" w:rsidRDefault="009D1952" w:rsidP="000F422D">
      <w:pPr>
        <w:pStyle w:val="Definition"/>
      </w:pPr>
      <w:r w:rsidRPr="000F422D">
        <w:rPr>
          <w:b/>
          <w:i/>
        </w:rPr>
        <w:t>executive summary report</w:t>
      </w:r>
      <w:r w:rsidR="005E1C5E" w:rsidRPr="000F422D">
        <w:t xml:space="preserve">, </w:t>
      </w:r>
      <w:r w:rsidR="00F37E94" w:rsidRPr="000F422D">
        <w:t>for a relevant employer for a reporting period</w:t>
      </w:r>
      <w:r w:rsidR="005E1C5E" w:rsidRPr="000F422D">
        <w:t xml:space="preserve">, </w:t>
      </w:r>
      <w:r w:rsidRPr="000F422D">
        <w:t>means</w:t>
      </w:r>
      <w:r w:rsidR="001B3D7A" w:rsidRPr="000F422D">
        <w:t xml:space="preserve"> a report that</w:t>
      </w:r>
      <w:r w:rsidR="005E4613" w:rsidRPr="000F422D">
        <w:t>:</w:t>
      </w:r>
    </w:p>
    <w:p w14:paraId="13DEBD9B" w14:textId="77777777" w:rsidR="005E4613" w:rsidRPr="000F422D" w:rsidRDefault="005E4613" w:rsidP="000F422D">
      <w:pPr>
        <w:pStyle w:val="paragraph"/>
      </w:pPr>
      <w:r w:rsidRPr="000F422D">
        <w:tab/>
        <w:t>(a)</w:t>
      </w:r>
      <w:r w:rsidRPr="000F422D">
        <w:tab/>
        <w:t xml:space="preserve">is given by the Agency to </w:t>
      </w:r>
      <w:r w:rsidR="005E1C5E" w:rsidRPr="000F422D">
        <w:t>the</w:t>
      </w:r>
      <w:r w:rsidRPr="000F422D">
        <w:t xml:space="preserve"> relevant employer; and</w:t>
      </w:r>
    </w:p>
    <w:p w14:paraId="631C962F" w14:textId="77777777" w:rsidR="009D1952" w:rsidRPr="000F422D" w:rsidRDefault="005E4613" w:rsidP="000F422D">
      <w:pPr>
        <w:pStyle w:val="paragraph"/>
        <w:rPr>
          <w:b/>
          <w:i/>
        </w:rPr>
      </w:pPr>
      <w:r w:rsidRPr="000F422D">
        <w:tab/>
        <w:t>(b)</w:t>
      </w:r>
      <w:r w:rsidRPr="000F422D">
        <w:tab/>
      </w:r>
      <w:r w:rsidR="001B3D7A" w:rsidRPr="000F422D">
        <w:t xml:space="preserve">contains a summary of the information contained in a public report prepared by </w:t>
      </w:r>
      <w:r w:rsidRPr="000F422D">
        <w:t>the</w:t>
      </w:r>
      <w:r w:rsidR="00A57F51" w:rsidRPr="000F422D">
        <w:t xml:space="preserve"> </w:t>
      </w:r>
      <w:r w:rsidR="001B3D7A" w:rsidRPr="000F422D">
        <w:t>relevant employer</w:t>
      </w:r>
      <w:r w:rsidR="005E1C5E" w:rsidRPr="000F422D">
        <w:t xml:space="preserve"> in respect of the reporting period</w:t>
      </w:r>
      <w:r w:rsidR="009D1952" w:rsidRPr="000F422D">
        <w:t>.</w:t>
      </w:r>
    </w:p>
    <w:p w14:paraId="5ABA6FBA" w14:textId="77777777" w:rsidR="005E4613" w:rsidRPr="000F422D" w:rsidRDefault="00AE749B" w:rsidP="000F422D">
      <w:pPr>
        <w:pStyle w:val="Definition"/>
      </w:pPr>
      <w:r w:rsidRPr="000F422D">
        <w:rPr>
          <w:b/>
          <w:i/>
        </w:rPr>
        <w:t>industry benchmark</w:t>
      </w:r>
      <w:r w:rsidRPr="000F422D">
        <w:rPr>
          <w:b/>
        </w:rPr>
        <w:t xml:space="preserve"> </w:t>
      </w:r>
      <w:r w:rsidRPr="000F422D">
        <w:rPr>
          <w:b/>
          <w:i/>
        </w:rPr>
        <w:t>report</w:t>
      </w:r>
      <w:r w:rsidR="00F37E94" w:rsidRPr="000F422D">
        <w:t>, for a relevant employer for a reporting period,</w:t>
      </w:r>
      <w:r w:rsidRPr="000F422D">
        <w:rPr>
          <w:i/>
        </w:rPr>
        <w:t xml:space="preserve"> </w:t>
      </w:r>
      <w:r w:rsidRPr="000F422D">
        <w:t xml:space="preserve">means </w:t>
      </w:r>
      <w:r w:rsidR="001B3D7A" w:rsidRPr="000F422D">
        <w:t>a report that</w:t>
      </w:r>
      <w:r w:rsidR="005E4613" w:rsidRPr="000F422D">
        <w:t>:</w:t>
      </w:r>
    </w:p>
    <w:p w14:paraId="3D5D0691" w14:textId="77777777" w:rsidR="005E4613" w:rsidRPr="000F422D" w:rsidRDefault="005E4613" w:rsidP="000F422D">
      <w:pPr>
        <w:pStyle w:val="paragraph"/>
      </w:pPr>
      <w:r w:rsidRPr="000F422D">
        <w:tab/>
        <w:t>(a)</w:t>
      </w:r>
      <w:r w:rsidRPr="000F422D">
        <w:tab/>
        <w:t xml:space="preserve">is given by the Agency to </w:t>
      </w:r>
      <w:r w:rsidR="005E1C5E" w:rsidRPr="000F422D">
        <w:t>the</w:t>
      </w:r>
      <w:r w:rsidR="001F1CC1" w:rsidRPr="000F422D">
        <w:t xml:space="preserve"> </w:t>
      </w:r>
      <w:r w:rsidRPr="000F422D">
        <w:t>relevant employer; and</w:t>
      </w:r>
    </w:p>
    <w:p w14:paraId="34D1B3E8" w14:textId="77777777" w:rsidR="00A57F51" w:rsidRPr="000F422D" w:rsidRDefault="005E4613" w:rsidP="000F422D">
      <w:pPr>
        <w:pStyle w:val="paragraph"/>
      </w:pPr>
      <w:r w:rsidRPr="000F422D">
        <w:tab/>
        <w:t>(b)</w:t>
      </w:r>
      <w:r w:rsidRPr="000F422D">
        <w:tab/>
      </w:r>
      <w:r w:rsidR="001B3D7A" w:rsidRPr="000F422D">
        <w:t xml:space="preserve">compares the information contained in a public report prepared by </w:t>
      </w:r>
      <w:r w:rsidRPr="000F422D">
        <w:t>the</w:t>
      </w:r>
      <w:r w:rsidR="00A57F51" w:rsidRPr="000F422D">
        <w:t xml:space="preserve"> </w:t>
      </w:r>
      <w:r w:rsidR="001B3D7A" w:rsidRPr="000F422D">
        <w:t xml:space="preserve">relevant employer </w:t>
      </w:r>
      <w:r w:rsidR="005E1C5E" w:rsidRPr="000F422D">
        <w:t xml:space="preserve">in respect of the reporting period </w:t>
      </w:r>
      <w:r w:rsidR="001B3D7A" w:rsidRPr="000F422D">
        <w:t>with the i</w:t>
      </w:r>
      <w:r w:rsidR="00A57F51" w:rsidRPr="000F422D">
        <w:t xml:space="preserve">nformation contained in public reports prepared by </w:t>
      </w:r>
      <w:r w:rsidR="004F6DF7" w:rsidRPr="000F422D">
        <w:t>similar</w:t>
      </w:r>
      <w:r w:rsidR="00A57F51" w:rsidRPr="000F422D">
        <w:t xml:space="preserve"> relevant employers</w:t>
      </w:r>
      <w:r w:rsidR="005E1C5E" w:rsidRPr="000F422D">
        <w:t xml:space="preserve"> in respect of the reporting period</w:t>
      </w:r>
      <w:r w:rsidR="00A57F51" w:rsidRPr="000F422D">
        <w:t>.</w:t>
      </w:r>
    </w:p>
    <w:p w14:paraId="6BEF8CD7" w14:textId="77777777" w:rsidR="00562A5D" w:rsidRPr="000F422D" w:rsidRDefault="005E3CD3" w:rsidP="000F422D">
      <w:pPr>
        <w:pStyle w:val="ItemHead"/>
      </w:pPr>
      <w:r w:rsidRPr="000F422D">
        <w:t>17</w:t>
      </w:r>
      <w:r w:rsidR="00562A5D" w:rsidRPr="000F422D">
        <w:t xml:space="preserve">  </w:t>
      </w:r>
      <w:r w:rsidR="00CF6179" w:rsidRPr="000F422D">
        <w:t>Paragraph 1</w:t>
      </w:r>
      <w:r w:rsidR="00562A5D" w:rsidRPr="000F422D">
        <w:t>3(5)(b)</w:t>
      </w:r>
    </w:p>
    <w:p w14:paraId="5FFB11D5" w14:textId="77777777" w:rsidR="00562A5D" w:rsidRPr="000F422D" w:rsidRDefault="00562A5D" w:rsidP="000F422D">
      <w:pPr>
        <w:pStyle w:val="Item"/>
      </w:pPr>
      <w:r w:rsidRPr="000F422D">
        <w:t>Omit “chief executive officer (however described)”, substitute “CEO”.</w:t>
      </w:r>
    </w:p>
    <w:p w14:paraId="3DE810CA" w14:textId="77777777" w:rsidR="00AE749B" w:rsidRPr="000F422D" w:rsidRDefault="005E3CD3" w:rsidP="000F422D">
      <w:pPr>
        <w:pStyle w:val="ItemHead"/>
      </w:pPr>
      <w:r w:rsidRPr="000F422D">
        <w:t>18</w:t>
      </w:r>
      <w:r w:rsidR="00AE749B" w:rsidRPr="000F422D">
        <w:t xml:space="preserve">  After </w:t>
      </w:r>
      <w:r w:rsidR="006E1AA2" w:rsidRPr="000F422D">
        <w:t>section 1</w:t>
      </w:r>
      <w:r w:rsidR="00AE749B" w:rsidRPr="000F422D">
        <w:t>6B</w:t>
      </w:r>
    </w:p>
    <w:p w14:paraId="0AD8EB41" w14:textId="77777777" w:rsidR="00AE749B" w:rsidRPr="000F422D" w:rsidRDefault="00AE749B" w:rsidP="000F422D">
      <w:pPr>
        <w:pStyle w:val="Item"/>
      </w:pPr>
      <w:r w:rsidRPr="000F422D">
        <w:t>Insert:</w:t>
      </w:r>
    </w:p>
    <w:p w14:paraId="3EC5D63C" w14:textId="77777777" w:rsidR="00F631EE" w:rsidRPr="000F422D" w:rsidRDefault="00AE749B" w:rsidP="000F422D">
      <w:pPr>
        <w:pStyle w:val="ActHead5"/>
      </w:pPr>
      <w:bookmarkStart w:id="14" w:name="_Toc132190363"/>
      <w:r w:rsidRPr="000F422D">
        <w:rPr>
          <w:rStyle w:val="CharSectno"/>
        </w:rPr>
        <w:t>16C</w:t>
      </w:r>
      <w:r w:rsidRPr="000F422D">
        <w:t xml:space="preserve">  </w:t>
      </w:r>
      <w:r w:rsidR="006D5B9A" w:rsidRPr="000F422D">
        <w:t>C</w:t>
      </w:r>
      <w:r w:rsidRPr="000F422D">
        <w:t xml:space="preserve">ertain reports to </w:t>
      </w:r>
      <w:r w:rsidR="006D5B9A" w:rsidRPr="000F422D">
        <w:t xml:space="preserve">be given to relevant employer’s </w:t>
      </w:r>
      <w:r w:rsidRPr="000F422D">
        <w:t>governing body</w:t>
      </w:r>
      <w:bookmarkEnd w:id="14"/>
    </w:p>
    <w:p w14:paraId="46B8896C" w14:textId="77777777" w:rsidR="00C62D23" w:rsidRPr="000F422D" w:rsidRDefault="00C62D23" w:rsidP="000F422D">
      <w:pPr>
        <w:pStyle w:val="SubsectionHead"/>
      </w:pPr>
      <w:r w:rsidRPr="000F422D">
        <w:t>Executive summary reports</w:t>
      </w:r>
    </w:p>
    <w:p w14:paraId="307CD4F8" w14:textId="77777777" w:rsidR="00C62D23" w:rsidRPr="000F422D" w:rsidRDefault="00C62D23" w:rsidP="000F422D">
      <w:pPr>
        <w:pStyle w:val="subsection"/>
      </w:pPr>
      <w:r w:rsidRPr="000F422D">
        <w:tab/>
        <w:t>(1)</w:t>
      </w:r>
      <w:r w:rsidRPr="000F422D">
        <w:tab/>
        <w:t>The C</w:t>
      </w:r>
      <w:r w:rsidR="00CF72F4" w:rsidRPr="000F422D">
        <w:t>EO</w:t>
      </w:r>
      <w:r w:rsidRPr="000F422D">
        <w:t xml:space="preserve"> of a relevant employer must, after receiving from the Agency an executive summary report for the employer for a reporting period, cause a copy of the report to be given to each member of the employer’s governing body (if any).</w:t>
      </w:r>
    </w:p>
    <w:p w14:paraId="4002F4AD" w14:textId="77777777" w:rsidR="00C62D23" w:rsidRPr="000F422D" w:rsidRDefault="00C62D23" w:rsidP="000F422D">
      <w:pPr>
        <w:pStyle w:val="SubsectionHead"/>
      </w:pPr>
      <w:r w:rsidRPr="000F422D">
        <w:t>Industry benchmark reports</w:t>
      </w:r>
    </w:p>
    <w:p w14:paraId="4C716EBB" w14:textId="77777777" w:rsidR="00C62D23" w:rsidRPr="000F422D" w:rsidRDefault="00C62D23" w:rsidP="000F422D">
      <w:pPr>
        <w:pStyle w:val="subsection"/>
      </w:pPr>
      <w:r w:rsidRPr="000F422D">
        <w:tab/>
        <w:t>(2)</w:t>
      </w:r>
      <w:r w:rsidRPr="000F422D">
        <w:tab/>
        <w:t xml:space="preserve">The </w:t>
      </w:r>
      <w:r w:rsidR="00CF72F4" w:rsidRPr="000F422D">
        <w:t>CEO of a relevant employer</w:t>
      </w:r>
      <w:r w:rsidRPr="000F422D">
        <w:t xml:space="preserve"> must, as soon as reasonably practicable after receiving from the Agency an industry benchmark report for the employer for a reporting period, cause a copy of the report to be given to each member of the employer’s governing body (if any).</w:t>
      </w:r>
    </w:p>
    <w:p w14:paraId="36B1ECA0" w14:textId="77777777" w:rsidR="00C62D23" w:rsidRPr="000F422D" w:rsidRDefault="00BD44B2" w:rsidP="000F422D">
      <w:pPr>
        <w:pStyle w:val="SubsectionHead"/>
      </w:pPr>
      <w:r w:rsidRPr="000F422D">
        <w:t>Giving reports together</w:t>
      </w:r>
    </w:p>
    <w:p w14:paraId="62CF9728" w14:textId="77777777" w:rsidR="00F631EE" w:rsidRPr="000F422D" w:rsidRDefault="00C62D23" w:rsidP="000F422D">
      <w:pPr>
        <w:pStyle w:val="subsection"/>
      </w:pPr>
      <w:r w:rsidRPr="000F422D">
        <w:tab/>
      </w:r>
      <w:r w:rsidR="00F631EE" w:rsidRPr="000F422D">
        <w:t>(3)</w:t>
      </w:r>
      <w:r w:rsidR="00F631EE" w:rsidRPr="000F422D">
        <w:tab/>
        <w:t>If, as at the time a relevant employer receives an industry benchmark report for the employer for a reporting period from the Agency:</w:t>
      </w:r>
    </w:p>
    <w:p w14:paraId="50E6BBFC" w14:textId="77777777" w:rsidR="00F631EE" w:rsidRPr="000F422D" w:rsidRDefault="00F631EE" w:rsidP="000F422D">
      <w:pPr>
        <w:pStyle w:val="paragraph"/>
      </w:pPr>
      <w:r w:rsidRPr="000F422D">
        <w:tab/>
        <w:t>(a)</w:t>
      </w:r>
      <w:r w:rsidRPr="000F422D">
        <w:tab/>
        <w:t>the employer has received from the Agency an executive summary report for the employer for the period; but</w:t>
      </w:r>
    </w:p>
    <w:p w14:paraId="3EC6A650" w14:textId="77777777" w:rsidR="00F631EE" w:rsidRPr="000F422D" w:rsidRDefault="00F631EE" w:rsidP="000F422D">
      <w:pPr>
        <w:pStyle w:val="paragraph"/>
      </w:pPr>
      <w:r w:rsidRPr="000F422D">
        <w:tab/>
        <w:t>(b)</w:t>
      </w:r>
      <w:r w:rsidRPr="000F422D">
        <w:tab/>
        <w:t xml:space="preserve">copies of the executive summary report have not been given to members of the employer’s governing body as mentioned in </w:t>
      </w:r>
      <w:r w:rsidR="00CE629F" w:rsidRPr="000F422D">
        <w:t>subsection (</w:t>
      </w:r>
      <w:r w:rsidRPr="000F422D">
        <w:t>1);</w:t>
      </w:r>
    </w:p>
    <w:p w14:paraId="65E716E3" w14:textId="77777777" w:rsidR="00C62D23" w:rsidRPr="000F422D" w:rsidRDefault="00F631EE" w:rsidP="000F422D">
      <w:pPr>
        <w:pStyle w:val="subsection2"/>
      </w:pPr>
      <w:r w:rsidRPr="000F422D">
        <w:t xml:space="preserve">then the </w:t>
      </w:r>
      <w:r w:rsidR="00CF72F4" w:rsidRPr="000F422D">
        <w:t>CEO</w:t>
      </w:r>
      <w:r w:rsidRPr="000F422D">
        <w:t xml:space="preserve"> of the employer must cause the copies of the executive summary report to be given</w:t>
      </w:r>
      <w:r w:rsidR="006E42EE" w:rsidRPr="000F422D">
        <w:t xml:space="preserve"> to</w:t>
      </w:r>
      <w:r w:rsidRPr="000F422D">
        <w:t xml:space="preserve"> t</w:t>
      </w:r>
      <w:r w:rsidR="006E42EE" w:rsidRPr="000F422D">
        <w:t>he members</w:t>
      </w:r>
      <w:r w:rsidRPr="000F422D">
        <w:t xml:space="preserve"> </w:t>
      </w:r>
      <w:r w:rsidR="006E42EE" w:rsidRPr="000F422D">
        <w:t xml:space="preserve">of the governing body </w:t>
      </w:r>
      <w:r w:rsidR="00213660" w:rsidRPr="000F422D">
        <w:t>together with</w:t>
      </w:r>
      <w:r w:rsidRPr="000F422D">
        <w:t xml:space="preserve"> the copies of the industry benchmark report</w:t>
      </w:r>
      <w:r w:rsidR="005468E5" w:rsidRPr="000F422D">
        <w:t>.</w:t>
      </w:r>
    </w:p>
    <w:p w14:paraId="6D65FBC5" w14:textId="77777777" w:rsidR="009D1952" w:rsidRPr="000F422D" w:rsidRDefault="005E3CD3" w:rsidP="000F422D">
      <w:pPr>
        <w:pStyle w:val="ItemHead"/>
      </w:pPr>
      <w:r w:rsidRPr="000F422D">
        <w:t>19</w:t>
      </w:r>
      <w:r w:rsidR="002E5403" w:rsidRPr="000F422D">
        <w:t xml:space="preserve">  After </w:t>
      </w:r>
      <w:r w:rsidR="006E1AA2" w:rsidRPr="000F422D">
        <w:t>section 1</w:t>
      </w:r>
      <w:r w:rsidR="002E5403" w:rsidRPr="000F422D">
        <w:t>9C</w:t>
      </w:r>
    </w:p>
    <w:p w14:paraId="7C78B7B0" w14:textId="77777777" w:rsidR="002E5403" w:rsidRPr="000F422D" w:rsidRDefault="002E5403" w:rsidP="000F422D">
      <w:pPr>
        <w:pStyle w:val="Item"/>
      </w:pPr>
      <w:r w:rsidRPr="000F422D">
        <w:t>Insert:</w:t>
      </w:r>
    </w:p>
    <w:p w14:paraId="3E2BD658" w14:textId="77777777" w:rsidR="002E5403" w:rsidRPr="000F422D" w:rsidRDefault="002E5403" w:rsidP="000F422D">
      <w:pPr>
        <w:pStyle w:val="ActHead5"/>
      </w:pPr>
      <w:bookmarkStart w:id="15" w:name="_Toc132190364"/>
      <w:r w:rsidRPr="000F422D">
        <w:rPr>
          <w:rStyle w:val="CharSectno"/>
        </w:rPr>
        <w:t>19CA</w:t>
      </w:r>
      <w:r w:rsidRPr="000F422D">
        <w:t xml:space="preserve">  Relevant employer fails to comply with Act if </w:t>
      </w:r>
      <w:r w:rsidR="0031308F" w:rsidRPr="000F422D">
        <w:t>certain reports are</w:t>
      </w:r>
      <w:r w:rsidRPr="000F422D">
        <w:t xml:space="preserve"> not given to governing body</w:t>
      </w:r>
      <w:bookmarkEnd w:id="15"/>
    </w:p>
    <w:p w14:paraId="32CACE1A" w14:textId="77777777" w:rsidR="00601F8E" w:rsidRPr="000F422D" w:rsidRDefault="002E5403" w:rsidP="000F422D">
      <w:pPr>
        <w:pStyle w:val="subsection"/>
      </w:pPr>
      <w:r w:rsidRPr="000F422D">
        <w:tab/>
      </w:r>
      <w:r w:rsidR="00601F8E" w:rsidRPr="000F422D">
        <w:tab/>
      </w:r>
      <w:r w:rsidRPr="000F422D">
        <w:t xml:space="preserve">For the purposes of </w:t>
      </w:r>
      <w:r w:rsidR="006E1AA2" w:rsidRPr="000F422D">
        <w:t>section 1</w:t>
      </w:r>
      <w:r w:rsidRPr="000F422D">
        <w:t>9D, a relevant employer is taken to fail to comply with this Act</w:t>
      </w:r>
      <w:r w:rsidR="00601F8E" w:rsidRPr="000F422D">
        <w:t xml:space="preserve"> without reasonable excuse</w:t>
      </w:r>
      <w:r w:rsidRPr="000F422D">
        <w:t xml:space="preserve"> if the </w:t>
      </w:r>
      <w:r w:rsidR="00CF72F4" w:rsidRPr="000F422D">
        <w:t>CEO of the relevant employer</w:t>
      </w:r>
      <w:r w:rsidRPr="000F422D">
        <w:t xml:space="preserve"> fails</w:t>
      </w:r>
      <w:r w:rsidR="00601F8E" w:rsidRPr="000F422D">
        <w:t xml:space="preserve">, without reasonable excuse, </w:t>
      </w:r>
      <w:r w:rsidRPr="000F422D">
        <w:t xml:space="preserve">to </w:t>
      </w:r>
      <w:r w:rsidR="00601F8E" w:rsidRPr="000F422D">
        <w:t xml:space="preserve">comply with </w:t>
      </w:r>
      <w:r w:rsidR="00CE629F" w:rsidRPr="000F422D">
        <w:t>subsection 1</w:t>
      </w:r>
      <w:r w:rsidR="00601F8E" w:rsidRPr="000F422D">
        <w:t>6C</w:t>
      </w:r>
      <w:r w:rsidR="00CF72F4" w:rsidRPr="000F422D">
        <w:t>(1), (2) or (3)</w:t>
      </w:r>
      <w:r w:rsidR="00601F8E" w:rsidRPr="000F422D">
        <w:t xml:space="preserve"> (certain reports to be given to relevant employer’s governing body).</w:t>
      </w:r>
    </w:p>
    <w:p w14:paraId="29519702" w14:textId="77777777" w:rsidR="002E5403" w:rsidRPr="000F422D" w:rsidRDefault="002E5403" w:rsidP="000F422D">
      <w:pPr>
        <w:pStyle w:val="notetext"/>
      </w:pPr>
      <w:r w:rsidRPr="000F422D">
        <w:t>Note:</w:t>
      </w:r>
      <w:r w:rsidRPr="000F422D">
        <w:tab/>
      </w:r>
      <w:r w:rsidR="00601F8E" w:rsidRPr="000F422D">
        <w:t>T</w:t>
      </w:r>
      <w:r w:rsidRPr="000F422D">
        <w:t xml:space="preserve">he Agency may name the employer in a report given to the Minister or by electronic or other means: see </w:t>
      </w:r>
      <w:r w:rsidR="006E1AA2" w:rsidRPr="000F422D">
        <w:t>section 1</w:t>
      </w:r>
      <w:r w:rsidRPr="000F422D">
        <w:t>9D.</w:t>
      </w:r>
    </w:p>
    <w:p w14:paraId="3A1B0038" w14:textId="77777777" w:rsidR="00542C76" w:rsidRPr="000F422D" w:rsidRDefault="00BF3497" w:rsidP="000F422D">
      <w:pPr>
        <w:pStyle w:val="ActHead8"/>
      </w:pPr>
      <w:bookmarkStart w:id="16" w:name="_Toc132190365"/>
      <w:r w:rsidRPr="000F422D">
        <w:t>Division </w:t>
      </w:r>
      <w:r w:rsidR="00B9592D" w:rsidRPr="000F422D">
        <w:t>4</w:t>
      </w:r>
      <w:r w:rsidR="00542C76" w:rsidRPr="000F422D">
        <w:t>—Gender equality indicators</w:t>
      </w:r>
      <w:bookmarkEnd w:id="16"/>
    </w:p>
    <w:p w14:paraId="38E42BAD" w14:textId="77777777" w:rsidR="00B00583" w:rsidRPr="000F422D" w:rsidRDefault="00542C76" w:rsidP="000F422D">
      <w:pPr>
        <w:pStyle w:val="ActHead9"/>
      </w:pPr>
      <w:bookmarkStart w:id="17" w:name="_Toc132190366"/>
      <w:r w:rsidRPr="000F422D">
        <w:t>Workplace Gender Equality Act 2012</w:t>
      </w:r>
      <w:bookmarkEnd w:id="17"/>
    </w:p>
    <w:p w14:paraId="246C62B1" w14:textId="77777777" w:rsidR="00D51EB9" w:rsidRPr="000F422D" w:rsidRDefault="005E3CD3" w:rsidP="000F422D">
      <w:pPr>
        <w:pStyle w:val="ItemHead"/>
      </w:pPr>
      <w:r w:rsidRPr="000F422D">
        <w:t>20</w:t>
      </w:r>
      <w:r w:rsidR="00D51EB9" w:rsidRPr="000F422D">
        <w:t xml:space="preserve">  </w:t>
      </w:r>
      <w:r w:rsidR="00490C88" w:rsidRPr="000F422D">
        <w:t>Subsection 3</w:t>
      </w:r>
      <w:r w:rsidR="00D51EB9" w:rsidRPr="000F422D">
        <w:t>(1) (</w:t>
      </w:r>
      <w:r w:rsidR="00490C88" w:rsidRPr="000F422D">
        <w:t>paragraph (</w:t>
      </w:r>
      <w:r w:rsidR="00D51EB9" w:rsidRPr="000F422D">
        <w:t xml:space="preserve">f) of the definition of </w:t>
      </w:r>
      <w:r w:rsidR="00D51EB9" w:rsidRPr="000F422D">
        <w:rPr>
          <w:i/>
        </w:rPr>
        <w:t>employment matters</w:t>
      </w:r>
      <w:r w:rsidR="00D51EB9" w:rsidRPr="000F422D">
        <w:t>)</w:t>
      </w:r>
    </w:p>
    <w:p w14:paraId="6D12E7C8" w14:textId="77777777" w:rsidR="00D51EB9" w:rsidRPr="000F422D" w:rsidRDefault="00D51EB9" w:rsidP="000F422D">
      <w:pPr>
        <w:pStyle w:val="Item"/>
      </w:pPr>
      <w:r w:rsidRPr="000F422D">
        <w:t>Omit “</w:t>
      </w:r>
      <w:r w:rsidR="00515E76" w:rsidRPr="000F422D">
        <w:t>sex</w:t>
      </w:r>
      <w:r w:rsidR="000F422D">
        <w:noBreakHyphen/>
      </w:r>
      <w:r w:rsidR="00515E76" w:rsidRPr="000F422D">
        <w:t>based harassment of employees in the workplace</w:t>
      </w:r>
      <w:r w:rsidRPr="000F422D">
        <w:t>”, substitute “sexual harassment</w:t>
      </w:r>
      <w:r w:rsidR="00515E76" w:rsidRPr="000F422D">
        <w:t>, or</w:t>
      </w:r>
      <w:r w:rsidRPr="000F422D">
        <w:t xml:space="preserve"> harassment on the ground of sex,</w:t>
      </w:r>
      <w:r w:rsidR="00515E76" w:rsidRPr="000F422D">
        <w:t xml:space="preserve"> of employees in the workplace, or discrimination against employees in the workplace</w:t>
      </w:r>
      <w:r w:rsidRPr="000F422D">
        <w:t>”.</w:t>
      </w:r>
    </w:p>
    <w:p w14:paraId="0952C870" w14:textId="77777777" w:rsidR="00542C76" w:rsidRPr="000F422D" w:rsidRDefault="005E3CD3" w:rsidP="000F422D">
      <w:pPr>
        <w:pStyle w:val="ItemHead"/>
      </w:pPr>
      <w:r w:rsidRPr="000F422D">
        <w:t>21</w:t>
      </w:r>
      <w:r w:rsidR="00542C76" w:rsidRPr="000F422D">
        <w:t xml:space="preserve">  </w:t>
      </w:r>
      <w:r w:rsidR="00490C88" w:rsidRPr="000F422D">
        <w:t>Subsection 3</w:t>
      </w:r>
      <w:r w:rsidR="00542C76" w:rsidRPr="000F422D">
        <w:t xml:space="preserve">(1) (after </w:t>
      </w:r>
      <w:r w:rsidR="00490C88" w:rsidRPr="000F422D">
        <w:t>paragraph (</w:t>
      </w:r>
      <w:r w:rsidR="00542C76" w:rsidRPr="000F422D">
        <w:t xml:space="preserve">e) of the definition of </w:t>
      </w:r>
      <w:r w:rsidR="00542C76" w:rsidRPr="000F422D">
        <w:rPr>
          <w:i/>
        </w:rPr>
        <w:t>gender equality indicators</w:t>
      </w:r>
      <w:r w:rsidR="00542C76" w:rsidRPr="000F422D">
        <w:t>)</w:t>
      </w:r>
    </w:p>
    <w:p w14:paraId="47E03000" w14:textId="77777777" w:rsidR="00542C76" w:rsidRPr="000F422D" w:rsidRDefault="00542C76" w:rsidP="000F422D">
      <w:pPr>
        <w:pStyle w:val="Item"/>
      </w:pPr>
      <w:r w:rsidRPr="000F422D">
        <w:t>Insert:</w:t>
      </w:r>
    </w:p>
    <w:p w14:paraId="7E9E5C7E" w14:textId="77777777" w:rsidR="002A7E9A" w:rsidRPr="000F422D" w:rsidRDefault="00542C76" w:rsidP="000F422D">
      <w:pPr>
        <w:pStyle w:val="paragraph"/>
      </w:pPr>
      <w:r w:rsidRPr="000F422D">
        <w:tab/>
        <w:t>(ea)</w:t>
      </w:r>
      <w:r w:rsidRPr="000F422D">
        <w:tab/>
      </w:r>
      <w:r w:rsidR="002A7E9A" w:rsidRPr="000F422D">
        <w:t>s</w:t>
      </w:r>
      <w:r w:rsidRPr="000F422D">
        <w:t>exual harassment</w:t>
      </w:r>
      <w:r w:rsidR="00D874E2" w:rsidRPr="000F422D">
        <w:t>,</w:t>
      </w:r>
      <w:r w:rsidRPr="000F422D">
        <w:t xml:space="preserve"> harassment on the ground of sex</w:t>
      </w:r>
      <w:r w:rsidR="00D874E2" w:rsidRPr="000F422D">
        <w:t xml:space="preserve"> or discrimination</w:t>
      </w:r>
      <w:r w:rsidRPr="000F422D">
        <w:t>;</w:t>
      </w:r>
    </w:p>
    <w:p w14:paraId="1C4F4E94" w14:textId="77777777" w:rsidR="00186001" w:rsidRPr="000F422D" w:rsidRDefault="005E3CD3" w:rsidP="000F422D">
      <w:pPr>
        <w:pStyle w:val="ItemHead"/>
      </w:pPr>
      <w:r w:rsidRPr="000F422D">
        <w:t>22</w:t>
      </w:r>
      <w:r w:rsidR="00186001" w:rsidRPr="000F422D">
        <w:t xml:space="preserve">  </w:t>
      </w:r>
      <w:r w:rsidR="00490C88" w:rsidRPr="000F422D">
        <w:t>Subsection 3</w:t>
      </w:r>
      <w:r w:rsidR="00186001" w:rsidRPr="000F422D">
        <w:t>(1)</w:t>
      </w:r>
    </w:p>
    <w:p w14:paraId="29864089" w14:textId="77777777" w:rsidR="00186001" w:rsidRPr="000F422D" w:rsidRDefault="00186001" w:rsidP="000F422D">
      <w:pPr>
        <w:pStyle w:val="Item"/>
      </w:pPr>
      <w:r w:rsidRPr="000F422D">
        <w:t>Insert:</w:t>
      </w:r>
    </w:p>
    <w:p w14:paraId="1E668729" w14:textId="77777777" w:rsidR="00186001" w:rsidRPr="000F422D" w:rsidRDefault="00186001" w:rsidP="000F422D">
      <w:pPr>
        <w:pStyle w:val="Definition"/>
      </w:pPr>
      <w:r w:rsidRPr="000F422D">
        <w:rPr>
          <w:b/>
          <w:i/>
        </w:rPr>
        <w:t>harass on the ground of sex</w:t>
      </w:r>
      <w:r w:rsidRPr="000F422D">
        <w:t xml:space="preserve"> has the same meaning as in the </w:t>
      </w:r>
      <w:r w:rsidRPr="000F422D">
        <w:rPr>
          <w:i/>
        </w:rPr>
        <w:t>Sex Discrimination Act 1984</w:t>
      </w:r>
      <w:r w:rsidRPr="000F422D">
        <w:t>.</w:t>
      </w:r>
    </w:p>
    <w:p w14:paraId="5E5BFCFF" w14:textId="77777777" w:rsidR="00873B62" w:rsidRPr="000F422D" w:rsidRDefault="00186001" w:rsidP="000F422D">
      <w:pPr>
        <w:pStyle w:val="notetext"/>
      </w:pPr>
      <w:r w:rsidRPr="000F422D">
        <w:t>Note:</w:t>
      </w:r>
      <w:r w:rsidRPr="000F422D">
        <w:tab/>
        <w:t xml:space="preserve">Other parts of speech and grammatical forms of “harass on the ground of sex” (for example, “harassment on the ground of sex”) have a corresponding meaning (see </w:t>
      </w:r>
      <w:r w:rsidR="006E1AA2" w:rsidRPr="000F422D">
        <w:t>section 1</w:t>
      </w:r>
      <w:r w:rsidRPr="000F422D">
        <w:t xml:space="preserve">8A of the </w:t>
      </w:r>
      <w:r w:rsidRPr="000F422D">
        <w:rPr>
          <w:i/>
        </w:rPr>
        <w:t>Acts Interpretation Act 1901</w:t>
      </w:r>
      <w:r w:rsidRPr="000F422D">
        <w:t>).</w:t>
      </w:r>
    </w:p>
    <w:p w14:paraId="0A0598F5" w14:textId="77777777" w:rsidR="00542C76" w:rsidRPr="000F422D" w:rsidRDefault="00542C76" w:rsidP="000F422D">
      <w:pPr>
        <w:pStyle w:val="Definition"/>
      </w:pPr>
      <w:r w:rsidRPr="000F422D">
        <w:rPr>
          <w:b/>
          <w:i/>
        </w:rPr>
        <w:t>sexually harass</w:t>
      </w:r>
      <w:r w:rsidRPr="000F422D">
        <w:t xml:space="preserve"> has the same meaning as in the </w:t>
      </w:r>
      <w:r w:rsidRPr="000F422D">
        <w:rPr>
          <w:i/>
        </w:rPr>
        <w:t>Sex Discrimination Act 1984</w:t>
      </w:r>
      <w:r w:rsidRPr="000F422D">
        <w:t>.</w:t>
      </w:r>
    </w:p>
    <w:p w14:paraId="13C9AC13" w14:textId="77777777" w:rsidR="00542C76" w:rsidRPr="000F422D" w:rsidRDefault="00542C76" w:rsidP="000F422D">
      <w:pPr>
        <w:pStyle w:val="notetext"/>
      </w:pPr>
      <w:r w:rsidRPr="000F422D">
        <w:t>Note:</w:t>
      </w:r>
      <w:r w:rsidRPr="000F422D">
        <w:tab/>
        <w:t xml:space="preserve">Other parts of speech and grammatical forms of “sexually harass” (for example, “sexual harassment”) have a corresponding meaning (see </w:t>
      </w:r>
      <w:r w:rsidR="006E1AA2" w:rsidRPr="000F422D">
        <w:t>section 1</w:t>
      </w:r>
      <w:r w:rsidRPr="000F422D">
        <w:t xml:space="preserve">8A of the </w:t>
      </w:r>
      <w:r w:rsidRPr="000F422D">
        <w:rPr>
          <w:i/>
        </w:rPr>
        <w:t>Acts Interpretation Act 1901</w:t>
      </w:r>
      <w:r w:rsidRPr="000F422D">
        <w:t>).</w:t>
      </w:r>
    </w:p>
    <w:p w14:paraId="3ADB09CD" w14:textId="77777777" w:rsidR="00B9592D" w:rsidRPr="000F422D" w:rsidRDefault="00B84942" w:rsidP="000F422D">
      <w:pPr>
        <w:pStyle w:val="ActHead8"/>
      </w:pPr>
      <w:bookmarkStart w:id="18" w:name="_Toc132190367"/>
      <w:r w:rsidRPr="000F422D">
        <w:t>Division </w:t>
      </w:r>
      <w:r w:rsidR="00B9592D" w:rsidRPr="000F422D">
        <w:t>5</w:t>
      </w:r>
      <w:r w:rsidR="005023DD" w:rsidRPr="000F422D">
        <w:t>—</w:t>
      </w:r>
      <w:r w:rsidR="00B9592D" w:rsidRPr="000F422D">
        <w:t>CEO of the Workplace Gender Equality Agency</w:t>
      </w:r>
      <w:bookmarkEnd w:id="18"/>
    </w:p>
    <w:p w14:paraId="0013E075" w14:textId="77777777" w:rsidR="00B9592D" w:rsidRPr="000F422D" w:rsidRDefault="00B9592D" w:rsidP="000F422D">
      <w:pPr>
        <w:pStyle w:val="ActHead9"/>
      </w:pPr>
      <w:bookmarkStart w:id="19" w:name="_Toc132190368"/>
      <w:r w:rsidRPr="000F422D">
        <w:t>Workplace Gender Equality Act 2012</w:t>
      </w:r>
      <w:bookmarkEnd w:id="19"/>
    </w:p>
    <w:p w14:paraId="159699F6" w14:textId="77777777" w:rsidR="00B9592D" w:rsidRPr="000F422D" w:rsidRDefault="005E3CD3" w:rsidP="000F422D">
      <w:pPr>
        <w:pStyle w:val="ItemHead"/>
      </w:pPr>
      <w:r w:rsidRPr="000F422D">
        <w:t>23</w:t>
      </w:r>
      <w:r w:rsidR="00B9592D" w:rsidRPr="000F422D">
        <w:t xml:space="preserve">  Title</w:t>
      </w:r>
    </w:p>
    <w:p w14:paraId="4D9D2159" w14:textId="77777777" w:rsidR="00B9592D" w:rsidRPr="000F422D" w:rsidRDefault="00B9592D" w:rsidP="000F422D">
      <w:pPr>
        <w:pStyle w:val="Item"/>
      </w:pPr>
      <w:r w:rsidRPr="000F422D">
        <w:t>Omit “</w:t>
      </w:r>
      <w:r w:rsidRPr="000F422D">
        <w:rPr>
          <w:b/>
        </w:rPr>
        <w:t>, to establish the Workplace Gender Equality Agency and the office of the Director of Workplace Gender Equality</w:t>
      </w:r>
      <w:r w:rsidRPr="000F422D">
        <w:t>”, substitute “</w:t>
      </w:r>
      <w:r w:rsidRPr="000F422D">
        <w:rPr>
          <w:b/>
        </w:rPr>
        <w:t>and to establish the Workplace Gender Equality Agency</w:t>
      </w:r>
      <w:r w:rsidRPr="000F422D">
        <w:t>”.</w:t>
      </w:r>
    </w:p>
    <w:p w14:paraId="2015368F" w14:textId="77777777" w:rsidR="00B9592D" w:rsidRPr="000F422D" w:rsidRDefault="005E3CD3" w:rsidP="000F422D">
      <w:pPr>
        <w:pStyle w:val="ItemHead"/>
      </w:pPr>
      <w:r w:rsidRPr="000F422D">
        <w:t>24</w:t>
      </w:r>
      <w:r w:rsidR="00B9592D" w:rsidRPr="000F422D">
        <w:t xml:space="preserve">  </w:t>
      </w:r>
      <w:r w:rsidR="00CE629F" w:rsidRPr="000F422D">
        <w:t>Section 2</w:t>
      </w:r>
      <w:r w:rsidR="00B9592D" w:rsidRPr="000F422D">
        <w:t>B (paragraph beginning “There is a Director”)</w:t>
      </w:r>
    </w:p>
    <w:p w14:paraId="68DACA70" w14:textId="77777777" w:rsidR="00B9592D" w:rsidRPr="000F422D" w:rsidRDefault="00B9592D" w:rsidP="000F422D">
      <w:pPr>
        <w:pStyle w:val="Item"/>
      </w:pPr>
      <w:r w:rsidRPr="000F422D">
        <w:t>Repeal the paragraph, substitute:</w:t>
      </w:r>
    </w:p>
    <w:p w14:paraId="2C951743" w14:textId="77777777" w:rsidR="00B9592D" w:rsidRPr="000F422D" w:rsidRDefault="00B9592D" w:rsidP="000F422D">
      <w:pPr>
        <w:pStyle w:val="SOBullet"/>
      </w:pPr>
      <w:r w:rsidRPr="000F422D">
        <w:t>•</w:t>
      </w:r>
      <w:r w:rsidRPr="000F422D">
        <w:tab/>
        <w:t>The CEO has the management of the Agency.</w:t>
      </w:r>
    </w:p>
    <w:p w14:paraId="6EAA2061" w14:textId="77777777" w:rsidR="00B9592D" w:rsidRPr="000F422D" w:rsidRDefault="005E3CD3" w:rsidP="000F422D">
      <w:pPr>
        <w:pStyle w:val="ItemHead"/>
      </w:pPr>
      <w:r w:rsidRPr="000F422D">
        <w:t>25</w:t>
      </w:r>
      <w:r w:rsidR="00B9592D" w:rsidRPr="000F422D">
        <w:t xml:space="preserve">  </w:t>
      </w:r>
      <w:r w:rsidR="00490C88" w:rsidRPr="000F422D">
        <w:t>Subsection 3</w:t>
      </w:r>
      <w:r w:rsidR="00B9592D" w:rsidRPr="000F422D">
        <w:t>(1)</w:t>
      </w:r>
    </w:p>
    <w:p w14:paraId="0FA92E8A" w14:textId="77777777" w:rsidR="00B9592D" w:rsidRPr="000F422D" w:rsidRDefault="00B9592D" w:rsidP="000F422D">
      <w:pPr>
        <w:pStyle w:val="Item"/>
      </w:pPr>
      <w:r w:rsidRPr="000F422D">
        <w:t>Insert:</w:t>
      </w:r>
    </w:p>
    <w:p w14:paraId="686B1D00" w14:textId="77777777" w:rsidR="00B9592D" w:rsidRPr="000F422D" w:rsidRDefault="00B9592D" w:rsidP="000F422D">
      <w:pPr>
        <w:pStyle w:val="Definition"/>
      </w:pPr>
      <w:r w:rsidRPr="000F422D">
        <w:rPr>
          <w:b/>
          <w:i/>
        </w:rPr>
        <w:t>CEO</w:t>
      </w:r>
      <w:r w:rsidR="006E42EE" w:rsidRPr="000F422D">
        <w:t>, except when used in relation to a relevant employer,</w:t>
      </w:r>
      <w:r w:rsidRPr="000F422D">
        <w:t xml:space="preserve"> means the Chief Executive Officer of the Workplace Gender Equality Agency.</w:t>
      </w:r>
    </w:p>
    <w:p w14:paraId="70448408" w14:textId="77777777" w:rsidR="00B9592D" w:rsidRPr="000F422D" w:rsidRDefault="005E3CD3" w:rsidP="000F422D">
      <w:pPr>
        <w:pStyle w:val="ItemHead"/>
      </w:pPr>
      <w:r w:rsidRPr="000F422D">
        <w:t>26</w:t>
      </w:r>
      <w:r w:rsidR="00B9592D" w:rsidRPr="000F422D">
        <w:t xml:space="preserve">  </w:t>
      </w:r>
      <w:r w:rsidR="00490C88" w:rsidRPr="000F422D">
        <w:t>Subsection 3</w:t>
      </w:r>
      <w:r w:rsidR="00B9592D" w:rsidRPr="000F422D">
        <w:t xml:space="preserve">(1) (definition of </w:t>
      </w:r>
      <w:r w:rsidR="00B9592D" w:rsidRPr="000F422D">
        <w:rPr>
          <w:i/>
        </w:rPr>
        <w:t>Director</w:t>
      </w:r>
      <w:r w:rsidR="00B9592D" w:rsidRPr="000F422D">
        <w:t>)</w:t>
      </w:r>
    </w:p>
    <w:p w14:paraId="0F8A0A7D" w14:textId="77777777" w:rsidR="00B9592D" w:rsidRPr="000F422D" w:rsidRDefault="00B9592D" w:rsidP="000F422D">
      <w:pPr>
        <w:pStyle w:val="Item"/>
      </w:pPr>
      <w:r w:rsidRPr="000F422D">
        <w:t>Repeal the definition.</w:t>
      </w:r>
    </w:p>
    <w:p w14:paraId="3DC12052" w14:textId="77777777" w:rsidR="00B9592D" w:rsidRPr="000F422D" w:rsidRDefault="005E3CD3" w:rsidP="000F422D">
      <w:pPr>
        <w:pStyle w:val="ItemHead"/>
      </w:pPr>
      <w:r w:rsidRPr="000F422D">
        <w:t>27</w:t>
      </w:r>
      <w:r w:rsidR="00B9592D" w:rsidRPr="000F422D">
        <w:t xml:space="preserve">  Subsection 8A(2)</w:t>
      </w:r>
    </w:p>
    <w:p w14:paraId="3501CB7F" w14:textId="77777777" w:rsidR="00B9592D" w:rsidRPr="000F422D" w:rsidRDefault="00B9592D" w:rsidP="000F422D">
      <w:pPr>
        <w:pStyle w:val="Item"/>
      </w:pPr>
      <w:r w:rsidRPr="000F422D">
        <w:t>Omit “Director of Workplace Gender Equality”, substitute “CEO”.</w:t>
      </w:r>
    </w:p>
    <w:p w14:paraId="20E89B95" w14:textId="77777777" w:rsidR="00B9592D" w:rsidRPr="000F422D" w:rsidRDefault="005E3CD3" w:rsidP="000F422D">
      <w:pPr>
        <w:pStyle w:val="ItemHead"/>
      </w:pPr>
      <w:r w:rsidRPr="000F422D">
        <w:t>28</w:t>
      </w:r>
      <w:r w:rsidR="00B9592D" w:rsidRPr="000F422D">
        <w:t xml:space="preserve">  Paragraph 8A(3)(b)</w:t>
      </w:r>
    </w:p>
    <w:p w14:paraId="16A571CE" w14:textId="77777777" w:rsidR="00B9592D" w:rsidRPr="000F422D" w:rsidRDefault="00B9592D" w:rsidP="000F422D">
      <w:pPr>
        <w:pStyle w:val="Item"/>
      </w:pPr>
      <w:r w:rsidRPr="000F422D">
        <w:t>Omit “Director of Workplace Gender Equality”, substitute “CEO”.</w:t>
      </w:r>
    </w:p>
    <w:p w14:paraId="640BBB09" w14:textId="77777777" w:rsidR="00B9592D" w:rsidRPr="000F422D" w:rsidRDefault="005E3CD3" w:rsidP="000F422D">
      <w:pPr>
        <w:pStyle w:val="ItemHead"/>
      </w:pPr>
      <w:r w:rsidRPr="000F422D">
        <w:t>29</w:t>
      </w:r>
      <w:r w:rsidR="00B9592D" w:rsidRPr="000F422D">
        <w:t xml:space="preserve">  Section 9</w:t>
      </w:r>
    </w:p>
    <w:p w14:paraId="311321E3" w14:textId="77777777" w:rsidR="00B9592D" w:rsidRPr="000F422D" w:rsidRDefault="00B9592D" w:rsidP="000F422D">
      <w:pPr>
        <w:pStyle w:val="Item"/>
      </w:pPr>
      <w:r w:rsidRPr="000F422D">
        <w:t>Repeal the section.</w:t>
      </w:r>
    </w:p>
    <w:p w14:paraId="4607BE3B" w14:textId="77777777" w:rsidR="00B9592D" w:rsidRPr="000F422D" w:rsidRDefault="005E3CD3" w:rsidP="000F422D">
      <w:pPr>
        <w:pStyle w:val="ItemHead"/>
      </w:pPr>
      <w:r w:rsidRPr="000F422D">
        <w:t>30</w:t>
      </w:r>
      <w:r w:rsidR="00B9592D" w:rsidRPr="000F422D">
        <w:t xml:space="preserve">  Part V (heading)</w:t>
      </w:r>
    </w:p>
    <w:p w14:paraId="3219C330" w14:textId="77777777" w:rsidR="00B9592D" w:rsidRPr="000F422D" w:rsidRDefault="00B9592D" w:rsidP="000F422D">
      <w:pPr>
        <w:pStyle w:val="Item"/>
      </w:pPr>
      <w:r w:rsidRPr="000F422D">
        <w:t>Omit “</w:t>
      </w:r>
      <w:r w:rsidRPr="000F422D">
        <w:rPr>
          <w:b/>
        </w:rPr>
        <w:t>Director of Workplace Gender Equality</w:t>
      </w:r>
      <w:r w:rsidRPr="000F422D">
        <w:t>”, substitute “</w:t>
      </w:r>
      <w:r w:rsidRPr="000F422D">
        <w:rPr>
          <w:b/>
        </w:rPr>
        <w:t>CEO</w:t>
      </w:r>
      <w:r w:rsidRPr="000F422D">
        <w:t>”.</w:t>
      </w:r>
    </w:p>
    <w:p w14:paraId="2161D58A" w14:textId="77777777" w:rsidR="00B9592D" w:rsidRPr="000F422D" w:rsidRDefault="005E3CD3" w:rsidP="000F422D">
      <w:pPr>
        <w:pStyle w:val="ItemHead"/>
      </w:pPr>
      <w:r w:rsidRPr="000F422D">
        <w:t>31</w:t>
      </w:r>
      <w:r w:rsidR="00B9592D" w:rsidRPr="000F422D">
        <w:t xml:space="preserve">  Before </w:t>
      </w:r>
      <w:r w:rsidR="0087545D" w:rsidRPr="000F422D">
        <w:t>section 2</w:t>
      </w:r>
      <w:r w:rsidR="00B9592D" w:rsidRPr="000F422D">
        <w:t>0</w:t>
      </w:r>
    </w:p>
    <w:p w14:paraId="4149E573" w14:textId="77777777" w:rsidR="00B9592D" w:rsidRPr="000F422D" w:rsidRDefault="00B9592D" w:rsidP="000F422D">
      <w:pPr>
        <w:pStyle w:val="Item"/>
      </w:pPr>
      <w:r w:rsidRPr="000F422D">
        <w:t>Insert:</w:t>
      </w:r>
    </w:p>
    <w:p w14:paraId="4AF45035" w14:textId="77777777" w:rsidR="00B9592D" w:rsidRPr="000F422D" w:rsidRDefault="00B9592D" w:rsidP="000F422D">
      <w:pPr>
        <w:pStyle w:val="ActHead5"/>
      </w:pPr>
      <w:bookmarkStart w:id="20" w:name="_Toc132190369"/>
      <w:r w:rsidRPr="000F422D">
        <w:rPr>
          <w:rStyle w:val="CharSectno"/>
        </w:rPr>
        <w:t>20AA</w:t>
      </w:r>
      <w:r w:rsidRPr="000F422D">
        <w:t xml:space="preserve">  CEO</w:t>
      </w:r>
      <w:bookmarkEnd w:id="20"/>
    </w:p>
    <w:p w14:paraId="19B5DC85" w14:textId="77777777" w:rsidR="00B9592D" w:rsidRPr="000F422D" w:rsidRDefault="00B9592D" w:rsidP="000F422D">
      <w:pPr>
        <w:pStyle w:val="subsection"/>
      </w:pPr>
      <w:r w:rsidRPr="000F422D">
        <w:tab/>
        <w:t>(1)</w:t>
      </w:r>
      <w:r w:rsidRPr="000F422D">
        <w:tab/>
        <w:t>There is to be a Chief Executive Officer of the Workplace Gender Equality Agency.</w:t>
      </w:r>
    </w:p>
    <w:p w14:paraId="70D996EE" w14:textId="77777777" w:rsidR="00F37E94" w:rsidRPr="000F422D" w:rsidRDefault="00F37E94" w:rsidP="000F422D">
      <w:pPr>
        <w:pStyle w:val="subsection"/>
      </w:pPr>
      <w:r w:rsidRPr="000F422D">
        <w:tab/>
        <w:t>(2)</w:t>
      </w:r>
      <w:r w:rsidRPr="000F422D">
        <w:tab/>
        <w:t>The Chief Executive Officer has the management of the Agency.</w:t>
      </w:r>
    </w:p>
    <w:p w14:paraId="668026A3" w14:textId="77777777" w:rsidR="00B9592D" w:rsidRPr="000F422D" w:rsidRDefault="00B9592D" w:rsidP="000F422D">
      <w:pPr>
        <w:pStyle w:val="subsection"/>
      </w:pPr>
      <w:r w:rsidRPr="000F422D">
        <w:tab/>
        <w:t>(</w:t>
      </w:r>
      <w:r w:rsidR="00F37E94" w:rsidRPr="000F422D">
        <w:t>3</w:t>
      </w:r>
      <w:r w:rsidRPr="000F422D">
        <w:t>)</w:t>
      </w:r>
      <w:r w:rsidRPr="000F422D">
        <w:tab/>
        <w:t>The office of Chief Executive Officer of the Workplace Gender Equality Agency is, for all purposes, a continuation under that name of the office of Director of Workplace Gender Equality established under section 9 of this Act as in force immediately before the commencement of this section.</w:t>
      </w:r>
    </w:p>
    <w:p w14:paraId="5D5736EC" w14:textId="77777777" w:rsidR="00B9592D" w:rsidRPr="000F422D" w:rsidRDefault="00B9592D" w:rsidP="000F422D">
      <w:pPr>
        <w:pStyle w:val="notetext"/>
      </w:pPr>
      <w:r w:rsidRPr="000F422D">
        <w:t>Note:</w:t>
      </w:r>
      <w:r w:rsidRPr="000F422D">
        <w:tab/>
        <w:t xml:space="preserve">See also </w:t>
      </w:r>
      <w:r w:rsidR="0087545D" w:rsidRPr="000F422D">
        <w:t>section 2</w:t>
      </w:r>
      <w:r w:rsidRPr="000F422D">
        <w:t xml:space="preserve">5B of the </w:t>
      </w:r>
      <w:r w:rsidRPr="000F422D">
        <w:rPr>
          <w:i/>
        </w:rPr>
        <w:t>Acts Interpretation Act 1901</w:t>
      </w:r>
      <w:r w:rsidRPr="000F422D">
        <w:t>.</w:t>
      </w:r>
    </w:p>
    <w:p w14:paraId="75E2D14D" w14:textId="77777777" w:rsidR="00B9592D" w:rsidRPr="000F422D" w:rsidRDefault="005E3CD3" w:rsidP="000F422D">
      <w:pPr>
        <w:pStyle w:val="ItemHead"/>
      </w:pPr>
      <w:r w:rsidRPr="000F422D">
        <w:t>32</w:t>
      </w:r>
      <w:r w:rsidR="00B9592D" w:rsidRPr="000F422D">
        <w:t xml:space="preserve">  Amendments of listed provisions—CEO</w:t>
      </w:r>
    </w:p>
    <w:p w14:paraId="19846173" w14:textId="77777777" w:rsidR="00B9592D" w:rsidRPr="000F422D" w:rsidRDefault="00B9592D" w:rsidP="000F422D">
      <w:pPr>
        <w:pStyle w:val="Item"/>
      </w:pPr>
      <w:r w:rsidRPr="000F422D">
        <w:t>Omit “Director” (wherever occurring) and substitute “CEO” in the following provisions:</w:t>
      </w:r>
    </w:p>
    <w:p w14:paraId="069B309A" w14:textId="77777777" w:rsidR="00B9592D" w:rsidRPr="000F422D" w:rsidRDefault="00B9592D" w:rsidP="000F422D">
      <w:pPr>
        <w:pStyle w:val="paragraph"/>
      </w:pPr>
      <w:r w:rsidRPr="000F422D">
        <w:tab/>
        <w:t>(a)</w:t>
      </w:r>
      <w:r w:rsidRPr="000F422D">
        <w:tab/>
      </w:r>
      <w:r w:rsidR="00CE629F" w:rsidRPr="000F422D">
        <w:t>subsection 1</w:t>
      </w:r>
      <w:r w:rsidRPr="000F422D">
        <w:t>2(1);</w:t>
      </w:r>
    </w:p>
    <w:p w14:paraId="0AA443CA" w14:textId="77777777" w:rsidR="00B9592D" w:rsidRPr="000F422D" w:rsidRDefault="00B9592D" w:rsidP="000F422D">
      <w:pPr>
        <w:pStyle w:val="paragraph"/>
      </w:pPr>
      <w:r w:rsidRPr="000F422D">
        <w:tab/>
        <w:t>(b)</w:t>
      </w:r>
      <w:r w:rsidRPr="000F422D">
        <w:tab/>
        <w:t>sections 20 and 21</w:t>
      </w:r>
      <w:r w:rsidR="00F946E2" w:rsidRPr="000F422D">
        <w:t xml:space="preserve"> (including the headings)</w:t>
      </w:r>
      <w:r w:rsidRPr="000F422D">
        <w:t>;</w:t>
      </w:r>
    </w:p>
    <w:p w14:paraId="5AC94691" w14:textId="77777777" w:rsidR="00B9592D" w:rsidRPr="000F422D" w:rsidRDefault="00B9592D" w:rsidP="000F422D">
      <w:pPr>
        <w:pStyle w:val="paragraph"/>
      </w:pPr>
      <w:r w:rsidRPr="000F422D">
        <w:tab/>
        <w:t>(c)</w:t>
      </w:r>
      <w:r w:rsidRPr="000F422D">
        <w:tab/>
        <w:t>sub</w:t>
      </w:r>
      <w:r w:rsidR="0087545D" w:rsidRPr="000F422D">
        <w:t>section 2</w:t>
      </w:r>
      <w:r w:rsidRPr="000F422D">
        <w:t>2(1);</w:t>
      </w:r>
    </w:p>
    <w:p w14:paraId="76A50CA1" w14:textId="77777777" w:rsidR="00B9592D" w:rsidRPr="000F422D" w:rsidRDefault="00B9592D" w:rsidP="000F422D">
      <w:pPr>
        <w:pStyle w:val="paragraph"/>
      </w:pPr>
      <w:r w:rsidRPr="000F422D">
        <w:tab/>
        <w:t>(d)</w:t>
      </w:r>
      <w:r w:rsidRPr="000F422D">
        <w:tab/>
        <w:t>sections 23, 24 and 25;</w:t>
      </w:r>
    </w:p>
    <w:p w14:paraId="34E2622B" w14:textId="77777777" w:rsidR="00B9592D" w:rsidRPr="000F422D" w:rsidRDefault="00B9592D" w:rsidP="000F422D">
      <w:pPr>
        <w:pStyle w:val="paragraph"/>
      </w:pPr>
      <w:r w:rsidRPr="000F422D">
        <w:tab/>
        <w:t>(e)</w:t>
      </w:r>
      <w:r w:rsidRPr="000F422D">
        <w:tab/>
        <w:t>subsections 26(1) and (2);</w:t>
      </w:r>
    </w:p>
    <w:p w14:paraId="6BDCD1D4" w14:textId="77777777" w:rsidR="00B9592D" w:rsidRPr="000F422D" w:rsidRDefault="00B9592D" w:rsidP="000F422D">
      <w:pPr>
        <w:pStyle w:val="paragraph"/>
      </w:pPr>
      <w:r w:rsidRPr="000F422D">
        <w:tab/>
        <w:t>(f)</w:t>
      </w:r>
      <w:r w:rsidRPr="000F422D">
        <w:tab/>
        <w:t>sub</w:t>
      </w:r>
      <w:r w:rsidR="0087545D" w:rsidRPr="000F422D">
        <w:t>section 2</w:t>
      </w:r>
      <w:r w:rsidRPr="000F422D">
        <w:t>7(1);</w:t>
      </w:r>
    </w:p>
    <w:p w14:paraId="116A936D" w14:textId="77777777" w:rsidR="00B9592D" w:rsidRPr="000F422D" w:rsidRDefault="00B9592D" w:rsidP="000F422D">
      <w:pPr>
        <w:pStyle w:val="paragraph"/>
      </w:pPr>
      <w:r w:rsidRPr="000F422D">
        <w:tab/>
        <w:t>(g)</w:t>
      </w:r>
      <w:r w:rsidRPr="000F422D">
        <w:tab/>
        <w:t>subsections 28(1), (2) and (3);</w:t>
      </w:r>
    </w:p>
    <w:p w14:paraId="40A6752B" w14:textId="77777777" w:rsidR="00B9592D" w:rsidRPr="000F422D" w:rsidRDefault="00B9592D" w:rsidP="000F422D">
      <w:pPr>
        <w:pStyle w:val="paragraph"/>
      </w:pPr>
      <w:r w:rsidRPr="000F422D">
        <w:tab/>
        <w:t>(h)</w:t>
      </w:r>
      <w:r w:rsidRPr="000F422D">
        <w:tab/>
        <w:t>paragraph 28(4)(a);</w:t>
      </w:r>
    </w:p>
    <w:p w14:paraId="4CE9D1C8" w14:textId="77777777" w:rsidR="00B9592D" w:rsidRPr="000F422D" w:rsidRDefault="00B9592D" w:rsidP="000F422D">
      <w:pPr>
        <w:pStyle w:val="paragraph"/>
      </w:pPr>
      <w:r w:rsidRPr="000F422D">
        <w:tab/>
        <w:t>(i)</w:t>
      </w:r>
      <w:r w:rsidRPr="000F422D">
        <w:tab/>
        <w:t>subsections 28(5), (6) and (7);</w:t>
      </w:r>
    </w:p>
    <w:p w14:paraId="4121B35B" w14:textId="77777777" w:rsidR="00B9592D" w:rsidRPr="000F422D" w:rsidRDefault="00B9592D" w:rsidP="000F422D">
      <w:pPr>
        <w:pStyle w:val="paragraph"/>
      </w:pPr>
      <w:r w:rsidRPr="000F422D">
        <w:tab/>
        <w:t>(j)</w:t>
      </w:r>
      <w:r w:rsidRPr="000F422D">
        <w:tab/>
        <w:t>sub</w:t>
      </w:r>
      <w:r w:rsidR="0087545D" w:rsidRPr="000F422D">
        <w:t>section 2</w:t>
      </w:r>
      <w:r w:rsidRPr="000F422D">
        <w:t>9(2);</w:t>
      </w:r>
    </w:p>
    <w:p w14:paraId="44EA91C2" w14:textId="77777777" w:rsidR="00B9592D" w:rsidRPr="000F422D" w:rsidRDefault="00B9592D" w:rsidP="000F422D">
      <w:pPr>
        <w:pStyle w:val="paragraph"/>
      </w:pPr>
      <w:r w:rsidRPr="000F422D">
        <w:tab/>
        <w:t>(k)</w:t>
      </w:r>
      <w:r w:rsidRPr="000F422D">
        <w:tab/>
        <w:t>subsections 32(1) and (2);</w:t>
      </w:r>
    </w:p>
    <w:p w14:paraId="75E6A84C" w14:textId="77777777" w:rsidR="00B9592D" w:rsidRPr="000F422D" w:rsidRDefault="00B9592D" w:rsidP="000F422D">
      <w:pPr>
        <w:pStyle w:val="paragraph"/>
      </w:pPr>
      <w:r w:rsidRPr="000F422D">
        <w:tab/>
        <w:t>(l)</w:t>
      </w:r>
      <w:r w:rsidRPr="000F422D">
        <w:tab/>
      </w:r>
      <w:r w:rsidR="00CE629F" w:rsidRPr="000F422D">
        <w:t>subsection 3</w:t>
      </w:r>
      <w:r w:rsidRPr="000F422D">
        <w:t>3(1).</w:t>
      </w:r>
    </w:p>
    <w:p w14:paraId="2CD3703C" w14:textId="77777777" w:rsidR="00B9592D" w:rsidRPr="000F422D" w:rsidRDefault="00490C88" w:rsidP="000F422D">
      <w:pPr>
        <w:pStyle w:val="ActHead8"/>
      </w:pPr>
      <w:bookmarkStart w:id="21" w:name="_Toc132190370"/>
      <w:r w:rsidRPr="000F422D">
        <w:t>Division 6</w:t>
      </w:r>
      <w:r w:rsidR="00B9592D" w:rsidRPr="000F422D">
        <w:t>—Technical amendment</w:t>
      </w:r>
      <w:bookmarkEnd w:id="21"/>
    </w:p>
    <w:p w14:paraId="468574C1" w14:textId="77777777" w:rsidR="00B9592D" w:rsidRPr="000F422D" w:rsidRDefault="00B9592D" w:rsidP="000F422D">
      <w:pPr>
        <w:pStyle w:val="ActHead9"/>
      </w:pPr>
      <w:bookmarkStart w:id="22" w:name="_Toc132190371"/>
      <w:r w:rsidRPr="000F422D">
        <w:t>Workplace Gender Equality Act 2012</w:t>
      </w:r>
      <w:bookmarkEnd w:id="22"/>
    </w:p>
    <w:p w14:paraId="08DCEA7B" w14:textId="77777777" w:rsidR="00B9592D" w:rsidRPr="000F422D" w:rsidRDefault="005E3CD3" w:rsidP="000F422D">
      <w:pPr>
        <w:pStyle w:val="ItemHead"/>
      </w:pPr>
      <w:r w:rsidRPr="000F422D">
        <w:t>33</w:t>
      </w:r>
      <w:r w:rsidR="00B9592D" w:rsidRPr="000F422D">
        <w:t xml:space="preserve">  </w:t>
      </w:r>
      <w:r w:rsidR="00490C88" w:rsidRPr="000F422D">
        <w:t>Subsection 3</w:t>
      </w:r>
      <w:r w:rsidR="00B9592D" w:rsidRPr="000F422D">
        <w:t xml:space="preserve">(1) (definition of </w:t>
      </w:r>
      <w:r w:rsidR="00B9592D" w:rsidRPr="000F422D">
        <w:rPr>
          <w:i/>
        </w:rPr>
        <w:t>reporting period</w:t>
      </w:r>
      <w:r w:rsidR="00B9592D" w:rsidRPr="000F422D">
        <w:t>)</w:t>
      </w:r>
    </w:p>
    <w:p w14:paraId="1E1C2669" w14:textId="77777777" w:rsidR="00F37E94" w:rsidRPr="000F422D" w:rsidRDefault="00F37E94" w:rsidP="000F422D">
      <w:pPr>
        <w:pStyle w:val="Item"/>
      </w:pPr>
      <w:r w:rsidRPr="000F422D">
        <w:t>Repeal the definition, substitute:</w:t>
      </w:r>
    </w:p>
    <w:p w14:paraId="38FA46B0" w14:textId="77777777" w:rsidR="00F37E94" w:rsidRPr="000F422D" w:rsidRDefault="00F37E94" w:rsidP="000F422D">
      <w:pPr>
        <w:pStyle w:val="Definition"/>
      </w:pPr>
      <w:r w:rsidRPr="000F422D">
        <w:rPr>
          <w:b/>
          <w:i/>
        </w:rPr>
        <w:t>reporting period</w:t>
      </w:r>
      <w:r w:rsidRPr="000F422D">
        <w:t xml:space="preserve"> means:</w:t>
      </w:r>
    </w:p>
    <w:p w14:paraId="74769EC8" w14:textId="77777777" w:rsidR="00F37E94" w:rsidRPr="000F422D" w:rsidRDefault="00F37E94" w:rsidP="000F422D">
      <w:pPr>
        <w:pStyle w:val="paragraph"/>
      </w:pPr>
      <w:r w:rsidRPr="000F422D">
        <w:tab/>
        <w:t>(a)</w:t>
      </w:r>
      <w:r w:rsidRPr="000F422D">
        <w:tab/>
        <w:t>for a relevant employer</w:t>
      </w:r>
      <w:r w:rsidR="00607BC0" w:rsidRPr="000F422D">
        <w:t xml:space="preserve"> that is not</w:t>
      </w:r>
      <w:r w:rsidRPr="000F422D">
        <w:t xml:space="preserve"> a Commonwealth company or </w:t>
      </w:r>
      <w:r w:rsidR="00607BC0" w:rsidRPr="000F422D">
        <w:t xml:space="preserve">a </w:t>
      </w:r>
      <w:r w:rsidRPr="000F422D">
        <w:t xml:space="preserve">Commonwealth entity—a period referred to in </w:t>
      </w:r>
      <w:r w:rsidR="00CE629F" w:rsidRPr="000F422D">
        <w:t>subsection 1</w:t>
      </w:r>
      <w:r w:rsidRPr="000F422D">
        <w:t>3A(2);</w:t>
      </w:r>
      <w:r w:rsidR="00CC5FAA" w:rsidRPr="000F422D">
        <w:t xml:space="preserve"> </w:t>
      </w:r>
      <w:r w:rsidR="00894296" w:rsidRPr="000F422D">
        <w:t>or</w:t>
      </w:r>
    </w:p>
    <w:p w14:paraId="05B65E7D" w14:textId="77777777" w:rsidR="00490C88" w:rsidRPr="000F422D" w:rsidRDefault="00F37E94" w:rsidP="000F422D">
      <w:pPr>
        <w:pStyle w:val="paragraph"/>
      </w:pPr>
      <w:r w:rsidRPr="000F422D">
        <w:tab/>
        <w:t>(b)</w:t>
      </w:r>
      <w:r w:rsidRPr="000F422D">
        <w:tab/>
        <w:t>for a relevant employer that is a Commonwealth company or Commonwealth entity—</w:t>
      </w:r>
      <w:r w:rsidR="00CC5FAA" w:rsidRPr="000F422D">
        <w:t xml:space="preserve">a period referred to in </w:t>
      </w:r>
      <w:r w:rsidR="00CE629F" w:rsidRPr="000F422D">
        <w:t>subsection 1</w:t>
      </w:r>
      <w:r w:rsidR="00CC5FAA" w:rsidRPr="000F422D">
        <w:t>3A(2A).</w:t>
      </w:r>
    </w:p>
    <w:p w14:paraId="40539064" w14:textId="77777777" w:rsidR="0049201C" w:rsidRPr="000F422D" w:rsidRDefault="00562CC6" w:rsidP="000F422D">
      <w:pPr>
        <w:pStyle w:val="ActHead7"/>
        <w:pageBreakBefore/>
      </w:pPr>
      <w:bookmarkStart w:id="23" w:name="_Toc132190372"/>
      <w:r w:rsidRPr="000F422D">
        <w:rPr>
          <w:rStyle w:val="CharAmPartNo"/>
        </w:rPr>
        <w:t>Part 2</w:t>
      </w:r>
      <w:r w:rsidR="0049201C" w:rsidRPr="000F422D">
        <w:t>—</w:t>
      </w:r>
      <w:r w:rsidR="0049201C" w:rsidRPr="000F422D">
        <w:rPr>
          <w:rStyle w:val="CharAmPartText"/>
        </w:rPr>
        <w:t>Application and transitional</w:t>
      </w:r>
      <w:r w:rsidR="000F1ECD" w:rsidRPr="000F422D">
        <w:rPr>
          <w:rStyle w:val="CharAmPartText"/>
        </w:rPr>
        <w:t xml:space="preserve"> provisions</w:t>
      </w:r>
      <w:bookmarkEnd w:id="23"/>
    </w:p>
    <w:p w14:paraId="60D721E5" w14:textId="77777777" w:rsidR="00A4321E" w:rsidRPr="000F422D" w:rsidRDefault="005E3CD3" w:rsidP="000F422D">
      <w:pPr>
        <w:pStyle w:val="Transitional"/>
      </w:pPr>
      <w:r w:rsidRPr="000F422D">
        <w:t>34</w:t>
      </w:r>
      <w:r w:rsidR="00A4321E" w:rsidRPr="000F422D">
        <w:t xml:space="preserve">  </w:t>
      </w:r>
      <w:r w:rsidR="00602FDA" w:rsidRPr="000F422D">
        <w:t>Gender pay gap information</w:t>
      </w:r>
    </w:p>
    <w:p w14:paraId="383C38AA" w14:textId="77777777" w:rsidR="00243D77" w:rsidRPr="000F422D" w:rsidRDefault="00562CC6" w:rsidP="000F422D">
      <w:pPr>
        <w:pStyle w:val="Item"/>
      </w:pPr>
      <w:r w:rsidRPr="000F422D">
        <w:t>Section 1</w:t>
      </w:r>
      <w:r w:rsidR="00A4321E" w:rsidRPr="000F422D">
        <w:t xml:space="preserve">5A of the </w:t>
      </w:r>
      <w:r w:rsidR="00A4321E" w:rsidRPr="000F422D">
        <w:rPr>
          <w:i/>
        </w:rPr>
        <w:t>Workplace Gender Equality Act 2012</w:t>
      </w:r>
      <w:r w:rsidR="00A4321E" w:rsidRPr="000F422D">
        <w:t>, as inserted by this Schedule, applies in relation to</w:t>
      </w:r>
      <w:r w:rsidR="00243D77" w:rsidRPr="000F422D">
        <w:t xml:space="preserve"> reporting periods that start on or after:</w:t>
      </w:r>
    </w:p>
    <w:p w14:paraId="7956AFDD" w14:textId="77777777" w:rsidR="00243D77" w:rsidRPr="000F422D" w:rsidRDefault="00243D77" w:rsidP="000F422D">
      <w:pPr>
        <w:pStyle w:val="paragraph"/>
      </w:pPr>
      <w:r w:rsidRPr="000F422D">
        <w:tab/>
        <w:t>(a)</w:t>
      </w:r>
      <w:r w:rsidRPr="000F422D">
        <w:tab/>
        <w:t>for a relevant employer that is not a Commonwealth company or a Commonwealth entity—</w:t>
      </w:r>
      <w:r w:rsidR="00CF6179" w:rsidRPr="000F422D">
        <w:t>1 April</w:t>
      </w:r>
      <w:r w:rsidR="00147B73" w:rsidRPr="000F422D">
        <w:t xml:space="preserve"> 2022</w:t>
      </w:r>
      <w:r w:rsidRPr="000F422D">
        <w:t>; or</w:t>
      </w:r>
    </w:p>
    <w:p w14:paraId="0DA5B6E3" w14:textId="77777777" w:rsidR="00BC1691" w:rsidRPr="000F422D" w:rsidRDefault="00243D77" w:rsidP="000F422D">
      <w:pPr>
        <w:pStyle w:val="paragraph"/>
      </w:pPr>
      <w:r w:rsidRPr="000F422D">
        <w:tab/>
        <w:t>(b)</w:t>
      </w:r>
      <w:r w:rsidRPr="000F422D">
        <w:tab/>
        <w:t>for a relevant employer that is a Commonwealth company or Commonwealth entity—</w:t>
      </w:r>
      <w:r w:rsidR="00CF6179" w:rsidRPr="000F422D">
        <w:t>1 January</w:t>
      </w:r>
      <w:r w:rsidR="00147B73" w:rsidRPr="000F422D">
        <w:t xml:space="preserve"> 2023</w:t>
      </w:r>
      <w:r w:rsidRPr="000F422D">
        <w:t>.</w:t>
      </w:r>
    </w:p>
    <w:p w14:paraId="2965D0D9" w14:textId="77777777" w:rsidR="0079326F" w:rsidRPr="000F422D" w:rsidRDefault="005E3CD3" w:rsidP="000F422D">
      <w:pPr>
        <w:pStyle w:val="Transitional"/>
      </w:pPr>
      <w:r w:rsidRPr="000F422D">
        <w:t>35</w:t>
      </w:r>
      <w:r w:rsidR="00276763" w:rsidRPr="000F422D">
        <w:t xml:space="preserve">  </w:t>
      </w:r>
      <w:r w:rsidR="000F1ECD" w:rsidRPr="000F422D">
        <w:t>M</w:t>
      </w:r>
      <w:r w:rsidR="00276763" w:rsidRPr="000F422D">
        <w:t>inimum standards</w:t>
      </w:r>
    </w:p>
    <w:p w14:paraId="4209D904" w14:textId="77777777" w:rsidR="00012763" w:rsidRPr="000F422D" w:rsidRDefault="00945863" w:rsidP="000F422D">
      <w:pPr>
        <w:pStyle w:val="Subitem"/>
      </w:pPr>
      <w:r w:rsidRPr="000F422D">
        <w:t>(1)</w:t>
      </w:r>
      <w:r w:rsidRPr="000F422D">
        <w:tab/>
      </w:r>
      <w:r w:rsidR="00012763" w:rsidRPr="000F422D">
        <w:t xml:space="preserve">An instrument made under </w:t>
      </w:r>
      <w:r w:rsidR="00CE629F" w:rsidRPr="000F422D">
        <w:t>subsection 1</w:t>
      </w:r>
      <w:r w:rsidR="00012763" w:rsidRPr="000F422D">
        <w:t xml:space="preserve">9(1) of the </w:t>
      </w:r>
      <w:r w:rsidR="00012763" w:rsidRPr="000F422D">
        <w:rPr>
          <w:i/>
        </w:rPr>
        <w:t>Workplace Gender Equality Act 2012</w:t>
      </w:r>
      <w:r w:rsidR="00012763" w:rsidRPr="000F422D">
        <w:t xml:space="preserve"> that was in force immediately before the commencement of this item continues in force (and may be dealt with) as if it had been made under </w:t>
      </w:r>
      <w:r w:rsidR="00CE629F" w:rsidRPr="000F422D">
        <w:t>subsection 1</w:t>
      </w:r>
      <w:r w:rsidR="00012763" w:rsidRPr="000F422D">
        <w:t>9(1) of that Act as amended by this Schedule.</w:t>
      </w:r>
    </w:p>
    <w:p w14:paraId="0ED75389" w14:textId="77777777" w:rsidR="00C37413" w:rsidRPr="000F422D" w:rsidRDefault="00012763" w:rsidP="000F422D">
      <w:pPr>
        <w:pStyle w:val="Subitem"/>
      </w:pPr>
      <w:r w:rsidRPr="000F422D">
        <w:t>(2)</w:t>
      </w:r>
      <w:r w:rsidRPr="000F422D">
        <w:tab/>
      </w:r>
      <w:r w:rsidR="009C6765" w:rsidRPr="000F422D">
        <w:t>Subitem (</w:t>
      </w:r>
      <w:r w:rsidRPr="000F422D">
        <w:t xml:space="preserve">1) does not affect when the instrument referred to in that subitem was made for the purposes of </w:t>
      </w:r>
      <w:r w:rsidR="00CE629F" w:rsidRPr="000F422D">
        <w:t>subsection 1</w:t>
      </w:r>
      <w:r w:rsidRPr="000F422D">
        <w:t>9(2) of that Act.</w:t>
      </w:r>
    </w:p>
    <w:p w14:paraId="75AC6384" w14:textId="77777777" w:rsidR="00B9592D" w:rsidRPr="000F422D" w:rsidRDefault="005E3CD3" w:rsidP="000F422D">
      <w:pPr>
        <w:pStyle w:val="Transitional"/>
      </w:pPr>
      <w:r w:rsidRPr="000F422D">
        <w:t>36</w:t>
      </w:r>
      <w:r w:rsidR="00B9592D" w:rsidRPr="000F422D">
        <w:t xml:space="preserve">  Director of Workplace Gender Equality</w:t>
      </w:r>
    </w:p>
    <w:p w14:paraId="7172BA5B" w14:textId="77777777" w:rsidR="00B9592D" w:rsidRPr="000F422D" w:rsidRDefault="00B9592D" w:rsidP="000F422D">
      <w:pPr>
        <w:pStyle w:val="Subitem"/>
      </w:pPr>
      <w:r w:rsidRPr="000F422D">
        <w:t>(1)</w:t>
      </w:r>
      <w:r w:rsidRPr="000F422D">
        <w:tab/>
        <w:t>To avoid doubt, a person who was, immediately before the commencement of this item, holding office as the Director of Workplace Gender Equality continues to hold office, on and after that commencement, as the Chief Executive Officer of the Workplace Gender Equality Agency.</w:t>
      </w:r>
    </w:p>
    <w:p w14:paraId="59643B8E" w14:textId="77777777" w:rsidR="00B9592D" w:rsidRPr="000F422D" w:rsidRDefault="00B9592D" w:rsidP="000F422D">
      <w:pPr>
        <w:pStyle w:val="Subitem"/>
      </w:pPr>
      <w:r w:rsidRPr="000F422D">
        <w:t>(2)</w:t>
      </w:r>
      <w:r w:rsidRPr="000F422D">
        <w:tab/>
        <w:t>The person does so:</w:t>
      </w:r>
    </w:p>
    <w:p w14:paraId="754D9238" w14:textId="77777777" w:rsidR="00B9592D" w:rsidRPr="000F422D" w:rsidRDefault="00B9592D" w:rsidP="000F422D">
      <w:pPr>
        <w:pStyle w:val="paragraph"/>
      </w:pPr>
      <w:r w:rsidRPr="000F422D">
        <w:tab/>
        <w:t>(a)</w:t>
      </w:r>
      <w:r w:rsidRPr="000F422D">
        <w:tab/>
        <w:t>on the terms and conditions that were applicable to the person immediately before that commencement; and</w:t>
      </w:r>
    </w:p>
    <w:p w14:paraId="3BEF742B" w14:textId="77777777" w:rsidR="00B9592D" w:rsidRPr="000F422D" w:rsidRDefault="00B9592D" w:rsidP="000F422D">
      <w:pPr>
        <w:pStyle w:val="paragraph"/>
      </w:pPr>
      <w:r w:rsidRPr="000F422D">
        <w:tab/>
        <w:t>(b)</w:t>
      </w:r>
      <w:r w:rsidRPr="000F422D">
        <w:tab/>
        <w:t>for the balance of the person’s term of appointment that remained immediately before that commencement.</w:t>
      </w:r>
    </w:p>
    <w:p w14:paraId="6C4858FB" w14:textId="77777777" w:rsidR="00B9592D" w:rsidRPr="000F422D" w:rsidRDefault="00B9592D" w:rsidP="000F422D">
      <w:pPr>
        <w:pStyle w:val="Subitem"/>
      </w:pPr>
      <w:r w:rsidRPr="000F422D">
        <w:t>(3)</w:t>
      </w:r>
      <w:r w:rsidRPr="000F422D">
        <w:tab/>
        <w:t>Anything done by, or in relation to, the Director of Workplace Gender Equality before the commencement of this item has effect at and after that commencement as if it had been done by, or in relation to, the CEO.</w:t>
      </w:r>
    </w:p>
    <w:p w14:paraId="2E8A7A57" w14:textId="77777777" w:rsidR="00B9592D" w:rsidRPr="000F422D" w:rsidRDefault="005E3CD3" w:rsidP="000F422D">
      <w:pPr>
        <w:pStyle w:val="Transitional"/>
      </w:pPr>
      <w:r w:rsidRPr="000F422D">
        <w:t>37</w:t>
      </w:r>
      <w:r w:rsidR="00B9592D" w:rsidRPr="000F422D">
        <w:t xml:space="preserve">  Non</w:t>
      </w:r>
      <w:r w:rsidR="000F422D">
        <w:noBreakHyphen/>
      </w:r>
      <w:r w:rsidR="00B9592D" w:rsidRPr="000F422D">
        <w:t>disclosure of confidential information</w:t>
      </w:r>
    </w:p>
    <w:p w14:paraId="1184177A" w14:textId="6C7E4D69" w:rsidR="00B9592D" w:rsidRDefault="00B9592D" w:rsidP="000F422D">
      <w:pPr>
        <w:pStyle w:val="Item"/>
      </w:pPr>
      <w:r w:rsidRPr="000F422D">
        <w:t xml:space="preserve">Section 32 of the </w:t>
      </w:r>
      <w:r w:rsidRPr="000F422D">
        <w:rPr>
          <w:i/>
        </w:rPr>
        <w:t>Workplace Gender Equality Act 2012</w:t>
      </w:r>
      <w:r w:rsidRPr="000F422D">
        <w:t>, as in force immediately before the commencement of this item, continues to apply on and after that commencement in relation to a person who was at any time the Director of Workplace Gender Equality, despite the amendments of that section by this Schedule.</w:t>
      </w:r>
    </w:p>
    <w:p w14:paraId="4B124589" w14:textId="77777777" w:rsidR="00687CFF" w:rsidRDefault="00687CFF" w:rsidP="00687CFF"/>
    <w:p w14:paraId="170277A2" w14:textId="77777777" w:rsidR="00687CFF" w:rsidRDefault="00687CFF" w:rsidP="00687CFF">
      <w:pPr>
        <w:pStyle w:val="AssentBk"/>
        <w:keepNext/>
      </w:pPr>
    </w:p>
    <w:p w14:paraId="54B433AE" w14:textId="77777777" w:rsidR="00687CFF" w:rsidRDefault="00687CFF" w:rsidP="00687CFF">
      <w:pPr>
        <w:pStyle w:val="AssentBk"/>
        <w:keepNext/>
      </w:pPr>
    </w:p>
    <w:p w14:paraId="202F6C09" w14:textId="77777777" w:rsidR="00687CFF" w:rsidRDefault="00687CFF" w:rsidP="00687CFF">
      <w:pPr>
        <w:pStyle w:val="2ndRd"/>
        <w:keepNext/>
        <w:pBdr>
          <w:top w:val="single" w:sz="2" w:space="1" w:color="auto"/>
        </w:pBdr>
      </w:pPr>
    </w:p>
    <w:p w14:paraId="301925C1" w14:textId="77777777" w:rsidR="00341F08" w:rsidRDefault="00341F08" w:rsidP="000C5962">
      <w:pPr>
        <w:pStyle w:val="2ndRd"/>
        <w:keepNext/>
        <w:spacing w:line="260" w:lineRule="atLeast"/>
        <w:rPr>
          <w:i/>
        </w:rPr>
      </w:pPr>
      <w:r>
        <w:t>[</w:t>
      </w:r>
      <w:r>
        <w:rPr>
          <w:i/>
        </w:rPr>
        <w:t>Minister’s second reading speech made in—</w:t>
      </w:r>
    </w:p>
    <w:p w14:paraId="4FCA2040" w14:textId="28A44138" w:rsidR="00341F08" w:rsidRDefault="00341F08" w:rsidP="000C5962">
      <w:pPr>
        <w:pStyle w:val="2ndRd"/>
        <w:keepNext/>
        <w:spacing w:line="260" w:lineRule="atLeast"/>
      </w:pPr>
      <w:r>
        <w:rPr>
          <w:i/>
        </w:rPr>
        <w:t>Senate on 8 February 2023</w:t>
      </w:r>
    </w:p>
    <w:p w14:paraId="18440780" w14:textId="10B4AA6D" w:rsidR="00341F08" w:rsidRDefault="00341F08" w:rsidP="000C5962">
      <w:pPr>
        <w:pStyle w:val="2ndRd"/>
        <w:keepNext/>
        <w:spacing w:line="260" w:lineRule="atLeast"/>
        <w:rPr>
          <w:i/>
        </w:rPr>
      </w:pPr>
      <w:r>
        <w:rPr>
          <w:i/>
        </w:rPr>
        <w:t>House of Representatives on 28 March 2023</w:t>
      </w:r>
      <w:r>
        <w:t>]</w:t>
      </w:r>
    </w:p>
    <w:p w14:paraId="04E08196" w14:textId="77777777" w:rsidR="00341F08" w:rsidRDefault="00341F08" w:rsidP="000C5962"/>
    <w:p w14:paraId="413609FD" w14:textId="5A9A7C52" w:rsidR="005A59CA" w:rsidRPr="00341F08" w:rsidRDefault="00341F08" w:rsidP="00286CCD">
      <w:pPr>
        <w:framePr w:hSpace="180" w:wrap="around" w:vAnchor="text" w:hAnchor="page" w:x="2415" w:y="6610"/>
      </w:pPr>
      <w:r>
        <w:t>(1/23)</w:t>
      </w:r>
    </w:p>
    <w:p w14:paraId="2916612B" w14:textId="77777777" w:rsidR="00341F08" w:rsidRDefault="00341F08"/>
    <w:sectPr w:rsidR="00341F08" w:rsidSect="005A59CA">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6A299" w14:textId="77777777" w:rsidR="00F946E2" w:rsidRDefault="00F946E2" w:rsidP="0048364F">
      <w:pPr>
        <w:spacing w:line="240" w:lineRule="auto"/>
      </w:pPr>
      <w:r>
        <w:separator/>
      </w:r>
    </w:p>
  </w:endnote>
  <w:endnote w:type="continuationSeparator" w:id="0">
    <w:p w14:paraId="50C381FD" w14:textId="77777777" w:rsidR="00F946E2" w:rsidRDefault="00F946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99EB" w14:textId="77777777" w:rsidR="00F946E2" w:rsidRPr="005F1388" w:rsidRDefault="00F946E2" w:rsidP="000F422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5515" w14:textId="7716B535" w:rsidR="00341F08" w:rsidRDefault="00341F08" w:rsidP="00CD12A5">
    <w:pPr>
      <w:pStyle w:val="ScalePlusRef"/>
    </w:pPr>
    <w:r>
      <w:t>Note: An electronic version of this Act is available on the Federal Register of Legislation (</w:t>
    </w:r>
    <w:hyperlink r:id="rId1" w:history="1">
      <w:r>
        <w:t>https://www.legislation.gov.au/</w:t>
      </w:r>
    </w:hyperlink>
    <w:r>
      <w:t>)</w:t>
    </w:r>
  </w:p>
  <w:p w14:paraId="4F6BD6A7" w14:textId="77777777" w:rsidR="00341F08" w:rsidRDefault="00341F08" w:rsidP="00CD12A5"/>
  <w:p w14:paraId="186BC7AF" w14:textId="0273C3CE" w:rsidR="00F946E2" w:rsidRDefault="00F946E2" w:rsidP="000F422D">
    <w:pPr>
      <w:pStyle w:val="Footer"/>
      <w:spacing w:before="120"/>
    </w:pPr>
  </w:p>
  <w:p w14:paraId="79D83BDE" w14:textId="77777777" w:rsidR="00F946E2" w:rsidRPr="005F1388" w:rsidRDefault="00F946E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7DE5" w14:textId="77777777" w:rsidR="00F946E2" w:rsidRPr="00ED79B6" w:rsidRDefault="00F946E2" w:rsidP="000F422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ED34" w14:textId="77777777" w:rsidR="00F946E2" w:rsidRDefault="00F946E2" w:rsidP="000F42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46E2" w14:paraId="0C601D4E" w14:textId="77777777" w:rsidTr="00847C8C">
      <w:tc>
        <w:tcPr>
          <w:tcW w:w="646" w:type="dxa"/>
        </w:tcPr>
        <w:p w14:paraId="07C9B9B0" w14:textId="77777777" w:rsidR="00F946E2" w:rsidRDefault="00F946E2" w:rsidP="00847C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0E54796" w14:textId="3A7A9F71" w:rsidR="00F946E2" w:rsidRDefault="00F946E2" w:rsidP="00847C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3664B">
            <w:rPr>
              <w:i/>
              <w:sz w:val="18"/>
            </w:rPr>
            <w:t>Workplace Gender Equality Amendment (Closing the Gender Pay Gap) Act 2023</w:t>
          </w:r>
          <w:r w:rsidRPr="00ED79B6">
            <w:rPr>
              <w:i/>
              <w:sz w:val="18"/>
            </w:rPr>
            <w:fldChar w:fldCharType="end"/>
          </w:r>
        </w:p>
      </w:tc>
      <w:tc>
        <w:tcPr>
          <w:tcW w:w="1270" w:type="dxa"/>
        </w:tcPr>
        <w:p w14:paraId="56F83D9A" w14:textId="738B594C" w:rsidR="00F946E2" w:rsidRDefault="00F946E2" w:rsidP="00847C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3664B">
            <w:rPr>
              <w:i/>
              <w:sz w:val="18"/>
            </w:rPr>
            <w:t>No. 18, 2023</w:t>
          </w:r>
          <w:r w:rsidRPr="00ED79B6">
            <w:rPr>
              <w:i/>
              <w:sz w:val="18"/>
            </w:rPr>
            <w:fldChar w:fldCharType="end"/>
          </w:r>
        </w:p>
      </w:tc>
    </w:tr>
  </w:tbl>
  <w:p w14:paraId="5E510370" w14:textId="77777777" w:rsidR="00F946E2" w:rsidRDefault="00F946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F72A" w14:textId="77777777" w:rsidR="00F946E2" w:rsidRDefault="00F946E2" w:rsidP="000F42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46E2" w14:paraId="793AAAFB" w14:textId="77777777" w:rsidTr="00847C8C">
      <w:tc>
        <w:tcPr>
          <w:tcW w:w="1247" w:type="dxa"/>
        </w:tcPr>
        <w:p w14:paraId="3A3AF8E6" w14:textId="12C66AA7" w:rsidR="00F946E2" w:rsidRDefault="00F946E2" w:rsidP="00847C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3664B">
            <w:rPr>
              <w:i/>
              <w:sz w:val="18"/>
            </w:rPr>
            <w:t>No. 18, 2023</w:t>
          </w:r>
          <w:r w:rsidRPr="00ED79B6">
            <w:rPr>
              <w:i/>
              <w:sz w:val="18"/>
            </w:rPr>
            <w:fldChar w:fldCharType="end"/>
          </w:r>
        </w:p>
      </w:tc>
      <w:tc>
        <w:tcPr>
          <w:tcW w:w="5387" w:type="dxa"/>
        </w:tcPr>
        <w:p w14:paraId="036B661A" w14:textId="63EF2C46" w:rsidR="00F946E2" w:rsidRDefault="00F946E2" w:rsidP="00847C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3664B">
            <w:rPr>
              <w:i/>
              <w:sz w:val="18"/>
            </w:rPr>
            <w:t>Workplace Gender Equality Amendment (Closing the Gender Pay Gap) Act 2023</w:t>
          </w:r>
          <w:r w:rsidRPr="00ED79B6">
            <w:rPr>
              <w:i/>
              <w:sz w:val="18"/>
            </w:rPr>
            <w:fldChar w:fldCharType="end"/>
          </w:r>
        </w:p>
      </w:tc>
      <w:tc>
        <w:tcPr>
          <w:tcW w:w="669" w:type="dxa"/>
        </w:tcPr>
        <w:p w14:paraId="4A389F0E" w14:textId="77777777" w:rsidR="00F946E2" w:rsidRDefault="00F946E2" w:rsidP="00847C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BE69A6" w14:textId="77777777" w:rsidR="00F946E2" w:rsidRPr="00ED79B6" w:rsidRDefault="00F946E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C7D7" w14:textId="77777777" w:rsidR="00F946E2" w:rsidRPr="00A961C4" w:rsidRDefault="00F946E2" w:rsidP="000F422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946E2" w14:paraId="02CC3CB3" w14:textId="77777777" w:rsidTr="000F422D">
      <w:tc>
        <w:tcPr>
          <w:tcW w:w="646" w:type="dxa"/>
        </w:tcPr>
        <w:p w14:paraId="0BCF5142" w14:textId="77777777" w:rsidR="00F946E2" w:rsidRDefault="00F946E2" w:rsidP="00847C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6D15C3" w14:textId="5A818973" w:rsidR="00F946E2" w:rsidRDefault="00F946E2" w:rsidP="00847C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664B">
            <w:rPr>
              <w:i/>
              <w:sz w:val="18"/>
            </w:rPr>
            <w:t>Workplace Gender Equality Amendment (Closing the Gender Pay Gap) Act 2023</w:t>
          </w:r>
          <w:r w:rsidRPr="007A1328">
            <w:rPr>
              <w:i/>
              <w:sz w:val="18"/>
            </w:rPr>
            <w:fldChar w:fldCharType="end"/>
          </w:r>
        </w:p>
      </w:tc>
      <w:tc>
        <w:tcPr>
          <w:tcW w:w="1270" w:type="dxa"/>
        </w:tcPr>
        <w:p w14:paraId="12E8A9F1" w14:textId="54FB51B7" w:rsidR="00F946E2" w:rsidRDefault="00F946E2" w:rsidP="00847C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664B">
            <w:rPr>
              <w:i/>
              <w:sz w:val="18"/>
            </w:rPr>
            <w:t>No. 18, 2023</w:t>
          </w:r>
          <w:r w:rsidRPr="007A1328">
            <w:rPr>
              <w:i/>
              <w:sz w:val="18"/>
            </w:rPr>
            <w:fldChar w:fldCharType="end"/>
          </w:r>
        </w:p>
      </w:tc>
    </w:tr>
  </w:tbl>
  <w:p w14:paraId="704150B4" w14:textId="77777777" w:rsidR="00F946E2" w:rsidRPr="00A961C4" w:rsidRDefault="00F946E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BADC" w14:textId="77777777" w:rsidR="00F946E2" w:rsidRPr="00A961C4" w:rsidRDefault="00F946E2" w:rsidP="000F42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946E2" w14:paraId="4DD300C9" w14:textId="77777777" w:rsidTr="000F422D">
      <w:tc>
        <w:tcPr>
          <w:tcW w:w="1247" w:type="dxa"/>
        </w:tcPr>
        <w:p w14:paraId="5089736C" w14:textId="29435FAD" w:rsidR="00F946E2" w:rsidRDefault="00F946E2" w:rsidP="00847C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664B">
            <w:rPr>
              <w:i/>
              <w:sz w:val="18"/>
            </w:rPr>
            <w:t>No. 18, 2023</w:t>
          </w:r>
          <w:r w:rsidRPr="007A1328">
            <w:rPr>
              <w:i/>
              <w:sz w:val="18"/>
            </w:rPr>
            <w:fldChar w:fldCharType="end"/>
          </w:r>
        </w:p>
      </w:tc>
      <w:tc>
        <w:tcPr>
          <w:tcW w:w="5387" w:type="dxa"/>
        </w:tcPr>
        <w:p w14:paraId="441DC67C" w14:textId="387112BF" w:rsidR="00F946E2" w:rsidRDefault="00F946E2" w:rsidP="00847C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664B">
            <w:rPr>
              <w:i/>
              <w:sz w:val="18"/>
            </w:rPr>
            <w:t>Workplace Gender Equality Amendment (Closing the Gender Pay Gap) Act 2023</w:t>
          </w:r>
          <w:r w:rsidRPr="007A1328">
            <w:rPr>
              <w:i/>
              <w:sz w:val="18"/>
            </w:rPr>
            <w:fldChar w:fldCharType="end"/>
          </w:r>
        </w:p>
      </w:tc>
      <w:tc>
        <w:tcPr>
          <w:tcW w:w="669" w:type="dxa"/>
        </w:tcPr>
        <w:p w14:paraId="45544B21" w14:textId="77777777" w:rsidR="00F946E2" w:rsidRDefault="00F946E2" w:rsidP="00847C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2D20A05" w14:textId="77777777" w:rsidR="00F946E2" w:rsidRPr="00055B5C" w:rsidRDefault="00F946E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A5CF" w14:textId="77777777" w:rsidR="00F946E2" w:rsidRPr="00A961C4" w:rsidRDefault="00F946E2" w:rsidP="000F422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F946E2" w14:paraId="01A77691" w14:textId="77777777" w:rsidTr="000F422D">
      <w:tc>
        <w:tcPr>
          <w:tcW w:w="1247" w:type="dxa"/>
        </w:tcPr>
        <w:p w14:paraId="6182C240" w14:textId="59D47DC0" w:rsidR="00F946E2" w:rsidRDefault="00F946E2" w:rsidP="00847C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3664B">
            <w:rPr>
              <w:i/>
              <w:sz w:val="18"/>
            </w:rPr>
            <w:t>No. 18, 2023</w:t>
          </w:r>
          <w:r w:rsidRPr="007A1328">
            <w:rPr>
              <w:i/>
              <w:sz w:val="18"/>
            </w:rPr>
            <w:fldChar w:fldCharType="end"/>
          </w:r>
        </w:p>
      </w:tc>
      <w:tc>
        <w:tcPr>
          <w:tcW w:w="5387" w:type="dxa"/>
        </w:tcPr>
        <w:p w14:paraId="7062F919" w14:textId="53CFE572" w:rsidR="00F946E2" w:rsidRDefault="00F946E2" w:rsidP="00847C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3664B">
            <w:rPr>
              <w:i/>
              <w:sz w:val="18"/>
            </w:rPr>
            <w:t>Workplace Gender Equality Amendment (Closing the Gender Pay Gap) Act 2023</w:t>
          </w:r>
          <w:r w:rsidRPr="007A1328">
            <w:rPr>
              <w:i/>
              <w:sz w:val="18"/>
            </w:rPr>
            <w:fldChar w:fldCharType="end"/>
          </w:r>
        </w:p>
      </w:tc>
      <w:tc>
        <w:tcPr>
          <w:tcW w:w="669" w:type="dxa"/>
        </w:tcPr>
        <w:p w14:paraId="1FFB2AD8" w14:textId="77777777" w:rsidR="00F946E2" w:rsidRDefault="00F946E2" w:rsidP="00847C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07C40D7" w14:textId="77777777" w:rsidR="00F946E2" w:rsidRPr="00A961C4" w:rsidRDefault="00F946E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391D" w14:textId="77777777" w:rsidR="00F946E2" w:rsidRDefault="00F946E2" w:rsidP="0048364F">
      <w:pPr>
        <w:spacing w:line="240" w:lineRule="auto"/>
      </w:pPr>
      <w:r>
        <w:separator/>
      </w:r>
    </w:p>
  </w:footnote>
  <w:footnote w:type="continuationSeparator" w:id="0">
    <w:p w14:paraId="5AB44B2B" w14:textId="77777777" w:rsidR="00F946E2" w:rsidRDefault="00F946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5A24" w14:textId="77777777" w:rsidR="00F946E2" w:rsidRPr="005F1388" w:rsidRDefault="00F946E2"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AAF6" w14:textId="77777777" w:rsidR="00F946E2" w:rsidRPr="005F1388" w:rsidRDefault="00F946E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44095" w14:textId="77777777" w:rsidR="00F946E2" w:rsidRPr="005F1388" w:rsidRDefault="00F946E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80F7" w14:textId="77777777" w:rsidR="00F946E2" w:rsidRPr="00ED79B6" w:rsidRDefault="00F946E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C75A" w14:textId="77777777" w:rsidR="00F946E2" w:rsidRPr="00ED79B6" w:rsidRDefault="00F946E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33A0" w14:textId="77777777" w:rsidR="00F946E2" w:rsidRPr="00ED79B6" w:rsidRDefault="00F946E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4513" w14:textId="2EC32128" w:rsidR="00F946E2" w:rsidRPr="00A961C4" w:rsidRDefault="00F946E2" w:rsidP="0048364F">
    <w:pPr>
      <w:rPr>
        <w:b/>
        <w:sz w:val="20"/>
      </w:rPr>
    </w:pPr>
    <w:r>
      <w:rPr>
        <w:b/>
        <w:sz w:val="20"/>
      </w:rPr>
      <w:fldChar w:fldCharType="begin"/>
    </w:r>
    <w:r>
      <w:rPr>
        <w:b/>
        <w:sz w:val="20"/>
      </w:rPr>
      <w:instrText xml:space="preserve"> STYLEREF CharAmSchNo </w:instrText>
    </w:r>
    <w:r w:rsidR="0083664B">
      <w:rPr>
        <w:b/>
        <w:sz w:val="20"/>
      </w:rPr>
      <w:fldChar w:fldCharType="separate"/>
    </w:r>
    <w:r w:rsidR="0083664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3664B">
      <w:rPr>
        <w:sz w:val="20"/>
      </w:rPr>
      <w:fldChar w:fldCharType="separate"/>
    </w:r>
    <w:r w:rsidR="0083664B">
      <w:rPr>
        <w:noProof/>
        <w:sz w:val="20"/>
      </w:rPr>
      <w:t>Amendments</w:t>
    </w:r>
    <w:r>
      <w:rPr>
        <w:sz w:val="20"/>
      </w:rPr>
      <w:fldChar w:fldCharType="end"/>
    </w:r>
  </w:p>
  <w:p w14:paraId="64AAC5D6" w14:textId="683F2B52" w:rsidR="00F946E2" w:rsidRPr="00A961C4" w:rsidRDefault="00F946E2" w:rsidP="0048364F">
    <w:pPr>
      <w:rPr>
        <w:b/>
        <w:sz w:val="20"/>
      </w:rPr>
    </w:pPr>
    <w:r>
      <w:rPr>
        <w:b/>
        <w:sz w:val="20"/>
      </w:rPr>
      <w:fldChar w:fldCharType="begin"/>
    </w:r>
    <w:r>
      <w:rPr>
        <w:b/>
        <w:sz w:val="20"/>
      </w:rPr>
      <w:instrText xml:space="preserve"> STYLEREF CharAmPartNo </w:instrText>
    </w:r>
    <w:r w:rsidR="0083664B">
      <w:rPr>
        <w:b/>
        <w:sz w:val="20"/>
      </w:rPr>
      <w:fldChar w:fldCharType="separate"/>
    </w:r>
    <w:r w:rsidR="0083664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3664B">
      <w:rPr>
        <w:sz w:val="20"/>
      </w:rPr>
      <w:fldChar w:fldCharType="separate"/>
    </w:r>
    <w:r w:rsidR="0083664B">
      <w:rPr>
        <w:noProof/>
        <w:sz w:val="20"/>
      </w:rPr>
      <w:t>Application and transitional provisions</w:t>
    </w:r>
    <w:r>
      <w:rPr>
        <w:sz w:val="20"/>
      </w:rPr>
      <w:fldChar w:fldCharType="end"/>
    </w:r>
  </w:p>
  <w:p w14:paraId="06749E14" w14:textId="77777777" w:rsidR="00F946E2" w:rsidRPr="00A961C4" w:rsidRDefault="00F946E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43FD" w14:textId="6A9ACDCE" w:rsidR="00F946E2" w:rsidRPr="00A961C4" w:rsidRDefault="00F946E2" w:rsidP="0048364F">
    <w:pPr>
      <w:jc w:val="right"/>
      <w:rPr>
        <w:sz w:val="20"/>
      </w:rPr>
    </w:pPr>
    <w:r w:rsidRPr="00A961C4">
      <w:rPr>
        <w:sz w:val="20"/>
      </w:rPr>
      <w:fldChar w:fldCharType="begin"/>
    </w:r>
    <w:r w:rsidRPr="00A961C4">
      <w:rPr>
        <w:sz w:val="20"/>
      </w:rPr>
      <w:instrText xml:space="preserve"> STYLEREF CharAmSchText </w:instrText>
    </w:r>
    <w:r w:rsidR="0083664B">
      <w:rPr>
        <w:sz w:val="20"/>
      </w:rPr>
      <w:fldChar w:fldCharType="separate"/>
    </w:r>
    <w:r w:rsidR="0083664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3664B">
      <w:rPr>
        <w:b/>
        <w:sz w:val="20"/>
      </w:rPr>
      <w:fldChar w:fldCharType="separate"/>
    </w:r>
    <w:r w:rsidR="0083664B">
      <w:rPr>
        <w:b/>
        <w:noProof/>
        <w:sz w:val="20"/>
      </w:rPr>
      <w:t>Schedule 1</w:t>
    </w:r>
    <w:r>
      <w:rPr>
        <w:b/>
        <w:sz w:val="20"/>
      </w:rPr>
      <w:fldChar w:fldCharType="end"/>
    </w:r>
  </w:p>
  <w:p w14:paraId="64D71D25" w14:textId="318A48BD" w:rsidR="00F946E2" w:rsidRPr="00A961C4" w:rsidRDefault="00F946E2" w:rsidP="0048364F">
    <w:pPr>
      <w:jc w:val="right"/>
      <w:rPr>
        <w:b/>
        <w:sz w:val="20"/>
      </w:rPr>
    </w:pPr>
    <w:r w:rsidRPr="00A961C4">
      <w:rPr>
        <w:sz w:val="20"/>
      </w:rPr>
      <w:fldChar w:fldCharType="begin"/>
    </w:r>
    <w:r w:rsidRPr="00A961C4">
      <w:rPr>
        <w:sz w:val="20"/>
      </w:rPr>
      <w:instrText xml:space="preserve"> STYLEREF CharAmPartText </w:instrText>
    </w:r>
    <w:r w:rsidR="0083664B">
      <w:rPr>
        <w:sz w:val="20"/>
      </w:rPr>
      <w:fldChar w:fldCharType="separate"/>
    </w:r>
    <w:r w:rsidR="0083664B">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3664B">
      <w:rPr>
        <w:b/>
        <w:sz w:val="20"/>
      </w:rPr>
      <w:fldChar w:fldCharType="separate"/>
    </w:r>
    <w:r w:rsidR="0083664B">
      <w:rPr>
        <w:b/>
        <w:noProof/>
        <w:sz w:val="20"/>
      </w:rPr>
      <w:t>Part 2</w:t>
    </w:r>
    <w:r w:rsidRPr="00A961C4">
      <w:rPr>
        <w:b/>
        <w:sz w:val="20"/>
      </w:rPr>
      <w:fldChar w:fldCharType="end"/>
    </w:r>
  </w:p>
  <w:p w14:paraId="2B860549" w14:textId="77777777" w:rsidR="00F946E2" w:rsidRPr="00A961C4" w:rsidRDefault="00F946E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1692" w14:textId="77777777" w:rsidR="00F946E2" w:rsidRPr="00A961C4" w:rsidRDefault="00F946E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97"/>
    <w:rsid w:val="000113BC"/>
    <w:rsid w:val="00012763"/>
    <w:rsid w:val="000136AF"/>
    <w:rsid w:val="00014816"/>
    <w:rsid w:val="00024BA4"/>
    <w:rsid w:val="000316C7"/>
    <w:rsid w:val="000325F7"/>
    <w:rsid w:val="000417C9"/>
    <w:rsid w:val="00042363"/>
    <w:rsid w:val="0004297B"/>
    <w:rsid w:val="00045F3F"/>
    <w:rsid w:val="00053359"/>
    <w:rsid w:val="000551AE"/>
    <w:rsid w:val="00055B5C"/>
    <w:rsid w:val="00056391"/>
    <w:rsid w:val="00060FF9"/>
    <w:rsid w:val="00061249"/>
    <w:rsid w:val="000614BF"/>
    <w:rsid w:val="00084DB6"/>
    <w:rsid w:val="00090C4B"/>
    <w:rsid w:val="000B0058"/>
    <w:rsid w:val="000B1FD2"/>
    <w:rsid w:val="000C0EA4"/>
    <w:rsid w:val="000C3C5E"/>
    <w:rsid w:val="000D05EF"/>
    <w:rsid w:val="000D3C0C"/>
    <w:rsid w:val="000D5F13"/>
    <w:rsid w:val="000E18B4"/>
    <w:rsid w:val="000E2D5A"/>
    <w:rsid w:val="000E3B62"/>
    <w:rsid w:val="000F1ECD"/>
    <w:rsid w:val="000F21C1"/>
    <w:rsid w:val="000F316E"/>
    <w:rsid w:val="000F422D"/>
    <w:rsid w:val="00101D90"/>
    <w:rsid w:val="0010745C"/>
    <w:rsid w:val="00113BD1"/>
    <w:rsid w:val="00122206"/>
    <w:rsid w:val="001343D8"/>
    <w:rsid w:val="00145864"/>
    <w:rsid w:val="00147B73"/>
    <w:rsid w:val="00150CE5"/>
    <w:rsid w:val="0015646E"/>
    <w:rsid w:val="001643C9"/>
    <w:rsid w:val="00165568"/>
    <w:rsid w:val="00166C2F"/>
    <w:rsid w:val="001716C9"/>
    <w:rsid w:val="00173363"/>
    <w:rsid w:val="00173B94"/>
    <w:rsid w:val="0017771D"/>
    <w:rsid w:val="00177791"/>
    <w:rsid w:val="001854B4"/>
    <w:rsid w:val="00186001"/>
    <w:rsid w:val="00190353"/>
    <w:rsid w:val="001939E1"/>
    <w:rsid w:val="00195382"/>
    <w:rsid w:val="00197D09"/>
    <w:rsid w:val="001A1E7D"/>
    <w:rsid w:val="001A3658"/>
    <w:rsid w:val="001A759A"/>
    <w:rsid w:val="001B38C8"/>
    <w:rsid w:val="001B3D7A"/>
    <w:rsid w:val="001B4EAC"/>
    <w:rsid w:val="001B633C"/>
    <w:rsid w:val="001B7A5D"/>
    <w:rsid w:val="001C1A29"/>
    <w:rsid w:val="001C2418"/>
    <w:rsid w:val="001C69C4"/>
    <w:rsid w:val="001D120E"/>
    <w:rsid w:val="001D7061"/>
    <w:rsid w:val="001E3590"/>
    <w:rsid w:val="001E7407"/>
    <w:rsid w:val="001F1A9F"/>
    <w:rsid w:val="001F1CC1"/>
    <w:rsid w:val="001F511E"/>
    <w:rsid w:val="00201D27"/>
    <w:rsid w:val="00202618"/>
    <w:rsid w:val="00213660"/>
    <w:rsid w:val="002312C5"/>
    <w:rsid w:val="00236272"/>
    <w:rsid w:val="00240749"/>
    <w:rsid w:val="00243D77"/>
    <w:rsid w:val="00254E7F"/>
    <w:rsid w:val="00262F06"/>
    <w:rsid w:val="00263820"/>
    <w:rsid w:val="002749D4"/>
    <w:rsid w:val="00275197"/>
    <w:rsid w:val="00276763"/>
    <w:rsid w:val="00286CCD"/>
    <w:rsid w:val="002914AB"/>
    <w:rsid w:val="00293B89"/>
    <w:rsid w:val="00294014"/>
    <w:rsid w:val="00297ECB"/>
    <w:rsid w:val="002A42A2"/>
    <w:rsid w:val="002A7E9A"/>
    <w:rsid w:val="002B5A30"/>
    <w:rsid w:val="002D043A"/>
    <w:rsid w:val="002D395A"/>
    <w:rsid w:val="002E26F3"/>
    <w:rsid w:val="002E5403"/>
    <w:rsid w:val="002F00D4"/>
    <w:rsid w:val="002F5A80"/>
    <w:rsid w:val="003021F8"/>
    <w:rsid w:val="00305597"/>
    <w:rsid w:val="0031308F"/>
    <w:rsid w:val="00321191"/>
    <w:rsid w:val="00324867"/>
    <w:rsid w:val="00326F17"/>
    <w:rsid w:val="003361FF"/>
    <w:rsid w:val="00341308"/>
    <w:rsid w:val="003415D3"/>
    <w:rsid w:val="00341A7D"/>
    <w:rsid w:val="00341F08"/>
    <w:rsid w:val="0034493F"/>
    <w:rsid w:val="00350417"/>
    <w:rsid w:val="00352B0F"/>
    <w:rsid w:val="00360D31"/>
    <w:rsid w:val="003707F0"/>
    <w:rsid w:val="00373874"/>
    <w:rsid w:val="003738AD"/>
    <w:rsid w:val="00374F89"/>
    <w:rsid w:val="00375C6C"/>
    <w:rsid w:val="00386768"/>
    <w:rsid w:val="00392AE0"/>
    <w:rsid w:val="003A047F"/>
    <w:rsid w:val="003A48B3"/>
    <w:rsid w:val="003A7B3C"/>
    <w:rsid w:val="003B4E3D"/>
    <w:rsid w:val="003B620F"/>
    <w:rsid w:val="003C5F2B"/>
    <w:rsid w:val="003D0BFE"/>
    <w:rsid w:val="003D4B00"/>
    <w:rsid w:val="003D5700"/>
    <w:rsid w:val="003F0B92"/>
    <w:rsid w:val="003F37DE"/>
    <w:rsid w:val="00402462"/>
    <w:rsid w:val="00405579"/>
    <w:rsid w:val="00410B8E"/>
    <w:rsid w:val="004116CD"/>
    <w:rsid w:val="00412B60"/>
    <w:rsid w:val="00413A33"/>
    <w:rsid w:val="00417AF8"/>
    <w:rsid w:val="00421FC1"/>
    <w:rsid w:val="004229C7"/>
    <w:rsid w:val="00424CA9"/>
    <w:rsid w:val="004263A3"/>
    <w:rsid w:val="00426840"/>
    <w:rsid w:val="00436785"/>
    <w:rsid w:val="00436BD5"/>
    <w:rsid w:val="00437E4B"/>
    <w:rsid w:val="00442321"/>
    <w:rsid w:val="0044291A"/>
    <w:rsid w:val="004447F8"/>
    <w:rsid w:val="004541EA"/>
    <w:rsid w:val="0047133D"/>
    <w:rsid w:val="0048196B"/>
    <w:rsid w:val="0048364F"/>
    <w:rsid w:val="00486D05"/>
    <w:rsid w:val="00490C88"/>
    <w:rsid w:val="0049201C"/>
    <w:rsid w:val="00496F97"/>
    <w:rsid w:val="004A6A75"/>
    <w:rsid w:val="004B16B0"/>
    <w:rsid w:val="004C0622"/>
    <w:rsid w:val="004C589C"/>
    <w:rsid w:val="004C7C8C"/>
    <w:rsid w:val="004D0260"/>
    <w:rsid w:val="004E2A4A"/>
    <w:rsid w:val="004E51C5"/>
    <w:rsid w:val="004E60A6"/>
    <w:rsid w:val="004E7A23"/>
    <w:rsid w:val="004F0D23"/>
    <w:rsid w:val="004F1FAC"/>
    <w:rsid w:val="004F6DF7"/>
    <w:rsid w:val="004F7284"/>
    <w:rsid w:val="005023DD"/>
    <w:rsid w:val="00506894"/>
    <w:rsid w:val="00506A80"/>
    <w:rsid w:val="0051395A"/>
    <w:rsid w:val="00515E76"/>
    <w:rsid w:val="0051638A"/>
    <w:rsid w:val="00516B8D"/>
    <w:rsid w:val="00516DDB"/>
    <w:rsid w:val="00520E80"/>
    <w:rsid w:val="00522C3F"/>
    <w:rsid w:val="00524A2B"/>
    <w:rsid w:val="00525BB8"/>
    <w:rsid w:val="005314B3"/>
    <w:rsid w:val="00536F70"/>
    <w:rsid w:val="00537FBC"/>
    <w:rsid w:val="00542C76"/>
    <w:rsid w:val="00543469"/>
    <w:rsid w:val="00543A93"/>
    <w:rsid w:val="00543C8D"/>
    <w:rsid w:val="00543D8B"/>
    <w:rsid w:val="00545D52"/>
    <w:rsid w:val="005468E5"/>
    <w:rsid w:val="00551B54"/>
    <w:rsid w:val="00562A5D"/>
    <w:rsid w:val="00562CC6"/>
    <w:rsid w:val="00565D2D"/>
    <w:rsid w:val="0057413B"/>
    <w:rsid w:val="00574696"/>
    <w:rsid w:val="00584811"/>
    <w:rsid w:val="00591184"/>
    <w:rsid w:val="00592F93"/>
    <w:rsid w:val="00593AA6"/>
    <w:rsid w:val="00594161"/>
    <w:rsid w:val="00594749"/>
    <w:rsid w:val="00595045"/>
    <w:rsid w:val="005A0D92"/>
    <w:rsid w:val="005A59CA"/>
    <w:rsid w:val="005B4067"/>
    <w:rsid w:val="005B40C0"/>
    <w:rsid w:val="005C3F41"/>
    <w:rsid w:val="005E0917"/>
    <w:rsid w:val="005E152A"/>
    <w:rsid w:val="005E1C5E"/>
    <w:rsid w:val="005E3CD3"/>
    <w:rsid w:val="005E4613"/>
    <w:rsid w:val="005F0297"/>
    <w:rsid w:val="005F11B1"/>
    <w:rsid w:val="005F5927"/>
    <w:rsid w:val="00600219"/>
    <w:rsid w:val="00600560"/>
    <w:rsid w:val="00601F8E"/>
    <w:rsid w:val="00602FDA"/>
    <w:rsid w:val="00607BC0"/>
    <w:rsid w:val="006167FD"/>
    <w:rsid w:val="00620F07"/>
    <w:rsid w:val="00625525"/>
    <w:rsid w:val="0063272C"/>
    <w:rsid w:val="00633ED9"/>
    <w:rsid w:val="00636CAC"/>
    <w:rsid w:val="00641DE5"/>
    <w:rsid w:val="00642EC1"/>
    <w:rsid w:val="00643A8F"/>
    <w:rsid w:val="006468C3"/>
    <w:rsid w:val="00654CEE"/>
    <w:rsid w:val="00656F0C"/>
    <w:rsid w:val="00667D20"/>
    <w:rsid w:val="00677CC2"/>
    <w:rsid w:val="00681F92"/>
    <w:rsid w:val="006842C2"/>
    <w:rsid w:val="00684A38"/>
    <w:rsid w:val="00685F42"/>
    <w:rsid w:val="00687CFF"/>
    <w:rsid w:val="0069207B"/>
    <w:rsid w:val="00695507"/>
    <w:rsid w:val="006A20CE"/>
    <w:rsid w:val="006A4B23"/>
    <w:rsid w:val="006B2758"/>
    <w:rsid w:val="006C2874"/>
    <w:rsid w:val="006C2899"/>
    <w:rsid w:val="006C7F8C"/>
    <w:rsid w:val="006D380D"/>
    <w:rsid w:val="006D4FF2"/>
    <w:rsid w:val="006D5B9A"/>
    <w:rsid w:val="006E0135"/>
    <w:rsid w:val="006E1AA2"/>
    <w:rsid w:val="006E21A6"/>
    <w:rsid w:val="006E303A"/>
    <w:rsid w:val="006E42EE"/>
    <w:rsid w:val="006E47A2"/>
    <w:rsid w:val="006F7E19"/>
    <w:rsid w:val="00700B2C"/>
    <w:rsid w:val="007016D0"/>
    <w:rsid w:val="0070259C"/>
    <w:rsid w:val="00705CE4"/>
    <w:rsid w:val="00712D8D"/>
    <w:rsid w:val="00713084"/>
    <w:rsid w:val="00714B26"/>
    <w:rsid w:val="00731E00"/>
    <w:rsid w:val="0073223E"/>
    <w:rsid w:val="007440B7"/>
    <w:rsid w:val="0074697D"/>
    <w:rsid w:val="00751BA4"/>
    <w:rsid w:val="00756E60"/>
    <w:rsid w:val="007634AD"/>
    <w:rsid w:val="007715C9"/>
    <w:rsid w:val="00774EDD"/>
    <w:rsid w:val="007750B3"/>
    <w:rsid w:val="007757EC"/>
    <w:rsid w:val="007811A1"/>
    <w:rsid w:val="0079326F"/>
    <w:rsid w:val="0079532E"/>
    <w:rsid w:val="007B07A8"/>
    <w:rsid w:val="007B30AA"/>
    <w:rsid w:val="007C13B1"/>
    <w:rsid w:val="007C2405"/>
    <w:rsid w:val="007C4D85"/>
    <w:rsid w:val="007D7A63"/>
    <w:rsid w:val="007E0766"/>
    <w:rsid w:val="007E6303"/>
    <w:rsid w:val="007E7D4A"/>
    <w:rsid w:val="008006CC"/>
    <w:rsid w:val="0080122C"/>
    <w:rsid w:val="00802268"/>
    <w:rsid w:val="00807F18"/>
    <w:rsid w:val="0082100B"/>
    <w:rsid w:val="00824DDE"/>
    <w:rsid w:val="00831E8D"/>
    <w:rsid w:val="00834246"/>
    <w:rsid w:val="0083664B"/>
    <w:rsid w:val="0084340C"/>
    <w:rsid w:val="00847C8C"/>
    <w:rsid w:val="008526D6"/>
    <w:rsid w:val="00853B1C"/>
    <w:rsid w:val="00854836"/>
    <w:rsid w:val="00856A31"/>
    <w:rsid w:val="00857D6B"/>
    <w:rsid w:val="00865C04"/>
    <w:rsid w:val="00873B62"/>
    <w:rsid w:val="0087545D"/>
    <w:rsid w:val="008754D0"/>
    <w:rsid w:val="00875D4E"/>
    <w:rsid w:val="00876322"/>
    <w:rsid w:val="00877D48"/>
    <w:rsid w:val="008802BE"/>
    <w:rsid w:val="00883781"/>
    <w:rsid w:val="00885570"/>
    <w:rsid w:val="00893958"/>
    <w:rsid w:val="00894296"/>
    <w:rsid w:val="008A2E77"/>
    <w:rsid w:val="008A46B1"/>
    <w:rsid w:val="008A6AD4"/>
    <w:rsid w:val="008C0D69"/>
    <w:rsid w:val="008C621E"/>
    <w:rsid w:val="008C6F6F"/>
    <w:rsid w:val="008D0EE0"/>
    <w:rsid w:val="008D3E94"/>
    <w:rsid w:val="008F4F1C"/>
    <w:rsid w:val="008F77C4"/>
    <w:rsid w:val="009061DE"/>
    <w:rsid w:val="009103F3"/>
    <w:rsid w:val="0092217C"/>
    <w:rsid w:val="00932377"/>
    <w:rsid w:val="00943221"/>
    <w:rsid w:val="0094337F"/>
    <w:rsid w:val="00945863"/>
    <w:rsid w:val="00961BAD"/>
    <w:rsid w:val="00966DD1"/>
    <w:rsid w:val="00967042"/>
    <w:rsid w:val="00967A5D"/>
    <w:rsid w:val="0097117D"/>
    <w:rsid w:val="00981A3E"/>
    <w:rsid w:val="0098255A"/>
    <w:rsid w:val="00982597"/>
    <w:rsid w:val="009845BE"/>
    <w:rsid w:val="009963A7"/>
    <w:rsid w:val="009969C9"/>
    <w:rsid w:val="009B63A8"/>
    <w:rsid w:val="009C6765"/>
    <w:rsid w:val="009C6881"/>
    <w:rsid w:val="009D1952"/>
    <w:rsid w:val="009D2915"/>
    <w:rsid w:val="009D2CC1"/>
    <w:rsid w:val="009D39A7"/>
    <w:rsid w:val="009E186E"/>
    <w:rsid w:val="009F7BD0"/>
    <w:rsid w:val="00A048FF"/>
    <w:rsid w:val="00A0602E"/>
    <w:rsid w:val="00A0738E"/>
    <w:rsid w:val="00A10775"/>
    <w:rsid w:val="00A231E2"/>
    <w:rsid w:val="00A33B07"/>
    <w:rsid w:val="00A36C48"/>
    <w:rsid w:val="00A41E0B"/>
    <w:rsid w:val="00A4321E"/>
    <w:rsid w:val="00A45843"/>
    <w:rsid w:val="00A55631"/>
    <w:rsid w:val="00A57F51"/>
    <w:rsid w:val="00A64912"/>
    <w:rsid w:val="00A70A74"/>
    <w:rsid w:val="00A86572"/>
    <w:rsid w:val="00A87FE5"/>
    <w:rsid w:val="00A90557"/>
    <w:rsid w:val="00A973EE"/>
    <w:rsid w:val="00AA3795"/>
    <w:rsid w:val="00AA3C98"/>
    <w:rsid w:val="00AB551D"/>
    <w:rsid w:val="00AB5DA1"/>
    <w:rsid w:val="00AC11CC"/>
    <w:rsid w:val="00AC1E75"/>
    <w:rsid w:val="00AC76AD"/>
    <w:rsid w:val="00AD5641"/>
    <w:rsid w:val="00AE1088"/>
    <w:rsid w:val="00AE749B"/>
    <w:rsid w:val="00AF1BA4"/>
    <w:rsid w:val="00B00583"/>
    <w:rsid w:val="00B02334"/>
    <w:rsid w:val="00B032D8"/>
    <w:rsid w:val="00B0479C"/>
    <w:rsid w:val="00B13155"/>
    <w:rsid w:val="00B1456B"/>
    <w:rsid w:val="00B27CAF"/>
    <w:rsid w:val="00B32BE2"/>
    <w:rsid w:val="00B33B3C"/>
    <w:rsid w:val="00B42342"/>
    <w:rsid w:val="00B62660"/>
    <w:rsid w:val="00B6382D"/>
    <w:rsid w:val="00B703F0"/>
    <w:rsid w:val="00B71E29"/>
    <w:rsid w:val="00B84942"/>
    <w:rsid w:val="00B87C99"/>
    <w:rsid w:val="00B93A8B"/>
    <w:rsid w:val="00B954C0"/>
    <w:rsid w:val="00B9592D"/>
    <w:rsid w:val="00B961A7"/>
    <w:rsid w:val="00BA0916"/>
    <w:rsid w:val="00BA5026"/>
    <w:rsid w:val="00BB3ED0"/>
    <w:rsid w:val="00BB40BF"/>
    <w:rsid w:val="00BC0CD1"/>
    <w:rsid w:val="00BC1691"/>
    <w:rsid w:val="00BC2FC9"/>
    <w:rsid w:val="00BC62DE"/>
    <w:rsid w:val="00BD44B2"/>
    <w:rsid w:val="00BD5F51"/>
    <w:rsid w:val="00BE012A"/>
    <w:rsid w:val="00BE719A"/>
    <w:rsid w:val="00BE720A"/>
    <w:rsid w:val="00BF0461"/>
    <w:rsid w:val="00BF3497"/>
    <w:rsid w:val="00BF4944"/>
    <w:rsid w:val="00BF56D4"/>
    <w:rsid w:val="00C04409"/>
    <w:rsid w:val="00C067E5"/>
    <w:rsid w:val="00C06B00"/>
    <w:rsid w:val="00C1307F"/>
    <w:rsid w:val="00C15F02"/>
    <w:rsid w:val="00C164CA"/>
    <w:rsid w:val="00C176CF"/>
    <w:rsid w:val="00C20BD7"/>
    <w:rsid w:val="00C24106"/>
    <w:rsid w:val="00C24EE9"/>
    <w:rsid w:val="00C26D7B"/>
    <w:rsid w:val="00C27226"/>
    <w:rsid w:val="00C34B19"/>
    <w:rsid w:val="00C37413"/>
    <w:rsid w:val="00C379AB"/>
    <w:rsid w:val="00C42BF8"/>
    <w:rsid w:val="00C460AE"/>
    <w:rsid w:val="00C50043"/>
    <w:rsid w:val="00C508C2"/>
    <w:rsid w:val="00C50E80"/>
    <w:rsid w:val="00C54E84"/>
    <w:rsid w:val="00C62D23"/>
    <w:rsid w:val="00C7573B"/>
    <w:rsid w:val="00C76CF3"/>
    <w:rsid w:val="00C97211"/>
    <w:rsid w:val="00CA13BD"/>
    <w:rsid w:val="00CA20AF"/>
    <w:rsid w:val="00CB4B6B"/>
    <w:rsid w:val="00CB7FAD"/>
    <w:rsid w:val="00CC5842"/>
    <w:rsid w:val="00CC5FAA"/>
    <w:rsid w:val="00CC604E"/>
    <w:rsid w:val="00CD1D70"/>
    <w:rsid w:val="00CD2002"/>
    <w:rsid w:val="00CD37A7"/>
    <w:rsid w:val="00CE1E31"/>
    <w:rsid w:val="00CE629F"/>
    <w:rsid w:val="00CE75CA"/>
    <w:rsid w:val="00CF0BB2"/>
    <w:rsid w:val="00CF1C3A"/>
    <w:rsid w:val="00CF6179"/>
    <w:rsid w:val="00CF72F4"/>
    <w:rsid w:val="00CF7B61"/>
    <w:rsid w:val="00D00EAA"/>
    <w:rsid w:val="00D07DE3"/>
    <w:rsid w:val="00D07DFE"/>
    <w:rsid w:val="00D13441"/>
    <w:rsid w:val="00D243A3"/>
    <w:rsid w:val="00D34424"/>
    <w:rsid w:val="00D41244"/>
    <w:rsid w:val="00D477C3"/>
    <w:rsid w:val="00D51EB9"/>
    <w:rsid w:val="00D52EFE"/>
    <w:rsid w:val="00D55973"/>
    <w:rsid w:val="00D63EF6"/>
    <w:rsid w:val="00D70DFB"/>
    <w:rsid w:val="00D73029"/>
    <w:rsid w:val="00D73216"/>
    <w:rsid w:val="00D766DF"/>
    <w:rsid w:val="00D82359"/>
    <w:rsid w:val="00D83905"/>
    <w:rsid w:val="00D874E2"/>
    <w:rsid w:val="00D901A5"/>
    <w:rsid w:val="00D9466F"/>
    <w:rsid w:val="00D950A6"/>
    <w:rsid w:val="00DB2AC6"/>
    <w:rsid w:val="00DB36ED"/>
    <w:rsid w:val="00DD21EB"/>
    <w:rsid w:val="00DE2002"/>
    <w:rsid w:val="00DF24F5"/>
    <w:rsid w:val="00DF7AE9"/>
    <w:rsid w:val="00E008E1"/>
    <w:rsid w:val="00E01004"/>
    <w:rsid w:val="00E05704"/>
    <w:rsid w:val="00E133CE"/>
    <w:rsid w:val="00E177B0"/>
    <w:rsid w:val="00E24D66"/>
    <w:rsid w:val="00E33B9F"/>
    <w:rsid w:val="00E37760"/>
    <w:rsid w:val="00E37966"/>
    <w:rsid w:val="00E41656"/>
    <w:rsid w:val="00E41F99"/>
    <w:rsid w:val="00E50A65"/>
    <w:rsid w:val="00E54292"/>
    <w:rsid w:val="00E55683"/>
    <w:rsid w:val="00E56295"/>
    <w:rsid w:val="00E564CB"/>
    <w:rsid w:val="00E615DB"/>
    <w:rsid w:val="00E616DD"/>
    <w:rsid w:val="00E62616"/>
    <w:rsid w:val="00E74DC7"/>
    <w:rsid w:val="00E77971"/>
    <w:rsid w:val="00E84ECA"/>
    <w:rsid w:val="00E87699"/>
    <w:rsid w:val="00E927B7"/>
    <w:rsid w:val="00E947C6"/>
    <w:rsid w:val="00EA344F"/>
    <w:rsid w:val="00EB510C"/>
    <w:rsid w:val="00EB5A78"/>
    <w:rsid w:val="00ED43F8"/>
    <w:rsid w:val="00ED492F"/>
    <w:rsid w:val="00EE1BDD"/>
    <w:rsid w:val="00EE3E36"/>
    <w:rsid w:val="00EF05D3"/>
    <w:rsid w:val="00EF2E3A"/>
    <w:rsid w:val="00EF5EB5"/>
    <w:rsid w:val="00EF7D16"/>
    <w:rsid w:val="00F047E2"/>
    <w:rsid w:val="00F06472"/>
    <w:rsid w:val="00F078DC"/>
    <w:rsid w:val="00F13E86"/>
    <w:rsid w:val="00F17B00"/>
    <w:rsid w:val="00F17F76"/>
    <w:rsid w:val="00F231EC"/>
    <w:rsid w:val="00F37E94"/>
    <w:rsid w:val="00F50C2B"/>
    <w:rsid w:val="00F51502"/>
    <w:rsid w:val="00F531DC"/>
    <w:rsid w:val="00F54B8C"/>
    <w:rsid w:val="00F54F95"/>
    <w:rsid w:val="00F57788"/>
    <w:rsid w:val="00F5789D"/>
    <w:rsid w:val="00F631EE"/>
    <w:rsid w:val="00F677A9"/>
    <w:rsid w:val="00F75BAA"/>
    <w:rsid w:val="00F81822"/>
    <w:rsid w:val="00F82CA2"/>
    <w:rsid w:val="00F84CF5"/>
    <w:rsid w:val="00F878CD"/>
    <w:rsid w:val="00F9015C"/>
    <w:rsid w:val="00F92D35"/>
    <w:rsid w:val="00F93BF9"/>
    <w:rsid w:val="00F946E2"/>
    <w:rsid w:val="00FA13D4"/>
    <w:rsid w:val="00FA216B"/>
    <w:rsid w:val="00FA420B"/>
    <w:rsid w:val="00FB0276"/>
    <w:rsid w:val="00FB7DFB"/>
    <w:rsid w:val="00FD1E13"/>
    <w:rsid w:val="00FD73C2"/>
    <w:rsid w:val="00FD7EB1"/>
    <w:rsid w:val="00FE41C9"/>
    <w:rsid w:val="00FE7F93"/>
    <w:rsid w:val="00FF4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77B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422D"/>
    <w:pPr>
      <w:spacing w:line="260" w:lineRule="atLeast"/>
    </w:pPr>
    <w:rPr>
      <w:sz w:val="22"/>
    </w:rPr>
  </w:style>
  <w:style w:type="paragraph" w:styleId="Heading1">
    <w:name w:val="heading 1"/>
    <w:basedOn w:val="Normal"/>
    <w:next w:val="Normal"/>
    <w:link w:val="Heading1Char"/>
    <w:uiPriority w:val="9"/>
    <w:qFormat/>
    <w:rsid w:val="004E60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E60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0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E60A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E60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60A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60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60A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60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422D"/>
  </w:style>
  <w:style w:type="paragraph" w:customStyle="1" w:styleId="OPCParaBase">
    <w:name w:val="OPCParaBase"/>
    <w:qFormat/>
    <w:rsid w:val="000F422D"/>
    <w:pPr>
      <w:spacing w:line="260" w:lineRule="atLeast"/>
    </w:pPr>
    <w:rPr>
      <w:rFonts w:eastAsia="Times New Roman" w:cs="Times New Roman"/>
      <w:sz w:val="22"/>
      <w:lang w:eastAsia="en-AU"/>
    </w:rPr>
  </w:style>
  <w:style w:type="paragraph" w:customStyle="1" w:styleId="ShortT">
    <w:name w:val="ShortT"/>
    <w:basedOn w:val="OPCParaBase"/>
    <w:next w:val="Normal"/>
    <w:qFormat/>
    <w:rsid w:val="000F422D"/>
    <w:pPr>
      <w:spacing w:line="240" w:lineRule="auto"/>
    </w:pPr>
    <w:rPr>
      <w:b/>
      <w:sz w:val="40"/>
    </w:rPr>
  </w:style>
  <w:style w:type="paragraph" w:customStyle="1" w:styleId="ActHead1">
    <w:name w:val="ActHead 1"/>
    <w:aliases w:val="c"/>
    <w:basedOn w:val="OPCParaBase"/>
    <w:next w:val="Normal"/>
    <w:qFormat/>
    <w:rsid w:val="000F42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42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42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42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42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42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42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42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42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422D"/>
  </w:style>
  <w:style w:type="paragraph" w:customStyle="1" w:styleId="Blocks">
    <w:name w:val="Blocks"/>
    <w:aliases w:val="bb"/>
    <w:basedOn w:val="OPCParaBase"/>
    <w:qFormat/>
    <w:rsid w:val="000F422D"/>
    <w:pPr>
      <w:spacing w:line="240" w:lineRule="auto"/>
    </w:pPr>
    <w:rPr>
      <w:sz w:val="24"/>
    </w:rPr>
  </w:style>
  <w:style w:type="paragraph" w:customStyle="1" w:styleId="BoxText">
    <w:name w:val="BoxText"/>
    <w:aliases w:val="bt"/>
    <w:basedOn w:val="OPCParaBase"/>
    <w:qFormat/>
    <w:rsid w:val="000F42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422D"/>
    <w:rPr>
      <w:b/>
    </w:rPr>
  </w:style>
  <w:style w:type="paragraph" w:customStyle="1" w:styleId="BoxHeadItalic">
    <w:name w:val="BoxHeadItalic"/>
    <w:aliases w:val="bhi"/>
    <w:basedOn w:val="BoxText"/>
    <w:next w:val="BoxStep"/>
    <w:qFormat/>
    <w:rsid w:val="000F422D"/>
    <w:rPr>
      <w:i/>
    </w:rPr>
  </w:style>
  <w:style w:type="paragraph" w:customStyle="1" w:styleId="BoxList">
    <w:name w:val="BoxList"/>
    <w:aliases w:val="bl"/>
    <w:basedOn w:val="BoxText"/>
    <w:qFormat/>
    <w:rsid w:val="000F422D"/>
    <w:pPr>
      <w:ind w:left="1559" w:hanging="425"/>
    </w:pPr>
  </w:style>
  <w:style w:type="paragraph" w:customStyle="1" w:styleId="BoxNote">
    <w:name w:val="BoxNote"/>
    <w:aliases w:val="bn"/>
    <w:basedOn w:val="BoxText"/>
    <w:qFormat/>
    <w:rsid w:val="000F422D"/>
    <w:pPr>
      <w:tabs>
        <w:tab w:val="left" w:pos="1985"/>
      </w:tabs>
      <w:spacing w:before="122" w:line="198" w:lineRule="exact"/>
      <w:ind w:left="2948" w:hanging="1814"/>
    </w:pPr>
    <w:rPr>
      <w:sz w:val="18"/>
    </w:rPr>
  </w:style>
  <w:style w:type="paragraph" w:customStyle="1" w:styleId="BoxPara">
    <w:name w:val="BoxPara"/>
    <w:aliases w:val="bp"/>
    <w:basedOn w:val="BoxText"/>
    <w:qFormat/>
    <w:rsid w:val="000F422D"/>
    <w:pPr>
      <w:tabs>
        <w:tab w:val="right" w:pos="2268"/>
      </w:tabs>
      <w:ind w:left="2552" w:hanging="1418"/>
    </w:pPr>
  </w:style>
  <w:style w:type="paragraph" w:customStyle="1" w:styleId="BoxStep">
    <w:name w:val="BoxStep"/>
    <w:aliases w:val="bs"/>
    <w:basedOn w:val="BoxText"/>
    <w:qFormat/>
    <w:rsid w:val="000F422D"/>
    <w:pPr>
      <w:ind w:left="1985" w:hanging="851"/>
    </w:pPr>
  </w:style>
  <w:style w:type="character" w:customStyle="1" w:styleId="CharAmPartNo">
    <w:name w:val="CharAmPartNo"/>
    <w:basedOn w:val="OPCCharBase"/>
    <w:qFormat/>
    <w:rsid w:val="000F422D"/>
  </w:style>
  <w:style w:type="character" w:customStyle="1" w:styleId="CharAmPartText">
    <w:name w:val="CharAmPartText"/>
    <w:basedOn w:val="OPCCharBase"/>
    <w:qFormat/>
    <w:rsid w:val="000F422D"/>
  </w:style>
  <w:style w:type="character" w:customStyle="1" w:styleId="CharAmSchNo">
    <w:name w:val="CharAmSchNo"/>
    <w:basedOn w:val="OPCCharBase"/>
    <w:qFormat/>
    <w:rsid w:val="000F422D"/>
  </w:style>
  <w:style w:type="character" w:customStyle="1" w:styleId="CharAmSchText">
    <w:name w:val="CharAmSchText"/>
    <w:basedOn w:val="OPCCharBase"/>
    <w:qFormat/>
    <w:rsid w:val="000F422D"/>
  </w:style>
  <w:style w:type="character" w:customStyle="1" w:styleId="CharBoldItalic">
    <w:name w:val="CharBoldItalic"/>
    <w:basedOn w:val="OPCCharBase"/>
    <w:uiPriority w:val="1"/>
    <w:qFormat/>
    <w:rsid w:val="000F422D"/>
    <w:rPr>
      <w:b/>
      <w:i/>
    </w:rPr>
  </w:style>
  <w:style w:type="character" w:customStyle="1" w:styleId="CharChapNo">
    <w:name w:val="CharChapNo"/>
    <w:basedOn w:val="OPCCharBase"/>
    <w:uiPriority w:val="1"/>
    <w:qFormat/>
    <w:rsid w:val="000F422D"/>
  </w:style>
  <w:style w:type="character" w:customStyle="1" w:styleId="CharChapText">
    <w:name w:val="CharChapText"/>
    <w:basedOn w:val="OPCCharBase"/>
    <w:uiPriority w:val="1"/>
    <w:qFormat/>
    <w:rsid w:val="000F422D"/>
  </w:style>
  <w:style w:type="character" w:customStyle="1" w:styleId="CharDivNo">
    <w:name w:val="CharDivNo"/>
    <w:basedOn w:val="OPCCharBase"/>
    <w:uiPriority w:val="1"/>
    <w:qFormat/>
    <w:rsid w:val="000F422D"/>
  </w:style>
  <w:style w:type="character" w:customStyle="1" w:styleId="CharDivText">
    <w:name w:val="CharDivText"/>
    <w:basedOn w:val="OPCCharBase"/>
    <w:uiPriority w:val="1"/>
    <w:qFormat/>
    <w:rsid w:val="000F422D"/>
  </w:style>
  <w:style w:type="character" w:customStyle="1" w:styleId="CharItalic">
    <w:name w:val="CharItalic"/>
    <w:basedOn w:val="OPCCharBase"/>
    <w:uiPriority w:val="1"/>
    <w:qFormat/>
    <w:rsid w:val="000F422D"/>
    <w:rPr>
      <w:i/>
    </w:rPr>
  </w:style>
  <w:style w:type="character" w:customStyle="1" w:styleId="CharPartNo">
    <w:name w:val="CharPartNo"/>
    <w:basedOn w:val="OPCCharBase"/>
    <w:uiPriority w:val="1"/>
    <w:qFormat/>
    <w:rsid w:val="000F422D"/>
  </w:style>
  <w:style w:type="character" w:customStyle="1" w:styleId="CharPartText">
    <w:name w:val="CharPartText"/>
    <w:basedOn w:val="OPCCharBase"/>
    <w:uiPriority w:val="1"/>
    <w:qFormat/>
    <w:rsid w:val="000F422D"/>
  </w:style>
  <w:style w:type="character" w:customStyle="1" w:styleId="CharSectno">
    <w:name w:val="CharSectno"/>
    <w:basedOn w:val="OPCCharBase"/>
    <w:qFormat/>
    <w:rsid w:val="000F422D"/>
  </w:style>
  <w:style w:type="character" w:customStyle="1" w:styleId="CharSubdNo">
    <w:name w:val="CharSubdNo"/>
    <w:basedOn w:val="OPCCharBase"/>
    <w:uiPriority w:val="1"/>
    <w:qFormat/>
    <w:rsid w:val="000F422D"/>
  </w:style>
  <w:style w:type="character" w:customStyle="1" w:styleId="CharSubdText">
    <w:name w:val="CharSubdText"/>
    <w:basedOn w:val="OPCCharBase"/>
    <w:uiPriority w:val="1"/>
    <w:qFormat/>
    <w:rsid w:val="000F422D"/>
  </w:style>
  <w:style w:type="paragraph" w:customStyle="1" w:styleId="CTA--">
    <w:name w:val="CTA --"/>
    <w:basedOn w:val="OPCParaBase"/>
    <w:next w:val="Normal"/>
    <w:rsid w:val="000F422D"/>
    <w:pPr>
      <w:spacing w:before="60" w:line="240" w:lineRule="atLeast"/>
      <w:ind w:left="142" w:hanging="142"/>
    </w:pPr>
    <w:rPr>
      <w:sz w:val="20"/>
    </w:rPr>
  </w:style>
  <w:style w:type="paragraph" w:customStyle="1" w:styleId="CTA-">
    <w:name w:val="CTA -"/>
    <w:basedOn w:val="OPCParaBase"/>
    <w:rsid w:val="000F422D"/>
    <w:pPr>
      <w:spacing w:before="60" w:line="240" w:lineRule="atLeast"/>
      <w:ind w:left="85" w:hanging="85"/>
    </w:pPr>
    <w:rPr>
      <w:sz w:val="20"/>
    </w:rPr>
  </w:style>
  <w:style w:type="paragraph" w:customStyle="1" w:styleId="CTA---">
    <w:name w:val="CTA ---"/>
    <w:basedOn w:val="OPCParaBase"/>
    <w:next w:val="Normal"/>
    <w:rsid w:val="000F422D"/>
    <w:pPr>
      <w:spacing w:before="60" w:line="240" w:lineRule="atLeast"/>
      <w:ind w:left="198" w:hanging="198"/>
    </w:pPr>
    <w:rPr>
      <w:sz w:val="20"/>
    </w:rPr>
  </w:style>
  <w:style w:type="paragraph" w:customStyle="1" w:styleId="CTA----">
    <w:name w:val="CTA ----"/>
    <w:basedOn w:val="OPCParaBase"/>
    <w:next w:val="Normal"/>
    <w:rsid w:val="000F422D"/>
    <w:pPr>
      <w:spacing w:before="60" w:line="240" w:lineRule="atLeast"/>
      <w:ind w:left="255" w:hanging="255"/>
    </w:pPr>
    <w:rPr>
      <w:sz w:val="20"/>
    </w:rPr>
  </w:style>
  <w:style w:type="paragraph" w:customStyle="1" w:styleId="CTA1a">
    <w:name w:val="CTA 1(a)"/>
    <w:basedOn w:val="OPCParaBase"/>
    <w:rsid w:val="000F422D"/>
    <w:pPr>
      <w:tabs>
        <w:tab w:val="right" w:pos="414"/>
      </w:tabs>
      <w:spacing w:before="40" w:line="240" w:lineRule="atLeast"/>
      <w:ind w:left="675" w:hanging="675"/>
    </w:pPr>
    <w:rPr>
      <w:sz w:val="20"/>
    </w:rPr>
  </w:style>
  <w:style w:type="paragraph" w:customStyle="1" w:styleId="CTA1ai">
    <w:name w:val="CTA 1(a)(i)"/>
    <w:basedOn w:val="OPCParaBase"/>
    <w:rsid w:val="000F422D"/>
    <w:pPr>
      <w:tabs>
        <w:tab w:val="right" w:pos="1004"/>
      </w:tabs>
      <w:spacing w:before="40" w:line="240" w:lineRule="atLeast"/>
      <w:ind w:left="1253" w:hanging="1253"/>
    </w:pPr>
    <w:rPr>
      <w:sz w:val="20"/>
    </w:rPr>
  </w:style>
  <w:style w:type="paragraph" w:customStyle="1" w:styleId="CTA2a">
    <w:name w:val="CTA 2(a)"/>
    <w:basedOn w:val="OPCParaBase"/>
    <w:rsid w:val="000F422D"/>
    <w:pPr>
      <w:tabs>
        <w:tab w:val="right" w:pos="482"/>
      </w:tabs>
      <w:spacing w:before="40" w:line="240" w:lineRule="atLeast"/>
      <w:ind w:left="748" w:hanging="748"/>
    </w:pPr>
    <w:rPr>
      <w:sz w:val="20"/>
    </w:rPr>
  </w:style>
  <w:style w:type="paragraph" w:customStyle="1" w:styleId="CTA2ai">
    <w:name w:val="CTA 2(a)(i)"/>
    <w:basedOn w:val="OPCParaBase"/>
    <w:rsid w:val="000F422D"/>
    <w:pPr>
      <w:tabs>
        <w:tab w:val="right" w:pos="1089"/>
      </w:tabs>
      <w:spacing w:before="40" w:line="240" w:lineRule="atLeast"/>
      <w:ind w:left="1327" w:hanging="1327"/>
    </w:pPr>
    <w:rPr>
      <w:sz w:val="20"/>
    </w:rPr>
  </w:style>
  <w:style w:type="paragraph" w:customStyle="1" w:styleId="CTA3a">
    <w:name w:val="CTA 3(a)"/>
    <w:basedOn w:val="OPCParaBase"/>
    <w:rsid w:val="000F422D"/>
    <w:pPr>
      <w:tabs>
        <w:tab w:val="right" w:pos="556"/>
      </w:tabs>
      <w:spacing w:before="40" w:line="240" w:lineRule="atLeast"/>
      <w:ind w:left="805" w:hanging="805"/>
    </w:pPr>
    <w:rPr>
      <w:sz w:val="20"/>
    </w:rPr>
  </w:style>
  <w:style w:type="paragraph" w:customStyle="1" w:styleId="CTA3ai">
    <w:name w:val="CTA 3(a)(i)"/>
    <w:basedOn w:val="OPCParaBase"/>
    <w:rsid w:val="000F422D"/>
    <w:pPr>
      <w:tabs>
        <w:tab w:val="right" w:pos="1140"/>
      </w:tabs>
      <w:spacing w:before="40" w:line="240" w:lineRule="atLeast"/>
      <w:ind w:left="1361" w:hanging="1361"/>
    </w:pPr>
    <w:rPr>
      <w:sz w:val="20"/>
    </w:rPr>
  </w:style>
  <w:style w:type="paragraph" w:customStyle="1" w:styleId="CTA4a">
    <w:name w:val="CTA 4(a)"/>
    <w:basedOn w:val="OPCParaBase"/>
    <w:rsid w:val="000F422D"/>
    <w:pPr>
      <w:tabs>
        <w:tab w:val="right" w:pos="624"/>
      </w:tabs>
      <w:spacing w:before="40" w:line="240" w:lineRule="atLeast"/>
      <w:ind w:left="873" w:hanging="873"/>
    </w:pPr>
    <w:rPr>
      <w:sz w:val="20"/>
    </w:rPr>
  </w:style>
  <w:style w:type="paragraph" w:customStyle="1" w:styleId="CTA4ai">
    <w:name w:val="CTA 4(a)(i)"/>
    <w:basedOn w:val="OPCParaBase"/>
    <w:rsid w:val="000F422D"/>
    <w:pPr>
      <w:tabs>
        <w:tab w:val="right" w:pos="1213"/>
      </w:tabs>
      <w:spacing w:before="40" w:line="240" w:lineRule="atLeast"/>
      <w:ind w:left="1452" w:hanging="1452"/>
    </w:pPr>
    <w:rPr>
      <w:sz w:val="20"/>
    </w:rPr>
  </w:style>
  <w:style w:type="paragraph" w:customStyle="1" w:styleId="CTACAPS">
    <w:name w:val="CTA CAPS"/>
    <w:basedOn w:val="OPCParaBase"/>
    <w:rsid w:val="000F422D"/>
    <w:pPr>
      <w:spacing w:before="60" w:line="240" w:lineRule="atLeast"/>
    </w:pPr>
    <w:rPr>
      <w:sz w:val="20"/>
    </w:rPr>
  </w:style>
  <w:style w:type="paragraph" w:customStyle="1" w:styleId="CTAright">
    <w:name w:val="CTA right"/>
    <w:basedOn w:val="OPCParaBase"/>
    <w:rsid w:val="000F422D"/>
    <w:pPr>
      <w:spacing w:before="60" w:line="240" w:lineRule="auto"/>
      <w:jc w:val="right"/>
    </w:pPr>
    <w:rPr>
      <w:sz w:val="20"/>
    </w:rPr>
  </w:style>
  <w:style w:type="paragraph" w:customStyle="1" w:styleId="subsection">
    <w:name w:val="subsection"/>
    <w:aliases w:val="ss"/>
    <w:basedOn w:val="OPCParaBase"/>
    <w:rsid w:val="000F422D"/>
    <w:pPr>
      <w:tabs>
        <w:tab w:val="right" w:pos="1021"/>
      </w:tabs>
      <w:spacing w:before="180" w:line="240" w:lineRule="auto"/>
      <w:ind w:left="1134" w:hanging="1134"/>
    </w:pPr>
  </w:style>
  <w:style w:type="paragraph" w:customStyle="1" w:styleId="Definition">
    <w:name w:val="Definition"/>
    <w:aliases w:val="dd"/>
    <w:basedOn w:val="OPCParaBase"/>
    <w:rsid w:val="000F422D"/>
    <w:pPr>
      <w:spacing w:before="180" w:line="240" w:lineRule="auto"/>
      <w:ind w:left="1134"/>
    </w:pPr>
  </w:style>
  <w:style w:type="paragraph" w:customStyle="1" w:styleId="ETAsubitem">
    <w:name w:val="ETA(subitem)"/>
    <w:basedOn w:val="OPCParaBase"/>
    <w:rsid w:val="000F422D"/>
    <w:pPr>
      <w:tabs>
        <w:tab w:val="right" w:pos="340"/>
      </w:tabs>
      <w:spacing w:before="60" w:line="240" w:lineRule="auto"/>
      <w:ind w:left="454" w:hanging="454"/>
    </w:pPr>
    <w:rPr>
      <w:sz w:val="20"/>
    </w:rPr>
  </w:style>
  <w:style w:type="paragraph" w:customStyle="1" w:styleId="ETApara">
    <w:name w:val="ETA(para)"/>
    <w:basedOn w:val="OPCParaBase"/>
    <w:rsid w:val="000F422D"/>
    <w:pPr>
      <w:tabs>
        <w:tab w:val="right" w:pos="754"/>
      </w:tabs>
      <w:spacing w:before="60" w:line="240" w:lineRule="auto"/>
      <w:ind w:left="828" w:hanging="828"/>
    </w:pPr>
    <w:rPr>
      <w:sz w:val="20"/>
    </w:rPr>
  </w:style>
  <w:style w:type="paragraph" w:customStyle="1" w:styleId="ETAsubpara">
    <w:name w:val="ETA(subpara)"/>
    <w:basedOn w:val="OPCParaBase"/>
    <w:rsid w:val="000F422D"/>
    <w:pPr>
      <w:tabs>
        <w:tab w:val="right" w:pos="1083"/>
      </w:tabs>
      <w:spacing w:before="60" w:line="240" w:lineRule="auto"/>
      <w:ind w:left="1191" w:hanging="1191"/>
    </w:pPr>
    <w:rPr>
      <w:sz w:val="20"/>
    </w:rPr>
  </w:style>
  <w:style w:type="paragraph" w:customStyle="1" w:styleId="ETAsub-subpara">
    <w:name w:val="ETA(sub-subpara)"/>
    <w:basedOn w:val="OPCParaBase"/>
    <w:rsid w:val="000F422D"/>
    <w:pPr>
      <w:tabs>
        <w:tab w:val="right" w:pos="1412"/>
      </w:tabs>
      <w:spacing w:before="60" w:line="240" w:lineRule="auto"/>
      <w:ind w:left="1525" w:hanging="1525"/>
    </w:pPr>
    <w:rPr>
      <w:sz w:val="20"/>
    </w:rPr>
  </w:style>
  <w:style w:type="paragraph" w:customStyle="1" w:styleId="Formula">
    <w:name w:val="Formula"/>
    <w:basedOn w:val="OPCParaBase"/>
    <w:rsid w:val="000F422D"/>
    <w:pPr>
      <w:spacing w:line="240" w:lineRule="auto"/>
      <w:ind w:left="1134"/>
    </w:pPr>
    <w:rPr>
      <w:sz w:val="20"/>
    </w:rPr>
  </w:style>
  <w:style w:type="paragraph" w:styleId="Header">
    <w:name w:val="header"/>
    <w:basedOn w:val="OPCParaBase"/>
    <w:link w:val="HeaderChar"/>
    <w:unhideWhenUsed/>
    <w:rsid w:val="000F422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422D"/>
    <w:rPr>
      <w:rFonts w:eastAsia="Times New Roman" w:cs="Times New Roman"/>
      <w:sz w:val="16"/>
      <w:lang w:eastAsia="en-AU"/>
    </w:rPr>
  </w:style>
  <w:style w:type="paragraph" w:customStyle="1" w:styleId="House">
    <w:name w:val="House"/>
    <w:basedOn w:val="OPCParaBase"/>
    <w:rsid w:val="000F422D"/>
    <w:pPr>
      <w:spacing w:line="240" w:lineRule="auto"/>
    </w:pPr>
    <w:rPr>
      <w:sz w:val="28"/>
    </w:rPr>
  </w:style>
  <w:style w:type="paragraph" w:customStyle="1" w:styleId="Item">
    <w:name w:val="Item"/>
    <w:aliases w:val="i"/>
    <w:basedOn w:val="OPCParaBase"/>
    <w:next w:val="ItemHead"/>
    <w:rsid w:val="000F422D"/>
    <w:pPr>
      <w:keepLines/>
      <w:spacing w:before="80" w:line="240" w:lineRule="auto"/>
      <w:ind w:left="709"/>
    </w:pPr>
  </w:style>
  <w:style w:type="paragraph" w:customStyle="1" w:styleId="ItemHead">
    <w:name w:val="ItemHead"/>
    <w:aliases w:val="ih"/>
    <w:basedOn w:val="OPCParaBase"/>
    <w:next w:val="Item"/>
    <w:rsid w:val="000F422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422D"/>
    <w:pPr>
      <w:spacing w:line="240" w:lineRule="auto"/>
    </w:pPr>
    <w:rPr>
      <w:b/>
      <w:sz w:val="32"/>
    </w:rPr>
  </w:style>
  <w:style w:type="paragraph" w:customStyle="1" w:styleId="notedraft">
    <w:name w:val="note(draft)"/>
    <w:aliases w:val="nd"/>
    <w:basedOn w:val="OPCParaBase"/>
    <w:rsid w:val="000F422D"/>
    <w:pPr>
      <w:spacing w:before="240" w:line="240" w:lineRule="auto"/>
      <w:ind w:left="284" w:hanging="284"/>
    </w:pPr>
    <w:rPr>
      <w:i/>
      <w:sz w:val="24"/>
    </w:rPr>
  </w:style>
  <w:style w:type="paragraph" w:customStyle="1" w:styleId="notemargin">
    <w:name w:val="note(margin)"/>
    <w:aliases w:val="nm"/>
    <w:basedOn w:val="OPCParaBase"/>
    <w:rsid w:val="000F422D"/>
    <w:pPr>
      <w:tabs>
        <w:tab w:val="left" w:pos="709"/>
      </w:tabs>
      <w:spacing w:before="122" w:line="198" w:lineRule="exact"/>
      <w:ind w:left="709" w:hanging="709"/>
    </w:pPr>
    <w:rPr>
      <w:sz w:val="18"/>
    </w:rPr>
  </w:style>
  <w:style w:type="paragraph" w:customStyle="1" w:styleId="noteToPara">
    <w:name w:val="noteToPara"/>
    <w:aliases w:val="ntp"/>
    <w:basedOn w:val="OPCParaBase"/>
    <w:rsid w:val="000F422D"/>
    <w:pPr>
      <w:spacing w:before="122" w:line="198" w:lineRule="exact"/>
      <w:ind w:left="2353" w:hanging="709"/>
    </w:pPr>
    <w:rPr>
      <w:sz w:val="18"/>
    </w:rPr>
  </w:style>
  <w:style w:type="paragraph" w:customStyle="1" w:styleId="noteParlAmend">
    <w:name w:val="note(ParlAmend)"/>
    <w:aliases w:val="npp"/>
    <w:basedOn w:val="OPCParaBase"/>
    <w:next w:val="ParlAmend"/>
    <w:rsid w:val="000F422D"/>
    <w:pPr>
      <w:spacing w:line="240" w:lineRule="auto"/>
      <w:jc w:val="right"/>
    </w:pPr>
    <w:rPr>
      <w:rFonts w:ascii="Arial" w:hAnsi="Arial"/>
      <w:b/>
      <w:i/>
    </w:rPr>
  </w:style>
  <w:style w:type="paragraph" w:customStyle="1" w:styleId="Page1">
    <w:name w:val="Page1"/>
    <w:basedOn w:val="OPCParaBase"/>
    <w:rsid w:val="000F422D"/>
    <w:pPr>
      <w:spacing w:before="5600" w:line="240" w:lineRule="auto"/>
    </w:pPr>
    <w:rPr>
      <w:b/>
      <w:sz w:val="32"/>
    </w:rPr>
  </w:style>
  <w:style w:type="paragraph" w:customStyle="1" w:styleId="PageBreak">
    <w:name w:val="PageBreak"/>
    <w:aliases w:val="pb"/>
    <w:basedOn w:val="OPCParaBase"/>
    <w:rsid w:val="000F422D"/>
    <w:pPr>
      <w:spacing w:line="240" w:lineRule="auto"/>
    </w:pPr>
    <w:rPr>
      <w:sz w:val="20"/>
    </w:rPr>
  </w:style>
  <w:style w:type="paragraph" w:customStyle="1" w:styleId="paragraphsub">
    <w:name w:val="paragraph(sub)"/>
    <w:aliases w:val="aa"/>
    <w:basedOn w:val="OPCParaBase"/>
    <w:rsid w:val="000F422D"/>
    <w:pPr>
      <w:tabs>
        <w:tab w:val="right" w:pos="1985"/>
      </w:tabs>
      <w:spacing w:before="40" w:line="240" w:lineRule="auto"/>
      <w:ind w:left="2098" w:hanging="2098"/>
    </w:pPr>
  </w:style>
  <w:style w:type="paragraph" w:customStyle="1" w:styleId="paragraphsub-sub">
    <w:name w:val="paragraph(sub-sub)"/>
    <w:aliases w:val="aaa"/>
    <w:basedOn w:val="OPCParaBase"/>
    <w:rsid w:val="000F422D"/>
    <w:pPr>
      <w:tabs>
        <w:tab w:val="right" w:pos="2722"/>
      </w:tabs>
      <w:spacing w:before="40" w:line="240" w:lineRule="auto"/>
      <w:ind w:left="2835" w:hanging="2835"/>
    </w:pPr>
  </w:style>
  <w:style w:type="paragraph" w:customStyle="1" w:styleId="paragraph">
    <w:name w:val="paragraph"/>
    <w:aliases w:val="a"/>
    <w:basedOn w:val="OPCParaBase"/>
    <w:rsid w:val="000F422D"/>
    <w:pPr>
      <w:tabs>
        <w:tab w:val="right" w:pos="1531"/>
      </w:tabs>
      <w:spacing w:before="40" w:line="240" w:lineRule="auto"/>
      <w:ind w:left="1644" w:hanging="1644"/>
    </w:pPr>
  </w:style>
  <w:style w:type="paragraph" w:customStyle="1" w:styleId="ParlAmend">
    <w:name w:val="ParlAmend"/>
    <w:aliases w:val="pp"/>
    <w:basedOn w:val="OPCParaBase"/>
    <w:rsid w:val="000F422D"/>
    <w:pPr>
      <w:spacing w:before="240" w:line="240" w:lineRule="atLeast"/>
      <w:ind w:hanging="567"/>
    </w:pPr>
    <w:rPr>
      <w:sz w:val="24"/>
    </w:rPr>
  </w:style>
  <w:style w:type="paragraph" w:customStyle="1" w:styleId="Penalty">
    <w:name w:val="Penalty"/>
    <w:basedOn w:val="OPCParaBase"/>
    <w:rsid w:val="000F422D"/>
    <w:pPr>
      <w:tabs>
        <w:tab w:val="left" w:pos="2977"/>
      </w:tabs>
      <w:spacing w:before="180" w:line="240" w:lineRule="auto"/>
      <w:ind w:left="1985" w:hanging="851"/>
    </w:pPr>
  </w:style>
  <w:style w:type="paragraph" w:customStyle="1" w:styleId="Portfolio">
    <w:name w:val="Portfolio"/>
    <w:basedOn w:val="OPCParaBase"/>
    <w:rsid w:val="000F422D"/>
    <w:pPr>
      <w:spacing w:line="240" w:lineRule="auto"/>
    </w:pPr>
    <w:rPr>
      <w:i/>
      <w:sz w:val="20"/>
    </w:rPr>
  </w:style>
  <w:style w:type="paragraph" w:customStyle="1" w:styleId="Preamble">
    <w:name w:val="Preamble"/>
    <w:basedOn w:val="OPCParaBase"/>
    <w:next w:val="Normal"/>
    <w:rsid w:val="000F42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422D"/>
    <w:pPr>
      <w:spacing w:line="240" w:lineRule="auto"/>
    </w:pPr>
    <w:rPr>
      <w:i/>
      <w:sz w:val="20"/>
    </w:rPr>
  </w:style>
  <w:style w:type="paragraph" w:customStyle="1" w:styleId="Session">
    <w:name w:val="Session"/>
    <w:basedOn w:val="OPCParaBase"/>
    <w:rsid w:val="000F422D"/>
    <w:pPr>
      <w:spacing w:line="240" w:lineRule="auto"/>
    </w:pPr>
    <w:rPr>
      <w:sz w:val="28"/>
    </w:rPr>
  </w:style>
  <w:style w:type="paragraph" w:customStyle="1" w:styleId="Sponsor">
    <w:name w:val="Sponsor"/>
    <w:basedOn w:val="OPCParaBase"/>
    <w:rsid w:val="000F422D"/>
    <w:pPr>
      <w:spacing w:line="240" w:lineRule="auto"/>
    </w:pPr>
    <w:rPr>
      <w:i/>
    </w:rPr>
  </w:style>
  <w:style w:type="paragraph" w:customStyle="1" w:styleId="Subitem">
    <w:name w:val="Subitem"/>
    <w:aliases w:val="iss"/>
    <w:basedOn w:val="OPCParaBase"/>
    <w:rsid w:val="000F422D"/>
    <w:pPr>
      <w:spacing w:before="180" w:line="240" w:lineRule="auto"/>
      <w:ind w:left="709" w:hanging="709"/>
    </w:pPr>
  </w:style>
  <w:style w:type="paragraph" w:customStyle="1" w:styleId="SubitemHead">
    <w:name w:val="SubitemHead"/>
    <w:aliases w:val="issh"/>
    <w:basedOn w:val="OPCParaBase"/>
    <w:rsid w:val="000F42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422D"/>
    <w:pPr>
      <w:spacing w:before="40" w:line="240" w:lineRule="auto"/>
      <w:ind w:left="1134"/>
    </w:pPr>
  </w:style>
  <w:style w:type="paragraph" w:customStyle="1" w:styleId="SubsectionHead">
    <w:name w:val="SubsectionHead"/>
    <w:aliases w:val="ssh"/>
    <w:basedOn w:val="OPCParaBase"/>
    <w:next w:val="subsection"/>
    <w:rsid w:val="000F422D"/>
    <w:pPr>
      <w:keepNext/>
      <w:keepLines/>
      <w:spacing w:before="240" w:line="240" w:lineRule="auto"/>
      <w:ind w:left="1134"/>
    </w:pPr>
    <w:rPr>
      <w:i/>
    </w:rPr>
  </w:style>
  <w:style w:type="paragraph" w:customStyle="1" w:styleId="Tablea">
    <w:name w:val="Table(a)"/>
    <w:aliases w:val="ta"/>
    <w:basedOn w:val="OPCParaBase"/>
    <w:rsid w:val="000F422D"/>
    <w:pPr>
      <w:spacing w:before="60" w:line="240" w:lineRule="auto"/>
      <w:ind w:left="284" w:hanging="284"/>
    </w:pPr>
    <w:rPr>
      <w:sz w:val="20"/>
    </w:rPr>
  </w:style>
  <w:style w:type="paragraph" w:customStyle="1" w:styleId="TableAA">
    <w:name w:val="Table(AA)"/>
    <w:aliases w:val="taaa"/>
    <w:basedOn w:val="OPCParaBase"/>
    <w:rsid w:val="000F422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422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422D"/>
    <w:pPr>
      <w:spacing w:before="60" w:line="240" w:lineRule="atLeast"/>
    </w:pPr>
    <w:rPr>
      <w:sz w:val="20"/>
    </w:rPr>
  </w:style>
  <w:style w:type="paragraph" w:customStyle="1" w:styleId="TLPBoxTextnote">
    <w:name w:val="TLPBoxText(note"/>
    <w:aliases w:val="right)"/>
    <w:basedOn w:val="OPCParaBase"/>
    <w:rsid w:val="000F42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422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422D"/>
    <w:pPr>
      <w:spacing w:before="122" w:line="198" w:lineRule="exact"/>
      <w:ind w:left="1985" w:hanging="851"/>
      <w:jc w:val="right"/>
    </w:pPr>
    <w:rPr>
      <w:sz w:val="18"/>
    </w:rPr>
  </w:style>
  <w:style w:type="paragraph" w:customStyle="1" w:styleId="TLPTableBullet">
    <w:name w:val="TLPTableBullet"/>
    <w:aliases w:val="ttb"/>
    <w:basedOn w:val="OPCParaBase"/>
    <w:rsid w:val="000F422D"/>
    <w:pPr>
      <w:spacing w:line="240" w:lineRule="exact"/>
      <w:ind w:left="284" w:hanging="284"/>
    </w:pPr>
    <w:rPr>
      <w:sz w:val="20"/>
    </w:rPr>
  </w:style>
  <w:style w:type="paragraph" w:styleId="TOC1">
    <w:name w:val="toc 1"/>
    <w:basedOn w:val="OPCParaBase"/>
    <w:next w:val="Normal"/>
    <w:uiPriority w:val="39"/>
    <w:semiHidden/>
    <w:unhideWhenUsed/>
    <w:rsid w:val="000F422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F422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F422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F422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F422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F42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42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42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42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422D"/>
    <w:pPr>
      <w:keepLines/>
      <w:spacing w:before="240" w:after="120" w:line="240" w:lineRule="auto"/>
      <w:ind w:left="794"/>
    </w:pPr>
    <w:rPr>
      <w:b/>
      <w:kern w:val="28"/>
      <w:sz w:val="20"/>
    </w:rPr>
  </w:style>
  <w:style w:type="paragraph" w:customStyle="1" w:styleId="TofSectsHeading">
    <w:name w:val="TofSects(Heading)"/>
    <w:basedOn w:val="OPCParaBase"/>
    <w:rsid w:val="000F422D"/>
    <w:pPr>
      <w:spacing w:before="240" w:after="120" w:line="240" w:lineRule="auto"/>
    </w:pPr>
    <w:rPr>
      <w:b/>
      <w:sz w:val="24"/>
    </w:rPr>
  </w:style>
  <w:style w:type="paragraph" w:customStyle="1" w:styleId="TofSectsSection">
    <w:name w:val="TofSects(Section)"/>
    <w:basedOn w:val="OPCParaBase"/>
    <w:rsid w:val="000F422D"/>
    <w:pPr>
      <w:keepLines/>
      <w:spacing w:before="40" w:line="240" w:lineRule="auto"/>
      <w:ind w:left="1588" w:hanging="794"/>
    </w:pPr>
    <w:rPr>
      <w:kern w:val="28"/>
      <w:sz w:val="18"/>
    </w:rPr>
  </w:style>
  <w:style w:type="paragraph" w:customStyle="1" w:styleId="TofSectsSubdiv">
    <w:name w:val="TofSects(Subdiv)"/>
    <w:basedOn w:val="OPCParaBase"/>
    <w:rsid w:val="000F422D"/>
    <w:pPr>
      <w:keepLines/>
      <w:spacing w:before="80" w:line="240" w:lineRule="auto"/>
      <w:ind w:left="1588" w:hanging="794"/>
    </w:pPr>
    <w:rPr>
      <w:kern w:val="28"/>
    </w:rPr>
  </w:style>
  <w:style w:type="paragraph" w:customStyle="1" w:styleId="WRStyle">
    <w:name w:val="WR Style"/>
    <w:aliases w:val="WR"/>
    <w:basedOn w:val="OPCParaBase"/>
    <w:rsid w:val="000F422D"/>
    <w:pPr>
      <w:spacing w:before="240" w:line="240" w:lineRule="auto"/>
      <w:ind w:left="284" w:hanging="284"/>
    </w:pPr>
    <w:rPr>
      <w:b/>
      <w:i/>
      <w:kern w:val="28"/>
      <w:sz w:val="24"/>
    </w:rPr>
  </w:style>
  <w:style w:type="paragraph" w:customStyle="1" w:styleId="notepara">
    <w:name w:val="note(para)"/>
    <w:aliases w:val="na"/>
    <w:basedOn w:val="OPCParaBase"/>
    <w:rsid w:val="000F422D"/>
    <w:pPr>
      <w:spacing w:before="40" w:line="198" w:lineRule="exact"/>
      <w:ind w:left="2354" w:hanging="369"/>
    </w:pPr>
    <w:rPr>
      <w:sz w:val="18"/>
    </w:rPr>
  </w:style>
  <w:style w:type="paragraph" w:styleId="Footer">
    <w:name w:val="footer"/>
    <w:link w:val="FooterChar"/>
    <w:rsid w:val="000F422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422D"/>
    <w:rPr>
      <w:rFonts w:eastAsia="Times New Roman" w:cs="Times New Roman"/>
      <w:sz w:val="22"/>
      <w:szCs w:val="24"/>
      <w:lang w:eastAsia="en-AU"/>
    </w:rPr>
  </w:style>
  <w:style w:type="character" w:styleId="LineNumber">
    <w:name w:val="line number"/>
    <w:basedOn w:val="OPCCharBase"/>
    <w:uiPriority w:val="99"/>
    <w:semiHidden/>
    <w:unhideWhenUsed/>
    <w:rsid w:val="000F422D"/>
    <w:rPr>
      <w:sz w:val="16"/>
    </w:rPr>
  </w:style>
  <w:style w:type="table" w:customStyle="1" w:styleId="CFlag">
    <w:name w:val="CFlag"/>
    <w:basedOn w:val="TableNormal"/>
    <w:uiPriority w:val="99"/>
    <w:rsid w:val="000F422D"/>
    <w:rPr>
      <w:rFonts w:eastAsia="Times New Roman" w:cs="Times New Roman"/>
      <w:lang w:eastAsia="en-AU"/>
    </w:rPr>
    <w:tblPr/>
  </w:style>
  <w:style w:type="paragraph" w:customStyle="1" w:styleId="NotesHeading1">
    <w:name w:val="NotesHeading 1"/>
    <w:basedOn w:val="OPCParaBase"/>
    <w:next w:val="Normal"/>
    <w:rsid w:val="000F422D"/>
    <w:rPr>
      <w:b/>
      <w:sz w:val="28"/>
      <w:szCs w:val="28"/>
    </w:rPr>
  </w:style>
  <w:style w:type="paragraph" w:customStyle="1" w:styleId="NotesHeading2">
    <w:name w:val="NotesHeading 2"/>
    <w:basedOn w:val="OPCParaBase"/>
    <w:next w:val="Normal"/>
    <w:rsid w:val="000F422D"/>
    <w:rPr>
      <w:b/>
      <w:sz w:val="28"/>
      <w:szCs w:val="28"/>
    </w:rPr>
  </w:style>
  <w:style w:type="paragraph" w:customStyle="1" w:styleId="SignCoverPageEnd">
    <w:name w:val="SignCoverPageEnd"/>
    <w:basedOn w:val="OPCParaBase"/>
    <w:next w:val="Normal"/>
    <w:rsid w:val="000F42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422D"/>
    <w:pPr>
      <w:pBdr>
        <w:top w:val="single" w:sz="4" w:space="1" w:color="auto"/>
      </w:pBdr>
      <w:spacing w:before="360"/>
      <w:ind w:right="397"/>
      <w:jc w:val="both"/>
    </w:pPr>
  </w:style>
  <w:style w:type="paragraph" w:customStyle="1" w:styleId="Paragraphsub-sub-sub">
    <w:name w:val="Paragraph(sub-sub-sub)"/>
    <w:aliases w:val="aaaa"/>
    <w:basedOn w:val="OPCParaBase"/>
    <w:rsid w:val="000F42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42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42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42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422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F422D"/>
    <w:pPr>
      <w:spacing w:before="120"/>
    </w:pPr>
  </w:style>
  <w:style w:type="paragraph" w:customStyle="1" w:styleId="TableTextEndNotes">
    <w:name w:val="TableTextEndNotes"/>
    <w:aliases w:val="Tten"/>
    <w:basedOn w:val="Normal"/>
    <w:rsid w:val="000F422D"/>
    <w:pPr>
      <w:spacing w:before="60" w:line="240" w:lineRule="auto"/>
    </w:pPr>
    <w:rPr>
      <w:rFonts w:cs="Arial"/>
      <w:sz w:val="20"/>
      <w:szCs w:val="22"/>
    </w:rPr>
  </w:style>
  <w:style w:type="paragraph" w:customStyle="1" w:styleId="TableHeading">
    <w:name w:val="TableHeading"/>
    <w:aliases w:val="th"/>
    <w:basedOn w:val="OPCParaBase"/>
    <w:next w:val="Tabletext"/>
    <w:rsid w:val="000F422D"/>
    <w:pPr>
      <w:keepNext/>
      <w:spacing w:before="60" w:line="240" w:lineRule="atLeast"/>
    </w:pPr>
    <w:rPr>
      <w:b/>
      <w:sz w:val="20"/>
    </w:rPr>
  </w:style>
  <w:style w:type="paragraph" w:customStyle="1" w:styleId="NoteToSubpara">
    <w:name w:val="NoteToSubpara"/>
    <w:aliases w:val="nts"/>
    <w:basedOn w:val="OPCParaBase"/>
    <w:rsid w:val="000F422D"/>
    <w:pPr>
      <w:spacing w:before="40" w:line="198" w:lineRule="exact"/>
      <w:ind w:left="2835" w:hanging="709"/>
    </w:pPr>
    <w:rPr>
      <w:sz w:val="18"/>
    </w:rPr>
  </w:style>
  <w:style w:type="paragraph" w:customStyle="1" w:styleId="ENoteTableHeading">
    <w:name w:val="ENoteTableHeading"/>
    <w:aliases w:val="enth"/>
    <w:basedOn w:val="OPCParaBase"/>
    <w:rsid w:val="000F422D"/>
    <w:pPr>
      <w:keepNext/>
      <w:spacing w:before="60" w:line="240" w:lineRule="atLeast"/>
    </w:pPr>
    <w:rPr>
      <w:rFonts w:ascii="Arial" w:hAnsi="Arial"/>
      <w:b/>
      <w:sz w:val="16"/>
    </w:rPr>
  </w:style>
  <w:style w:type="paragraph" w:customStyle="1" w:styleId="ENoteTTi">
    <w:name w:val="ENoteTTi"/>
    <w:aliases w:val="entti"/>
    <w:basedOn w:val="OPCParaBase"/>
    <w:rsid w:val="000F422D"/>
    <w:pPr>
      <w:keepNext/>
      <w:spacing w:before="60" w:line="240" w:lineRule="atLeast"/>
      <w:ind w:left="170"/>
    </w:pPr>
    <w:rPr>
      <w:sz w:val="16"/>
    </w:rPr>
  </w:style>
  <w:style w:type="paragraph" w:customStyle="1" w:styleId="ENotesHeading1">
    <w:name w:val="ENotesHeading 1"/>
    <w:aliases w:val="Enh1"/>
    <w:basedOn w:val="OPCParaBase"/>
    <w:next w:val="Normal"/>
    <w:rsid w:val="000F422D"/>
    <w:pPr>
      <w:spacing w:before="120"/>
      <w:outlineLvl w:val="1"/>
    </w:pPr>
    <w:rPr>
      <w:b/>
      <w:sz w:val="28"/>
      <w:szCs w:val="28"/>
    </w:rPr>
  </w:style>
  <w:style w:type="paragraph" w:customStyle="1" w:styleId="ENotesHeading2">
    <w:name w:val="ENotesHeading 2"/>
    <w:aliases w:val="Enh2"/>
    <w:basedOn w:val="OPCParaBase"/>
    <w:next w:val="Normal"/>
    <w:rsid w:val="000F422D"/>
    <w:pPr>
      <w:spacing w:before="120" w:after="120"/>
      <w:outlineLvl w:val="2"/>
    </w:pPr>
    <w:rPr>
      <w:b/>
      <w:sz w:val="24"/>
      <w:szCs w:val="28"/>
    </w:rPr>
  </w:style>
  <w:style w:type="paragraph" w:customStyle="1" w:styleId="ENoteTTIndentHeading">
    <w:name w:val="ENoteTTIndentHeading"/>
    <w:aliases w:val="enTTHi"/>
    <w:basedOn w:val="OPCParaBase"/>
    <w:rsid w:val="000F42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422D"/>
    <w:pPr>
      <w:spacing w:before="60" w:line="240" w:lineRule="atLeast"/>
    </w:pPr>
    <w:rPr>
      <w:sz w:val="16"/>
    </w:rPr>
  </w:style>
  <w:style w:type="paragraph" w:customStyle="1" w:styleId="MadeunderText">
    <w:name w:val="MadeunderText"/>
    <w:basedOn w:val="OPCParaBase"/>
    <w:next w:val="Normal"/>
    <w:rsid w:val="000F422D"/>
    <w:pPr>
      <w:spacing w:before="240"/>
    </w:pPr>
    <w:rPr>
      <w:sz w:val="24"/>
      <w:szCs w:val="24"/>
    </w:rPr>
  </w:style>
  <w:style w:type="paragraph" w:customStyle="1" w:styleId="ENotesHeading3">
    <w:name w:val="ENotesHeading 3"/>
    <w:aliases w:val="Enh3"/>
    <w:basedOn w:val="OPCParaBase"/>
    <w:next w:val="Normal"/>
    <w:rsid w:val="000F422D"/>
    <w:pPr>
      <w:keepNext/>
      <w:spacing w:before="120" w:line="240" w:lineRule="auto"/>
      <w:outlineLvl w:val="4"/>
    </w:pPr>
    <w:rPr>
      <w:b/>
      <w:szCs w:val="24"/>
    </w:rPr>
  </w:style>
  <w:style w:type="paragraph" w:customStyle="1" w:styleId="SubPartCASA">
    <w:name w:val="SubPart(CASA)"/>
    <w:aliases w:val="csp"/>
    <w:basedOn w:val="OPCParaBase"/>
    <w:next w:val="ActHead3"/>
    <w:rsid w:val="000F422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F422D"/>
  </w:style>
  <w:style w:type="character" w:customStyle="1" w:styleId="CharSubPartNoCASA">
    <w:name w:val="CharSubPartNo(CASA)"/>
    <w:basedOn w:val="OPCCharBase"/>
    <w:uiPriority w:val="1"/>
    <w:rsid w:val="000F422D"/>
  </w:style>
  <w:style w:type="paragraph" w:customStyle="1" w:styleId="ENoteTTIndentHeadingSub">
    <w:name w:val="ENoteTTIndentHeadingSub"/>
    <w:aliases w:val="enTTHis"/>
    <w:basedOn w:val="OPCParaBase"/>
    <w:rsid w:val="000F422D"/>
    <w:pPr>
      <w:keepNext/>
      <w:spacing w:before="60" w:line="240" w:lineRule="atLeast"/>
      <w:ind w:left="340"/>
    </w:pPr>
    <w:rPr>
      <w:b/>
      <w:sz w:val="16"/>
    </w:rPr>
  </w:style>
  <w:style w:type="paragraph" w:customStyle="1" w:styleId="ENoteTTiSub">
    <w:name w:val="ENoteTTiSub"/>
    <w:aliases w:val="enttis"/>
    <w:basedOn w:val="OPCParaBase"/>
    <w:rsid w:val="000F422D"/>
    <w:pPr>
      <w:keepNext/>
      <w:spacing w:before="60" w:line="240" w:lineRule="atLeast"/>
      <w:ind w:left="340"/>
    </w:pPr>
    <w:rPr>
      <w:sz w:val="16"/>
    </w:rPr>
  </w:style>
  <w:style w:type="paragraph" w:customStyle="1" w:styleId="SubDivisionMigration">
    <w:name w:val="SubDivisionMigration"/>
    <w:aliases w:val="sdm"/>
    <w:basedOn w:val="OPCParaBase"/>
    <w:rsid w:val="000F42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422D"/>
    <w:pPr>
      <w:keepNext/>
      <w:keepLines/>
      <w:spacing w:before="240" w:line="240" w:lineRule="auto"/>
      <w:ind w:left="1134" w:hanging="1134"/>
    </w:pPr>
    <w:rPr>
      <w:b/>
      <w:sz w:val="28"/>
    </w:rPr>
  </w:style>
  <w:style w:type="table" w:styleId="TableGrid">
    <w:name w:val="Table Grid"/>
    <w:basedOn w:val="TableNormal"/>
    <w:uiPriority w:val="59"/>
    <w:rsid w:val="000F4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F422D"/>
    <w:pPr>
      <w:spacing w:before="122" w:line="240" w:lineRule="auto"/>
      <w:ind w:left="1985" w:hanging="851"/>
    </w:pPr>
    <w:rPr>
      <w:sz w:val="18"/>
    </w:rPr>
  </w:style>
  <w:style w:type="paragraph" w:customStyle="1" w:styleId="FreeForm">
    <w:name w:val="FreeForm"/>
    <w:rsid w:val="000F422D"/>
    <w:rPr>
      <w:rFonts w:ascii="Arial" w:hAnsi="Arial"/>
      <w:sz w:val="22"/>
    </w:rPr>
  </w:style>
  <w:style w:type="paragraph" w:customStyle="1" w:styleId="SOText">
    <w:name w:val="SO Text"/>
    <w:aliases w:val="sot"/>
    <w:link w:val="SOTextChar"/>
    <w:rsid w:val="000F422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422D"/>
    <w:rPr>
      <w:sz w:val="22"/>
    </w:rPr>
  </w:style>
  <w:style w:type="paragraph" w:customStyle="1" w:styleId="SOTextNote">
    <w:name w:val="SO TextNote"/>
    <w:aliases w:val="sont"/>
    <w:basedOn w:val="SOText"/>
    <w:qFormat/>
    <w:rsid w:val="000F422D"/>
    <w:pPr>
      <w:spacing w:before="122" w:line="198" w:lineRule="exact"/>
      <w:ind w:left="1843" w:hanging="709"/>
    </w:pPr>
    <w:rPr>
      <w:sz w:val="18"/>
    </w:rPr>
  </w:style>
  <w:style w:type="paragraph" w:customStyle="1" w:styleId="SOPara">
    <w:name w:val="SO Para"/>
    <w:aliases w:val="soa"/>
    <w:basedOn w:val="SOText"/>
    <w:link w:val="SOParaChar"/>
    <w:qFormat/>
    <w:rsid w:val="000F422D"/>
    <w:pPr>
      <w:tabs>
        <w:tab w:val="right" w:pos="1786"/>
      </w:tabs>
      <w:spacing w:before="40"/>
      <w:ind w:left="2070" w:hanging="936"/>
    </w:pPr>
  </w:style>
  <w:style w:type="character" w:customStyle="1" w:styleId="SOParaChar">
    <w:name w:val="SO Para Char"/>
    <w:aliases w:val="soa Char"/>
    <w:basedOn w:val="DefaultParagraphFont"/>
    <w:link w:val="SOPara"/>
    <w:rsid w:val="000F422D"/>
    <w:rPr>
      <w:sz w:val="22"/>
    </w:rPr>
  </w:style>
  <w:style w:type="paragraph" w:customStyle="1" w:styleId="FileName">
    <w:name w:val="FileName"/>
    <w:basedOn w:val="Normal"/>
    <w:rsid w:val="000F422D"/>
  </w:style>
  <w:style w:type="paragraph" w:customStyle="1" w:styleId="SOHeadBold">
    <w:name w:val="SO HeadBold"/>
    <w:aliases w:val="sohb"/>
    <w:basedOn w:val="SOText"/>
    <w:next w:val="SOText"/>
    <w:link w:val="SOHeadBoldChar"/>
    <w:qFormat/>
    <w:rsid w:val="000F422D"/>
    <w:rPr>
      <w:b/>
    </w:rPr>
  </w:style>
  <w:style w:type="character" w:customStyle="1" w:styleId="SOHeadBoldChar">
    <w:name w:val="SO HeadBold Char"/>
    <w:aliases w:val="sohb Char"/>
    <w:basedOn w:val="DefaultParagraphFont"/>
    <w:link w:val="SOHeadBold"/>
    <w:rsid w:val="000F422D"/>
    <w:rPr>
      <w:b/>
      <w:sz w:val="22"/>
    </w:rPr>
  </w:style>
  <w:style w:type="paragraph" w:customStyle="1" w:styleId="SOHeadItalic">
    <w:name w:val="SO HeadItalic"/>
    <w:aliases w:val="sohi"/>
    <w:basedOn w:val="SOText"/>
    <w:next w:val="SOText"/>
    <w:link w:val="SOHeadItalicChar"/>
    <w:qFormat/>
    <w:rsid w:val="000F422D"/>
    <w:rPr>
      <w:i/>
    </w:rPr>
  </w:style>
  <w:style w:type="character" w:customStyle="1" w:styleId="SOHeadItalicChar">
    <w:name w:val="SO HeadItalic Char"/>
    <w:aliases w:val="sohi Char"/>
    <w:basedOn w:val="DefaultParagraphFont"/>
    <w:link w:val="SOHeadItalic"/>
    <w:rsid w:val="000F422D"/>
    <w:rPr>
      <w:i/>
      <w:sz w:val="22"/>
    </w:rPr>
  </w:style>
  <w:style w:type="paragraph" w:customStyle="1" w:styleId="SOBullet">
    <w:name w:val="SO Bullet"/>
    <w:aliases w:val="sotb"/>
    <w:basedOn w:val="SOText"/>
    <w:link w:val="SOBulletChar"/>
    <w:qFormat/>
    <w:rsid w:val="000F422D"/>
    <w:pPr>
      <w:ind w:left="1559" w:hanging="425"/>
    </w:pPr>
  </w:style>
  <w:style w:type="character" w:customStyle="1" w:styleId="SOBulletChar">
    <w:name w:val="SO Bullet Char"/>
    <w:aliases w:val="sotb Char"/>
    <w:basedOn w:val="DefaultParagraphFont"/>
    <w:link w:val="SOBullet"/>
    <w:rsid w:val="000F422D"/>
    <w:rPr>
      <w:sz w:val="22"/>
    </w:rPr>
  </w:style>
  <w:style w:type="paragraph" w:customStyle="1" w:styleId="SOBulletNote">
    <w:name w:val="SO BulletNote"/>
    <w:aliases w:val="sonb"/>
    <w:basedOn w:val="SOTextNote"/>
    <w:link w:val="SOBulletNoteChar"/>
    <w:qFormat/>
    <w:rsid w:val="000F422D"/>
    <w:pPr>
      <w:tabs>
        <w:tab w:val="left" w:pos="1560"/>
      </w:tabs>
      <w:ind w:left="2268" w:hanging="1134"/>
    </w:pPr>
  </w:style>
  <w:style w:type="character" w:customStyle="1" w:styleId="SOBulletNoteChar">
    <w:name w:val="SO BulletNote Char"/>
    <w:aliases w:val="sonb Char"/>
    <w:basedOn w:val="DefaultParagraphFont"/>
    <w:link w:val="SOBulletNote"/>
    <w:rsid w:val="000F422D"/>
    <w:rPr>
      <w:sz w:val="18"/>
    </w:rPr>
  </w:style>
  <w:style w:type="paragraph" w:customStyle="1" w:styleId="SOText2">
    <w:name w:val="SO Text2"/>
    <w:aliases w:val="sot2"/>
    <w:basedOn w:val="Normal"/>
    <w:next w:val="SOText"/>
    <w:link w:val="SOText2Char"/>
    <w:rsid w:val="000F422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F422D"/>
    <w:rPr>
      <w:sz w:val="22"/>
    </w:rPr>
  </w:style>
  <w:style w:type="paragraph" w:customStyle="1" w:styleId="Transitional">
    <w:name w:val="Transitional"/>
    <w:aliases w:val="tr"/>
    <w:basedOn w:val="ItemHead"/>
    <w:next w:val="Item"/>
    <w:rsid w:val="000F422D"/>
  </w:style>
  <w:style w:type="character" w:customStyle="1" w:styleId="Heading1Char">
    <w:name w:val="Heading 1 Char"/>
    <w:basedOn w:val="DefaultParagraphFont"/>
    <w:link w:val="Heading1"/>
    <w:uiPriority w:val="9"/>
    <w:rsid w:val="004E60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E60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0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E60A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E60A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E60A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E60A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E60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60A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5A59CA"/>
    <w:pPr>
      <w:spacing w:before="800"/>
    </w:pPr>
  </w:style>
  <w:style w:type="character" w:customStyle="1" w:styleId="ShortTP1Char">
    <w:name w:val="ShortTP1 Char"/>
    <w:basedOn w:val="DefaultParagraphFont"/>
    <w:link w:val="ShortTP1"/>
    <w:rsid w:val="005A59CA"/>
    <w:rPr>
      <w:rFonts w:eastAsia="Times New Roman" w:cs="Times New Roman"/>
      <w:b/>
      <w:sz w:val="40"/>
      <w:lang w:eastAsia="en-AU"/>
    </w:rPr>
  </w:style>
  <w:style w:type="paragraph" w:customStyle="1" w:styleId="ActNoP1">
    <w:name w:val="ActNoP1"/>
    <w:basedOn w:val="Actno"/>
    <w:link w:val="ActNoP1Char"/>
    <w:rsid w:val="005A59CA"/>
    <w:pPr>
      <w:spacing w:before="800"/>
    </w:pPr>
    <w:rPr>
      <w:sz w:val="28"/>
    </w:rPr>
  </w:style>
  <w:style w:type="character" w:customStyle="1" w:styleId="ActNoP1Char">
    <w:name w:val="ActNoP1 Char"/>
    <w:basedOn w:val="DefaultParagraphFont"/>
    <w:link w:val="ActNoP1"/>
    <w:rsid w:val="005A59CA"/>
    <w:rPr>
      <w:rFonts w:eastAsia="Times New Roman" w:cs="Times New Roman"/>
      <w:b/>
      <w:sz w:val="28"/>
      <w:lang w:eastAsia="en-AU"/>
    </w:rPr>
  </w:style>
  <w:style w:type="paragraph" w:customStyle="1" w:styleId="AssentBk">
    <w:name w:val="AssentBk"/>
    <w:basedOn w:val="Normal"/>
    <w:rsid w:val="005A59CA"/>
    <w:pPr>
      <w:spacing w:line="240" w:lineRule="auto"/>
    </w:pPr>
    <w:rPr>
      <w:rFonts w:eastAsia="Times New Roman" w:cs="Times New Roman"/>
      <w:sz w:val="20"/>
      <w:lang w:eastAsia="en-AU"/>
    </w:rPr>
  </w:style>
  <w:style w:type="paragraph" w:customStyle="1" w:styleId="AssentDt">
    <w:name w:val="AssentDt"/>
    <w:basedOn w:val="Normal"/>
    <w:rsid w:val="00341F08"/>
    <w:pPr>
      <w:spacing w:line="240" w:lineRule="auto"/>
    </w:pPr>
    <w:rPr>
      <w:rFonts w:eastAsia="Times New Roman" w:cs="Times New Roman"/>
      <w:sz w:val="20"/>
      <w:lang w:eastAsia="en-AU"/>
    </w:rPr>
  </w:style>
  <w:style w:type="paragraph" w:customStyle="1" w:styleId="2ndRd">
    <w:name w:val="2ndRd"/>
    <w:basedOn w:val="Normal"/>
    <w:rsid w:val="00341F08"/>
    <w:pPr>
      <w:spacing w:line="240" w:lineRule="auto"/>
    </w:pPr>
    <w:rPr>
      <w:rFonts w:eastAsia="Times New Roman" w:cs="Times New Roman"/>
      <w:sz w:val="20"/>
      <w:lang w:eastAsia="en-AU"/>
    </w:rPr>
  </w:style>
  <w:style w:type="paragraph" w:customStyle="1" w:styleId="ScalePlusRef">
    <w:name w:val="ScalePlusRef"/>
    <w:basedOn w:val="Normal"/>
    <w:rsid w:val="00341F0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2819">
      <w:bodyDiv w:val="1"/>
      <w:marLeft w:val="0"/>
      <w:marRight w:val="0"/>
      <w:marTop w:val="0"/>
      <w:marBottom w:val="0"/>
      <w:divBdr>
        <w:top w:val="none" w:sz="0" w:space="0" w:color="auto"/>
        <w:left w:val="none" w:sz="0" w:space="0" w:color="auto"/>
        <w:bottom w:val="none" w:sz="0" w:space="0" w:color="auto"/>
        <w:right w:val="none" w:sz="0" w:space="0" w:color="auto"/>
      </w:divBdr>
    </w:div>
    <w:div w:id="66809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2278</Words>
  <Characters>12934</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2023-01-27T06:21:00Z</cp:lastPrinted>
  <dcterms:created xsi:type="dcterms:W3CDTF">2023-04-11T23:35:00Z</dcterms:created>
  <dcterms:modified xsi:type="dcterms:W3CDTF">2023-04-12T01:19:00Z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Workplace Gender Equality Amendment (Closing the Gender Pay Gap) Act 2023</vt:lpwstr>
  </property>
  <property fmtid="{D5CDD505-2E9C-101B-9397-08002B2CF9AE}" pid="3" name="ActNo">
    <vt:lpwstr>No. 18,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OPC8165</vt:lpwstr>
  </property>
  <property fmtid="{D5CDD505-2E9C-101B-9397-08002B2CF9AE}" pid="10" name="PreventSessionPrompt">
    <vt:lpwstr>Yes</vt:lpwstr>
  </property>
  <property fmtid="{D5CDD505-2E9C-101B-9397-08002B2CF9AE}" pid="11" name="DoNotAsk">
    <vt:lpwstr>0</vt:lpwstr>
  </property>
  <property fmtid="{D5CDD505-2E9C-101B-9397-08002B2CF9AE}" pid="12" name="ChangedTitle">
    <vt:lpwstr/>
  </property>
</Properties>
</file>