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5387699"/>
    <w:p w14:paraId="321592C0" w14:textId="62BE2FE4" w:rsidR="00C52FA1" w:rsidRDefault="00C52FA1" w:rsidP="00C52FA1">
      <w:r>
        <w:object w:dxaOrig="2146" w:dyaOrig="1561" w14:anchorId="3647A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59126534" r:id="rId9"/>
        </w:object>
      </w:r>
    </w:p>
    <w:p w14:paraId="6E076012" w14:textId="77777777" w:rsidR="00C52FA1" w:rsidRDefault="00C52FA1" w:rsidP="00C52FA1"/>
    <w:p w14:paraId="55EEDDCB" w14:textId="77777777" w:rsidR="00C52FA1" w:rsidRDefault="00C52FA1" w:rsidP="00C52FA1"/>
    <w:p w14:paraId="6062E44E" w14:textId="77777777" w:rsidR="00C52FA1" w:rsidRDefault="00C52FA1" w:rsidP="00C52FA1"/>
    <w:p w14:paraId="035E508C" w14:textId="77777777" w:rsidR="00C52FA1" w:rsidRDefault="00C52FA1" w:rsidP="00C52FA1"/>
    <w:p w14:paraId="6D29A223" w14:textId="77777777" w:rsidR="00C52FA1" w:rsidRDefault="00C52FA1" w:rsidP="00C52FA1"/>
    <w:p w14:paraId="78620E6C" w14:textId="77777777" w:rsidR="00C52FA1" w:rsidRDefault="00C52FA1" w:rsidP="00C52FA1"/>
    <w:p w14:paraId="05943BE3" w14:textId="755DB9C9" w:rsidR="0048364F" w:rsidRPr="00412393" w:rsidRDefault="00C52FA1" w:rsidP="0048364F">
      <w:pPr>
        <w:pStyle w:val="ShortT"/>
      </w:pPr>
      <w:r>
        <w:t>Migration Amendment (Giving Documents and Other Measures) Act 2023</w:t>
      </w:r>
    </w:p>
    <w:bookmarkEnd w:id="0"/>
    <w:p w14:paraId="22CA1B07" w14:textId="77777777" w:rsidR="0048364F" w:rsidRPr="00412393" w:rsidRDefault="0048364F" w:rsidP="0048364F"/>
    <w:p w14:paraId="3E7BB1C9" w14:textId="67BF56C8" w:rsidR="0048364F" w:rsidRPr="00412393" w:rsidRDefault="00C164CA" w:rsidP="00C52FA1">
      <w:pPr>
        <w:pStyle w:val="Actno"/>
        <w:spacing w:before="400"/>
      </w:pPr>
      <w:r w:rsidRPr="00412393">
        <w:t>No.</w:t>
      </w:r>
      <w:r w:rsidR="004A1AA3">
        <w:t xml:space="preserve"> 26</w:t>
      </w:r>
      <w:r w:rsidRPr="00412393">
        <w:t xml:space="preserve">, </w:t>
      </w:r>
      <w:r w:rsidR="00005D25" w:rsidRPr="00412393">
        <w:t>2023</w:t>
      </w:r>
    </w:p>
    <w:p w14:paraId="2A60487C" w14:textId="77777777" w:rsidR="0048364F" w:rsidRPr="00412393" w:rsidRDefault="0048364F" w:rsidP="0048364F"/>
    <w:p w14:paraId="0745E30B" w14:textId="77777777" w:rsidR="00276504" w:rsidRDefault="00276504" w:rsidP="00276504">
      <w:pPr>
        <w:rPr>
          <w:lang w:eastAsia="en-AU"/>
        </w:rPr>
      </w:pPr>
    </w:p>
    <w:p w14:paraId="2DC34CC8" w14:textId="1B181E0F" w:rsidR="0048364F" w:rsidRPr="00412393" w:rsidRDefault="0048364F" w:rsidP="0048364F"/>
    <w:p w14:paraId="38656FFF" w14:textId="77777777" w:rsidR="0048364F" w:rsidRPr="00412393" w:rsidRDefault="0048364F" w:rsidP="0048364F"/>
    <w:p w14:paraId="26864D39" w14:textId="77777777" w:rsidR="0048364F" w:rsidRPr="00412393" w:rsidRDefault="0048364F" w:rsidP="0048364F"/>
    <w:p w14:paraId="70AEBD4C" w14:textId="77777777" w:rsidR="00C52FA1" w:rsidRDefault="00C52FA1" w:rsidP="00C52FA1">
      <w:pPr>
        <w:pStyle w:val="LongT"/>
      </w:pPr>
      <w:r>
        <w:t xml:space="preserve">An Act to amend the </w:t>
      </w:r>
      <w:r w:rsidRPr="00C52FA1">
        <w:rPr>
          <w:i/>
        </w:rPr>
        <w:t>Migration Act 1958</w:t>
      </w:r>
      <w:r>
        <w:t>, and for related purposes</w:t>
      </w:r>
    </w:p>
    <w:p w14:paraId="771EE022" w14:textId="476E61E7" w:rsidR="0048364F" w:rsidRPr="00697BA6" w:rsidRDefault="0048364F" w:rsidP="0048364F">
      <w:pPr>
        <w:pStyle w:val="Header"/>
        <w:tabs>
          <w:tab w:val="clear" w:pos="4150"/>
          <w:tab w:val="clear" w:pos="8307"/>
        </w:tabs>
      </w:pPr>
      <w:r w:rsidRPr="00697BA6">
        <w:rPr>
          <w:rStyle w:val="CharAmSchNo"/>
        </w:rPr>
        <w:t xml:space="preserve"> </w:t>
      </w:r>
      <w:r w:rsidRPr="00697BA6">
        <w:rPr>
          <w:rStyle w:val="CharAmSchText"/>
        </w:rPr>
        <w:t xml:space="preserve"> </w:t>
      </w:r>
    </w:p>
    <w:p w14:paraId="768970C2" w14:textId="77777777" w:rsidR="0048364F" w:rsidRPr="00697BA6" w:rsidRDefault="0048364F" w:rsidP="0048364F">
      <w:pPr>
        <w:pStyle w:val="Header"/>
        <w:tabs>
          <w:tab w:val="clear" w:pos="4150"/>
          <w:tab w:val="clear" w:pos="8307"/>
        </w:tabs>
      </w:pPr>
      <w:r w:rsidRPr="00697BA6">
        <w:rPr>
          <w:rStyle w:val="CharAmPartNo"/>
        </w:rPr>
        <w:t xml:space="preserve"> </w:t>
      </w:r>
      <w:r w:rsidRPr="00697BA6">
        <w:rPr>
          <w:rStyle w:val="CharAmPartText"/>
        </w:rPr>
        <w:t xml:space="preserve"> </w:t>
      </w:r>
    </w:p>
    <w:p w14:paraId="11B7BEC9" w14:textId="77777777" w:rsidR="0048364F" w:rsidRPr="00412393" w:rsidRDefault="0048364F" w:rsidP="0048364F">
      <w:pPr>
        <w:sectPr w:rsidR="0048364F" w:rsidRPr="00412393" w:rsidSect="00C52FA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11EE5AF" w14:textId="77777777" w:rsidR="0048364F" w:rsidRPr="00412393" w:rsidRDefault="0048364F" w:rsidP="0048364F">
      <w:pPr>
        <w:outlineLvl w:val="0"/>
        <w:rPr>
          <w:sz w:val="36"/>
        </w:rPr>
      </w:pPr>
      <w:r w:rsidRPr="00412393">
        <w:rPr>
          <w:sz w:val="36"/>
        </w:rPr>
        <w:lastRenderedPageBreak/>
        <w:t>Contents</w:t>
      </w:r>
    </w:p>
    <w:p w14:paraId="6A577103" w14:textId="4D7F9A8D" w:rsidR="004A1AA3" w:rsidRDefault="004A1AA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A1AA3">
        <w:rPr>
          <w:noProof/>
        </w:rPr>
        <w:tab/>
      </w:r>
      <w:r w:rsidRPr="004A1AA3">
        <w:rPr>
          <w:noProof/>
        </w:rPr>
        <w:fldChar w:fldCharType="begin"/>
      </w:r>
      <w:r w:rsidRPr="004A1AA3">
        <w:rPr>
          <w:noProof/>
        </w:rPr>
        <w:instrText xml:space="preserve"> PAGEREF _Toc138422908 \h </w:instrText>
      </w:r>
      <w:r w:rsidRPr="004A1AA3">
        <w:rPr>
          <w:noProof/>
        </w:rPr>
      </w:r>
      <w:r w:rsidRPr="004A1AA3">
        <w:rPr>
          <w:noProof/>
        </w:rPr>
        <w:fldChar w:fldCharType="separate"/>
      </w:r>
      <w:r w:rsidR="00336B0A">
        <w:rPr>
          <w:noProof/>
        </w:rPr>
        <w:t>1</w:t>
      </w:r>
      <w:r w:rsidRPr="004A1AA3">
        <w:rPr>
          <w:noProof/>
        </w:rPr>
        <w:fldChar w:fldCharType="end"/>
      </w:r>
    </w:p>
    <w:p w14:paraId="37975FED" w14:textId="775A1BA9" w:rsidR="004A1AA3" w:rsidRDefault="004A1AA3">
      <w:pPr>
        <w:pStyle w:val="TOC5"/>
        <w:rPr>
          <w:rFonts w:asciiTheme="minorHAnsi" w:eastAsiaTheme="minorEastAsia" w:hAnsiTheme="minorHAnsi" w:cstheme="minorBidi"/>
          <w:noProof/>
          <w:kern w:val="0"/>
          <w:sz w:val="22"/>
          <w:szCs w:val="22"/>
        </w:rPr>
      </w:pPr>
      <w:r>
        <w:rPr>
          <w:noProof/>
        </w:rPr>
        <w:t>2</w:t>
      </w:r>
      <w:r>
        <w:rPr>
          <w:noProof/>
        </w:rPr>
        <w:tab/>
        <w:t>Commencement</w:t>
      </w:r>
      <w:r w:rsidRPr="004A1AA3">
        <w:rPr>
          <w:noProof/>
        </w:rPr>
        <w:tab/>
      </w:r>
      <w:r w:rsidRPr="004A1AA3">
        <w:rPr>
          <w:noProof/>
        </w:rPr>
        <w:fldChar w:fldCharType="begin"/>
      </w:r>
      <w:r w:rsidRPr="004A1AA3">
        <w:rPr>
          <w:noProof/>
        </w:rPr>
        <w:instrText xml:space="preserve"> PAGEREF _Toc138422909 \h </w:instrText>
      </w:r>
      <w:r w:rsidRPr="004A1AA3">
        <w:rPr>
          <w:noProof/>
        </w:rPr>
      </w:r>
      <w:r w:rsidRPr="004A1AA3">
        <w:rPr>
          <w:noProof/>
        </w:rPr>
        <w:fldChar w:fldCharType="separate"/>
      </w:r>
      <w:r w:rsidR="00336B0A">
        <w:rPr>
          <w:noProof/>
        </w:rPr>
        <w:t>2</w:t>
      </w:r>
      <w:r w:rsidRPr="004A1AA3">
        <w:rPr>
          <w:noProof/>
        </w:rPr>
        <w:fldChar w:fldCharType="end"/>
      </w:r>
    </w:p>
    <w:p w14:paraId="4547C6C9" w14:textId="074CCDB6" w:rsidR="004A1AA3" w:rsidRDefault="004A1AA3">
      <w:pPr>
        <w:pStyle w:val="TOC5"/>
        <w:rPr>
          <w:rFonts w:asciiTheme="minorHAnsi" w:eastAsiaTheme="minorEastAsia" w:hAnsiTheme="minorHAnsi" w:cstheme="minorBidi"/>
          <w:noProof/>
          <w:kern w:val="0"/>
          <w:sz w:val="22"/>
          <w:szCs w:val="22"/>
        </w:rPr>
      </w:pPr>
      <w:r>
        <w:rPr>
          <w:noProof/>
        </w:rPr>
        <w:t>3</w:t>
      </w:r>
      <w:r>
        <w:rPr>
          <w:noProof/>
        </w:rPr>
        <w:tab/>
        <w:t>Schedules</w:t>
      </w:r>
      <w:r w:rsidRPr="004A1AA3">
        <w:rPr>
          <w:noProof/>
        </w:rPr>
        <w:tab/>
      </w:r>
      <w:r w:rsidRPr="004A1AA3">
        <w:rPr>
          <w:noProof/>
        </w:rPr>
        <w:fldChar w:fldCharType="begin"/>
      </w:r>
      <w:r w:rsidRPr="004A1AA3">
        <w:rPr>
          <w:noProof/>
        </w:rPr>
        <w:instrText xml:space="preserve"> PAGEREF _Toc138422910 \h </w:instrText>
      </w:r>
      <w:r w:rsidRPr="004A1AA3">
        <w:rPr>
          <w:noProof/>
        </w:rPr>
      </w:r>
      <w:r w:rsidRPr="004A1AA3">
        <w:rPr>
          <w:noProof/>
        </w:rPr>
        <w:fldChar w:fldCharType="separate"/>
      </w:r>
      <w:r w:rsidR="00336B0A">
        <w:rPr>
          <w:noProof/>
        </w:rPr>
        <w:t>2</w:t>
      </w:r>
      <w:r w:rsidRPr="004A1AA3">
        <w:rPr>
          <w:noProof/>
        </w:rPr>
        <w:fldChar w:fldCharType="end"/>
      </w:r>
    </w:p>
    <w:p w14:paraId="6DA1F5FE" w14:textId="4A841489" w:rsidR="004A1AA3" w:rsidRDefault="004A1AA3">
      <w:pPr>
        <w:pStyle w:val="TOC6"/>
        <w:rPr>
          <w:rFonts w:asciiTheme="minorHAnsi" w:eastAsiaTheme="minorEastAsia" w:hAnsiTheme="minorHAnsi" w:cstheme="minorBidi"/>
          <w:b w:val="0"/>
          <w:noProof/>
          <w:kern w:val="0"/>
          <w:sz w:val="22"/>
          <w:szCs w:val="22"/>
        </w:rPr>
      </w:pPr>
      <w:r>
        <w:rPr>
          <w:noProof/>
        </w:rPr>
        <w:t>Schedule 1—Documents</w:t>
      </w:r>
      <w:r w:rsidRPr="004A1AA3">
        <w:rPr>
          <w:b w:val="0"/>
          <w:noProof/>
          <w:sz w:val="18"/>
        </w:rPr>
        <w:tab/>
      </w:r>
      <w:r w:rsidRPr="004A1AA3">
        <w:rPr>
          <w:b w:val="0"/>
          <w:noProof/>
          <w:sz w:val="18"/>
        </w:rPr>
        <w:fldChar w:fldCharType="begin"/>
      </w:r>
      <w:r w:rsidRPr="004A1AA3">
        <w:rPr>
          <w:b w:val="0"/>
          <w:noProof/>
          <w:sz w:val="18"/>
        </w:rPr>
        <w:instrText xml:space="preserve"> PAGEREF _Toc138422911 \h </w:instrText>
      </w:r>
      <w:r w:rsidRPr="004A1AA3">
        <w:rPr>
          <w:b w:val="0"/>
          <w:noProof/>
          <w:sz w:val="18"/>
        </w:rPr>
      </w:r>
      <w:r w:rsidRPr="004A1AA3">
        <w:rPr>
          <w:b w:val="0"/>
          <w:noProof/>
          <w:sz w:val="18"/>
        </w:rPr>
        <w:fldChar w:fldCharType="separate"/>
      </w:r>
      <w:r w:rsidR="00336B0A">
        <w:rPr>
          <w:b w:val="0"/>
          <w:noProof/>
          <w:sz w:val="18"/>
        </w:rPr>
        <w:t>3</w:t>
      </w:r>
      <w:r w:rsidRPr="004A1AA3">
        <w:rPr>
          <w:b w:val="0"/>
          <w:noProof/>
          <w:sz w:val="18"/>
        </w:rPr>
        <w:fldChar w:fldCharType="end"/>
      </w:r>
    </w:p>
    <w:p w14:paraId="7966FD77" w14:textId="5B80FF13" w:rsidR="004A1AA3" w:rsidRDefault="004A1AA3">
      <w:pPr>
        <w:pStyle w:val="TOC9"/>
        <w:rPr>
          <w:rFonts w:asciiTheme="minorHAnsi" w:eastAsiaTheme="minorEastAsia" w:hAnsiTheme="minorHAnsi" w:cstheme="minorBidi"/>
          <w:i w:val="0"/>
          <w:noProof/>
          <w:kern w:val="0"/>
          <w:sz w:val="22"/>
          <w:szCs w:val="22"/>
        </w:rPr>
      </w:pPr>
      <w:r>
        <w:rPr>
          <w:noProof/>
        </w:rPr>
        <w:t>Migration Act 1958</w:t>
      </w:r>
      <w:r w:rsidRPr="004A1AA3">
        <w:rPr>
          <w:i w:val="0"/>
          <w:noProof/>
          <w:sz w:val="18"/>
        </w:rPr>
        <w:tab/>
      </w:r>
      <w:r w:rsidRPr="004A1AA3">
        <w:rPr>
          <w:i w:val="0"/>
          <w:noProof/>
          <w:sz w:val="18"/>
        </w:rPr>
        <w:fldChar w:fldCharType="begin"/>
      </w:r>
      <w:r w:rsidRPr="004A1AA3">
        <w:rPr>
          <w:i w:val="0"/>
          <w:noProof/>
          <w:sz w:val="18"/>
        </w:rPr>
        <w:instrText xml:space="preserve"> PAGEREF _Toc138422912 \h </w:instrText>
      </w:r>
      <w:r w:rsidRPr="004A1AA3">
        <w:rPr>
          <w:i w:val="0"/>
          <w:noProof/>
          <w:sz w:val="18"/>
        </w:rPr>
      </w:r>
      <w:r w:rsidRPr="004A1AA3">
        <w:rPr>
          <w:i w:val="0"/>
          <w:noProof/>
          <w:sz w:val="18"/>
        </w:rPr>
        <w:fldChar w:fldCharType="separate"/>
      </w:r>
      <w:r w:rsidR="00336B0A">
        <w:rPr>
          <w:i w:val="0"/>
          <w:noProof/>
          <w:sz w:val="18"/>
        </w:rPr>
        <w:t>3</w:t>
      </w:r>
      <w:r w:rsidRPr="004A1AA3">
        <w:rPr>
          <w:i w:val="0"/>
          <w:noProof/>
          <w:sz w:val="18"/>
        </w:rPr>
        <w:fldChar w:fldCharType="end"/>
      </w:r>
    </w:p>
    <w:p w14:paraId="283DE6EF" w14:textId="1C60AE57" w:rsidR="004A1AA3" w:rsidRDefault="004A1AA3">
      <w:pPr>
        <w:pStyle w:val="TOC6"/>
        <w:rPr>
          <w:rFonts w:asciiTheme="minorHAnsi" w:eastAsiaTheme="minorEastAsia" w:hAnsiTheme="minorHAnsi" w:cstheme="minorBidi"/>
          <w:b w:val="0"/>
          <w:noProof/>
          <w:kern w:val="0"/>
          <w:sz w:val="22"/>
          <w:szCs w:val="22"/>
        </w:rPr>
      </w:pPr>
      <w:r>
        <w:rPr>
          <w:noProof/>
        </w:rPr>
        <w:t>Schedule 2—Visa applications by dual nationals etc.</w:t>
      </w:r>
      <w:r w:rsidRPr="004A1AA3">
        <w:rPr>
          <w:b w:val="0"/>
          <w:noProof/>
          <w:sz w:val="18"/>
        </w:rPr>
        <w:tab/>
      </w:r>
      <w:r w:rsidRPr="004A1AA3">
        <w:rPr>
          <w:b w:val="0"/>
          <w:noProof/>
          <w:sz w:val="18"/>
        </w:rPr>
        <w:fldChar w:fldCharType="begin"/>
      </w:r>
      <w:r w:rsidRPr="004A1AA3">
        <w:rPr>
          <w:b w:val="0"/>
          <w:noProof/>
          <w:sz w:val="18"/>
        </w:rPr>
        <w:instrText xml:space="preserve"> PAGEREF _Toc138422914 \h </w:instrText>
      </w:r>
      <w:r w:rsidRPr="004A1AA3">
        <w:rPr>
          <w:b w:val="0"/>
          <w:noProof/>
          <w:sz w:val="18"/>
        </w:rPr>
      </w:r>
      <w:r w:rsidRPr="004A1AA3">
        <w:rPr>
          <w:b w:val="0"/>
          <w:noProof/>
          <w:sz w:val="18"/>
        </w:rPr>
        <w:fldChar w:fldCharType="separate"/>
      </w:r>
      <w:r w:rsidR="00336B0A">
        <w:rPr>
          <w:b w:val="0"/>
          <w:noProof/>
          <w:sz w:val="18"/>
        </w:rPr>
        <w:t>11</w:t>
      </w:r>
      <w:r w:rsidRPr="004A1AA3">
        <w:rPr>
          <w:b w:val="0"/>
          <w:noProof/>
          <w:sz w:val="18"/>
        </w:rPr>
        <w:fldChar w:fldCharType="end"/>
      </w:r>
    </w:p>
    <w:p w14:paraId="69D11CCA" w14:textId="43515636" w:rsidR="004A1AA3" w:rsidRDefault="004A1AA3">
      <w:pPr>
        <w:pStyle w:val="TOC9"/>
        <w:rPr>
          <w:rFonts w:asciiTheme="minorHAnsi" w:eastAsiaTheme="minorEastAsia" w:hAnsiTheme="minorHAnsi" w:cstheme="minorBidi"/>
          <w:i w:val="0"/>
          <w:noProof/>
          <w:kern w:val="0"/>
          <w:sz w:val="22"/>
          <w:szCs w:val="22"/>
        </w:rPr>
      </w:pPr>
      <w:r>
        <w:rPr>
          <w:noProof/>
        </w:rPr>
        <w:t>Migration Act 1958</w:t>
      </w:r>
      <w:r w:rsidRPr="004A1AA3">
        <w:rPr>
          <w:i w:val="0"/>
          <w:noProof/>
          <w:sz w:val="18"/>
        </w:rPr>
        <w:tab/>
      </w:r>
      <w:r w:rsidRPr="004A1AA3">
        <w:rPr>
          <w:i w:val="0"/>
          <w:noProof/>
          <w:sz w:val="18"/>
        </w:rPr>
        <w:fldChar w:fldCharType="begin"/>
      </w:r>
      <w:r w:rsidRPr="004A1AA3">
        <w:rPr>
          <w:i w:val="0"/>
          <w:noProof/>
          <w:sz w:val="18"/>
        </w:rPr>
        <w:instrText xml:space="preserve"> PAGEREF _Toc138422915 \h </w:instrText>
      </w:r>
      <w:r w:rsidRPr="004A1AA3">
        <w:rPr>
          <w:i w:val="0"/>
          <w:noProof/>
          <w:sz w:val="18"/>
        </w:rPr>
      </w:r>
      <w:r w:rsidRPr="004A1AA3">
        <w:rPr>
          <w:i w:val="0"/>
          <w:noProof/>
          <w:sz w:val="18"/>
        </w:rPr>
        <w:fldChar w:fldCharType="separate"/>
      </w:r>
      <w:r w:rsidR="00336B0A">
        <w:rPr>
          <w:i w:val="0"/>
          <w:noProof/>
          <w:sz w:val="18"/>
        </w:rPr>
        <w:t>11</w:t>
      </w:r>
      <w:r w:rsidRPr="004A1AA3">
        <w:rPr>
          <w:i w:val="0"/>
          <w:noProof/>
          <w:sz w:val="18"/>
        </w:rPr>
        <w:fldChar w:fldCharType="end"/>
      </w:r>
    </w:p>
    <w:p w14:paraId="358B065C" w14:textId="04EA1C3A" w:rsidR="00060FF9" w:rsidRPr="00412393" w:rsidRDefault="004A1AA3" w:rsidP="0048364F">
      <w:r>
        <w:fldChar w:fldCharType="end"/>
      </w:r>
    </w:p>
    <w:p w14:paraId="317FD502" w14:textId="77777777" w:rsidR="00FE7F93" w:rsidRPr="00412393" w:rsidRDefault="00FE7F93" w:rsidP="0048364F">
      <w:pPr>
        <w:sectPr w:rsidR="00FE7F93" w:rsidRPr="00412393" w:rsidSect="00C52FA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C95929F" w14:textId="77777777" w:rsidR="00C52FA1" w:rsidRDefault="00C52FA1">
      <w:r>
        <w:object w:dxaOrig="2146" w:dyaOrig="1561" w14:anchorId="344D17C4">
          <v:shape id="_x0000_i1026" type="#_x0000_t75" alt="Commonwealth Coat of Arms of Australia" style="width:110.25pt;height:80.25pt" o:ole="" fillcolor="window">
            <v:imagedata r:id="rId8" o:title=""/>
          </v:shape>
          <o:OLEObject Type="Embed" ProgID="Word.Picture.8" ShapeID="_x0000_i1026" DrawAspect="Content" ObjectID="_1759126535" r:id="rId21"/>
        </w:object>
      </w:r>
    </w:p>
    <w:p w14:paraId="61269E20" w14:textId="77777777" w:rsidR="00C52FA1" w:rsidRDefault="00C52FA1"/>
    <w:p w14:paraId="218D0C97" w14:textId="77777777" w:rsidR="00C52FA1" w:rsidRDefault="00C52FA1" w:rsidP="000178F8">
      <w:pPr>
        <w:spacing w:line="240" w:lineRule="auto"/>
      </w:pPr>
    </w:p>
    <w:p w14:paraId="3B28C3F7" w14:textId="1D0E81DF" w:rsidR="00C52FA1" w:rsidRDefault="00483C07" w:rsidP="000178F8">
      <w:pPr>
        <w:pStyle w:val="ShortTP1"/>
      </w:pPr>
      <w:r>
        <w:fldChar w:fldCharType="begin"/>
      </w:r>
      <w:r>
        <w:instrText xml:space="preserve"> STYLEREF ShortT </w:instrText>
      </w:r>
      <w:r>
        <w:fldChar w:fldCharType="separate"/>
      </w:r>
      <w:r w:rsidR="00336B0A">
        <w:rPr>
          <w:noProof/>
        </w:rPr>
        <w:t>Migration Amendment (Giving Documents and Other Measures) Act 2023</w:t>
      </w:r>
      <w:r>
        <w:rPr>
          <w:noProof/>
        </w:rPr>
        <w:fldChar w:fldCharType="end"/>
      </w:r>
    </w:p>
    <w:p w14:paraId="25F29CAB" w14:textId="18F77072" w:rsidR="00C52FA1" w:rsidRDefault="00483C07" w:rsidP="000178F8">
      <w:pPr>
        <w:pStyle w:val="ActNoP1"/>
      </w:pPr>
      <w:r>
        <w:fldChar w:fldCharType="begin"/>
      </w:r>
      <w:r>
        <w:instrText xml:space="preserve"> STYLEREF Actno </w:instrText>
      </w:r>
      <w:r>
        <w:fldChar w:fldCharType="separate"/>
      </w:r>
      <w:r w:rsidR="00336B0A">
        <w:rPr>
          <w:noProof/>
        </w:rPr>
        <w:t>No. 26, 2023</w:t>
      </w:r>
      <w:r>
        <w:rPr>
          <w:noProof/>
        </w:rPr>
        <w:fldChar w:fldCharType="end"/>
      </w:r>
    </w:p>
    <w:p w14:paraId="67711FF7" w14:textId="77777777" w:rsidR="00C52FA1" w:rsidRPr="009A0728" w:rsidRDefault="00C52FA1" w:rsidP="009A0728">
      <w:pPr>
        <w:pBdr>
          <w:bottom w:val="single" w:sz="6" w:space="0" w:color="auto"/>
        </w:pBdr>
        <w:spacing w:before="400" w:line="240" w:lineRule="auto"/>
        <w:rPr>
          <w:rFonts w:eastAsia="Times New Roman"/>
          <w:b/>
          <w:sz w:val="28"/>
        </w:rPr>
      </w:pPr>
    </w:p>
    <w:p w14:paraId="79E42A62" w14:textId="77777777" w:rsidR="00C52FA1" w:rsidRPr="009A0728" w:rsidRDefault="00C52FA1" w:rsidP="009A0728">
      <w:pPr>
        <w:spacing w:line="40" w:lineRule="exact"/>
        <w:rPr>
          <w:rFonts w:eastAsia="Calibri"/>
          <w:b/>
          <w:sz w:val="28"/>
        </w:rPr>
      </w:pPr>
    </w:p>
    <w:p w14:paraId="413AE1C5" w14:textId="77777777" w:rsidR="00C52FA1" w:rsidRPr="009A0728" w:rsidRDefault="00C52FA1" w:rsidP="009A0728">
      <w:pPr>
        <w:pBdr>
          <w:top w:val="single" w:sz="12" w:space="0" w:color="auto"/>
        </w:pBdr>
        <w:spacing w:line="240" w:lineRule="auto"/>
        <w:rPr>
          <w:rFonts w:eastAsia="Times New Roman"/>
          <w:b/>
          <w:sz w:val="28"/>
        </w:rPr>
      </w:pPr>
    </w:p>
    <w:p w14:paraId="618B9DDE" w14:textId="77777777" w:rsidR="00C52FA1" w:rsidRDefault="00C52FA1" w:rsidP="00C52FA1">
      <w:pPr>
        <w:pStyle w:val="Page1"/>
        <w:spacing w:before="400"/>
      </w:pPr>
      <w:r>
        <w:t xml:space="preserve">An Act to amend the </w:t>
      </w:r>
      <w:r w:rsidRPr="00C52FA1">
        <w:rPr>
          <w:i/>
        </w:rPr>
        <w:t>Migration Act 1958</w:t>
      </w:r>
      <w:r>
        <w:t>, and for related purposes</w:t>
      </w:r>
    </w:p>
    <w:p w14:paraId="01BA55E8" w14:textId="53C1ADB6" w:rsidR="004A1AA3" w:rsidRDefault="004A1AA3" w:rsidP="000C5962">
      <w:pPr>
        <w:pStyle w:val="AssentDt"/>
        <w:spacing w:before="240"/>
        <w:rPr>
          <w:sz w:val="24"/>
        </w:rPr>
      </w:pPr>
      <w:r>
        <w:rPr>
          <w:sz w:val="24"/>
        </w:rPr>
        <w:t>[</w:t>
      </w:r>
      <w:r>
        <w:rPr>
          <w:i/>
          <w:sz w:val="24"/>
        </w:rPr>
        <w:t>Assented to 23 June 2023</w:t>
      </w:r>
      <w:r>
        <w:rPr>
          <w:sz w:val="24"/>
        </w:rPr>
        <w:t>]</w:t>
      </w:r>
    </w:p>
    <w:p w14:paraId="0A6C0004" w14:textId="55B7A824" w:rsidR="0048364F" w:rsidRPr="00412393" w:rsidRDefault="0048364F" w:rsidP="00697BA6">
      <w:pPr>
        <w:spacing w:before="240" w:line="240" w:lineRule="auto"/>
        <w:rPr>
          <w:sz w:val="32"/>
        </w:rPr>
      </w:pPr>
      <w:r w:rsidRPr="00412393">
        <w:rPr>
          <w:sz w:val="32"/>
        </w:rPr>
        <w:t>The Parliament of Australia enacts:</w:t>
      </w:r>
    </w:p>
    <w:p w14:paraId="6C49540B" w14:textId="77777777" w:rsidR="0048364F" w:rsidRPr="00412393" w:rsidRDefault="0048364F" w:rsidP="00697BA6">
      <w:pPr>
        <w:pStyle w:val="ActHead5"/>
      </w:pPr>
      <w:bookmarkStart w:id="1" w:name="_Toc138422908"/>
      <w:r w:rsidRPr="00697BA6">
        <w:rPr>
          <w:rStyle w:val="CharSectno"/>
        </w:rPr>
        <w:t>1</w:t>
      </w:r>
      <w:r w:rsidRPr="00412393">
        <w:t xml:space="preserve">  Short title</w:t>
      </w:r>
      <w:bookmarkEnd w:id="1"/>
    </w:p>
    <w:p w14:paraId="542A2BD9" w14:textId="77777777" w:rsidR="0048364F" w:rsidRPr="00412393" w:rsidRDefault="0048364F" w:rsidP="00697BA6">
      <w:pPr>
        <w:pStyle w:val="subsection"/>
      </w:pPr>
      <w:r w:rsidRPr="00412393">
        <w:tab/>
      </w:r>
      <w:r w:rsidRPr="00412393">
        <w:tab/>
        <w:t xml:space="preserve">This Act </w:t>
      </w:r>
      <w:r w:rsidR="00275197" w:rsidRPr="00412393">
        <w:t xml:space="preserve">is </w:t>
      </w:r>
      <w:r w:rsidRPr="00412393">
        <w:t xml:space="preserve">the </w:t>
      </w:r>
      <w:r w:rsidR="00075EB7" w:rsidRPr="00412393">
        <w:rPr>
          <w:i/>
        </w:rPr>
        <w:t>Migration Amendment (</w:t>
      </w:r>
      <w:r w:rsidR="00EF2928" w:rsidRPr="00412393">
        <w:rPr>
          <w:i/>
        </w:rPr>
        <w:t xml:space="preserve">Giving Documents and </w:t>
      </w:r>
      <w:r w:rsidR="00A04E57" w:rsidRPr="00412393">
        <w:rPr>
          <w:i/>
        </w:rPr>
        <w:t>Other Measures</w:t>
      </w:r>
      <w:r w:rsidR="00075EB7" w:rsidRPr="00412393">
        <w:rPr>
          <w:i/>
        </w:rPr>
        <w:t xml:space="preserve">) </w:t>
      </w:r>
      <w:r w:rsidR="00EE3E36" w:rsidRPr="00412393">
        <w:rPr>
          <w:i/>
        </w:rPr>
        <w:t xml:space="preserve">Act </w:t>
      </w:r>
      <w:r w:rsidR="00005D25" w:rsidRPr="00412393">
        <w:rPr>
          <w:i/>
        </w:rPr>
        <w:t>2023</w:t>
      </w:r>
      <w:r w:rsidRPr="00412393">
        <w:t>.</w:t>
      </w:r>
    </w:p>
    <w:p w14:paraId="70E0F56D" w14:textId="77777777" w:rsidR="0048364F" w:rsidRPr="00412393" w:rsidRDefault="0048364F" w:rsidP="00697BA6">
      <w:pPr>
        <w:pStyle w:val="ActHead5"/>
      </w:pPr>
      <w:bookmarkStart w:id="2" w:name="_Toc138422909"/>
      <w:r w:rsidRPr="00697BA6">
        <w:rPr>
          <w:rStyle w:val="CharSectno"/>
        </w:rPr>
        <w:lastRenderedPageBreak/>
        <w:t>2</w:t>
      </w:r>
      <w:r w:rsidRPr="00412393">
        <w:t xml:space="preserve">  Commencement</w:t>
      </w:r>
      <w:bookmarkEnd w:id="2"/>
    </w:p>
    <w:p w14:paraId="01344F63" w14:textId="77777777" w:rsidR="0034356E" w:rsidRPr="00412393" w:rsidRDefault="0034356E" w:rsidP="00697BA6">
      <w:pPr>
        <w:pStyle w:val="subsection"/>
      </w:pPr>
      <w:r w:rsidRPr="00412393">
        <w:tab/>
        <w:t>(1)</w:t>
      </w:r>
      <w:r w:rsidRPr="00412393">
        <w:tab/>
        <w:t>Each provision of this Act specified in column 1 of the table commences, or is taken to have commenced, in accordance with column 2 of the table. Any other statement in column 2 has effect according to its terms.</w:t>
      </w:r>
    </w:p>
    <w:p w14:paraId="4ED634F2" w14:textId="77777777" w:rsidR="0024483E" w:rsidRPr="00412393" w:rsidRDefault="0024483E" w:rsidP="00697BA6">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4483E" w:rsidRPr="00412393" w14:paraId="20771CFF" w14:textId="77777777" w:rsidTr="00B40082">
        <w:trPr>
          <w:tblHeader/>
        </w:trPr>
        <w:tc>
          <w:tcPr>
            <w:tcW w:w="7111" w:type="dxa"/>
            <w:gridSpan w:val="3"/>
            <w:tcBorders>
              <w:top w:val="single" w:sz="12" w:space="0" w:color="auto"/>
              <w:bottom w:val="single" w:sz="6" w:space="0" w:color="auto"/>
            </w:tcBorders>
            <w:shd w:val="clear" w:color="auto" w:fill="auto"/>
          </w:tcPr>
          <w:p w14:paraId="0ABA19A9" w14:textId="77777777" w:rsidR="0024483E" w:rsidRPr="00412393" w:rsidRDefault="0024483E" w:rsidP="00697BA6">
            <w:pPr>
              <w:pStyle w:val="TableHeading"/>
            </w:pPr>
            <w:r w:rsidRPr="00412393">
              <w:t>Commencement information</w:t>
            </w:r>
          </w:p>
        </w:tc>
      </w:tr>
      <w:tr w:rsidR="0024483E" w:rsidRPr="00412393" w14:paraId="4495674B" w14:textId="77777777" w:rsidTr="00B40082">
        <w:trPr>
          <w:tblHeader/>
        </w:trPr>
        <w:tc>
          <w:tcPr>
            <w:tcW w:w="1701" w:type="dxa"/>
            <w:tcBorders>
              <w:top w:val="single" w:sz="6" w:space="0" w:color="auto"/>
              <w:bottom w:val="single" w:sz="6" w:space="0" w:color="auto"/>
            </w:tcBorders>
            <w:shd w:val="clear" w:color="auto" w:fill="auto"/>
          </w:tcPr>
          <w:p w14:paraId="14A029BF" w14:textId="77777777" w:rsidR="0024483E" w:rsidRPr="00412393" w:rsidRDefault="0024483E" w:rsidP="00697BA6">
            <w:pPr>
              <w:pStyle w:val="TableHeading"/>
            </w:pPr>
            <w:r w:rsidRPr="00412393">
              <w:t>Column 1</w:t>
            </w:r>
          </w:p>
        </w:tc>
        <w:tc>
          <w:tcPr>
            <w:tcW w:w="3828" w:type="dxa"/>
            <w:tcBorders>
              <w:top w:val="single" w:sz="6" w:space="0" w:color="auto"/>
              <w:bottom w:val="single" w:sz="6" w:space="0" w:color="auto"/>
            </w:tcBorders>
            <w:shd w:val="clear" w:color="auto" w:fill="auto"/>
          </w:tcPr>
          <w:p w14:paraId="5F6E4652" w14:textId="77777777" w:rsidR="0024483E" w:rsidRPr="00412393" w:rsidRDefault="0024483E" w:rsidP="00697BA6">
            <w:pPr>
              <w:pStyle w:val="TableHeading"/>
            </w:pPr>
            <w:r w:rsidRPr="00412393">
              <w:t>Column 2</w:t>
            </w:r>
          </w:p>
        </w:tc>
        <w:tc>
          <w:tcPr>
            <w:tcW w:w="1582" w:type="dxa"/>
            <w:tcBorders>
              <w:top w:val="single" w:sz="6" w:space="0" w:color="auto"/>
              <w:bottom w:val="single" w:sz="6" w:space="0" w:color="auto"/>
            </w:tcBorders>
            <w:shd w:val="clear" w:color="auto" w:fill="auto"/>
          </w:tcPr>
          <w:p w14:paraId="248CB200" w14:textId="77777777" w:rsidR="0024483E" w:rsidRPr="00412393" w:rsidRDefault="0024483E" w:rsidP="00697BA6">
            <w:pPr>
              <w:pStyle w:val="TableHeading"/>
            </w:pPr>
            <w:r w:rsidRPr="00412393">
              <w:t>Column 3</w:t>
            </w:r>
          </w:p>
        </w:tc>
      </w:tr>
      <w:tr w:rsidR="0024483E" w:rsidRPr="00412393" w14:paraId="776FEAA3" w14:textId="77777777" w:rsidTr="00B40082">
        <w:trPr>
          <w:tblHeader/>
        </w:trPr>
        <w:tc>
          <w:tcPr>
            <w:tcW w:w="1701" w:type="dxa"/>
            <w:tcBorders>
              <w:top w:val="single" w:sz="6" w:space="0" w:color="auto"/>
              <w:bottom w:val="single" w:sz="12" w:space="0" w:color="auto"/>
            </w:tcBorders>
            <w:shd w:val="clear" w:color="auto" w:fill="auto"/>
          </w:tcPr>
          <w:p w14:paraId="32A8720D" w14:textId="77777777" w:rsidR="0024483E" w:rsidRPr="00412393" w:rsidRDefault="0024483E" w:rsidP="00697BA6">
            <w:pPr>
              <w:pStyle w:val="TableHeading"/>
            </w:pPr>
            <w:r w:rsidRPr="00412393">
              <w:t>Provisions</w:t>
            </w:r>
          </w:p>
        </w:tc>
        <w:tc>
          <w:tcPr>
            <w:tcW w:w="3828" w:type="dxa"/>
            <w:tcBorders>
              <w:top w:val="single" w:sz="6" w:space="0" w:color="auto"/>
              <w:bottom w:val="single" w:sz="12" w:space="0" w:color="auto"/>
            </w:tcBorders>
            <w:shd w:val="clear" w:color="auto" w:fill="auto"/>
          </w:tcPr>
          <w:p w14:paraId="032C3358" w14:textId="77777777" w:rsidR="0024483E" w:rsidRPr="00412393" w:rsidRDefault="0024483E" w:rsidP="00697BA6">
            <w:pPr>
              <w:pStyle w:val="TableHeading"/>
            </w:pPr>
            <w:r w:rsidRPr="00412393">
              <w:t>Commencement</w:t>
            </w:r>
          </w:p>
        </w:tc>
        <w:tc>
          <w:tcPr>
            <w:tcW w:w="1582" w:type="dxa"/>
            <w:tcBorders>
              <w:top w:val="single" w:sz="6" w:space="0" w:color="auto"/>
              <w:bottom w:val="single" w:sz="12" w:space="0" w:color="auto"/>
            </w:tcBorders>
            <w:shd w:val="clear" w:color="auto" w:fill="auto"/>
          </w:tcPr>
          <w:p w14:paraId="51BA698B" w14:textId="77777777" w:rsidR="0024483E" w:rsidRPr="00412393" w:rsidRDefault="0024483E" w:rsidP="00697BA6">
            <w:pPr>
              <w:pStyle w:val="TableHeading"/>
            </w:pPr>
            <w:r w:rsidRPr="00412393">
              <w:t>Date/Details</w:t>
            </w:r>
          </w:p>
        </w:tc>
      </w:tr>
      <w:tr w:rsidR="0024483E" w:rsidRPr="00412393" w14:paraId="485143EB" w14:textId="77777777" w:rsidTr="00B40082">
        <w:tc>
          <w:tcPr>
            <w:tcW w:w="1701" w:type="dxa"/>
            <w:tcBorders>
              <w:top w:val="single" w:sz="12" w:space="0" w:color="auto"/>
            </w:tcBorders>
            <w:shd w:val="clear" w:color="auto" w:fill="auto"/>
          </w:tcPr>
          <w:p w14:paraId="1B896AB3" w14:textId="77777777" w:rsidR="0024483E" w:rsidRPr="00412393" w:rsidRDefault="0024483E" w:rsidP="00697BA6">
            <w:pPr>
              <w:pStyle w:val="Tabletext"/>
            </w:pPr>
            <w:r w:rsidRPr="00412393">
              <w:t xml:space="preserve">1.  </w:t>
            </w:r>
            <w:r w:rsidR="00E773B3" w:rsidRPr="00412393">
              <w:t>Sections 1</w:t>
            </w:r>
            <w:r w:rsidRPr="00412393">
              <w:t xml:space="preserve"> </w:t>
            </w:r>
            <w:r w:rsidR="006E3B27" w:rsidRPr="00412393">
              <w:t>to 3</w:t>
            </w:r>
            <w:r w:rsidRPr="00412393">
              <w:t xml:space="preserve"> and anything in this Act not elsewhere covered by this table</w:t>
            </w:r>
          </w:p>
        </w:tc>
        <w:tc>
          <w:tcPr>
            <w:tcW w:w="3828" w:type="dxa"/>
            <w:tcBorders>
              <w:top w:val="single" w:sz="12" w:space="0" w:color="auto"/>
            </w:tcBorders>
            <w:shd w:val="clear" w:color="auto" w:fill="auto"/>
          </w:tcPr>
          <w:p w14:paraId="01CF15B2" w14:textId="77777777" w:rsidR="0024483E" w:rsidRPr="00412393" w:rsidRDefault="0024483E" w:rsidP="00697BA6">
            <w:pPr>
              <w:pStyle w:val="Tabletext"/>
            </w:pPr>
            <w:r w:rsidRPr="00412393">
              <w:t>The day this Act receives the Royal Assent.</w:t>
            </w:r>
          </w:p>
        </w:tc>
        <w:tc>
          <w:tcPr>
            <w:tcW w:w="1582" w:type="dxa"/>
            <w:tcBorders>
              <w:top w:val="single" w:sz="12" w:space="0" w:color="auto"/>
            </w:tcBorders>
            <w:shd w:val="clear" w:color="auto" w:fill="auto"/>
          </w:tcPr>
          <w:p w14:paraId="007FF7C7" w14:textId="6768CC7C" w:rsidR="0024483E" w:rsidRPr="00412393" w:rsidRDefault="004A1AA3" w:rsidP="00697BA6">
            <w:pPr>
              <w:pStyle w:val="Tabletext"/>
            </w:pPr>
            <w:r>
              <w:t>23 June 2023</w:t>
            </w:r>
          </w:p>
        </w:tc>
      </w:tr>
      <w:tr w:rsidR="0024483E" w:rsidRPr="00412393" w14:paraId="6756F61A" w14:textId="77777777" w:rsidTr="00B40082">
        <w:tc>
          <w:tcPr>
            <w:tcW w:w="1701" w:type="dxa"/>
            <w:tcBorders>
              <w:bottom w:val="single" w:sz="2" w:space="0" w:color="auto"/>
            </w:tcBorders>
            <w:shd w:val="clear" w:color="auto" w:fill="auto"/>
          </w:tcPr>
          <w:p w14:paraId="70A768CD" w14:textId="77777777" w:rsidR="0024483E" w:rsidRPr="00412393" w:rsidRDefault="0024483E" w:rsidP="00697BA6">
            <w:pPr>
              <w:pStyle w:val="Tabletext"/>
            </w:pPr>
            <w:r w:rsidRPr="00412393">
              <w:t xml:space="preserve">2.  </w:t>
            </w:r>
            <w:r w:rsidR="00E773B3" w:rsidRPr="00412393">
              <w:t>Schedule 1</w:t>
            </w:r>
          </w:p>
        </w:tc>
        <w:tc>
          <w:tcPr>
            <w:tcW w:w="3828" w:type="dxa"/>
            <w:tcBorders>
              <w:bottom w:val="single" w:sz="2" w:space="0" w:color="auto"/>
            </w:tcBorders>
            <w:shd w:val="clear" w:color="auto" w:fill="auto"/>
          </w:tcPr>
          <w:p w14:paraId="616C76C8" w14:textId="77777777" w:rsidR="00B40082" w:rsidRPr="00412393" w:rsidRDefault="00B40082" w:rsidP="00697BA6">
            <w:pPr>
              <w:pStyle w:val="Tabletext"/>
            </w:pPr>
            <w:r w:rsidRPr="00412393">
              <w:t>A single day to be fixed by Proclamation.</w:t>
            </w:r>
          </w:p>
          <w:p w14:paraId="1915CFAB" w14:textId="77777777" w:rsidR="0024483E" w:rsidRPr="00412393" w:rsidRDefault="00B40082" w:rsidP="00697BA6">
            <w:pPr>
              <w:pStyle w:val="Tabletext"/>
            </w:pPr>
            <w:r w:rsidRPr="00412393">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0742A21A" w14:textId="77777777" w:rsidR="00483C07" w:rsidRDefault="000D0C5D" w:rsidP="00697BA6">
            <w:pPr>
              <w:pStyle w:val="Tabletext"/>
            </w:pPr>
            <w:r>
              <w:t>1 November 2023</w:t>
            </w:r>
          </w:p>
          <w:p w14:paraId="74CC9402" w14:textId="628E46E5" w:rsidR="0024483E" w:rsidRPr="00412393" w:rsidRDefault="00483C07" w:rsidP="00697BA6">
            <w:pPr>
              <w:pStyle w:val="Tabletext"/>
            </w:pPr>
            <w:r>
              <w:t>(</w:t>
            </w:r>
            <w:r w:rsidRPr="00483C07">
              <w:t>F2023N00438</w:t>
            </w:r>
            <w:r>
              <w:t>)</w:t>
            </w:r>
          </w:p>
        </w:tc>
      </w:tr>
      <w:tr w:rsidR="0024483E" w:rsidRPr="00412393" w14:paraId="2958051B" w14:textId="77777777" w:rsidTr="00B40082">
        <w:tc>
          <w:tcPr>
            <w:tcW w:w="1701" w:type="dxa"/>
            <w:tcBorders>
              <w:top w:val="single" w:sz="2" w:space="0" w:color="auto"/>
              <w:bottom w:val="single" w:sz="12" w:space="0" w:color="auto"/>
            </w:tcBorders>
            <w:shd w:val="clear" w:color="auto" w:fill="auto"/>
          </w:tcPr>
          <w:p w14:paraId="0E2C3A82" w14:textId="77777777" w:rsidR="0024483E" w:rsidRPr="00412393" w:rsidRDefault="0024483E" w:rsidP="00697BA6">
            <w:pPr>
              <w:pStyle w:val="Tabletext"/>
            </w:pPr>
            <w:r w:rsidRPr="00412393">
              <w:t xml:space="preserve">3.  </w:t>
            </w:r>
            <w:r w:rsidR="00E773B3" w:rsidRPr="00412393">
              <w:t>Schedule 2</w:t>
            </w:r>
          </w:p>
        </w:tc>
        <w:tc>
          <w:tcPr>
            <w:tcW w:w="3828" w:type="dxa"/>
            <w:tcBorders>
              <w:top w:val="single" w:sz="2" w:space="0" w:color="auto"/>
              <w:bottom w:val="single" w:sz="12" w:space="0" w:color="auto"/>
            </w:tcBorders>
            <w:shd w:val="clear" w:color="auto" w:fill="auto"/>
          </w:tcPr>
          <w:p w14:paraId="51CD58C1" w14:textId="77777777" w:rsidR="0024483E" w:rsidRPr="00412393" w:rsidRDefault="00B40082" w:rsidP="00697BA6">
            <w:pPr>
              <w:pStyle w:val="Tabletext"/>
            </w:pPr>
            <w:r w:rsidRPr="00412393">
              <w:t>The day after this Act receives the Royal Assent.</w:t>
            </w:r>
          </w:p>
        </w:tc>
        <w:tc>
          <w:tcPr>
            <w:tcW w:w="1582" w:type="dxa"/>
            <w:tcBorders>
              <w:top w:val="single" w:sz="2" w:space="0" w:color="auto"/>
              <w:bottom w:val="single" w:sz="12" w:space="0" w:color="auto"/>
            </w:tcBorders>
            <w:shd w:val="clear" w:color="auto" w:fill="auto"/>
          </w:tcPr>
          <w:p w14:paraId="4DD2C18C" w14:textId="51E74079" w:rsidR="0024483E" w:rsidRPr="00412393" w:rsidRDefault="004A1AA3" w:rsidP="00697BA6">
            <w:pPr>
              <w:pStyle w:val="Tabletext"/>
            </w:pPr>
            <w:r>
              <w:t>24 June 2023</w:t>
            </w:r>
          </w:p>
        </w:tc>
      </w:tr>
    </w:tbl>
    <w:p w14:paraId="30C8B034" w14:textId="77777777" w:rsidR="0024483E" w:rsidRPr="00412393" w:rsidRDefault="0024483E" w:rsidP="00697BA6">
      <w:pPr>
        <w:pStyle w:val="notetext"/>
      </w:pPr>
      <w:r w:rsidRPr="00412393">
        <w:t>Note:</w:t>
      </w:r>
      <w:r w:rsidRPr="00412393">
        <w:tab/>
        <w:t>This table relates only to the provisions of this Act as originally enacted. It will not be amended to deal with any later amendments of this Act.</w:t>
      </w:r>
    </w:p>
    <w:p w14:paraId="1E1C9B1A" w14:textId="77777777" w:rsidR="0024483E" w:rsidRPr="00412393" w:rsidRDefault="0024483E" w:rsidP="00697BA6">
      <w:pPr>
        <w:pStyle w:val="subsection"/>
      </w:pPr>
      <w:r w:rsidRPr="00412393">
        <w:tab/>
        <w:t>(2)</w:t>
      </w:r>
      <w:r w:rsidRPr="00412393">
        <w:tab/>
        <w:t>Any information in column 3 of the table is not part of this Act. Information may be inserted in this column, or information in it may be edited, in any published version of this Act.</w:t>
      </w:r>
    </w:p>
    <w:p w14:paraId="4A76F09D" w14:textId="77777777" w:rsidR="0048364F" w:rsidRPr="00412393" w:rsidRDefault="0048364F" w:rsidP="00697BA6">
      <w:pPr>
        <w:pStyle w:val="ActHead5"/>
      </w:pPr>
      <w:bookmarkStart w:id="3" w:name="_Toc138422910"/>
      <w:r w:rsidRPr="00697BA6">
        <w:rPr>
          <w:rStyle w:val="CharSectno"/>
        </w:rPr>
        <w:t>3</w:t>
      </w:r>
      <w:r w:rsidRPr="00412393">
        <w:t xml:space="preserve">  Schedules</w:t>
      </w:r>
      <w:bookmarkEnd w:id="3"/>
    </w:p>
    <w:p w14:paraId="4FF98B67" w14:textId="77777777" w:rsidR="0048364F" w:rsidRPr="00412393" w:rsidRDefault="0048364F" w:rsidP="00697BA6">
      <w:pPr>
        <w:pStyle w:val="subsection"/>
      </w:pPr>
      <w:r w:rsidRPr="00412393">
        <w:tab/>
      </w:r>
      <w:r w:rsidRPr="00412393">
        <w:tab/>
      </w:r>
      <w:r w:rsidR="00202618" w:rsidRPr="00412393">
        <w:t xml:space="preserve">Legislation that is specified in a Schedule to this Act is amended or </w:t>
      </w:r>
      <w:bookmarkStart w:id="4" w:name="_GoBack"/>
      <w:bookmarkEnd w:id="4"/>
      <w:r w:rsidR="00202618" w:rsidRPr="00412393">
        <w:t>repealed as set out in the applicable items in the Schedule concerned, and any other item in a Schedule to this Act has effect according to its terms.</w:t>
      </w:r>
    </w:p>
    <w:p w14:paraId="3365DC7D" w14:textId="77777777" w:rsidR="00CA72B9" w:rsidRPr="00412393" w:rsidRDefault="00E773B3" w:rsidP="00697BA6">
      <w:pPr>
        <w:pStyle w:val="ActHead6"/>
        <w:pageBreakBefore/>
      </w:pPr>
      <w:bookmarkStart w:id="5" w:name="_Toc138422911"/>
      <w:bookmarkStart w:id="6" w:name="opcAmSched"/>
      <w:r w:rsidRPr="00697BA6">
        <w:rPr>
          <w:rStyle w:val="CharAmSchNo"/>
        </w:rPr>
        <w:lastRenderedPageBreak/>
        <w:t>Schedule 1</w:t>
      </w:r>
      <w:r w:rsidR="0048364F" w:rsidRPr="00412393">
        <w:t>—</w:t>
      </w:r>
      <w:r w:rsidR="00A92D3E" w:rsidRPr="00697BA6">
        <w:rPr>
          <w:rStyle w:val="CharAmSchText"/>
        </w:rPr>
        <w:t>Documents</w:t>
      </w:r>
      <w:bookmarkEnd w:id="5"/>
    </w:p>
    <w:bookmarkEnd w:id="6"/>
    <w:p w14:paraId="65C87ABA" w14:textId="77777777" w:rsidR="00976953" w:rsidRPr="00697BA6" w:rsidRDefault="00976953" w:rsidP="00697BA6">
      <w:pPr>
        <w:pStyle w:val="Header"/>
      </w:pPr>
      <w:r w:rsidRPr="00697BA6">
        <w:rPr>
          <w:rStyle w:val="CharAmPartNo"/>
        </w:rPr>
        <w:t xml:space="preserve"> </w:t>
      </w:r>
      <w:r w:rsidRPr="00697BA6">
        <w:rPr>
          <w:rStyle w:val="CharAmPartText"/>
        </w:rPr>
        <w:t xml:space="preserve"> </w:t>
      </w:r>
    </w:p>
    <w:p w14:paraId="5719312C" w14:textId="77777777" w:rsidR="00CA72B9" w:rsidRPr="00412393" w:rsidRDefault="00CA72B9" w:rsidP="00697BA6">
      <w:pPr>
        <w:pStyle w:val="ActHead9"/>
        <w:rPr>
          <w:i w:val="0"/>
        </w:rPr>
      </w:pPr>
      <w:bookmarkStart w:id="7" w:name="_Toc138422912"/>
      <w:r w:rsidRPr="00412393">
        <w:t>Migration Act 1958</w:t>
      </w:r>
      <w:bookmarkEnd w:id="7"/>
    </w:p>
    <w:p w14:paraId="7C804BA2" w14:textId="77777777" w:rsidR="000F5291" w:rsidRPr="00412393" w:rsidRDefault="003E7EA4" w:rsidP="00697BA6">
      <w:pPr>
        <w:pStyle w:val="ItemHead"/>
      </w:pPr>
      <w:bookmarkStart w:id="8" w:name="_Hlk133915269"/>
      <w:r w:rsidRPr="00412393">
        <w:t>1</w:t>
      </w:r>
      <w:r w:rsidR="000F5291" w:rsidRPr="00412393">
        <w:t xml:space="preserve">  </w:t>
      </w:r>
      <w:r w:rsidR="00E773B3" w:rsidRPr="00412393">
        <w:t>Subsection 1</w:t>
      </w:r>
      <w:r w:rsidR="000F5291" w:rsidRPr="00412393">
        <w:t>07(1)</w:t>
      </w:r>
    </w:p>
    <w:p w14:paraId="60E28035" w14:textId="77777777" w:rsidR="000F5291" w:rsidRPr="00412393" w:rsidRDefault="000F5291" w:rsidP="00697BA6">
      <w:pPr>
        <w:pStyle w:val="Item"/>
      </w:pPr>
      <w:r w:rsidRPr="00412393">
        <w:t>Omit “</w:t>
      </w:r>
      <w:r w:rsidR="002A494D" w:rsidRPr="00412393">
        <w:t xml:space="preserve">holder </w:t>
      </w:r>
      <w:r w:rsidRPr="00412393">
        <w:t>a notice”, substitute “</w:t>
      </w:r>
      <w:r w:rsidR="002A494D" w:rsidRPr="00412393">
        <w:t xml:space="preserve">holder </w:t>
      </w:r>
      <w:r w:rsidRPr="00412393">
        <w:t>a written notice”.</w:t>
      </w:r>
    </w:p>
    <w:p w14:paraId="6C5D62EB" w14:textId="77777777" w:rsidR="000F5291" w:rsidRPr="00412393" w:rsidRDefault="003E7EA4" w:rsidP="00697BA6">
      <w:pPr>
        <w:pStyle w:val="ItemHead"/>
      </w:pPr>
      <w:r w:rsidRPr="00412393">
        <w:t>2</w:t>
      </w:r>
      <w:r w:rsidR="000F5291" w:rsidRPr="00412393">
        <w:t xml:space="preserve">  After </w:t>
      </w:r>
      <w:r w:rsidR="00E773B3" w:rsidRPr="00412393">
        <w:t>subsection 1</w:t>
      </w:r>
      <w:r w:rsidR="000F5291" w:rsidRPr="00412393">
        <w:t>07(1B)</w:t>
      </w:r>
    </w:p>
    <w:p w14:paraId="55A8C044" w14:textId="77777777" w:rsidR="000F5291" w:rsidRPr="00412393" w:rsidRDefault="000F5291" w:rsidP="00697BA6">
      <w:pPr>
        <w:pStyle w:val="Item"/>
      </w:pPr>
      <w:r w:rsidRPr="00412393">
        <w:t>Insert:</w:t>
      </w:r>
    </w:p>
    <w:p w14:paraId="45E4C3F3" w14:textId="77777777" w:rsidR="000F5291" w:rsidRPr="00412393" w:rsidRDefault="000F5291" w:rsidP="00697BA6">
      <w:pPr>
        <w:pStyle w:val="subsection"/>
      </w:pPr>
      <w:r w:rsidRPr="00412393">
        <w:tab/>
        <w:t>(</w:t>
      </w:r>
      <w:r w:rsidR="002A494D" w:rsidRPr="00412393">
        <w:t>1C</w:t>
      </w:r>
      <w:r w:rsidRPr="00412393">
        <w:t>)</w:t>
      </w:r>
      <w:r w:rsidRPr="00412393">
        <w:tab/>
        <w:t xml:space="preserve">The notice under </w:t>
      </w:r>
      <w:r w:rsidR="00E773B3" w:rsidRPr="00412393">
        <w:t>subsection (</w:t>
      </w:r>
      <w:r w:rsidRPr="00412393">
        <w:t>1) must be given in the prescribed way.</w:t>
      </w:r>
    </w:p>
    <w:p w14:paraId="743E138C" w14:textId="77777777" w:rsidR="00004149" w:rsidRPr="00412393" w:rsidRDefault="003E7EA4" w:rsidP="00697BA6">
      <w:pPr>
        <w:pStyle w:val="ItemHead"/>
      </w:pPr>
      <w:r w:rsidRPr="00412393">
        <w:t>3</w:t>
      </w:r>
      <w:r w:rsidR="00004149" w:rsidRPr="00412393">
        <w:t xml:space="preserve">  At the end of </w:t>
      </w:r>
      <w:r w:rsidR="00E773B3" w:rsidRPr="00412393">
        <w:t>section 1</w:t>
      </w:r>
      <w:r w:rsidR="00004149" w:rsidRPr="00412393">
        <w:t>09</w:t>
      </w:r>
    </w:p>
    <w:p w14:paraId="0C80CCA3" w14:textId="77777777" w:rsidR="00004149" w:rsidRPr="00412393" w:rsidRDefault="00004149" w:rsidP="00697BA6">
      <w:pPr>
        <w:pStyle w:val="Item"/>
      </w:pPr>
      <w:r w:rsidRPr="00412393">
        <w:t>Add:</w:t>
      </w:r>
    </w:p>
    <w:p w14:paraId="4437368C" w14:textId="77777777" w:rsidR="00004149" w:rsidRPr="00412393" w:rsidRDefault="00004149" w:rsidP="00697BA6">
      <w:pPr>
        <w:pStyle w:val="subsection"/>
      </w:pPr>
      <w:r w:rsidRPr="00412393">
        <w:tab/>
        <w:t>(3)</w:t>
      </w:r>
      <w:r w:rsidRPr="00412393">
        <w:tab/>
        <w:t xml:space="preserve">If the Minister cancels a visa under </w:t>
      </w:r>
      <w:r w:rsidR="00E773B3" w:rsidRPr="00412393">
        <w:t>subsection (</w:t>
      </w:r>
      <w:r w:rsidRPr="00412393">
        <w:t>1), the Minister must give the former holder of the visa a written notice</w:t>
      </w:r>
      <w:r w:rsidR="002A494D" w:rsidRPr="00412393">
        <w:t xml:space="preserve"> that</w:t>
      </w:r>
      <w:r w:rsidRPr="00412393">
        <w:t>:</w:t>
      </w:r>
    </w:p>
    <w:p w14:paraId="15346E95" w14:textId="77777777" w:rsidR="00004149" w:rsidRPr="00412393" w:rsidRDefault="00004149" w:rsidP="00697BA6">
      <w:pPr>
        <w:pStyle w:val="paragraph"/>
      </w:pPr>
      <w:r w:rsidRPr="00412393">
        <w:tab/>
        <w:t>(a)</w:t>
      </w:r>
      <w:r w:rsidRPr="00412393">
        <w:tab/>
        <w:t>sets out the decision; and</w:t>
      </w:r>
    </w:p>
    <w:p w14:paraId="1782F5D1" w14:textId="77777777" w:rsidR="00004149" w:rsidRPr="00412393" w:rsidRDefault="00004149" w:rsidP="00697BA6">
      <w:pPr>
        <w:pStyle w:val="paragraph"/>
      </w:pPr>
      <w:r w:rsidRPr="00412393">
        <w:tab/>
        <w:t>(b)</w:t>
      </w:r>
      <w:r w:rsidRPr="00412393">
        <w:tab/>
        <w:t>specifies the ground for the cancellation</w:t>
      </w:r>
      <w:r w:rsidR="00447C7C" w:rsidRPr="00412393">
        <w:t>; and</w:t>
      </w:r>
    </w:p>
    <w:p w14:paraId="161D026F" w14:textId="77777777" w:rsidR="00447C7C" w:rsidRPr="00412393" w:rsidRDefault="00447C7C" w:rsidP="00697BA6">
      <w:pPr>
        <w:pStyle w:val="paragraph"/>
      </w:pPr>
      <w:r w:rsidRPr="00412393">
        <w:tab/>
        <w:t>(c)</w:t>
      </w:r>
      <w:r w:rsidRPr="00412393">
        <w:tab/>
        <w:t>states whether the decision is reviewable under Part 5 or 7; and</w:t>
      </w:r>
    </w:p>
    <w:p w14:paraId="71F315F1" w14:textId="77777777" w:rsidR="00447C7C" w:rsidRPr="00412393" w:rsidRDefault="00447C7C" w:rsidP="00697BA6">
      <w:pPr>
        <w:pStyle w:val="paragraph"/>
      </w:pPr>
      <w:r w:rsidRPr="00412393">
        <w:tab/>
        <w:t>(d)</w:t>
      </w:r>
      <w:r w:rsidRPr="00412393">
        <w:tab/>
        <w:t>if the former holder has a right to have the decision reviewed under Part 5 or 7—state</w:t>
      </w:r>
      <w:r w:rsidR="001C46B6" w:rsidRPr="00412393">
        <w:t>s</w:t>
      </w:r>
      <w:r w:rsidRPr="00412393">
        <w:t>:</w:t>
      </w:r>
    </w:p>
    <w:p w14:paraId="159DB28B" w14:textId="77777777" w:rsidR="00447C7C" w:rsidRPr="00412393" w:rsidRDefault="00447C7C" w:rsidP="00697BA6">
      <w:pPr>
        <w:pStyle w:val="paragraphsub"/>
      </w:pPr>
      <w:r w:rsidRPr="00412393">
        <w:tab/>
        <w:t>(i)</w:t>
      </w:r>
      <w:r w:rsidRPr="00412393">
        <w:tab/>
        <w:t>that the decision can be reviewed; and</w:t>
      </w:r>
    </w:p>
    <w:p w14:paraId="5DD738DD" w14:textId="77777777" w:rsidR="00447C7C" w:rsidRPr="00412393" w:rsidRDefault="00447C7C" w:rsidP="00697BA6">
      <w:pPr>
        <w:pStyle w:val="paragraphsub"/>
      </w:pPr>
      <w:r w:rsidRPr="00412393">
        <w:tab/>
        <w:t>(ii)</w:t>
      </w:r>
      <w:r w:rsidRPr="00412393">
        <w:tab/>
        <w:t>the time in which the application for review may be made; and</w:t>
      </w:r>
    </w:p>
    <w:p w14:paraId="24AD633C" w14:textId="77777777" w:rsidR="00447C7C" w:rsidRPr="00412393" w:rsidRDefault="00447C7C" w:rsidP="00697BA6">
      <w:pPr>
        <w:pStyle w:val="paragraphsub"/>
      </w:pPr>
      <w:r w:rsidRPr="00412393">
        <w:tab/>
        <w:t>(iii)</w:t>
      </w:r>
      <w:r w:rsidRPr="00412393">
        <w:tab/>
        <w:t>who can apply for the review; and</w:t>
      </w:r>
    </w:p>
    <w:p w14:paraId="2AC4AC52" w14:textId="77777777" w:rsidR="00447C7C" w:rsidRPr="00412393" w:rsidRDefault="00447C7C" w:rsidP="00697BA6">
      <w:pPr>
        <w:pStyle w:val="paragraphsub"/>
      </w:pPr>
      <w:r w:rsidRPr="00412393">
        <w:tab/>
        <w:t>(iv)</w:t>
      </w:r>
      <w:r w:rsidRPr="00412393">
        <w:tab/>
        <w:t>where the application for review can be made.</w:t>
      </w:r>
    </w:p>
    <w:p w14:paraId="5613901E" w14:textId="77777777" w:rsidR="00004149" w:rsidRPr="00412393" w:rsidRDefault="00004149" w:rsidP="00697BA6">
      <w:pPr>
        <w:pStyle w:val="subsection"/>
      </w:pPr>
      <w:r w:rsidRPr="00412393">
        <w:tab/>
        <w:t>(4)</w:t>
      </w:r>
      <w:r w:rsidRPr="00412393">
        <w:tab/>
        <w:t xml:space="preserve">The notice under </w:t>
      </w:r>
      <w:r w:rsidR="00E773B3" w:rsidRPr="00412393">
        <w:t>subsection (</w:t>
      </w:r>
      <w:r w:rsidRPr="00412393">
        <w:t>3) must be given in the prescribed way.</w:t>
      </w:r>
    </w:p>
    <w:p w14:paraId="478CAFEE" w14:textId="77777777" w:rsidR="00447C7C" w:rsidRPr="00412393" w:rsidRDefault="00447C7C" w:rsidP="00697BA6">
      <w:pPr>
        <w:pStyle w:val="subsection"/>
      </w:pPr>
      <w:r w:rsidRPr="00412393">
        <w:tab/>
        <w:t>(5)</w:t>
      </w:r>
      <w:r w:rsidRPr="00412393">
        <w:tab/>
      </w:r>
      <w:r w:rsidR="000567E1" w:rsidRPr="00412393">
        <w:t>Failure to give notice of a decision</w:t>
      </w:r>
      <w:r w:rsidRPr="00412393">
        <w:t xml:space="preserve"> does not affect the validity of the decision.</w:t>
      </w:r>
    </w:p>
    <w:p w14:paraId="7B461FEA" w14:textId="77777777" w:rsidR="00B06653" w:rsidRPr="00412393" w:rsidRDefault="003E7EA4" w:rsidP="00697BA6">
      <w:pPr>
        <w:pStyle w:val="ItemHead"/>
      </w:pPr>
      <w:r w:rsidRPr="00412393">
        <w:t>4</w:t>
      </w:r>
      <w:r w:rsidR="00B06653" w:rsidRPr="00412393">
        <w:t xml:space="preserve">  </w:t>
      </w:r>
      <w:r w:rsidR="00E773B3" w:rsidRPr="00412393">
        <w:t>Subsection 1</w:t>
      </w:r>
      <w:r w:rsidR="00B06653" w:rsidRPr="00412393">
        <w:t>19(1)</w:t>
      </w:r>
    </w:p>
    <w:p w14:paraId="4C4347C6" w14:textId="77777777" w:rsidR="00B06653" w:rsidRPr="00412393" w:rsidRDefault="00B06653" w:rsidP="00697BA6">
      <w:pPr>
        <w:pStyle w:val="Item"/>
      </w:pPr>
      <w:r w:rsidRPr="00412393">
        <w:t>Omit “must notify”, substitute “must, in writing, notify”.</w:t>
      </w:r>
    </w:p>
    <w:p w14:paraId="4C2542D5" w14:textId="77777777" w:rsidR="00B06653" w:rsidRPr="00412393" w:rsidRDefault="003E7EA4" w:rsidP="00697BA6">
      <w:pPr>
        <w:pStyle w:val="ItemHead"/>
      </w:pPr>
      <w:r w:rsidRPr="00412393">
        <w:lastRenderedPageBreak/>
        <w:t>5</w:t>
      </w:r>
      <w:r w:rsidR="00B06653" w:rsidRPr="00412393">
        <w:t xml:space="preserve">  </w:t>
      </w:r>
      <w:r w:rsidR="00E773B3" w:rsidRPr="00412393">
        <w:t>Subsections 1</w:t>
      </w:r>
      <w:r w:rsidR="00B06653" w:rsidRPr="00412393">
        <w:t>19(2) and (3)</w:t>
      </w:r>
    </w:p>
    <w:p w14:paraId="4C81BF4B" w14:textId="77777777" w:rsidR="00B06653" w:rsidRPr="00412393" w:rsidRDefault="00B06653" w:rsidP="00697BA6">
      <w:pPr>
        <w:pStyle w:val="Item"/>
      </w:pPr>
      <w:r w:rsidRPr="00412393">
        <w:t>Repeal the subsections, substitute:</w:t>
      </w:r>
    </w:p>
    <w:p w14:paraId="289478E3" w14:textId="77777777" w:rsidR="00B06653" w:rsidRPr="00412393" w:rsidRDefault="00B06653" w:rsidP="00697BA6">
      <w:pPr>
        <w:pStyle w:val="subsection"/>
      </w:pPr>
      <w:r w:rsidRPr="00412393">
        <w:tab/>
        <w:t>(2)</w:t>
      </w:r>
      <w:r w:rsidRPr="00412393">
        <w:tab/>
        <w:t xml:space="preserve">The notification under </w:t>
      </w:r>
      <w:r w:rsidR="00E773B3" w:rsidRPr="00412393">
        <w:t>subsection (</w:t>
      </w:r>
      <w:r w:rsidRPr="00412393">
        <w:t>1) must be given in the prescribed way.</w:t>
      </w:r>
    </w:p>
    <w:p w14:paraId="62EE71BB" w14:textId="77777777" w:rsidR="00557688" w:rsidRPr="00412393" w:rsidRDefault="003E7EA4" w:rsidP="00697BA6">
      <w:pPr>
        <w:pStyle w:val="ItemHead"/>
      </w:pPr>
      <w:r w:rsidRPr="00412393">
        <w:t>6</w:t>
      </w:r>
      <w:r w:rsidR="00557688" w:rsidRPr="00412393">
        <w:t xml:space="preserve">  </w:t>
      </w:r>
      <w:r w:rsidR="00E773B3" w:rsidRPr="00412393">
        <w:t>Subsection 1</w:t>
      </w:r>
      <w:r w:rsidR="00557688" w:rsidRPr="00412393">
        <w:t>20(2)</w:t>
      </w:r>
    </w:p>
    <w:p w14:paraId="708E07E5" w14:textId="77777777" w:rsidR="00557688" w:rsidRPr="00412393" w:rsidRDefault="00557688" w:rsidP="00697BA6">
      <w:pPr>
        <w:pStyle w:val="Item"/>
      </w:pPr>
      <w:r w:rsidRPr="00412393">
        <w:t>After “must”, insert “by written notice”.</w:t>
      </w:r>
    </w:p>
    <w:p w14:paraId="13D1CACA" w14:textId="77777777" w:rsidR="00557688" w:rsidRPr="00412393" w:rsidRDefault="003E7EA4" w:rsidP="00697BA6">
      <w:pPr>
        <w:pStyle w:val="ItemHead"/>
      </w:pPr>
      <w:r w:rsidRPr="00412393">
        <w:t>7</w:t>
      </w:r>
      <w:r w:rsidR="00557688" w:rsidRPr="00412393">
        <w:t xml:space="preserve">  </w:t>
      </w:r>
      <w:r w:rsidR="00E773B3" w:rsidRPr="00412393">
        <w:t>Paragraph 1</w:t>
      </w:r>
      <w:r w:rsidR="00557688" w:rsidRPr="00412393">
        <w:t>20(2)(b)</w:t>
      </w:r>
    </w:p>
    <w:p w14:paraId="725D5EC1" w14:textId="77777777" w:rsidR="00557688" w:rsidRPr="00412393" w:rsidRDefault="00557688" w:rsidP="00697BA6">
      <w:pPr>
        <w:pStyle w:val="Item"/>
      </w:pPr>
      <w:r w:rsidRPr="00412393">
        <w:t>Omit “ensure, as far as reasonably practicable, that the holder understands”, substitute “set out”.</w:t>
      </w:r>
    </w:p>
    <w:p w14:paraId="0308F4DF" w14:textId="77777777" w:rsidR="00F63214" w:rsidRPr="00412393" w:rsidRDefault="003E7EA4" w:rsidP="00697BA6">
      <w:pPr>
        <w:pStyle w:val="ItemHead"/>
      </w:pPr>
      <w:r w:rsidRPr="00412393">
        <w:t>8</w:t>
      </w:r>
      <w:r w:rsidR="00F63214" w:rsidRPr="00412393">
        <w:t xml:space="preserve">  </w:t>
      </w:r>
      <w:r w:rsidR="00E773B3" w:rsidRPr="00412393">
        <w:t>Subsection 1</w:t>
      </w:r>
      <w:r w:rsidR="00F63214" w:rsidRPr="00412393">
        <w:t>20(3)</w:t>
      </w:r>
    </w:p>
    <w:p w14:paraId="09A6D214" w14:textId="77777777" w:rsidR="00F63214" w:rsidRPr="00412393" w:rsidRDefault="00F63214" w:rsidP="00697BA6">
      <w:pPr>
        <w:pStyle w:val="Item"/>
      </w:pPr>
      <w:r w:rsidRPr="00412393">
        <w:t>Repeal the subsection, substitute:</w:t>
      </w:r>
    </w:p>
    <w:p w14:paraId="5FD5EC2F" w14:textId="77777777" w:rsidR="00557688" w:rsidRPr="00412393" w:rsidRDefault="00F63214" w:rsidP="00697BA6">
      <w:pPr>
        <w:pStyle w:val="subsection"/>
      </w:pPr>
      <w:r w:rsidRPr="00412393">
        <w:tab/>
        <w:t>(</w:t>
      </w:r>
      <w:r w:rsidR="00557688" w:rsidRPr="00412393">
        <w:t>3</w:t>
      </w:r>
      <w:r w:rsidRPr="00412393">
        <w:t>)</w:t>
      </w:r>
      <w:r w:rsidRPr="00412393">
        <w:tab/>
        <w:t xml:space="preserve">The notice under </w:t>
      </w:r>
      <w:r w:rsidR="00E773B3" w:rsidRPr="00412393">
        <w:t>subsection (</w:t>
      </w:r>
      <w:r w:rsidRPr="00412393">
        <w:t>2) must be given in the prescribed way.</w:t>
      </w:r>
    </w:p>
    <w:p w14:paraId="2CD2AA45" w14:textId="77777777" w:rsidR="00F63214" w:rsidRPr="00412393" w:rsidRDefault="003E7EA4" w:rsidP="00697BA6">
      <w:pPr>
        <w:pStyle w:val="ItemHead"/>
      </w:pPr>
      <w:r w:rsidRPr="00412393">
        <w:t>9</w:t>
      </w:r>
      <w:r w:rsidR="00F63214" w:rsidRPr="00412393">
        <w:t xml:space="preserve">  </w:t>
      </w:r>
      <w:r w:rsidR="00E773B3" w:rsidRPr="00412393">
        <w:t>Subsection 1</w:t>
      </w:r>
      <w:r w:rsidR="00F63214" w:rsidRPr="00412393">
        <w:t>27(1)</w:t>
      </w:r>
    </w:p>
    <w:p w14:paraId="28DAF681" w14:textId="77777777" w:rsidR="00F63214" w:rsidRPr="00412393" w:rsidRDefault="00F63214" w:rsidP="00697BA6">
      <w:pPr>
        <w:pStyle w:val="Item"/>
      </w:pPr>
      <w:r w:rsidRPr="00412393">
        <w:t xml:space="preserve">Omit </w:t>
      </w:r>
      <w:r w:rsidR="003C5BD3" w:rsidRPr="00412393">
        <w:t>“the prescribed way”, substitute “writing”.</w:t>
      </w:r>
    </w:p>
    <w:p w14:paraId="732F79BE" w14:textId="77777777" w:rsidR="003C5BD3" w:rsidRPr="00412393" w:rsidRDefault="003E7EA4" w:rsidP="00697BA6">
      <w:pPr>
        <w:pStyle w:val="ItemHead"/>
      </w:pPr>
      <w:r w:rsidRPr="00412393">
        <w:t>10</w:t>
      </w:r>
      <w:r w:rsidR="003C5BD3" w:rsidRPr="00412393">
        <w:t xml:space="preserve">  </w:t>
      </w:r>
      <w:r w:rsidR="00203883" w:rsidRPr="00412393">
        <w:t xml:space="preserve">After </w:t>
      </w:r>
      <w:r w:rsidR="00E773B3" w:rsidRPr="00412393">
        <w:t>subsection 1</w:t>
      </w:r>
      <w:r w:rsidR="003C5BD3" w:rsidRPr="00412393">
        <w:t>27(</w:t>
      </w:r>
      <w:r w:rsidR="00203883" w:rsidRPr="00412393">
        <w:t>2)</w:t>
      </w:r>
    </w:p>
    <w:p w14:paraId="7F5E67C7" w14:textId="77777777" w:rsidR="003C5BD3" w:rsidRPr="00412393" w:rsidRDefault="00203883" w:rsidP="00697BA6">
      <w:pPr>
        <w:pStyle w:val="Item"/>
      </w:pPr>
      <w:r w:rsidRPr="00412393">
        <w:t>Insert</w:t>
      </w:r>
      <w:r w:rsidR="003C5BD3" w:rsidRPr="00412393">
        <w:t>:</w:t>
      </w:r>
    </w:p>
    <w:p w14:paraId="63C043F0" w14:textId="77777777" w:rsidR="003C5BD3" w:rsidRPr="00412393" w:rsidRDefault="003C5BD3" w:rsidP="00697BA6">
      <w:pPr>
        <w:pStyle w:val="subsection"/>
      </w:pPr>
      <w:r w:rsidRPr="00412393">
        <w:tab/>
        <w:t>(</w:t>
      </w:r>
      <w:r w:rsidR="00203883" w:rsidRPr="00412393">
        <w:t>2A</w:t>
      </w:r>
      <w:r w:rsidRPr="00412393">
        <w:t>)</w:t>
      </w:r>
      <w:r w:rsidRPr="00412393">
        <w:tab/>
        <w:t xml:space="preserve">The notification under </w:t>
      </w:r>
      <w:r w:rsidR="00E773B3" w:rsidRPr="00412393">
        <w:t>subsection (</w:t>
      </w:r>
      <w:r w:rsidRPr="00412393">
        <w:t>1) must be given in the prescribed way.</w:t>
      </w:r>
    </w:p>
    <w:p w14:paraId="61FB37C2" w14:textId="77777777" w:rsidR="003C5BD3" w:rsidRPr="00412393" w:rsidRDefault="003E7EA4" w:rsidP="00697BA6">
      <w:pPr>
        <w:pStyle w:val="ItemHead"/>
      </w:pPr>
      <w:r w:rsidRPr="00412393">
        <w:t>11</w:t>
      </w:r>
      <w:r w:rsidR="003C5BD3" w:rsidRPr="00412393">
        <w:t xml:space="preserve">  </w:t>
      </w:r>
      <w:r w:rsidR="00E773B3" w:rsidRPr="00412393">
        <w:t>Subsection 1</w:t>
      </w:r>
      <w:r w:rsidR="003C5BD3" w:rsidRPr="00412393">
        <w:t>29(1)</w:t>
      </w:r>
    </w:p>
    <w:p w14:paraId="7D970B0E" w14:textId="77777777" w:rsidR="003C5BD3" w:rsidRPr="00412393" w:rsidRDefault="003C5BD3" w:rsidP="00697BA6">
      <w:pPr>
        <w:pStyle w:val="Item"/>
      </w:pPr>
      <w:r w:rsidRPr="00412393">
        <w:t>Before “notice”, insert “written”.</w:t>
      </w:r>
    </w:p>
    <w:p w14:paraId="26900269" w14:textId="77777777" w:rsidR="00CE20C8" w:rsidRPr="00412393" w:rsidRDefault="003E7EA4" w:rsidP="00697BA6">
      <w:pPr>
        <w:pStyle w:val="ItemHead"/>
      </w:pPr>
      <w:r w:rsidRPr="00412393">
        <w:t>12</w:t>
      </w:r>
      <w:r w:rsidR="00CE20C8" w:rsidRPr="00412393">
        <w:t xml:space="preserve">  </w:t>
      </w:r>
      <w:r w:rsidR="00E773B3" w:rsidRPr="00412393">
        <w:t>Section 1</w:t>
      </w:r>
      <w:r w:rsidR="00CE20C8" w:rsidRPr="00412393">
        <w:t>32</w:t>
      </w:r>
    </w:p>
    <w:p w14:paraId="7DB94664" w14:textId="77777777" w:rsidR="00CE20C8" w:rsidRPr="00412393" w:rsidRDefault="00CE20C8" w:rsidP="00697BA6">
      <w:pPr>
        <w:pStyle w:val="Item"/>
      </w:pPr>
      <w:r w:rsidRPr="00412393">
        <w:t>Before “When,”, insert “(1)”.</w:t>
      </w:r>
    </w:p>
    <w:p w14:paraId="47CE58C6" w14:textId="77777777" w:rsidR="003C5BD3" w:rsidRPr="00412393" w:rsidRDefault="003E7EA4" w:rsidP="00697BA6">
      <w:pPr>
        <w:pStyle w:val="ItemHead"/>
      </w:pPr>
      <w:r w:rsidRPr="00412393">
        <w:t>13</w:t>
      </w:r>
      <w:r w:rsidR="003C5BD3" w:rsidRPr="00412393">
        <w:t xml:space="preserve">  </w:t>
      </w:r>
      <w:r w:rsidR="00E773B3" w:rsidRPr="00412393">
        <w:t>Section 1</w:t>
      </w:r>
      <w:r w:rsidR="003C5BD3" w:rsidRPr="00412393">
        <w:t>32</w:t>
      </w:r>
    </w:p>
    <w:p w14:paraId="523073E1" w14:textId="77777777" w:rsidR="003C5BD3" w:rsidRPr="00412393" w:rsidRDefault="003C5BD3" w:rsidP="00697BA6">
      <w:pPr>
        <w:pStyle w:val="Item"/>
      </w:pPr>
      <w:r w:rsidRPr="00412393">
        <w:t>Omit “the prescribed way”, substitute “writing”.</w:t>
      </w:r>
    </w:p>
    <w:p w14:paraId="27DA5150" w14:textId="77777777" w:rsidR="00CE20C8" w:rsidRPr="00412393" w:rsidRDefault="003E7EA4" w:rsidP="00697BA6">
      <w:pPr>
        <w:pStyle w:val="ItemHead"/>
      </w:pPr>
      <w:r w:rsidRPr="00412393">
        <w:lastRenderedPageBreak/>
        <w:t>14</w:t>
      </w:r>
      <w:r w:rsidR="00CE20C8" w:rsidRPr="00412393">
        <w:t xml:space="preserve">  At the end of </w:t>
      </w:r>
      <w:r w:rsidR="00E773B3" w:rsidRPr="00412393">
        <w:t>section 1</w:t>
      </w:r>
      <w:r w:rsidR="00CE20C8" w:rsidRPr="00412393">
        <w:t>32</w:t>
      </w:r>
    </w:p>
    <w:p w14:paraId="7D6E23FB" w14:textId="77777777" w:rsidR="00CE20C8" w:rsidRPr="00412393" w:rsidRDefault="00CE20C8" w:rsidP="00697BA6">
      <w:pPr>
        <w:pStyle w:val="Item"/>
      </w:pPr>
      <w:r w:rsidRPr="00412393">
        <w:t>Add:</w:t>
      </w:r>
    </w:p>
    <w:p w14:paraId="05673DB0" w14:textId="77777777" w:rsidR="00CE20C8" w:rsidRPr="00412393" w:rsidRDefault="00CE20C8" w:rsidP="00697BA6">
      <w:pPr>
        <w:pStyle w:val="subsection"/>
      </w:pPr>
      <w:r w:rsidRPr="00412393">
        <w:tab/>
        <w:t>(2)</w:t>
      </w:r>
      <w:r w:rsidRPr="00412393">
        <w:tab/>
        <w:t xml:space="preserve">The notification under </w:t>
      </w:r>
      <w:r w:rsidR="00E773B3" w:rsidRPr="00412393">
        <w:t>subsection (</w:t>
      </w:r>
      <w:r w:rsidRPr="00412393">
        <w:t>1) must be given in the prescribed way.</w:t>
      </w:r>
    </w:p>
    <w:p w14:paraId="64B632D2" w14:textId="77777777" w:rsidR="005E2801" w:rsidRPr="00412393" w:rsidRDefault="003E7EA4" w:rsidP="00697BA6">
      <w:pPr>
        <w:pStyle w:val="ItemHead"/>
      </w:pPr>
      <w:r w:rsidRPr="00412393">
        <w:t>15</w:t>
      </w:r>
      <w:r w:rsidR="005E2801" w:rsidRPr="00412393">
        <w:t xml:space="preserve">  </w:t>
      </w:r>
      <w:r w:rsidR="00E773B3" w:rsidRPr="00412393">
        <w:t>Subsection 1</w:t>
      </w:r>
      <w:r w:rsidR="005E2801" w:rsidRPr="00412393">
        <w:t>33E(2)</w:t>
      </w:r>
    </w:p>
    <w:p w14:paraId="3CC890BC" w14:textId="77777777" w:rsidR="005E2801" w:rsidRPr="00412393" w:rsidRDefault="005E2801" w:rsidP="00697BA6">
      <w:pPr>
        <w:pStyle w:val="Item"/>
      </w:pPr>
      <w:r w:rsidRPr="00412393">
        <w:t>Omit “manner”, substitute “way”.</w:t>
      </w:r>
    </w:p>
    <w:p w14:paraId="75654C18" w14:textId="77777777" w:rsidR="00434B57" w:rsidRPr="00412393" w:rsidRDefault="003E7EA4" w:rsidP="00697BA6">
      <w:pPr>
        <w:pStyle w:val="ItemHead"/>
      </w:pPr>
      <w:r w:rsidRPr="00412393">
        <w:t>16</w:t>
      </w:r>
      <w:r w:rsidR="00434B57" w:rsidRPr="00412393">
        <w:t xml:space="preserve">  </w:t>
      </w:r>
      <w:r w:rsidR="00E773B3" w:rsidRPr="00412393">
        <w:t>Paragraph 1</w:t>
      </w:r>
      <w:r w:rsidR="00434B57" w:rsidRPr="00412393">
        <w:t>33F(3)(a)</w:t>
      </w:r>
    </w:p>
    <w:p w14:paraId="4A251FB7" w14:textId="77777777" w:rsidR="00434B57" w:rsidRPr="00412393" w:rsidRDefault="00434B57" w:rsidP="00697BA6">
      <w:pPr>
        <w:pStyle w:val="Item"/>
      </w:pPr>
      <w:r w:rsidRPr="00412393">
        <w:t>Omit “way that the Minister considers appropriate in the circumstances”, substitute “prescribed way”.</w:t>
      </w:r>
    </w:p>
    <w:p w14:paraId="0D3E9802" w14:textId="77777777" w:rsidR="005E2801" w:rsidRPr="00412393" w:rsidRDefault="003E7EA4" w:rsidP="00697BA6">
      <w:pPr>
        <w:pStyle w:val="ItemHead"/>
      </w:pPr>
      <w:r w:rsidRPr="00412393">
        <w:t>17</w:t>
      </w:r>
      <w:r w:rsidR="005E2801" w:rsidRPr="00412393">
        <w:t xml:space="preserve">  </w:t>
      </w:r>
      <w:r w:rsidR="00E773B3" w:rsidRPr="00412393">
        <w:t>Subsection 1</w:t>
      </w:r>
      <w:r w:rsidR="005E2801" w:rsidRPr="00412393">
        <w:t>34E(1)</w:t>
      </w:r>
    </w:p>
    <w:p w14:paraId="355A471D" w14:textId="77777777" w:rsidR="005E2801" w:rsidRPr="00412393" w:rsidRDefault="005E2801" w:rsidP="00697BA6">
      <w:pPr>
        <w:pStyle w:val="Item"/>
      </w:pPr>
      <w:r w:rsidRPr="00412393">
        <w:t>Before “notice”, insert “written”.</w:t>
      </w:r>
    </w:p>
    <w:p w14:paraId="6366FAD3" w14:textId="77777777" w:rsidR="005E2801" w:rsidRPr="00412393" w:rsidRDefault="003E7EA4" w:rsidP="00697BA6">
      <w:pPr>
        <w:pStyle w:val="ItemHead"/>
      </w:pPr>
      <w:r w:rsidRPr="00412393">
        <w:t>18</w:t>
      </w:r>
      <w:r w:rsidR="005E2801" w:rsidRPr="00412393">
        <w:t xml:space="preserve">  After </w:t>
      </w:r>
      <w:r w:rsidR="00E773B3" w:rsidRPr="00412393">
        <w:t>subsection 1</w:t>
      </w:r>
      <w:r w:rsidR="005E2801" w:rsidRPr="00412393">
        <w:t>34(7)</w:t>
      </w:r>
    </w:p>
    <w:p w14:paraId="00B161F3" w14:textId="77777777" w:rsidR="005E2801" w:rsidRPr="00412393" w:rsidRDefault="005E2801" w:rsidP="00697BA6">
      <w:pPr>
        <w:pStyle w:val="Item"/>
      </w:pPr>
      <w:r w:rsidRPr="00412393">
        <w:t>Insert:</w:t>
      </w:r>
    </w:p>
    <w:p w14:paraId="30074CF8" w14:textId="77777777" w:rsidR="002178EA" w:rsidRPr="00412393" w:rsidRDefault="002178EA" w:rsidP="00697BA6">
      <w:pPr>
        <w:pStyle w:val="subsection"/>
      </w:pPr>
      <w:r w:rsidRPr="00412393">
        <w:tab/>
        <w:t>(7A)</w:t>
      </w:r>
      <w:r w:rsidRPr="00412393">
        <w:tab/>
        <w:t xml:space="preserve">The </w:t>
      </w:r>
      <w:r w:rsidR="00564121" w:rsidRPr="00412393">
        <w:t>notice</w:t>
      </w:r>
      <w:r w:rsidRPr="00412393">
        <w:t xml:space="preserve"> under </w:t>
      </w:r>
      <w:r w:rsidR="00E773B3" w:rsidRPr="00412393">
        <w:t>subsection (</w:t>
      </w:r>
      <w:r w:rsidR="00564121" w:rsidRPr="00412393">
        <w:t>7</w:t>
      </w:r>
      <w:r w:rsidRPr="00412393">
        <w:t>) must be given in the prescribed way.</w:t>
      </w:r>
    </w:p>
    <w:p w14:paraId="23208796" w14:textId="77777777" w:rsidR="00B22FD6" w:rsidRPr="00412393" w:rsidRDefault="003E7EA4" w:rsidP="00697BA6">
      <w:pPr>
        <w:pStyle w:val="ItemHead"/>
      </w:pPr>
      <w:r w:rsidRPr="00412393">
        <w:t>19</w:t>
      </w:r>
      <w:r w:rsidR="00B22FD6" w:rsidRPr="00412393">
        <w:t xml:space="preserve">  At the end of </w:t>
      </w:r>
      <w:r w:rsidR="00E773B3" w:rsidRPr="00412393">
        <w:t>section 1</w:t>
      </w:r>
      <w:r w:rsidR="00B22FD6" w:rsidRPr="00412393">
        <w:t>35</w:t>
      </w:r>
    </w:p>
    <w:p w14:paraId="31FE3B08" w14:textId="77777777" w:rsidR="00B22FD6" w:rsidRPr="00412393" w:rsidRDefault="00F551D6" w:rsidP="00697BA6">
      <w:pPr>
        <w:pStyle w:val="Item"/>
      </w:pPr>
      <w:r w:rsidRPr="00412393">
        <w:t>Add</w:t>
      </w:r>
      <w:r w:rsidR="00B22FD6" w:rsidRPr="00412393">
        <w:t>:</w:t>
      </w:r>
    </w:p>
    <w:p w14:paraId="012B6037" w14:textId="77777777" w:rsidR="00B22FD6" w:rsidRPr="00412393" w:rsidRDefault="00B22FD6" w:rsidP="00697BA6">
      <w:pPr>
        <w:pStyle w:val="subsection"/>
      </w:pPr>
      <w:r w:rsidRPr="00412393">
        <w:tab/>
        <w:t>(</w:t>
      </w:r>
      <w:r w:rsidR="00F551D6" w:rsidRPr="00412393">
        <w:t>6</w:t>
      </w:r>
      <w:r w:rsidRPr="00412393">
        <w:t>)</w:t>
      </w:r>
      <w:r w:rsidRPr="00412393">
        <w:tab/>
      </w:r>
      <w:r w:rsidR="00F551D6" w:rsidRPr="00412393">
        <w:t>A</w:t>
      </w:r>
      <w:r w:rsidRPr="00412393">
        <w:t xml:space="preserve"> notice under </w:t>
      </w:r>
      <w:r w:rsidR="00E773B3" w:rsidRPr="00412393">
        <w:t>subsection (</w:t>
      </w:r>
      <w:r w:rsidR="00F551D6" w:rsidRPr="00412393">
        <w:t>1</w:t>
      </w:r>
      <w:r w:rsidRPr="00412393">
        <w:t xml:space="preserve">) </w:t>
      </w:r>
      <w:r w:rsidR="00F551D6" w:rsidRPr="00412393">
        <w:t xml:space="preserve">or (5) </w:t>
      </w:r>
      <w:r w:rsidRPr="00412393">
        <w:t>must be given in the prescribed way.</w:t>
      </w:r>
    </w:p>
    <w:p w14:paraId="7816BF95" w14:textId="77777777" w:rsidR="00F551D6" w:rsidRPr="00412393" w:rsidRDefault="003E7EA4" w:rsidP="00697BA6">
      <w:pPr>
        <w:pStyle w:val="ItemHead"/>
      </w:pPr>
      <w:r w:rsidRPr="00412393">
        <w:t>20</w:t>
      </w:r>
      <w:r w:rsidR="00F551D6" w:rsidRPr="00412393">
        <w:t xml:space="preserve">  At the end of </w:t>
      </w:r>
      <w:r w:rsidR="00E773B3" w:rsidRPr="00412393">
        <w:t>section 1</w:t>
      </w:r>
      <w:r w:rsidR="00F551D6" w:rsidRPr="00412393">
        <w:t>37R</w:t>
      </w:r>
    </w:p>
    <w:p w14:paraId="1BC0B606" w14:textId="77777777" w:rsidR="00F551D6" w:rsidRPr="00412393" w:rsidRDefault="00F551D6" w:rsidP="00697BA6">
      <w:pPr>
        <w:pStyle w:val="Item"/>
      </w:pPr>
      <w:r w:rsidRPr="00412393">
        <w:t>Add:</w:t>
      </w:r>
    </w:p>
    <w:p w14:paraId="4B13C764" w14:textId="77777777" w:rsidR="00F551D6" w:rsidRPr="00412393" w:rsidRDefault="00F551D6" w:rsidP="00697BA6">
      <w:pPr>
        <w:pStyle w:val="subsection"/>
      </w:pPr>
      <w:r w:rsidRPr="00412393">
        <w:tab/>
        <w:t>(4)</w:t>
      </w:r>
      <w:r w:rsidRPr="00412393">
        <w:tab/>
        <w:t xml:space="preserve">A notice under </w:t>
      </w:r>
      <w:r w:rsidR="00E773B3" w:rsidRPr="00412393">
        <w:t>subsection (</w:t>
      </w:r>
      <w:r w:rsidRPr="00412393">
        <w:t>1) or (3) must be given in the prescribed way.</w:t>
      </w:r>
    </w:p>
    <w:p w14:paraId="50D51E8B" w14:textId="77777777" w:rsidR="00DC0F2F" w:rsidRPr="00412393" w:rsidRDefault="003E7EA4" w:rsidP="00697BA6">
      <w:pPr>
        <w:pStyle w:val="ItemHead"/>
      </w:pPr>
      <w:r w:rsidRPr="00412393">
        <w:t>21</w:t>
      </w:r>
      <w:r w:rsidR="00DC0F2F" w:rsidRPr="00412393">
        <w:t xml:space="preserve">  After </w:t>
      </w:r>
      <w:r w:rsidR="00E773B3" w:rsidRPr="00412393">
        <w:t>subsection 1</w:t>
      </w:r>
      <w:r w:rsidR="00DC0F2F" w:rsidRPr="00412393">
        <w:t>37S(1)</w:t>
      </w:r>
    </w:p>
    <w:p w14:paraId="1B01A4D2" w14:textId="77777777" w:rsidR="00DC0F2F" w:rsidRPr="00412393" w:rsidRDefault="00DC0F2F" w:rsidP="00697BA6">
      <w:pPr>
        <w:pStyle w:val="Item"/>
      </w:pPr>
      <w:r w:rsidRPr="00412393">
        <w:t>Insert:</w:t>
      </w:r>
    </w:p>
    <w:p w14:paraId="291CDC77" w14:textId="77777777" w:rsidR="00DC0F2F" w:rsidRPr="00412393" w:rsidRDefault="00DC0F2F" w:rsidP="00697BA6">
      <w:pPr>
        <w:pStyle w:val="subsection"/>
      </w:pPr>
      <w:r w:rsidRPr="00412393">
        <w:tab/>
        <w:t>(1A)</w:t>
      </w:r>
      <w:r w:rsidRPr="00412393">
        <w:tab/>
        <w:t xml:space="preserve">The notice under </w:t>
      </w:r>
      <w:r w:rsidR="00E773B3" w:rsidRPr="00412393">
        <w:t>subsection (</w:t>
      </w:r>
      <w:r w:rsidRPr="00412393">
        <w:t>1) must be given in the prescribed way.</w:t>
      </w:r>
    </w:p>
    <w:p w14:paraId="53428258" w14:textId="77777777" w:rsidR="00CA72B9" w:rsidRPr="00412393" w:rsidRDefault="003E7EA4" w:rsidP="00697BA6">
      <w:pPr>
        <w:pStyle w:val="ItemHead"/>
      </w:pPr>
      <w:r w:rsidRPr="00412393">
        <w:lastRenderedPageBreak/>
        <w:t>22</w:t>
      </w:r>
      <w:r w:rsidR="00CA72B9" w:rsidRPr="00412393">
        <w:t xml:space="preserve">  At the end of </w:t>
      </w:r>
      <w:r w:rsidR="00E773B3" w:rsidRPr="00412393">
        <w:t>section 4</w:t>
      </w:r>
      <w:r w:rsidR="00CA72B9" w:rsidRPr="00412393">
        <w:t>94A</w:t>
      </w:r>
    </w:p>
    <w:p w14:paraId="398F3DE4" w14:textId="77777777" w:rsidR="00CA72B9" w:rsidRPr="00412393" w:rsidRDefault="00CA72B9" w:rsidP="00697BA6">
      <w:pPr>
        <w:pStyle w:val="Item"/>
      </w:pPr>
      <w:r w:rsidRPr="00412393">
        <w:t>Add:</w:t>
      </w:r>
    </w:p>
    <w:p w14:paraId="47461816" w14:textId="77777777" w:rsidR="00CA72B9" w:rsidRPr="00412393" w:rsidRDefault="00CA72B9" w:rsidP="00697BA6">
      <w:pPr>
        <w:pStyle w:val="subsection"/>
      </w:pPr>
      <w:r w:rsidRPr="00412393">
        <w:tab/>
        <w:t>(5)</w:t>
      </w:r>
      <w:r w:rsidRPr="00412393">
        <w:tab/>
        <w:t>This section does not apply to the giving of any of the following documents:</w:t>
      </w:r>
    </w:p>
    <w:p w14:paraId="6716F009" w14:textId="77777777" w:rsidR="00CA72B9" w:rsidRPr="00412393" w:rsidRDefault="00CA72B9" w:rsidP="00697BA6">
      <w:pPr>
        <w:pStyle w:val="paragraph"/>
      </w:pPr>
      <w:r w:rsidRPr="00412393">
        <w:tab/>
        <w:t>(a)</w:t>
      </w:r>
      <w:r w:rsidRPr="00412393">
        <w:tab/>
        <w:t>a document relating to the proposed cancellation of a visa;</w:t>
      </w:r>
    </w:p>
    <w:p w14:paraId="7603869F" w14:textId="77777777" w:rsidR="00CA72B9" w:rsidRPr="00412393" w:rsidRDefault="00CA72B9" w:rsidP="00697BA6">
      <w:pPr>
        <w:pStyle w:val="paragraph"/>
      </w:pPr>
      <w:r w:rsidRPr="00412393">
        <w:tab/>
        <w:t>(b)</w:t>
      </w:r>
      <w:r w:rsidRPr="00412393">
        <w:tab/>
        <w:t>a document relating to the cancellation of a visa;</w:t>
      </w:r>
    </w:p>
    <w:p w14:paraId="00507D8C" w14:textId="77777777" w:rsidR="00CA72B9" w:rsidRPr="00412393" w:rsidRDefault="00CA72B9" w:rsidP="00697BA6">
      <w:pPr>
        <w:pStyle w:val="paragraph"/>
      </w:pPr>
      <w:r w:rsidRPr="00412393">
        <w:tab/>
        <w:t>(c)</w:t>
      </w:r>
      <w:r w:rsidRPr="00412393">
        <w:tab/>
        <w:t>a document relating to the revocation of the cancellation of a visa;</w:t>
      </w:r>
    </w:p>
    <w:p w14:paraId="2AED1A09" w14:textId="77777777" w:rsidR="00CA72B9" w:rsidRPr="00412393" w:rsidRDefault="00CA72B9" w:rsidP="00697BA6">
      <w:pPr>
        <w:pStyle w:val="paragraph"/>
      </w:pPr>
      <w:r w:rsidRPr="00412393">
        <w:tab/>
        <w:t>(d)</w:t>
      </w:r>
      <w:r w:rsidRPr="00412393">
        <w:tab/>
        <w:t>a document relating to a decision not to revoke the cancellation of a visa.</w:t>
      </w:r>
    </w:p>
    <w:p w14:paraId="650C8B42" w14:textId="77777777" w:rsidR="00D07A16" w:rsidRPr="00412393" w:rsidRDefault="00CA72B9" w:rsidP="00697BA6">
      <w:pPr>
        <w:pStyle w:val="notetext"/>
      </w:pPr>
      <w:r w:rsidRPr="00412393">
        <w:t>Note</w:t>
      </w:r>
      <w:r w:rsidR="00D07A16" w:rsidRPr="00412393">
        <w:t xml:space="preserve"> 1</w:t>
      </w:r>
      <w:r w:rsidRPr="00412393">
        <w:t>:</w:t>
      </w:r>
      <w:r w:rsidRPr="00412393">
        <w:tab/>
        <w:t>The</w:t>
      </w:r>
      <w:r w:rsidR="009843D6" w:rsidRPr="00412393">
        <w:t xml:space="preserve"> Minister must give a </w:t>
      </w:r>
      <w:r w:rsidR="00195381" w:rsidRPr="00412393">
        <w:t xml:space="preserve">person a </w:t>
      </w:r>
      <w:r w:rsidRPr="00412393">
        <w:t>document mentioned in this subsection</w:t>
      </w:r>
      <w:r w:rsidR="00F6414A" w:rsidRPr="00412393">
        <w:t xml:space="preserve"> in the way prescribed by the regulations for the document (see,</w:t>
      </w:r>
      <w:r w:rsidR="00055AC8" w:rsidRPr="00412393">
        <w:t xml:space="preserve"> for example</w:t>
      </w:r>
      <w:r w:rsidR="00F6414A" w:rsidRPr="00412393">
        <w:t>,</w:t>
      </w:r>
      <w:r w:rsidR="00055AC8" w:rsidRPr="00412393">
        <w:t xml:space="preserve"> </w:t>
      </w:r>
      <w:r w:rsidR="00E773B3" w:rsidRPr="00412393">
        <w:t>subsections 1</w:t>
      </w:r>
      <w:r w:rsidR="002A494D" w:rsidRPr="00412393">
        <w:t>19</w:t>
      </w:r>
      <w:r w:rsidR="00055AC8" w:rsidRPr="00412393">
        <w:t>(2)</w:t>
      </w:r>
      <w:r w:rsidR="00F6414A" w:rsidRPr="00412393">
        <w:t>,</w:t>
      </w:r>
      <w:r w:rsidR="002A494D" w:rsidRPr="00412393">
        <w:t xml:space="preserve"> 127(2A) and 501G(3)</w:t>
      </w:r>
      <w:r w:rsidR="00A61DAF" w:rsidRPr="00412393">
        <w:t xml:space="preserve"> and </w:t>
      </w:r>
      <w:r w:rsidR="00E773B3" w:rsidRPr="00412393">
        <w:t>paragraph 5</w:t>
      </w:r>
      <w:r w:rsidR="00A61DAF" w:rsidRPr="00412393">
        <w:t>04(1)(e)</w:t>
      </w:r>
      <w:r w:rsidR="00F6414A" w:rsidRPr="00412393">
        <w:t>).</w:t>
      </w:r>
    </w:p>
    <w:p w14:paraId="2D474FD9" w14:textId="77777777" w:rsidR="003247EB" w:rsidRPr="00412393" w:rsidRDefault="00D07A16" w:rsidP="00697BA6">
      <w:pPr>
        <w:pStyle w:val="notetext"/>
      </w:pPr>
      <w:r w:rsidRPr="00412393">
        <w:t>Note 2:</w:t>
      </w:r>
      <w:r w:rsidRPr="00412393">
        <w:tab/>
      </w:r>
      <w:r w:rsidR="003247EB" w:rsidRPr="00412393">
        <w:t xml:space="preserve">For the giving of </w:t>
      </w:r>
      <w:r w:rsidRPr="00412393">
        <w:t>such a</w:t>
      </w:r>
      <w:r w:rsidR="003247EB" w:rsidRPr="00412393">
        <w:t xml:space="preserve"> document to the person’s authorised recipient, see </w:t>
      </w:r>
      <w:r w:rsidR="00E773B3" w:rsidRPr="00412393">
        <w:t>section 4</w:t>
      </w:r>
      <w:r w:rsidR="003247EB" w:rsidRPr="00412393">
        <w:t>94D.</w:t>
      </w:r>
    </w:p>
    <w:p w14:paraId="23CF0EC0" w14:textId="77777777" w:rsidR="00D41F5B" w:rsidRPr="00412393" w:rsidRDefault="003E7EA4" w:rsidP="00697BA6">
      <w:pPr>
        <w:pStyle w:val="ItemHead"/>
      </w:pPr>
      <w:r w:rsidRPr="00412393">
        <w:t>23</w:t>
      </w:r>
      <w:r w:rsidR="00D41F5B" w:rsidRPr="00412393">
        <w:t xml:space="preserve">  </w:t>
      </w:r>
      <w:r w:rsidR="00E773B3" w:rsidRPr="00412393">
        <w:t>Subsection 4</w:t>
      </w:r>
      <w:r w:rsidR="00D41F5B" w:rsidRPr="00412393">
        <w:t>94C(7)</w:t>
      </w:r>
    </w:p>
    <w:p w14:paraId="5975AA33" w14:textId="77777777" w:rsidR="00315FF6" w:rsidRPr="00412393" w:rsidRDefault="00315FF6" w:rsidP="00697BA6">
      <w:pPr>
        <w:pStyle w:val="Item"/>
      </w:pPr>
      <w:r w:rsidRPr="00412393">
        <w:t>Repeal the subsection, substitute:</w:t>
      </w:r>
    </w:p>
    <w:p w14:paraId="120F4730" w14:textId="77777777" w:rsidR="00315FF6" w:rsidRPr="00412393" w:rsidRDefault="00CA78A2" w:rsidP="00697BA6">
      <w:pPr>
        <w:pStyle w:val="subsection"/>
      </w:pPr>
      <w:r w:rsidRPr="00412393">
        <w:tab/>
      </w:r>
      <w:r w:rsidR="00315FF6" w:rsidRPr="00412393">
        <w:t>(7)</w:t>
      </w:r>
      <w:r w:rsidR="00315FF6" w:rsidRPr="00412393">
        <w:tab/>
        <w:t>If:</w:t>
      </w:r>
    </w:p>
    <w:p w14:paraId="6F2ABC0D" w14:textId="77777777" w:rsidR="00315FF6" w:rsidRPr="00412393" w:rsidRDefault="00315FF6" w:rsidP="00697BA6">
      <w:pPr>
        <w:pStyle w:val="paragraph"/>
      </w:pPr>
      <w:r w:rsidRPr="00412393">
        <w:tab/>
        <w:t>(a)</w:t>
      </w:r>
      <w:r w:rsidRPr="00412393">
        <w:tab/>
        <w:t>the Minister purports to give a document to a person in accordance with a method</w:t>
      </w:r>
      <w:r w:rsidR="00BC179E" w:rsidRPr="00412393">
        <w:t xml:space="preserve"> (the </w:t>
      </w:r>
      <w:r w:rsidR="00BC179E" w:rsidRPr="00412393">
        <w:rPr>
          <w:b/>
          <w:i/>
        </w:rPr>
        <w:t>relevant method</w:t>
      </w:r>
      <w:r w:rsidR="00BC179E" w:rsidRPr="00412393">
        <w:t>)</w:t>
      </w:r>
      <w:r w:rsidRPr="00412393">
        <w:t xml:space="preserve"> specified in </w:t>
      </w:r>
      <w:r w:rsidR="00E773B3" w:rsidRPr="00412393">
        <w:t>section 4</w:t>
      </w:r>
      <w:r w:rsidRPr="00412393">
        <w:t xml:space="preserve">94B (including in a case covered by </w:t>
      </w:r>
      <w:r w:rsidR="00E773B3" w:rsidRPr="00412393">
        <w:t>section 4</w:t>
      </w:r>
      <w:r w:rsidRPr="00412393">
        <w:t>94A) but makes an error in doing so; and</w:t>
      </w:r>
    </w:p>
    <w:p w14:paraId="557D20BA" w14:textId="77777777" w:rsidR="00315FF6" w:rsidRPr="00412393" w:rsidRDefault="00315FF6" w:rsidP="00697BA6">
      <w:pPr>
        <w:pStyle w:val="paragraph"/>
      </w:pPr>
      <w:r w:rsidRPr="00412393">
        <w:tab/>
        <w:t>(b)</w:t>
      </w:r>
      <w:r w:rsidRPr="00412393">
        <w:tab/>
        <w:t>the person nonetheless receives the document or a copy of it;</w:t>
      </w:r>
    </w:p>
    <w:p w14:paraId="3C5D6FE3" w14:textId="77777777" w:rsidR="00D41F5B" w:rsidRPr="00412393" w:rsidRDefault="00D41F5B" w:rsidP="00697BA6">
      <w:pPr>
        <w:pStyle w:val="subsection2"/>
      </w:pPr>
      <w:r w:rsidRPr="00412393">
        <w:t>then</w:t>
      </w:r>
      <w:r w:rsidR="00C52402" w:rsidRPr="00412393">
        <w:t>, despite the error</w:t>
      </w:r>
      <w:r w:rsidRPr="00412393">
        <w:t>:</w:t>
      </w:r>
    </w:p>
    <w:p w14:paraId="679A3C04" w14:textId="77777777" w:rsidR="00D41F5B" w:rsidRPr="00412393" w:rsidRDefault="00D41F5B" w:rsidP="00697BA6">
      <w:pPr>
        <w:pStyle w:val="paragraph"/>
      </w:pPr>
      <w:r w:rsidRPr="00412393">
        <w:tab/>
        <w:t>(c)</w:t>
      </w:r>
      <w:r w:rsidRPr="00412393">
        <w:tab/>
      </w:r>
      <w:r w:rsidR="00321EE3" w:rsidRPr="00412393">
        <w:t>the document is taken to have been given</w:t>
      </w:r>
      <w:r w:rsidR="0004762D" w:rsidRPr="00412393">
        <w:t xml:space="preserve"> in accordance with the </w:t>
      </w:r>
      <w:r w:rsidR="00BC179E" w:rsidRPr="00412393">
        <w:t xml:space="preserve">relevant </w:t>
      </w:r>
      <w:r w:rsidR="0004762D" w:rsidRPr="00412393">
        <w:t>method</w:t>
      </w:r>
      <w:r w:rsidR="00321EE3" w:rsidRPr="00412393">
        <w:t>; and</w:t>
      </w:r>
    </w:p>
    <w:p w14:paraId="22FD5C84" w14:textId="77777777" w:rsidR="003F04F8" w:rsidRPr="00412393" w:rsidRDefault="00321EE3" w:rsidP="00697BA6">
      <w:pPr>
        <w:pStyle w:val="paragraph"/>
      </w:pPr>
      <w:r w:rsidRPr="00412393">
        <w:tab/>
        <w:t>(d)</w:t>
      </w:r>
      <w:r w:rsidRPr="00412393">
        <w:tab/>
        <w:t>the person is taken to have received the document</w:t>
      </w:r>
      <w:r w:rsidR="003F04F8" w:rsidRPr="00412393">
        <w:t>:</w:t>
      </w:r>
    </w:p>
    <w:p w14:paraId="6CD2FF7A" w14:textId="77777777" w:rsidR="003F04F8" w:rsidRPr="00412393" w:rsidRDefault="003F04F8" w:rsidP="00697BA6">
      <w:pPr>
        <w:pStyle w:val="paragraphsub"/>
      </w:pPr>
      <w:r w:rsidRPr="00412393">
        <w:tab/>
        <w:t>(i)</w:t>
      </w:r>
      <w:r w:rsidRPr="00412393">
        <w:tab/>
      </w:r>
      <w:r w:rsidR="00321EE3" w:rsidRPr="00412393">
        <w:t>at the time mentioned in this section</w:t>
      </w:r>
      <w:r w:rsidR="00FF0EB7" w:rsidRPr="00412393">
        <w:t xml:space="preserve"> for </w:t>
      </w:r>
      <w:r w:rsidR="007313D9" w:rsidRPr="00412393">
        <w:t>the relevant</w:t>
      </w:r>
      <w:r w:rsidR="00FF0EB7" w:rsidRPr="00412393">
        <w:t xml:space="preserve"> method</w:t>
      </w:r>
      <w:r w:rsidRPr="00412393">
        <w:t>; or</w:t>
      </w:r>
    </w:p>
    <w:p w14:paraId="759FEF1E" w14:textId="77777777" w:rsidR="00321EE3" w:rsidRPr="00412393" w:rsidRDefault="003F04F8" w:rsidP="00697BA6">
      <w:pPr>
        <w:pStyle w:val="paragraphsub"/>
      </w:pPr>
      <w:r w:rsidRPr="00412393">
        <w:tab/>
        <w:t>(ii)</w:t>
      </w:r>
      <w:r w:rsidRPr="00412393">
        <w:tab/>
        <w:t xml:space="preserve">if </w:t>
      </w:r>
      <w:r w:rsidR="00321EE3" w:rsidRPr="00412393">
        <w:t xml:space="preserve">the person can show that </w:t>
      </w:r>
      <w:r w:rsidR="00377A90" w:rsidRPr="00412393">
        <w:t xml:space="preserve">the person </w:t>
      </w:r>
      <w:r w:rsidR="00321EE3" w:rsidRPr="00412393">
        <w:t xml:space="preserve">received </w:t>
      </w:r>
      <w:r w:rsidR="003C3F20" w:rsidRPr="00412393">
        <w:t>the document</w:t>
      </w:r>
      <w:r w:rsidR="00321EE3" w:rsidRPr="00412393">
        <w:t xml:space="preserve"> at a later time</w:t>
      </w:r>
      <w:r w:rsidRPr="00412393">
        <w:t>—</w:t>
      </w:r>
      <w:r w:rsidR="00321EE3" w:rsidRPr="00412393">
        <w:t xml:space="preserve">at that </w:t>
      </w:r>
      <w:r w:rsidRPr="00412393">
        <w:t xml:space="preserve">later </w:t>
      </w:r>
      <w:r w:rsidR="00321EE3" w:rsidRPr="00412393">
        <w:t>time.</w:t>
      </w:r>
    </w:p>
    <w:p w14:paraId="13A53F39" w14:textId="77777777" w:rsidR="00F90723" w:rsidRPr="00412393" w:rsidRDefault="003E7EA4" w:rsidP="00697BA6">
      <w:pPr>
        <w:pStyle w:val="ItemHead"/>
      </w:pPr>
      <w:r w:rsidRPr="00412393">
        <w:t>24</w:t>
      </w:r>
      <w:r w:rsidR="00570C99" w:rsidRPr="00412393">
        <w:t xml:space="preserve">  After </w:t>
      </w:r>
      <w:r w:rsidR="00E773B3" w:rsidRPr="00412393">
        <w:t>section 4</w:t>
      </w:r>
      <w:r w:rsidR="00570C99" w:rsidRPr="00412393">
        <w:t>94D</w:t>
      </w:r>
    </w:p>
    <w:p w14:paraId="457721C8" w14:textId="77777777" w:rsidR="00570C99" w:rsidRPr="00412393" w:rsidRDefault="00570C99" w:rsidP="00697BA6">
      <w:pPr>
        <w:pStyle w:val="Item"/>
      </w:pPr>
      <w:r w:rsidRPr="00412393">
        <w:t>Insert:</w:t>
      </w:r>
    </w:p>
    <w:p w14:paraId="0657D8B7" w14:textId="77777777" w:rsidR="00570C99" w:rsidRPr="00412393" w:rsidRDefault="00570C99" w:rsidP="00697BA6">
      <w:pPr>
        <w:pStyle w:val="ActHead5"/>
      </w:pPr>
      <w:bookmarkStart w:id="9" w:name="_Toc138422913"/>
      <w:r w:rsidRPr="00697BA6">
        <w:rPr>
          <w:rStyle w:val="CharSectno"/>
        </w:rPr>
        <w:lastRenderedPageBreak/>
        <w:t>494E</w:t>
      </w:r>
      <w:r w:rsidRPr="00412393">
        <w:t xml:space="preserve">  </w:t>
      </w:r>
      <w:r w:rsidR="000B3D68" w:rsidRPr="00412393">
        <w:t>When documents are taken to comply with content requirements</w:t>
      </w:r>
      <w:bookmarkEnd w:id="9"/>
    </w:p>
    <w:p w14:paraId="73219CE6" w14:textId="77777777" w:rsidR="00570C99" w:rsidRPr="00412393" w:rsidRDefault="00570C99" w:rsidP="00697BA6">
      <w:pPr>
        <w:pStyle w:val="subsection"/>
      </w:pPr>
      <w:r w:rsidRPr="00412393">
        <w:tab/>
        <w:t>(1)</w:t>
      </w:r>
      <w:r w:rsidRPr="00412393">
        <w:tab/>
        <w:t>This section applies</w:t>
      </w:r>
      <w:r w:rsidR="0034356E" w:rsidRPr="00412393">
        <w:t xml:space="preserve"> in relation to a document</w:t>
      </w:r>
      <w:r w:rsidRPr="00412393">
        <w:t xml:space="preserve"> if:</w:t>
      </w:r>
    </w:p>
    <w:p w14:paraId="6B8D1B23" w14:textId="77777777" w:rsidR="00570C99" w:rsidRPr="00412393" w:rsidRDefault="00570C99" w:rsidP="00697BA6">
      <w:pPr>
        <w:pStyle w:val="paragraph"/>
      </w:pPr>
      <w:r w:rsidRPr="00412393">
        <w:tab/>
        <w:t>(a)</w:t>
      </w:r>
      <w:r w:rsidRPr="00412393">
        <w:tab/>
        <w:t xml:space="preserve">a provision of this Act or the regulations requires or permits the Minister to give </w:t>
      </w:r>
      <w:r w:rsidR="0034356E" w:rsidRPr="00412393">
        <w:t>the</w:t>
      </w:r>
      <w:r w:rsidRPr="00412393">
        <w:t xml:space="preserve"> document to a person; and</w:t>
      </w:r>
    </w:p>
    <w:p w14:paraId="1F570A06" w14:textId="77777777" w:rsidR="00570C99" w:rsidRPr="00412393" w:rsidRDefault="00570C99" w:rsidP="00697BA6">
      <w:pPr>
        <w:pStyle w:val="paragraph"/>
      </w:pPr>
      <w:r w:rsidRPr="00412393">
        <w:tab/>
        <w:t>(b)</w:t>
      </w:r>
      <w:r w:rsidR="00382573" w:rsidRPr="00412393">
        <w:tab/>
        <w:t>a provision of this Act or the regulations requires</w:t>
      </w:r>
      <w:r w:rsidR="007B6D2C" w:rsidRPr="00412393">
        <w:t xml:space="preserve"> (the </w:t>
      </w:r>
      <w:r w:rsidR="007B6D2C" w:rsidRPr="00412393">
        <w:rPr>
          <w:b/>
          <w:i/>
        </w:rPr>
        <w:t>content requirements</w:t>
      </w:r>
      <w:r w:rsidR="007B6D2C" w:rsidRPr="00412393">
        <w:t>)</w:t>
      </w:r>
      <w:r w:rsidR="00382573" w:rsidRPr="00412393">
        <w:t xml:space="preserve"> the document to include particular</w:t>
      </w:r>
      <w:r w:rsidR="007B6D2C" w:rsidRPr="00412393">
        <w:t xml:space="preserve"> </w:t>
      </w:r>
      <w:r w:rsidR="00382573" w:rsidRPr="00412393">
        <w:t>information.</w:t>
      </w:r>
    </w:p>
    <w:p w14:paraId="692848D7" w14:textId="77777777" w:rsidR="007B6D2C" w:rsidRPr="00412393" w:rsidRDefault="007B6D2C" w:rsidP="00697BA6">
      <w:pPr>
        <w:pStyle w:val="subsection"/>
      </w:pPr>
      <w:r w:rsidRPr="00412393">
        <w:tab/>
        <w:t>(</w:t>
      </w:r>
      <w:r w:rsidR="006E5AA0" w:rsidRPr="00412393">
        <w:t>2</w:t>
      </w:r>
      <w:r w:rsidRPr="00412393">
        <w:t>)</w:t>
      </w:r>
      <w:r w:rsidRPr="00412393">
        <w:tab/>
        <w:t>For the purposes of this Act or the regulations, the document is taken</w:t>
      </w:r>
      <w:r w:rsidR="006E5AA0" w:rsidRPr="00412393">
        <w:t xml:space="preserve"> </w:t>
      </w:r>
      <w:r w:rsidRPr="00412393">
        <w:t xml:space="preserve">to </w:t>
      </w:r>
      <w:r w:rsidR="00125897" w:rsidRPr="00412393">
        <w:t>comply</w:t>
      </w:r>
      <w:r w:rsidR="00C12B06" w:rsidRPr="00412393">
        <w:t xml:space="preserve"> with</w:t>
      </w:r>
      <w:r w:rsidR="006D3F2F" w:rsidRPr="00412393">
        <w:t xml:space="preserve"> the content requirements</w:t>
      </w:r>
      <w:r w:rsidRPr="00412393">
        <w:t xml:space="preserve"> if:</w:t>
      </w:r>
    </w:p>
    <w:p w14:paraId="497F56F1" w14:textId="77777777" w:rsidR="007B6D2C" w:rsidRPr="00412393" w:rsidRDefault="007B6D2C" w:rsidP="00697BA6">
      <w:pPr>
        <w:pStyle w:val="paragraph"/>
      </w:pPr>
      <w:r w:rsidRPr="00412393">
        <w:tab/>
        <w:t>(a)</w:t>
      </w:r>
      <w:r w:rsidRPr="00412393">
        <w:tab/>
        <w:t xml:space="preserve">there is substantial compliance with </w:t>
      </w:r>
      <w:r w:rsidR="00C61D4B" w:rsidRPr="00412393">
        <w:t>those</w:t>
      </w:r>
      <w:r w:rsidRPr="00412393">
        <w:t xml:space="preserve"> requirements; and</w:t>
      </w:r>
    </w:p>
    <w:p w14:paraId="3537388A" w14:textId="77777777" w:rsidR="007B6D2C" w:rsidRPr="00412393" w:rsidRDefault="007B6D2C" w:rsidP="00697BA6">
      <w:pPr>
        <w:pStyle w:val="paragraph"/>
      </w:pPr>
      <w:r w:rsidRPr="00412393">
        <w:tab/>
        <w:t>(b)</w:t>
      </w:r>
      <w:r w:rsidRPr="00412393">
        <w:tab/>
        <w:t>the failure to strictly comply with th</w:t>
      </w:r>
      <w:r w:rsidR="0034356E" w:rsidRPr="00412393">
        <w:t>ose</w:t>
      </w:r>
      <w:r w:rsidRPr="00412393">
        <w:t xml:space="preserve"> requirements does not, or is not likely to, cause substantial prejudice to the person</w:t>
      </w:r>
      <w:r w:rsidR="00A61DAF" w:rsidRPr="00412393">
        <w:t>’s rights (including, but not limited to, rights to seek review in connection with the matter to which the document relates).</w:t>
      </w:r>
    </w:p>
    <w:p w14:paraId="2280C992" w14:textId="77777777" w:rsidR="006E5AA0" w:rsidRPr="00412393" w:rsidRDefault="006E5AA0" w:rsidP="00697BA6">
      <w:pPr>
        <w:pStyle w:val="subsection"/>
      </w:pPr>
      <w:r w:rsidRPr="00412393">
        <w:tab/>
        <w:t>(3)</w:t>
      </w:r>
      <w:r w:rsidRPr="00412393">
        <w:tab/>
      </w:r>
      <w:r w:rsidR="00A04E57" w:rsidRPr="00412393">
        <w:t>Subsection (</w:t>
      </w:r>
      <w:r w:rsidRPr="00412393">
        <w:t>2) applies despite any other provision of this Act or the regulations.</w:t>
      </w:r>
    </w:p>
    <w:p w14:paraId="41C1ABCC" w14:textId="77777777" w:rsidR="0084156C" w:rsidRPr="00412393" w:rsidRDefault="0084156C" w:rsidP="00697BA6">
      <w:pPr>
        <w:pStyle w:val="subsection"/>
      </w:pPr>
      <w:r w:rsidRPr="00412393">
        <w:tab/>
        <w:t>(4)</w:t>
      </w:r>
      <w:r w:rsidRPr="00412393">
        <w:tab/>
        <w:t xml:space="preserve">Without limiting </w:t>
      </w:r>
      <w:r w:rsidR="00E773B3" w:rsidRPr="00412393">
        <w:t>paragraph (</w:t>
      </w:r>
      <w:r w:rsidR="006E5AA0" w:rsidRPr="00412393">
        <w:t>2</w:t>
      </w:r>
      <w:r w:rsidRPr="00412393">
        <w:t>)(a),</w:t>
      </w:r>
      <w:r w:rsidR="00F5690E" w:rsidRPr="00412393">
        <w:t xml:space="preserve"> </w:t>
      </w:r>
      <w:r w:rsidRPr="00412393">
        <w:t xml:space="preserve">there </w:t>
      </w:r>
      <w:r w:rsidR="00A61DAF" w:rsidRPr="00412393">
        <w:t>may be</w:t>
      </w:r>
      <w:r w:rsidRPr="00412393">
        <w:t xml:space="preserve"> substantial compliance with the content requirements even if</w:t>
      </w:r>
      <w:r w:rsidR="00F5690E" w:rsidRPr="00412393">
        <w:t xml:space="preserve"> t</w:t>
      </w:r>
      <w:r w:rsidR="004D49AB" w:rsidRPr="00412393">
        <w:t xml:space="preserve">here is </w:t>
      </w:r>
      <w:r w:rsidR="00F5690E" w:rsidRPr="00412393">
        <w:t>an error, omission, misstatement or misdescription</w:t>
      </w:r>
      <w:r w:rsidR="004D49AB" w:rsidRPr="00412393">
        <w:t xml:space="preserve"> in the document</w:t>
      </w:r>
      <w:r w:rsidR="00F5690E" w:rsidRPr="00412393">
        <w:t>.</w:t>
      </w:r>
    </w:p>
    <w:p w14:paraId="3DE88F12" w14:textId="77777777" w:rsidR="00E54377" w:rsidRPr="00412393" w:rsidRDefault="007055F2" w:rsidP="00697BA6">
      <w:pPr>
        <w:pStyle w:val="subsection"/>
      </w:pPr>
      <w:r w:rsidRPr="00412393">
        <w:tab/>
        <w:t>(</w:t>
      </w:r>
      <w:r w:rsidR="002F32EB" w:rsidRPr="00412393">
        <w:t>5</w:t>
      </w:r>
      <w:r w:rsidRPr="00412393">
        <w:t>)</w:t>
      </w:r>
      <w:r w:rsidRPr="00412393">
        <w:tab/>
      </w:r>
      <w:r w:rsidR="0039459A" w:rsidRPr="00412393">
        <w:t xml:space="preserve">Without limiting </w:t>
      </w:r>
      <w:r w:rsidR="00E773B3" w:rsidRPr="00412393">
        <w:t>paragraph (</w:t>
      </w:r>
      <w:r w:rsidR="0039459A" w:rsidRPr="00412393">
        <w:t>2)(b)</w:t>
      </w:r>
      <w:r w:rsidR="006E5AA0" w:rsidRPr="00412393">
        <w:t>, a</w:t>
      </w:r>
      <w:r w:rsidRPr="00412393">
        <w:t xml:space="preserve"> failure </w:t>
      </w:r>
      <w:r w:rsidR="006E5AA0" w:rsidRPr="00412393">
        <w:t xml:space="preserve">by the person </w:t>
      </w:r>
      <w:r w:rsidRPr="00412393">
        <w:t>to</w:t>
      </w:r>
      <w:r w:rsidR="00E54377" w:rsidRPr="00412393">
        <w:t>:</w:t>
      </w:r>
    </w:p>
    <w:p w14:paraId="1DC576D7" w14:textId="77777777" w:rsidR="00E54377" w:rsidRPr="00412393" w:rsidRDefault="00E54377" w:rsidP="00697BA6">
      <w:pPr>
        <w:pStyle w:val="paragraph"/>
      </w:pPr>
      <w:r w:rsidRPr="00412393">
        <w:tab/>
        <w:t>(a)</w:t>
      </w:r>
      <w:r w:rsidRPr="00412393">
        <w:tab/>
        <w:t>exercise any rights (including, but not limited to, rights to seek review) in connection with the matter to which the document relates; or</w:t>
      </w:r>
    </w:p>
    <w:p w14:paraId="3B6CCCA7" w14:textId="77777777" w:rsidR="00E54377" w:rsidRPr="00412393" w:rsidRDefault="00E54377" w:rsidP="00697BA6">
      <w:pPr>
        <w:pStyle w:val="paragraph"/>
      </w:pPr>
      <w:r w:rsidRPr="00412393">
        <w:tab/>
        <w:t>(b)</w:t>
      </w:r>
      <w:r w:rsidRPr="00412393">
        <w:tab/>
        <w:t>take any other action (including, but not limited to, the making of representations) in connection with the matter to which the document relates;</w:t>
      </w:r>
    </w:p>
    <w:p w14:paraId="57F4057F" w14:textId="77777777" w:rsidR="00AA0311" w:rsidRPr="00412393" w:rsidRDefault="006E5AA0" w:rsidP="00697BA6">
      <w:pPr>
        <w:pStyle w:val="subsection2"/>
      </w:pPr>
      <w:r w:rsidRPr="00412393">
        <w:t xml:space="preserve">is not on its own to be taken to </w:t>
      </w:r>
      <w:r w:rsidR="00A92D3E" w:rsidRPr="00412393">
        <w:t xml:space="preserve">imply that the failure to strictly comply with the content requirements </w:t>
      </w:r>
      <w:r w:rsidRPr="00412393">
        <w:t>ha</w:t>
      </w:r>
      <w:r w:rsidR="00A92D3E" w:rsidRPr="00412393">
        <w:t>s</w:t>
      </w:r>
      <w:r w:rsidRPr="00412393">
        <w:t xml:space="preserve"> caused substantial prejudice to the person</w:t>
      </w:r>
      <w:r w:rsidR="00A61DAF" w:rsidRPr="00412393">
        <w:t>’s rights (including, but not limited to, rights to seek review in connection with the matter to which the document relates)</w:t>
      </w:r>
      <w:r w:rsidRPr="00412393">
        <w:t>.</w:t>
      </w:r>
    </w:p>
    <w:p w14:paraId="4783C961" w14:textId="77777777" w:rsidR="000A0200" w:rsidRPr="00412393" w:rsidRDefault="00A1760C" w:rsidP="00697BA6">
      <w:pPr>
        <w:pStyle w:val="notetext"/>
      </w:pPr>
      <w:r w:rsidRPr="00412393">
        <w:t>Example 1:</w:t>
      </w:r>
      <w:r w:rsidR="00337CA0" w:rsidRPr="00412393">
        <w:tab/>
      </w:r>
      <w:r w:rsidR="000A0200" w:rsidRPr="00412393">
        <w:t xml:space="preserve">Andrew, George and Daniel each make an application for the grant of a visa. The Minister refuses to grant each applicant the visa and gives notice of the refusal decision to each applicant. The notice states that </w:t>
      </w:r>
      <w:r w:rsidR="000A0200" w:rsidRPr="00412393">
        <w:lastRenderedPageBreak/>
        <w:t>the applicant may make an application for review of the refusal decision within 30 days after the notice is received by the applicant.</w:t>
      </w:r>
    </w:p>
    <w:p w14:paraId="25D16BD3" w14:textId="77777777" w:rsidR="000A0200" w:rsidRPr="00412393" w:rsidRDefault="000A0200" w:rsidP="00697BA6">
      <w:pPr>
        <w:pStyle w:val="notetext"/>
      </w:pPr>
      <w:r w:rsidRPr="00412393">
        <w:tab/>
        <w:t>While the notice substantially complies with the requirement in the Act to state the period within which an application for review must be made, the notice misstates the period. The correct period is 28 days after the notice is received by the applicant.</w:t>
      </w:r>
    </w:p>
    <w:p w14:paraId="6E225278" w14:textId="77777777" w:rsidR="000A0200" w:rsidRPr="00412393" w:rsidRDefault="000A0200" w:rsidP="00697BA6">
      <w:pPr>
        <w:pStyle w:val="notetext"/>
      </w:pPr>
      <w:r w:rsidRPr="00412393">
        <w:tab/>
        <w:t xml:space="preserve">Andrew makes an application for review of the refusal decision 25 days after receiving the notice. As the misstatement in the notice does not cause substantial prejudice to Andrew’s right to seek review, it is intended that </w:t>
      </w:r>
      <w:r w:rsidR="00E773B3" w:rsidRPr="00412393">
        <w:t>subsection (</w:t>
      </w:r>
      <w:r w:rsidRPr="00412393">
        <w:t>2) would apply in relation to the notice given to Andrew.</w:t>
      </w:r>
    </w:p>
    <w:p w14:paraId="35C2B71C" w14:textId="77777777" w:rsidR="000A0200" w:rsidRPr="00412393" w:rsidRDefault="000A0200" w:rsidP="00697BA6">
      <w:pPr>
        <w:pStyle w:val="notetext"/>
      </w:pPr>
      <w:r w:rsidRPr="00412393">
        <w:tab/>
        <w:t>George makes an application for review of the refusal decision 29 days after receiving the notice. The misstatement in the notice causes substantial prejudice to George’s right to seek review as the application</w:t>
      </w:r>
      <w:r w:rsidR="000D5DCF" w:rsidRPr="00412393">
        <w:t xml:space="preserve"> for review</w:t>
      </w:r>
      <w:r w:rsidRPr="00412393">
        <w:t xml:space="preserve"> is not made within the required period but is made within the misstated period specified in the notice. It is intended that </w:t>
      </w:r>
      <w:r w:rsidR="00E773B3" w:rsidRPr="00412393">
        <w:t>subsection (</w:t>
      </w:r>
      <w:r w:rsidRPr="00412393">
        <w:t>2) would not apply in relation to the notice given to George.</w:t>
      </w:r>
    </w:p>
    <w:p w14:paraId="09F78E35" w14:textId="77777777" w:rsidR="000A0200" w:rsidRPr="00412393" w:rsidRDefault="000A0200" w:rsidP="00697BA6">
      <w:pPr>
        <w:pStyle w:val="notetext"/>
      </w:pPr>
      <w:r w:rsidRPr="00412393">
        <w:tab/>
        <w:t>Daniel makes an application for review of the refusal decision 40 days after receiving the notice. The misstatement in the notice does not cause substantial prejudice to Daniel’s right to seek review as the application</w:t>
      </w:r>
      <w:r w:rsidR="0013291C" w:rsidRPr="00412393">
        <w:t xml:space="preserve"> for review</w:t>
      </w:r>
      <w:r w:rsidRPr="00412393">
        <w:t xml:space="preserve"> is made well after the required period. It is intended that </w:t>
      </w:r>
      <w:r w:rsidR="00E773B3" w:rsidRPr="00412393">
        <w:t>subsection (</w:t>
      </w:r>
      <w:r w:rsidRPr="00412393">
        <w:t>2) would apply in relation to the notice given to Daniel.</w:t>
      </w:r>
    </w:p>
    <w:p w14:paraId="79174358" w14:textId="77777777" w:rsidR="005B5FFE" w:rsidRPr="00412393" w:rsidRDefault="00A1760C" w:rsidP="00697BA6">
      <w:pPr>
        <w:pStyle w:val="notetext"/>
      </w:pPr>
      <w:r w:rsidRPr="00412393">
        <w:t>Example 2:</w:t>
      </w:r>
      <w:r w:rsidR="00337CA0" w:rsidRPr="00412393">
        <w:tab/>
      </w:r>
      <w:r w:rsidR="003945AA" w:rsidRPr="00412393">
        <w:t xml:space="preserve">Anne applies for a visa and has an authorised recipient under </w:t>
      </w:r>
      <w:r w:rsidR="00E773B3" w:rsidRPr="00412393">
        <w:t>section 4</w:t>
      </w:r>
      <w:r w:rsidR="003945AA" w:rsidRPr="00412393">
        <w:t xml:space="preserve">94D. The Minister refuses to grant Anne the visa and gives notice of the refusal decision by sending an email to the authorised recipient. </w:t>
      </w:r>
      <w:r w:rsidR="005B5FFE" w:rsidRPr="00412393">
        <w:t>The authorised recipient receives the notice and 2 days later forwards it on to Anne.</w:t>
      </w:r>
    </w:p>
    <w:p w14:paraId="0C7F7ABD" w14:textId="77777777" w:rsidR="00B70981" w:rsidRPr="00412393" w:rsidRDefault="005B5FFE" w:rsidP="00697BA6">
      <w:pPr>
        <w:pStyle w:val="notetext"/>
      </w:pPr>
      <w:r w:rsidRPr="00412393">
        <w:tab/>
      </w:r>
      <w:r w:rsidR="003945AA" w:rsidRPr="00412393">
        <w:t>The notice states that Anne may make an application for review of the refusal decision within 21 days after</w:t>
      </w:r>
      <w:r w:rsidR="00504F72" w:rsidRPr="00412393">
        <w:t xml:space="preserve"> the day</w:t>
      </w:r>
      <w:r w:rsidR="003945AA" w:rsidRPr="00412393">
        <w:t xml:space="preserve"> </w:t>
      </w:r>
      <w:r w:rsidR="00A957AF" w:rsidRPr="00412393">
        <w:t>Anne receives the notice</w:t>
      </w:r>
      <w:r w:rsidR="003945AA" w:rsidRPr="00412393">
        <w:t>.</w:t>
      </w:r>
      <w:r w:rsidRPr="00412393">
        <w:t xml:space="preserve"> </w:t>
      </w:r>
      <w:r w:rsidR="003945AA" w:rsidRPr="00412393">
        <w:t>The notice does not explain</w:t>
      </w:r>
      <w:r w:rsidRPr="00412393">
        <w:t xml:space="preserve"> that </w:t>
      </w:r>
      <w:r w:rsidR="003945AA" w:rsidRPr="00412393">
        <w:t xml:space="preserve">the effect of </w:t>
      </w:r>
      <w:r w:rsidR="00E773B3" w:rsidRPr="00412393">
        <w:t>sections 4</w:t>
      </w:r>
      <w:r w:rsidR="003945AA" w:rsidRPr="00412393">
        <w:t>94C and 494D</w:t>
      </w:r>
      <w:r w:rsidRPr="00412393">
        <w:t xml:space="preserve"> is that </w:t>
      </w:r>
      <w:r w:rsidR="00B70981" w:rsidRPr="00412393">
        <w:t xml:space="preserve">the period of 21 days begins to run on the day after the day the </w:t>
      </w:r>
      <w:r w:rsidR="00C8773E" w:rsidRPr="00412393">
        <w:t xml:space="preserve">notice is received by the </w:t>
      </w:r>
      <w:r w:rsidR="00B70981" w:rsidRPr="00412393">
        <w:t>authorised recipient</w:t>
      </w:r>
      <w:r w:rsidR="000F2A52" w:rsidRPr="00412393">
        <w:t>,</w:t>
      </w:r>
      <w:r w:rsidR="003370C1" w:rsidRPr="00412393">
        <w:t xml:space="preserve"> rather than </w:t>
      </w:r>
      <w:r w:rsidR="00C70BC5" w:rsidRPr="00412393">
        <w:t xml:space="preserve">by </w:t>
      </w:r>
      <w:r w:rsidR="0010128B" w:rsidRPr="00412393">
        <w:t>Anne</w:t>
      </w:r>
      <w:r w:rsidR="00B70981" w:rsidRPr="00412393">
        <w:t>.</w:t>
      </w:r>
    </w:p>
    <w:p w14:paraId="11944A34" w14:textId="77777777" w:rsidR="005B5FFE" w:rsidRPr="00412393" w:rsidRDefault="005B5FFE" w:rsidP="00697BA6">
      <w:pPr>
        <w:pStyle w:val="notetext"/>
      </w:pPr>
      <w:r w:rsidRPr="00412393">
        <w:tab/>
        <w:t xml:space="preserve">While the notice substantially complies with the requirement in the Act to state the period within which an application for review must be made, the notice misdescribes </w:t>
      </w:r>
      <w:r w:rsidR="00445146" w:rsidRPr="00412393">
        <w:t>when that</w:t>
      </w:r>
      <w:r w:rsidRPr="00412393">
        <w:t xml:space="preserve"> period </w:t>
      </w:r>
      <w:r w:rsidR="00DC2410" w:rsidRPr="00412393">
        <w:t>begins</w:t>
      </w:r>
      <w:r w:rsidR="00E74788" w:rsidRPr="00412393">
        <w:t xml:space="preserve"> to run</w:t>
      </w:r>
      <w:r w:rsidRPr="00412393">
        <w:t>.</w:t>
      </w:r>
    </w:p>
    <w:p w14:paraId="00EF6072" w14:textId="77777777" w:rsidR="005B5FFE" w:rsidRPr="00412393" w:rsidRDefault="005B5FFE" w:rsidP="00697BA6">
      <w:pPr>
        <w:pStyle w:val="notetext"/>
      </w:pPr>
      <w:r w:rsidRPr="00412393">
        <w:tab/>
        <w:t>Anne makes an application for review of the refusal decision 35 days after receiving the notice. The misdescription in the notice does not cause substantial prejudice to Anne’s right to seek review as the application</w:t>
      </w:r>
      <w:r w:rsidR="00D766AF" w:rsidRPr="00412393">
        <w:t xml:space="preserve"> for review</w:t>
      </w:r>
      <w:r w:rsidRPr="00412393">
        <w:t xml:space="preserve"> is made well after the required period. It is intended that </w:t>
      </w:r>
      <w:r w:rsidR="00E773B3" w:rsidRPr="00412393">
        <w:t>subsection (</w:t>
      </w:r>
      <w:r w:rsidRPr="00412393">
        <w:t>2) would apply in relation to the notice given to</w:t>
      </w:r>
      <w:r w:rsidR="00B15F73" w:rsidRPr="00412393">
        <w:t xml:space="preserve"> the</w:t>
      </w:r>
      <w:r w:rsidRPr="00412393">
        <w:t xml:space="preserve"> </w:t>
      </w:r>
      <w:r w:rsidR="00B15F73" w:rsidRPr="00412393">
        <w:t>authorised recipient</w:t>
      </w:r>
      <w:r w:rsidRPr="00412393">
        <w:t>.</w:t>
      </w:r>
    </w:p>
    <w:p w14:paraId="7A53A7B0" w14:textId="77777777" w:rsidR="00C03960" w:rsidRPr="00412393" w:rsidRDefault="003E7EA4" w:rsidP="00697BA6">
      <w:pPr>
        <w:pStyle w:val="ItemHead"/>
      </w:pPr>
      <w:r w:rsidRPr="00412393">
        <w:lastRenderedPageBreak/>
        <w:t>25</w:t>
      </w:r>
      <w:r w:rsidR="00C03960" w:rsidRPr="00412393">
        <w:t xml:space="preserve">  </w:t>
      </w:r>
      <w:r w:rsidR="00E773B3" w:rsidRPr="00412393">
        <w:t>Subsection 5</w:t>
      </w:r>
      <w:r w:rsidR="00C03960" w:rsidRPr="00412393">
        <w:t>00A(10)</w:t>
      </w:r>
    </w:p>
    <w:p w14:paraId="76550691" w14:textId="77777777" w:rsidR="00C03960" w:rsidRPr="00412393" w:rsidRDefault="00C03960" w:rsidP="00697BA6">
      <w:pPr>
        <w:pStyle w:val="Item"/>
      </w:pPr>
      <w:r w:rsidRPr="00412393">
        <w:t>After “Minister must”, insert “, in writing,”.</w:t>
      </w:r>
    </w:p>
    <w:p w14:paraId="36E9E92E" w14:textId="77777777" w:rsidR="004B0E71" w:rsidRPr="00412393" w:rsidRDefault="003E7EA4" w:rsidP="00697BA6">
      <w:pPr>
        <w:pStyle w:val="ItemHead"/>
      </w:pPr>
      <w:r w:rsidRPr="00412393">
        <w:t>26</w:t>
      </w:r>
      <w:r w:rsidR="004B0E71" w:rsidRPr="00412393">
        <w:t xml:space="preserve">  After </w:t>
      </w:r>
      <w:r w:rsidR="00E773B3" w:rsidRPr="00412393">
        <w:t>subsection 5</w:t>
      </w:r>
      <w:r w:rsidR="004B0E71" w:rsidRPr="00412393">
        <w:t>00A(10)</w:t>
      </w:r>
    </w:p>
    <w:p w14:paraId="46A350F8" w14:textId="77777777" w:rsidR="004B0E71" w:rsidRPr="00412393" w:rsidRDefault="004B0E71" w:rsidP="00697BA6">
      <w:pPr>
        <w:pStyle w:val="Item"/>
      </w:pPr>
      <w:r w:rsidRPr="00412393">
        <w:t>Insert:</w:t>
      </w:r>
    </w:p>
    <w:p w14:paraId="026609F9" w14:textId="77777777" w:rsidR="004B0E71" w:rsidRPr="00412393" w:rsidRDefault="004B0E71" w:rsidP="00697BA6">
      <w:pPr>
        <w:pStyle w:val="subsection"/>
      </w:pPr>
      <w:r w:rsidRPr="00412393">
        <w:tab/>
        <w:t>(10A)</w:t>
      </w:r>
      <w:r w:rsidRPr="00412393">
        <w:tab/>
        <w:t xml:space="preserve">If the notification </w:t>
      </w:r>
      <w:r w:rsidR="00C03960" w:rsidRPr="00412393">
        <w:t xml:space="preserve">under </w:t>
      </w:r>
      <w:r w:rsidR="00E773B3" w:rsidRPr="00412393">
        <w:t>subsection (</w:t>
      </w:r>
      <w:r w:rsidR="00C03960" w:rsidRPr="00412393">
        <w:t xml:space="preserve">10) </w:t>
      </w:r>
      <w:r w:rsidRPr="00412393">
        <w:t>relates to a decision to cancel a person’s temporary safe haven visa, the notification must be</w:t>
      </w:r>
      <w:r w:rsidR="00C03960" w:rsidRPr="00412393">
        <w:t xml:space="preserve"> given in the prescribed way.</w:t>
      </w:r>
    </w:p>
    <w:p w14:paraId="1F993AB3" w14:textId="77777777" w:rsidR="00EE7E0C" w:rsidRPr="00412393" w:rsidRDefault="003E7EA4" w:rsidP="00697BA6">
      <w:pPr>
        <w:pStyle w:val="ItemHead"/>
      </w:pPr>
      <w:r w:rsidRPr="00412393">
        <w:t>27</w:t>
      </w:r>
      <w:r w:rsidR="00EE7E0C" w:rsidRPr="00412393">
        <w:t xml:space="preserve">  </w:t>
      </w:r>
      <w:r w:rsidR="00E773B3" w:rsidRPr="00412393">
        <w:t>Paragraph 5</w:t>
      </w:r>
      <w:r w:rsidR="00AA09F3" w:rsidRPr="00412393">
        <w:t>01C</w:t>
      </w:r>
      <w:r w:rsidR="00EE7E0C" w:rsidRPr="00412393">
        <w:t>(3)(a)</w:t>
      </w:r>
    </w:p>
    <w:p w14:paraId="546DA312" w14:textId="77777777" w:rsidR="00EE7E0C" w:rsidRPr="00412393" w:rsidRDefault="00EE7E0C" w:rsidP="00697BA6">
      <w:pPr>
        <w:pStyle w:val="Item"/>
      </w:pPr>
      <w:r w:rsidRPr="00412393">
        <w:t>Omit “</w:t>
      </w:r>
      <w:r w:rsidR="008A51DD" w:rsidRPr="00412393">
        <w:t xml:space="preserve">, in the </w:t>
      </w:r>
      <w:r w:rsidRPr="00412393">
        <w:t>way that the Minister considers appropriate in the circumstances”.</w:t>
      </w:r>
    </w:p>
    <w:p w14:paraId="0D15C34E" w14:textId="77777777" w:rsidR="00C03960" w:rsidRPr="00412393" w:rsidRDefault="003E7EA4" w:rsidP="00697BA6">
      <w:pPr>
        <w:pStyle w:val="ItemHead"/>
      </w:pPr>
      <w:r w:rsidRPr="00412393">
        <w:t>28</w:t>
      </w:r>
      <w:r w:rsidR="00C03960" w:rsidRPr="00412393">
        <w:t xml:space="preserve">  After </w:t>
      </w:r>
      <w:r w:rsidR="00E773B3" w:rsidRPr="00412393">
        <w:t>subsection 5</w:t>
      </w:r>
      <w:r w:rsidR="00C03960" w:rsidRPr="00412393">
        <w:t>01C(3)</w:t>
      </w:r>
    </w:p>
    <w:p w14:paraId="16F2520B" w14:textId="77777777" w:rsidR="00C03960" w:rsidRPr="00412393" w:rsidRDefault="00C03960" w:rsidP="00697BA6">
      <w:pPr>
        <w:pStyle w:val="Item"/>
      </w:pPr>
      <w:r w:rsidRPr="00412393">
        <w:t>Insert:</w:t>
      </w:r>
    </w:p>
    <w:p w14:paraId="69422724" w14:textId="77777777" w:rsidR="00C03960" w:rsidRPr="00412393" w:rsidRDefault="00C03960" w:rsidP="00697BA6">
      <w:pPr>
        <w:pStyle w:val="subsection"/>
      </w:pPr>
      <w:r w:rsidRPr="00412393">
        <w:tab/>
        <w:t>(3A)</w:t>
      </w:r>
      <w:r w:rsidRPr="00412393">
        <w:tab/>
        <w:t xml:space="preserve">If the notice under </w:t>
      </w:r>
      <w:r w:rsidR="00E773B3" w:rsidRPr="00412393">
        <w:t>subsection (</w:t>
      </w:r>
      <w:r w:rsidRPr="00412393">
        <w:t>3) relates to an original decision to cancel a visa, the notice must be given in the prescribed way.</w:t>
      </w:r>
    </w:p>
    <w:p w14:paraId="29E4844B" w14:textId="77777777" w:rsidR="00C23A6F" w:rsidRPr="00412393" w:rsidRDefault="003E7EA4" w:rsidP="00697BA6">
      <w:pPr>
        <w:pStyle w:val="ItemHead"/>
      </w:pPr>
      <w:r w:rsidRPr="00412393">
        <w:t>29</w:t>
      </w:r>
      <w:r w:rsidR="00C23A6F" w:rsidRPr="00412393">
        <w:t xml:space="preserve">  </w:t>
      </w:r>
      <w:r w:rsidR="00E773B3" w:rsidRPr="00412393">
        <w:t>Paragraph 5</w:t>
      </w:r>
      <w:r w:rsidR="00C23A6F" w:rsidRPr="00412393">
        <w:t>01CA(3)(a)</w:t>
      </w:r>
    </w:p>
    <w:p w14:paraId="3EB40085" w14:textId="77777777" w:rsidR="00C23A6F" w:rsidRPr="00412393" w:rsidRDefault="00C23A6F" w:rsidP="00697BA6">
      <w:pPr>
        <w:pStyle w:val="Item"/>
      </w:pPr>
      <w:r w:rsidRPr="00412393">
        <w:t>Omit “, in the way that the Minister considers appropriate in the circumstances”.</w:t>
      </w:r>
    </w:p>
    <w:p w14:paraId="1A84CEE7" w14:textId="77777777" w:rsidR="00C23A6F" w:rsidRPr="00412393" w:rsidRDefault="003E7EA4" w:rsidP="00697BA6">
      <w:pPr>
        <w:pStyle w:val="ItemHead"/>
      </w:pPr>
      <w:r w:rsidRPr="00412393">
        <w:t>30</w:t>
      </w:r>
      <w:r w:rsidR="00C23A6F" w:rsidRPr="00412393">
        <w:t xml:space="preserve">  After </w:t>
      </w:r>
      <w:r w:rsidR="00E773B3" w:rsidRPr="00412393">
        <w:t>subsection 5</w:t>
      </w:r>
      <w:r w:rsidR="00C23A6F" w:rsidRPr="00412393">
        <w:t>01CA(3)</w:t>
      </w:r>
    </w:p>
    <w:p w14:paraId="74022C90" w14:textId="77777777" w:rsidR="00C23A6F" w:rsidRPr="00412393" w:rsidRDefault="00C23A6F" w:rsidP="00697BA6">
      <w:pPr>
        <w:pStyle w:val="Item"/>
      </w:pPr>
      <w:r w:rsidRPr="00412393">
        <w:t>Insert:</w:t>
      </w:r>
    </w:p>
    <w:p w14:paraId="12747671" w14:textId="77777777" w:rsidR="00C23A6F" w:rsidRPr="00412393" w:rsidRDefault="00C23A6F" w:rsidP="00697BA6">
      <w:pPr>
        <w:pStyle w:val="subsection"/>
      </w:pPr>
      <w:r w:rsidRPr="00412393">
        <w:tab/>
        <w:t>(3A)</w:t>
      </w:r>
      <w:r w:rsidRPr="00412393">
        <w:tab/>
        <w:t xml:space="preserve">The notice under </w:t>
      </w:r>
      <w:r w:rsidR="00E773B3" w:rsidRPr="00412393">
        <w:t>subsection (</w:t>
      </w:r>
      <w:r w:rsidRPr="00412393">
        <w:t>3) must be given in the prescribed way.</w:t>
      </w:r>
    </w:p>
    <w:p w14:paraId="18F096B5" w14:textId="77777777" w:rsidR="00564121" w:rsidRPr="00412393" w:rsidRDefault="003E7EA4" w:rsidP="00697BA6">
      <w:pPr>
        <w:pStyle w:val="ItemHead"/>
      </w:pPr>
      <w:r w:rsidRPr="00412393">
        <w:t>31</w:t>
      </w:r>
      <w:r w:rsidR="00564121" w:rsidRPr="00412393">
        <w:t xml:space="preserve">  </w:t>
      </w:r>
      <w:r w:rsidR="00E773B3" w:rsidRPr="00412393">
        <w:t>Subsection 5</w:t>
      </w:r>
      <w:r w:rsidR="00564121" w:rsidRPr="00412393">
        <w:t>01G(3)</w:t>
      </w:r>
    </w:p>
    <w:p w14:paraId="60D2666F" w14:textId="77777777" w:rsidR="00564121" w:rsidRPr="00412393" w:rsidRDefault="00564121" w:rsidP="00697BA6">
      <w:pPr>
        <w:pStyle w:val="Item"/>
      </w:pPr>
      <w:r w:rsidRPr="00412393">
        <w:t>Omit “manner”, substitute “way”.</w:t>
      </w:r>
    </w:p>
    <w:p w14:paraId="02B09183" w14:textId="77777777" w:rsidR="00406CE1" w:rsidRPr="00412393" w:rsidRDefault="003E7EA4" w:rsidP="00697BA6">
      <w:pPr>
        <w:pStyle w:val="Transitional"/>
      </w:pPr>
      <w:r w:rsidRPr="00412393">
        <w:t>32</w:t>
      </w:r>
      <w:r w:rsidR="00406CE1" w:rsidRPr="00412393">
        <w:t xml:space="preserve">  After </w:t>
      </w:r>
      <w:r w:rsidR="00E773B3" w:rsidRPr="00412393">
        <w:t>subsection 5</w:t>
      </w:r>
      <w:r w:rsidR="00406CE1" w:rsidRPr="00412393">
        <w:t>04(2)</w:t>
      </w:r>
    </w:p>
    <w:p w14:paraId="4ACAF241" w14:textId="77777777" w:rsidR="00406CE1" w:rsidRPr="00412393" w:rsidRDefault="00406CE1" w:rsidP="00697BA6">
      <w:pPr>
        <w:pStyle w:val="Item"/>
      </w:pPr>
      <w:r w:rsidRPr="00412393">
        <w:t>Insert:</w:t>
      </w:r>
    </w:p>
    <w:p w14:paraId="66BC9323" w14:textId="77777777" w:rsidR="00AA3A86" w:rsidRPr="00412393" w:rsidRDefault="00406CE1" w:rsidP="00697BA6">
      <w:pPr>
        <w:pStyle w:val="subsection"/>
      </w:pPr>
      <w:r w:rsidRPr="00412393">
        <w:tab/>
        <w:t>(2A)</w:t>
      </w:r>
      <w:r w:rsidRPr="00412393">
        <w:tab/>
      </w:r>
      <w:r w:rsidR="00AA3A86" w:rsidRPr="00412393">
        <w:t xml:space="preserve">The regulations that may be made under </w:t>
      </w:r>
      <w:r w:rsidR="00E773B3" w:rsidRPr="00412393">
        <w:t>paragraph (</w:t>
      </w:r>
      <w:r w:rsidR="00AA3A86" w:rsidRPr="00412393">
        <w:t xml:space="preserve">1)(e) include, but are not limited to, regulations specifying circumstances in </w:t>
      </w:r>
      <w:r w:rsidR="00AA3A86" w:rsidRPr="00412393">
        <w:lastRenderedPageBreak/>
        <w:t>which a document is to be taken to have been given in a specified way.</w:t>
      </w:r>
    </w:p>
    <w:p w14:paraId="6B65894B" w14:textId="77777777" w:rsidR="00195381" w:rsidRPr="00412393" w:rsidRDefault="003E7EA4" w:rsidP="00697BA6">
      <w:pPr>
        <w:pStyle w:val="Transitional"/>
      </w:pPr>
      <w:r w:rsidRPr="00412393">
        <w:t>33</w:t>
      </w:r>
      <w:r w:rsidR="00195381" w:rsidRPr="00412393">
        <w:t xml:space="preserve">  Application provision</w:t>
      </w:r>
    </w:p>
    <w:p w14:paraId="3150EB72" w14:textId="77777777" w:rsidR="00BE3A0D" w:rsidRPr="00412393" w:rsidRDefault="00195381" w:rsidP="00697BA6">
      <w:pPr>
        <w:pStyle w:val="Item"/>
      </w:pPr>
      <w:r w:rsidRPr="00412393">
        <w:t>The amendments made by this Schedule apply in relation to a</w:t>
      </w:r>
      <w:r w:rsidR="00C03960" w:rsidRPr="00412393">
        <w:t xml:space="preserve"> notice, notification or</w:t>
      </w:r>
      <w:r w:rsidRPr="00412393">
        <w:t xml:space="preserve"> document given on or </w:t>
      </w:r>
      <w:r w:rsidR="00BE3A0D" w:rsidRPr="00412393">
        <w:t>after the commencement of this item.</w:t>
      </w:r>
    </w:p>
    <w:p w14:paraId="08654F28" w14:textId="77777777" w:rsidR="00E4049F" w:rsidRPr="00412393" w:rsidRDefault="00E773B3" w:rsidP="00697BA6">
      <w:pPr>
        <w:pStyle w:val="ActHead6"/>
        <w:pageBreakBefore/>
      </w:pPr>
      <w:bookmarkStart w:id="10" w:name="_Toc138422914"/>
      <w:bookmarkStart w:id="11" w:name="opcCurrentFind"/>
      <w:bookmarkEnd w:id="8"/>
      <w:r w:rsidRPr="00697BA6">
        <w:rPr>
          <w:rStyle w:val="CharAmSchNo"/>
        </w:rPr>
        <w:lastRenderedPageBreak/>
        <w:t>Schedule 2</w:t>
      </w:r>
      <w:r w:rsidR="00E4049F" w:rsidRPr="00412393">
        <w:t>—</w:t>
      </w:r>
      <w:r w:rsidR="00E4049F" w:rsidRPr="00697BA6">
        <w:rPr>
          <w:rStyle w:val="CharAmSchText"/>
        </w:rPr>
        <w:t>Visa applications by dual nationals</w:t>
      </w:r>
      <w:r w:rsidR="003052A0" w:rsidRPr="00697BA6">
        <w:rPr>
          <w:rStyle w:val="CharAmSchText"/>
        </w:rPr>
        <w:t xml:space="preserve"> etc.</w:t>
      </w:r>
      <w:bookmarkEnd w:id="10"/>
    </w:p>
    <w:bookmarkEnd w:id="11"/>
    <w:p w14:paraId="319A63BC" w14:textId="77777777" w:rsidR="00CA745A" w:rsidRPr="00697BA6" w:rsidRDefault="00CA745A" w:rsidP="00697BA6">
      <w:pPr>
        <w:pStyle w:val="Header"/>
      </w:pPr>
      <w:r w:rsidRPr="00697BA6">
        <w:rPr>
          <w:rStyle w:val="CharAmPartNo"/>
        </w:rPr>
        <w:t xml:space="preserve"> </w:t>
      </w:r>
      <w:r w:rsidRPr="00697BA6">
        <w:rPr>
          <w:rStyle w:val="CharAmPartText"/>
        </w:rPr>
        <w:t xml:space="preserve"> </w:t>
      </w:r>
    </w:p>
    <w:p w14:paraId="0AF0F19A" w14:textId="77777777" w:rsidR="00CA745A" w:rsidRPr="00412393" w:rsidRDefault="00CA745A" w:rsidP="00697BA6">
      <w:pPr>
        <w:pStyle w:val="ActHead9"/>
        <w:rPr>
          <w:i w:val="0"/>
        </w:rPr>
      </w:pPr>
      <w:bookmarkStart w:id="12" w:name="_Toc138422915"/>
      <w:r w:rsidRPr="00412393">
        <w:t>Migration Act 1958</w:t>
      </w:r>
      <w:bookmarkEnd w:id="12"/>
    </w:p>
    <w:p w14:paraId="58714D4D" w14:textId="77777777" w:rsidR="00CA745A" w:rsidRPr="00412393" w:rsidRDefault="003C04F8" w:rsidP="00697BA6">
      <w:pPr>
        <w:pStyle w:val="ItemHead"/>
      </w:pPr>
      <w:r w:rsidRPr="00412393">
        <w:t>1</w:t>
      </w:r>
      <w:r w:rsidR="00CA745A" w:rsidRPr="00412393">
        <w:t xml:space="preserve">  </w:t>
      </w:r>
      <w:r w:rsidR="00E773B3" w:rsidRPr="00412393">
        <w:t>Subsection 5</w:t>
      </w:r>
      <w:r w:rsidR="00CA745A" w:rsidRPr="00412393">
        <w:t>(1) (sub</w:t>
      </w:r>
      <w:r w:rsidR="00E773B3" w:rsidRPr="00412393">
        <w:t>paragraph (</w:t>
      </w:r>
      <w:r w:rsidR="00CA745A" w:rsidRPr="00412393">
        <w:t xml:space="preserve">a)(i) of the definition of </w:t>
      </w:r>
      <w:r w:rsidR="00CA745A" w:rsidRPr="00412393">
        <w:rPr>
          <w:i/>
        </w:rPr>
        <w:t>excluded fast track review applicant</w:t>
      </w:r>
      <w:r w:rsidR="00CA745A" w:rsidRPr="00412393">
        <w:t>)</w:t>
      </w:r>
    </w:p>
    <w:p w14:paraId="0DAF7132" w14:textId="77777777" w:rsidR="00CA745A" w:rsidRPr="00412393" w:rsidRDefault="00CA745A" w:rsidP="00697BA6">
      <w:pPr>
        <w:pStyle w:val="Item"/>
      </w:pPr>
      <w:r w:rsidRPr="00412393">
        <w:t>Omit “or 91N”.</w:t>
      </w:r>
    </w:p>
    <w:p w14:paraId="1E96460F" w14:textId="77777777" w:rsidR="00CA745A" w:rsidRPr="00412393" w:rsidRDefault="003C04F8" w:rsidP="00697BA6">
      <w:pPr>
        <w:pStyle w:val="ItemHead"/>
      </w:pPr>
      <w:r w:rsidRPr="00412393">
        <w:t>2</w:t>
      </w:r>
      <w:r w:rsidR="00CA745A" w:rsidRPr="00412393">
        <w:t xml:space="preserve">  Subparagraphs 46(1)(e)(v) and (vi)</w:t>
      </w:r>
    </w:p>
    <w:p w14:paraId="060A7E73" w14:textId="77777777" w:rsidR="00CA745A" w:rsidRPr="00412393" w:rsidRDefault="00CA745A" w:rsidP="00697BA6">
      <w:pPr>
        <w:pStyle w:val="Item"/>
      </w:pPr>
      <w:r w:rsidRPr="00412393">
        <w:t>Repeal the subparagraphs, substitute:</w:t>
      </w:r>
    </w:p>
    <w:p w14:paraId="5BA1C2D0" w14:textId="77777777" w:rsidR="00CA745A" w:rsidRPr="00412393" w:rsidRDefault="00CA745A" w:rsidP="00697BA6">
      <w:pPr>
        <w:pStyle w:val="paragraphsub"/>
      </w:pPr>
      <w:r w:rsidRPr="00412393">
        <w:tab/>
        <w:t>(v)</w:t>
      </w:r>
      <w:r w:rsidRPr="00412393">
        <w:tab/>
        <w:t>section 91K (temporary safe haven visas).</w:t>
      </w:r>
    </w:p>
    <w:p w14:paraId="67BB98E0" w14:textId="77777777" w:rsidR="00CA745A" w:rsidRPr="00412393" w:rsidRDefault="003C04F8" w:rsidP="00697BA6">
      <w:pPr>
        <w:pStyle w:val="ItemHead"/>
      </w:pPr>
      <w:r w:rsidRPr="00412393">
        <w:t>3</w:t>
      </w:r>
      <w:r w:rsidR="00CA745A" w:rsidRPr="00412393">
        <w:t xml:space="preserve">  Subdivision AK of </w:t>
      </w:r>
      <w:r w:rsidR="00E773B3" w:rsidRPr="00412393">
        <w:t>Division 3</w:t>
      </w:r>
      <w:r w:rsidR="00CA745A" w:rsidRPr="00412393">
        <w:t xml:space="preserve"> of </w:t>
      </w:r>
      <w:r w:rsidR="00E773B3" w:rsidRPr="00412393">
        <w:t>Part 2</w:t>
      </w:r>
    </w:p>
    <w:p w14:paraId="22E4B81F" w14:textId="77777777" w:rsidR="00CA745A" w:rsidRPr="00412393" w:rsidRDefault="00CA745A" w:rsidP="00697BA6">
      <w:pPr>
        <w:pStyle w:val="Item"/>
      </w:pPr>
      <w:r w:rsidRPr="00412393">
        <w:t>Repeal the Subdivision.</w:t>
      </w:r>
    </w:p>
    <w:p w14:paraId="3B784292" w14:textId="77777777" w:rsidR="00CA745A" w:rsidRPr="00412393" w:rsidRDefault="003C04F8" w:rsidP="00697BA6">
      <w:pPr>
        <w:pStyle w:val="ItemHead"/>
      </w:pPr>
      <w:r w:rsidRPr="00412393">
        <w:t>4</w:t>
      </w:r>
      <w:r w:rsidR="00CA745A" w:rsidRPr="00412393">
        <w:t xml:space="preserve">  </w:t>
      </w:r>
      <w:r w:rsidR="00E773B3" w:rsidRPr="00412393">
        <w:t>Subsection 1</w:t>
      </w:r>
      <w:r w:rsidR="00CA745A" w:rsidRPr="00412393">
        <w:t>98(9)</w:t>
      </w:r>
    </w:p>
    <w:p w14:paraId="0F9EB58E" w14:textId="77777777" w:rsidR="00CA745A" w:rsidRPr="00412393" w:rsidRDefault="00CA745A" w:rsidP="00697BA6">
      <w:pPr>
        <w:pStyle w:val="Item"/>
      </w:pPr>
      <w:r w:rsidRPr="00412393">
        <w:t>Repeal the subsection.</w:t>
      </w:r>
    </w:p>
    <w:p w14:paraId="56A7CC3F" w14:textId="77777777" w:rsidR="00CA745A" w:rsidRPr="00412393" w:rsidRDefault="003C04F8" w:rsidP="00697BA6">
      <w:pPr>
        <w:pStyle w:val="ItemHead"/>
      </w:pPr>
      <w:r w:rsidRPr="00412393">
        <w:t>5</w:t>
      </w:r>
      <w:r w:rsidR="00CA745A" w:rsidRPr="00412393">
        <w:t xml:space="preserve">  At the end of </w:t>
      </w:r>
      <w:r w:rsidR="00E773B3" w:rsidRPr="00412393">
        <w:t>subsection 4</w:t>
      </w:r>
      <w:r w:rsidR="00CA745A" w:rsidRPr="00412393">
        <w:t>74(7)</w:t>
      </w:r>
    </w:p>
    <w:p w14:paraId="7E53678C" w14:textId="77777777" w:rsidR="00CA745A" w:rsidRPr="00412393" w:rsidRDefault="00CA745A" w:rsidP="00697BA6">
      <w:pPr>
        <w:pStyle w:val="Item"/>
      </w:pPr>
      <w:r w:rsidRPr="00412393">
        <w:t>Add:</w:t>
      </w:r>
    </w:p>
    <w:p w14:paraId="60B85DD1" w14:textId="77777777" w:rsidR="00CA745A" w:rsidRPr="00412393" w:rsidRDefault="00CA745A" w:rsidP="00697BA6">
      <w:pPr>
        <w:pStyle w:val="notetext"/>
      </w:pPr>
      <w:r w:rsidRPr="00412393">
        <w:t>Note:</w:t>
      </w:r>
      <w:r w:rsidRPr="00412393">
        <w:tab/>
      </w:r>
      <w:r w:rsidR="00E773B3" w:rsidRPr="00412393">
        <w:t>Section 9</w:t>
      </w:r>
      <w:r w:rsidRPr="00412393">
        <w:t xml:space="preserve">1Q was repealed by the </w:t>
      </w:r>
      <w:r w:rsidRPr="00412393">
        <w:rPr>
          <w:i/>
        </w:rPr>
        <w:t>Migration Amendment (Giving Documents and Other Measures) Act 2023</w:t>
      </w:r>
      <w:r w:rsidRPr="00412393">
        <w:t>.</w:t>
      </w:r>
    </w:p>
    <w:p w14:paraId="1BF413CA" w14:textId="77777777" w:rsidR="00CA745A" w:rsidRPr="00412393" w:rsidRDefault="003C04F8" w:rsidP="00697BA6">
      <w:pPr>
        <w:pStyle w:val="Transitional"/>
      </w:pPr>
      <w:r w:rsidRPr="00412393">
        <w:t>6</w:t>
      </w:r>
      <w:r w:rsidR="00CA745A" w:rsidRPr="00412393">
        <w:t xml:space="preserve">  Application provision—validity of visa applications</w:t>
      </w:r>
    </w:p>
    <w:p w14:paraId="7DA7DF55" w14:textId="77777777" w:rsidR="00CA745A" w:rsidRPr="00412393" w:rsidRDefault="00CA745A" w:rsidP="00697BA6">
      <w:pPr>
        <w:pStyle w:val="Subitem"/>
      </w:pPr>
      <w:r w:rsidRPr="00412393">
        <w:t>(1)</w:t>
      </w:r>
      <w:r w:rsidRPr="00412393">
        <w:tab/>
        <w:t xml:space="preserve">The </w:t>
      </w:r>
      <w:r w:rsidR="00A447B0" w:rsidRPr="00412393">
        <w:t>repeal</w:t>
      </w:r>
      <w:r w:rsidRPr="00412393">
        <w:t xml:space="preserve"> of </w:t>
      </w:r>
      <w:r w:rsidR="00E773B3" w:rsidRPr="00412393">
        <w:t>subparagraph 4</w:t>
      </w:r>
      <w:r w:rsidRPr="00412393">
        <w:t>6(1)(e)</w:t>
      </w:r>
      <w:r w:rsidR="00A447B0" w:rsidRPr="00412393">
        <w:t xml:space="preserve">(vi) and Subdivision AK of </w:t>
      </w:r>
      <w:r w:rsidR="00E773B3" w:rsidRPr="00412393">
        <w:t>Division 3</w:t>
      </w:r>
      <w:r w:rsidR="00A447B0" w:rsidRPr="00412393">
        <w:t xml:space="preserve"> of </w:t>
      </w:r>
      <w:r w:rsidR="00E773B3" w:rsidRPr="00412393">
        <w:t>Part 2</w:t>
      </w:r>
      <w:r w:rsidR="00A447B0" w:rsidRPr="00412393">
        <w:t xml:space="preserve"> of </w:t>
      </w:r>
      <w:r w:rsidRPr="00412393">
        <w:t xml:space="preserve">the </w:t>
      </w:r>
      <w:r w:rsidRPr="00412393">
        <w:rPr>
          <w:i/>
        </w:rPr>
        <w:t>Migration Act 1958</w:t>
      </w:r>
      <w:r w:rsidRPr="00412393">
        <w:t xml:space="preserve"> by this Schedule</w:t>
      </w:r>
      <w:r w:rsidR="009D036C" w:rsidRPr="00412393">
        <w:t xml:space="preserve"> </w:t>
      </w:r>
      <w:r w:rsidRPr="00412393">
        <w:t>appl</w:t>
      </w:r>
      <w:r w:rsidR="00A447B0" w:rsidRPr="00412393">
        <w:t>ies</w:t>
      </w:r>
      <w:r w:rsidRPr="00412393">
        <w:t xml:space="preserve"> in relation to the following:</w:t>
      </w:r>
    </w:p>
    <w:p w14:paraId="2C2FAD80" w14:textId="77777777" w:rsidR="00CA745A" w:rsidRPr="00412393" w:rsidRDefault="00CA745A" w:rsidP="00697BA6">
      <w:pPr>
        <w:pStyle w:val="paragraph"/>
      </w:pPr>
      <w:r w:rsidRPr="00412393">
        <w:tab/>
        <w:t>(a)</w:t>
      </w:r>
      <w:r w:rsidRPr="00412393">
        <w:tab/>
        <w:t>an application for a visa made on or after the commencement of this item;</w:t>
      </w:r>
    </w:p>
    <w:p w14:paraId="3C1FD773" w14:textId="77777777" w:rsidR="00CA745A" w:rsidRPr="00412393" w:rsidRDefault="00CA745A" w:rsidP="00697BA6">
      <w:pPr>
        <w:pStyle w:val="paragraph"/>
      </w:pPr>
      <w:r w:rsidRPr="00412393">
        <w:tab/>
        <w:t>(b)</w:t>
      </w:r>
      <w:r w:rsidRPr="00412393">
        <w:tab/>
        <w:t>an application for a visa made before the commencement of this item if, immediately before that commencement, a decision has not been made that the application is not a valid application.</w:t>
      </w:r>
    </w:p>
    <w:p w14:paraId="2C99295A" w14:textId="77777777" w:rsidR="00976953" w:rsidRDefault="00CA745A" w:rsidP="00697BA6">
      <w:pPr>
        <w:pStyle w:val="Subitem"/>
      </w:pPr>
      <w:r w:rsidRPr="00412393">
        <w:lastRenderedPageBreak/>
        <w:t>(2)</w:t>
      </w:r>
      <w:r w:rsidRPr="00412393">
        <w:tab/>
        <w:t xml:space="preserve">For an application of a kind mentioned in </w:t>
      </w:r>
      <w:r w:rsidR="00E773B3" w:rsidRPr="00412393">
        <w:t>paragraph (</w:t>
      </w:r>
      <w:r w:rsidRPr="00412393">
        <w:t>1)(b)</w:t>
      </w:r>
      <w:r w:rsidR="00C2684F" w:rsidRPr="00412393">
        <w:t xml:space="preserve"> of this item</w:t>
      </w:r>
      <w:r w:rsidRPr="00412393">
        <w:t xml:space="preserve">, </w:t>
      </w:r>
      <w:r w:rsidR="00E773B3" w:rsidRPr="00412393">
        <w:t>subparagraph 4</w:t>
      </w:r>
      <w:r w:rsidRPr="00412393">
        <w:t xml:space="preserve">6(1)(e)(vi) </w:t>
      </w:r>
      <w:r w:rsidR="009D036C" w:rsidRPr="00412393">
        <w:t xml:space="preserve">and Subdivision AK of </w:t>
      </w:r>
      <w:r w:rsidR="00E773B3" w:rsidRPr="00412393">
        <w:t>Division 3</w:t>
      </w:r>
      <w:r w:rsidR="009D036C" w:rsidRPr="00412393">
        <w:t xml:space="preserve"> of </w:t>
      </w:r>
      <w:r w:rsidR="00E773B3" w:rsidRPr="00412393">
        <w:t>Part 2</w:t>
      </w:r>
      <w:r w:rsidR="009D036C" w:rsidRPr="00412393">
        <w:t xml:space="preserve"> </w:t>
      </w:r>
      <w:r w:rsidRPr="00412393">
        <w:t xml:space="preserve">of the </w:t>
      </w:r>
      <w:r w:rsidRPr="00412393">
        <w:rPr>
          <w:i/>
        </w:rPr>
        <w:t>Migration Act 1958</w:t>
      </w:r>
      <w:r w:rsidRPr="00412393">
        <w:t xml:space="preserve"> </w:t>
      </w:r>
      <w:r w:rsidR="009D036C" w:rsidRPr="00412393">
        <w:t>are</w:t>
      </w:r>
      <w:r w:rsidRPr="00412393">
        <w:t xml:space="preserve"> to be taken to have been repealed immediately before the application was made.</w:t>
      </w:r>
    </w:p>
    <w:p w14:paraId="1D4376E5" w14:textId="77777777" w:rsidR="004A1AA3" w:rsidRDefault="004A1AA3" w:rsidP="004A1AA3"/>
    <w:p w14:paraId="4034E2AB" w14:textId="77777777" w:rsidR="004A1AA3" w:rsidRDefault="004A1AA3" w:rsidP="004A1AA3">
      <w:pPr>
        <w:pStyle w:val="AssentBk"/>
        <w:keepNext/>
      </w:pPr>
    </w:p>
    <w:p w14:paraId="47E88BCB" w14:textId="77777777" w:rsidR="004A1AA3" w:rsidRDefault="004A1AA3" w:rsidP="004A1AA3">
      <w:pPr>
        <w:pStyle w:val="AssentBk"/>
        <w:keepNext/>
      </w:pPr>
    </w:p>
    <w:p w14:paraId="3F47C423" w14:textId="77777777" w:rsidR="004A1AA3" w:rsidRDefault="004A1AA3" w:rsidP="004A1AA3">
      <w:pPr>
        <w:pStyle w:val="2ndRd"/>
        <w:keepNext/>
        <w:pBdr>
          <w:top w:val="single" w:sz="2" w:space="1" w:color="auto"/>
        </w:pBdr>
      </w:pPr>
    </w:p>
    <w:p w14:paraId="70ADB0AB" w14:textId="77777777" w:rsidR="004A1AA3" w:rsidRDefault="004A1AA3" w:rsidP="000C5962">
      <w:pPr>
        <w:pStyle w:val="2ndRd"/>
        <w:keepNext/>
        <w:spacing w:line="260" w:lineRule="atLeast"/>
        <w:rPr>
          <w:i/>
        </w:rPr>
      </w:pPr>
      <w:r>
        <w:t>[</w:t>
      </w:r>
      <w:r>
        <w:rPr>
          <w:i/>
        </w:rPr>
        <w:t>Minister’s second reading speech made in—</w:t>
      </w:r>
    </w:p>
    <w:p w14:paraId="525F7546" w14:textId="337207E0" w:rsidR="004A1AA3" w:rsidRDefault="004A1AA3" w:rsidP="000C5962">
      <w:pPr>
        <w:pStyle w:val="2ndRd"/>
        <w:keepNext/>
        <w:spacing w:line="260" w:lineRule="atLeast"/>
        <w:rPr>
          <w:i/>
        </w:rPr>
      </w:pPr>
      <w:r>
        <w:rPr>
          <w:i/>
        </w:rPr>
        <w:t>House of Representatives on 24 May 2023</w:t>
      </w:r>
    </w:p>
    <w:p w14:paraId="3322E0A9" w14:textId="4191E626" w:rsidR="004A1AA3" w:rsidRDefault="004A1AA3" w:rsidP="000C5962">
      <w:pPr>
        <w:pStyle w:val="2ndRd"/>
        <w:keepNext/>
        <w:spacing w:line="260" w:lineRule="atLeast"/>
        <w:rPr>
          <w:i/>
        </w:rPr>
      </w:pPr>
      <w:r>
        <w:rPr>
          <w:i/>
        </w:rPr>
        <w:t>Senate on 13 June 2023</w:t>
      </w:r>
      <w:r>
        <w:t>]</w:t>
      </w:r>
    </w:p>
    <w:p w14:paraId="5C119241" w14:textId="77777777" w:rsidR="004A1AA3" w:rsidRDefault="004A1AA3" w:rsidP="000C5962"/>
    <w:p w14:paraId="451B77FA" w14:textId="22D1409E" w:rsidR="00C52FA1" w:rsidRPr="004A1AA3" w:rsidRDefault="004A1AA3" w:rsidP="004A1AA3">
      <w:pPr>
        <w:framePr w:hSpace="180" w:wrap="around" w:vAnchor="text" w:hAnchor="page" w:x="2356" w:y="7073"/>
      </w:pPr>
      <w:r>
        <w:t>(68/23)</w:t>
      </w:r>
    </w:p>
    <w:p w14:paraId="08363664" w14:textId="77777777" w:rsidR="004A1AA3" w:rsidRDefault="004A1AA3"/>
    <w:sectPr w:rsidR="004A1AA3" w:rsidSect="00C52FA1">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58B2" w14:textId="77777777" w:rsidR="00DB50AB" w:rsidRDefault="00DB50AB" w:rsidP="0048364F">
      <w:pPr>
        <w:spacing w:line="240" w:lineRule="auto"/>
      </w:pPr>
      <w:r>
        <w:separator/>
      </w:r>
    </w:p>
  </w:endnote>
  <w:endnote w:type="continuationSeparator" w:id="0">
    <w:p w14:paraId="09229568" w14:textId="77777777" w:rsidR="00DB50AB" w:rsidRDefault="00DB50A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6F1A" w14:textId="77777777" w:rsidR="00DB50AB" w:rsidRPr="005F1388" w:rsidRDefault="00DB50AB" w:rsidP="00697BA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534B" w14:textId="4D8E1BCA" w:rsidR="004A1AA3" w:rsidRDefault="004A1AA3" w:rsidP="00CD12A5">
    <w:pPr>
      <w:pStyle w:val="ScalePlusRef"/>
    </w:pPr>
    <w:r>
      <w:t>Note: An electronic version of this Act is available on the Federal Register of Legislation (</w:t>
    </w:r>
    <w:hyperlink r:id="rId1" w:history="1">
      <w:r>
        <w:t>https://www.legislation.gov.au/</w:t>
      </w:r>
    </w:hyperlink>
    <w:r>
      <w:t>)</w:t>
    </w:r>
  </w:p>
  <w:p w14:paraId="7F2F1D90" w14:textId="77777777" w:rsidR="004A1AA3" w:rsidRDefault="004A1AA3" w:rsidP="00CD12A5"/>
  <w:p w14:paraId="585FA548" w14:textId="6580809F" w:rsidR="00DB50AB" w:rsidRDefault="00DB50AB" w:rsidP="00697BA6">
    <w:pPr>
      <w:pStyle w:val="Footer"/>
      <w:spacing w:before="120"/>
    </w:pPr>
  </w:p>
  <w:p w14:paraId="68548E66" w14:textId="77777777" w:rsidR="00DB50AB" w:rsidRPr="005F1388" w:rsidRDefault="00DB50A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836A" w14:textId="77777777" w:rsidR="00DB50AB" w:rsidRPr="00ED79B6" w:rsidRDefault="00DB50AB" w:rsidP="00697BA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DBE3" w14:textId="77777777" w:rsidR="00DB50AB" w:rsidRDefault="00DB50AB" w:rsidP="00697B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50AB" w14:paraId="403818A1" w14:textId="77777777" w:rsidTr="00075EB7">
      <w:tc>
        <w:tcPr>
          <w:tcW w:w="646" w:type="dxa"/>
        </w:tcPr>
        <w:p w14:paraId="5897655C" w14:textId="77777777" w:rsidR="00DB50AB" w:rsidRDefault="00DB50AB" w:rsidP="00075EB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31868B7" w14:textId="4ACA279B" w:rsidR="00DB50AB" w:rsidRDefault="00DB50AB" w:rsidP="00075EB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6B0A">
            <w:rPr>
              <w:i/>
              <w:sz w:val="18"/>
            </w:rPr>
            <w:t>Migration Amendment (Giving Documents and Other Measures) Act 2023</w:t>
          </w:r>
          <w:r w:rsidRPr="00ED79B6">
            <w:rPr>
              <w:i/>
              <w:sz w:val="18"/>
            </w:rPr>
            <w:fldChar w:fldCharType="end"/>
          </w:r>
        </w:p>
      </w:tc>
      <w:tc>
        <w:tcPr>
          <w:tcW w:w="1270" w:type="dxa"/>
        </w:tcPr>
        <w:p w14:paraId="1A761CB5" w14:textId="64FF4B93" w:rsidR="00DB50AB" w:rsidRDefault="00DB50AB" w:rsidP="00075EB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6B0A">
            <w:rPr>
              <w:i/>
              <w:sz w:val="18"/>
            </w:rPr>
            <w:t>No. 26, 2023</w:t>
          </w:r>
          <w:r w:rsidRPr="00ED79B6">
            <w:rPr>
              <w:i/>
              <w:sz w:val="18"/>
            </w:rPr>
            <w:fldChar w:fldCharType="end"/>
          </w:r>
        </w:p>
      </w:tc>
    </w:tr>
  </w:tbl>
  <w:p w14:paraId="4315C044" w14:textId="77777777" w:rsidR="00DB50AB" w:rsidRDefault="00DB50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847D" w14:textId="77777777" w:rsidR="00DB50AB" w:rsidRDefault="00DB50AB" w:rsidP="00697B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50AB" w14:paraId="5C8D4F2D" w14:textId="77777777" w:rsidTr="00075EB7">
      <w:tc>
        <w:tcPr>
          <w:tcW w:w="1247" w:type="dxa"/>
        </w:tcPr>
        <w:p w14:paraId="69999CF4" w14:textId="63AD5184" w:rsidR="00DB50AB" w:rsidRDefault="00DB50AB" w:rsidP="00075EB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6B0A">
            <w:rPr>
              <w:i/>
              <w:sz w:val="18"/>
            </w:rPr>
            <w:t>No. 26, 2023</w:t>
          </w:r>
          <w:r w:rsidRPr="00ED79B6">
            <w:rPr>
              <w:i/>
              <w:sz w:val="18"/>
            </w:rPr>
            <w:fldChar w:fldCharType="end"/>
          </w:r>
        </w:p>
      </w:tc>
      <w:tc>
        <w:tcPr>
          <w:tcW w:w="5387" w:type="dxa"/>
        </w:tcPr>
        <w:p w14:paraId="45272BE9" w14:textId="77E6AFB9" w:rsidR="00DB50AB" w:rsidRDefault="00DB50AB" w:rsidP="00075EB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6B0A">
            <w:rPr>
              <w:i/>
              <w:sz w:val="18"/>
            </w:rPr>
            <w:t>Migration Amendment (Giving Documents and Other Measures) Act 2023</w:t>
          </w:r>
          <w:r w:rsidRPr="00ED79B6">
            <w:rPr>
              <w:i/>
              <w:sz w:val="18"/>
            </w:rPr>
            <w:fldChar w:fldCharType="end"/>
          </w:r>
        </w:p>
      </w:tc>
      <w:tc>
        <w:tcPr>
          <w:tcW w:w="669" w:type="dxa"/>
        </w:tcPr>
        <w:p w14:paraId="0ACC595F" w14:textId="77777777" w:rsidR="00DB50AB" w:rsidRDefault="00DB50AB" w:rsidP="00075EB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4235DFF" w14:textId="77777777" w:rsidR="00DB50AB" w:rsidRPr="00ED79B6" w:rsidRDefault="00DB50A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12E5" w14:textId="77777777" w:rsidR="00DB50AB" w:rsidRPr="00A961C4" w:rsidRDefault="00DB50AB" w:rsidP="00697BA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50AB" w14:paraId="223EFBB5" w14:textId="77777777" w:rsidTr="00412393">
      <w:tc>
        <w:tcPr>
          <w:tcW w:w="646" w:type="dxa"/>
        </w:tcPr>
        <w:p w14:paraId="4D33884C" w14:textId="77777777" w:rsidR="00DB50AB" w:rsidRDefault="00DB50AB" w:rsidP="00075EB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D00B2C9" w14:textId="1B9F44E8" w:rsidR="00DB50AB" w:rsidRDefault="00DB50AB" w:rsidP="00075E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6B0A">
            <w:rPr>
              <w:i/>
              <w:sz w:val="18"/>
            </w:rPr>
            <w:t>Migration Amendment (Giving Documents and Other Measures) Act 2023</w:t>
          </w:r>
          <w:r w:rsidRPr="007A1328">
            <w:rPr>
              <w:i/>
              <w:sz w:val="18"/>
            </w:rPr>
            <w:fldChar w:fldCharType="end"/>
          </w:r>
        </w:p>
      </w:tc>
      <w:tc>
        <w:tcPr>
          <w:tcW w:w="1270" w:type="dxa"/>
        </w:tcPr>
        <w:p w14:paraId="2ED7A76E" w14:textId="0BCD9B10" w:rsidR="00DB50AB" w:rsidRDefault="00DB50AB" w:rsidP="00075EB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6B0A">
            <w:rPr>
              <w:i/>
              <w:sz w:val="18"/>
            </w:rPr>
            <w:t>No. 26, 2023</w:t>
          </w:r>
          <w:r w:rsidRPr="007A1328">
            <w:rPr>
              <w:i/>
              <w:sz w:val="18"/>
            </w:rPr>
            <w:fldChar w:fldCharType="end"/>
          </w:r>
        </w:p>
      </w:tc>
    </w:tr>
  </w:tbl>
  <w:p w14:paraId="654B12F0" w14:textId="77777777" w:rsidR="00DB50AB" w:rsidRPr="00A961C4" w:rsidRDefault="00DB50A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19D1" w14:textId="77777777" w:rsidR="00DB50AB" w:rsidRPr="00A961C4" w:rsidRDefault="00DB50AB" w:rsidP="00697B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50AB" w14:paraId="65B09273" w14:textId="77777777" w:rsidTr="00412393">
      <w:tc>
        <w:tcPr>
          <w:tcW w:w="1247" w:type="dxa"/>
        </w:tcPr>
        <w:p w14:paraId="647D3BF8" w14:textId="605BC53F" w:rsidR="00DB50AB" w:rsidRDefault="00DB50AB" w:rsidP="00075EB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6B0A">
            <w:rPr>
              <w:i/>
              <w:sz w:val="18"/>
            </w:rPr>
            <w:t>No. 26, 2023</w:t>
          </w:r>
          <w:r w:rsidRPr="007A1328">
            <w:rPr>
              <w:i/>
              <w:sz w:val="18"/>
            </w:rPr>
            <w:fldChar w:fldCharType="end"/>
          </w:r>
        </w:p>
      </w:tc>
      <w:tc>
        <w:tcPr>
          <w:tcW w:w="5387" w:type="dxa"/>
        </w:tcPr>
        <w:p w14:paraId="33727927" w14:textId="25BEF49B" w:rsidR="00DB50AB" w:rsidRDefault="00DB50AB" w:rsidP="00075E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6B0A">
            <w:rPr>
              <w:i/>
              <w:sz w:val="18"/>
            </w:rPr>
            <w:t>Migration Amendment (Giving Documents and Other Measures) Act 2023</w:t>
          </w:r>
          <w:r w:rsidRPr="007A1328">
            <w:rPr>
              <w:i/>
              <w:sz w:val="18"/>
            </w:rPr>
            <w:fldChar w:fldCharType="end"/>
          </w:r>
        </w:p>
      </w:tc>
      <w:tc>
        <w:tcPr>
          <w:tcW w:w="669" w:type="dxa"/>
        </w:tcPr>
        <w:p w14:paraId="499EA1C3" w14:textId="77777777" w:rsidR="00DB50AB" w:rsidRDefault="00DB50AB" w:rsidP="00075EB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1EF3319" w14:textId="77777777" w:rsidR="00DB50AB" w:rsidRPr="00055B5C" w:rsidRDefault="00DB50A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6CA0" w14:textId="77777777" w:rsidR="00DB50AB" w:rsidRPr="00A961C4" w:rsidRDefault="00DB50AB" w:rsidP="00697B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DB50AB" w14:paraId="62EF2E02" w14:textId="77777777" w:rsidTr="00412393">
      <w:tc>
        <w:tcPr>
          <w:tcW w:w="1247" w:type="dxa"/>
        </w:tcPr>
        <w:p w14:paraId="263435F4" w14:textId="774F087B" w:rsidR="00DB50AB" w:rsidRDefault="00DB50AB" w:rsidP="00075EB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6B0A">
            <w:rPr>
              <w:i/>
              <w:sz w:val="18"/>
            </w:rPr>
            <w:t>No. 26, 2023</w:t>
          </w:r>
          <w:r w:rsidRPr="007A1328">
            <w:rPr>
              <w:i/>
              <w:sz w:val="18"/>
            </w:rPr>
            <w:fldChar w:fldCharType="end"/>
          </w:r>
        </w:p>
      </w:tc>
      <w:tc>
        <w:tcPr>
          <w:tcW w:w="5387" w:type="dxa"/>
        </w:tcPr>
        <w:p w14:paraId="3C06A6FC" w14:textId="1A457DDB" w:rsidR="00DB50AB" w:rsidRDefault="00DB50AB" w:rsidP="00075E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6B0A">
            <w:rPr>
              <w:i/>
              <w:sz w:val="18"/>
            </w:rPr>
            <w:t>Migration Amendment (Giving Documents and Other Measures) Act 2023</w:t>
          </w:r>
          <w:r w:rsidRPr="007A1328">
            <w:rPr>
              <w:i/>
              <w:sz w:val="18"/>
            </w:rPr>
            <w:fldChar w:fldCharType="end"/>
          </w:r>
        </w:p>
      </w:tc>
      <w:tc>
        <w:tcPr>
          <w:tcW w:w="669" w:type="dxa"/>
        </w:tcPr>
        <w:p w14:paraId="6640E71D" w14:textId="77777777" w:rsidR="00DB50AB" w:rsidRDefault="00DB50AB" w:rsidP="00075EB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CC4E0D7" w14:textId="77777777" w:rsidR="00DB50AB" w:rsidRPr="00A961C4" w:rsidRDefault="00DB50A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3F8A" w14:textId="77777777" w:rsidR="00DB50AB" w:rsidRDefault="00DB50AB" w:rsidP="0048364F">
      <w:pPr>
        <w:spacing w:line="240" w:lineRule="auto"/>
      </w:pPr>
      <w:r>
        <w:separator/>
      </w:r>
    </w:p>
  </w:footnote>
  <w:footnote w:type="continuationSeparator" w:id="0">
    <w:p w14:paraId="5BC2F6E5" w14:textId="77777777" w:rsidR="00DB50AB" w:rsidRDefault="00DB50A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3BCA" w14:textId="77777777" w:rsidR="00DB50AB" w:rsidRPr="005F1388" w:rsidRDefault="00DB50A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D868" w14:textId="77777777" w:rsidR="00DB50AB" w:rsidRPr="005F1388" w:rsidRDefault="00DB50A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65B5" w14:textId="77777777" w:rsidR="00DB50AB" w:rsidRPr="005F1388" w:rsidRDefault="00DB50A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B78E" w14:textId="77777777" w:rsidR="00DB50AB" w:rsidRPr="00ED79B6" w:rsidRDefault="00DB50A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A296" w14:textId="77777777" w:rsidR="00DB50AB" w:rsidRPr="00ED79B6" w:rsidRDefault="00DB50A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D81D" w14:textId="77777777" w:rsidR="00DB50AB" w:rsidRPr="00ED79B6" w:rsidRDefault="00DB50A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2A94" w14:textId="587FF029" w:rsidR="00DB50AB" w:rsidRPr="00A961C4" w:rsidRDefault="00DB50AB" w:rsidP="0083143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r>
      <w:rPr>
        <w:sz w:val="20"/>
      </w:rPr>
      <w:fldChar w:fldCharType="begin"/>
    </w:r>
    <w:r>
      <w:rPr>
        <w:sz w:val="20"/>
      </w:rPr>
      <w:instrText xml:space="preserve"> STYLEREF CharAmPartText </w:instrText>
    </w:r>
    <w:r>
      <w:rPr>
        <w:sz w:val="20"/>
      </w:rPr>
      <w:fldChar w:fldCharType="end"/>
    </w:r>
  </w:p>
  <w:p w14:paraId="542649D4" w14:textId="64A846FC" w:rsidR="00697BA6" w:rsidRPr="00A961C4" w:rsidRDefault="00697BA6" w:rsidP="00697BA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BEB3097" w14:textId="77777777" w:rsidR="00DB50AB" w:rsidRPr="00A961C4" w:rsidRDefault="00DB50A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B43C" w14:textId="65D3D5F3" w:rsidR="00DB50AB" w:rsidRPr="00A961C4" w:rsidRDefault="00DB50A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83C07">
      <w:rPr>
        <w:noProof/>
        <w:sz w:val="20"/>
      </w:rPr>
      <w:t>Documents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83C07">
      <w:rPr>
        <w:b/>
        <w:noProof/>
        <w:sz w:val="20"/>
      </w:rPr>
      <w:t>Schedule 1</w:t>
    </w:r>
    <w:r>
      <w:rPr>
        <w:b/>
        <w:sz w:val="20"/>
      </w:rPr>
      <w:fldChar w:fldCharType="end"/>
    </w:r>
  </w:p>
  <w:p w14:paraId="57F64959" w14:textId="386D2A12" w:rsidR="00DB50AB" w:rsidRPr="00A961C4" w:rsidRDefault="00DB50A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E68B639" w14:textId="77777777" w:rsidR="00DB50AB" w:rsidRPr="00A961C4" w:rsidRDefault="00DB50A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9180" w14:textId="77777777" w:rsidR="00DB50AB" w:rsidRPr="00A961C4" w:rsidRDefault="00DB50A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06"/>
    <w:rsid w:val="00004149"/>
    <w:rsid w:val="00005D25"/>
    <w:rsid w:val="0000754D"/>
    <w:rsid w:val="000113BC"/>
    <w:rsid w:val="000136AF"/>
    <w:rsid w:val="00022A4D"/>
    <w:rsid w:val="00025473"/>
    <w:rsid w:val="00032D5C"/>
    <w:rsid w:val="000360B4"/>
    <w:rsid w:val="000375CE"/>
    <w:rsid w:val="000417C9"/>
    <w:rsid w:val="00042BE3"/>
    <w:rsid w:val="000457EF"/>
    <w:rsid w:val="0004762D"/>
    <w:rsid w:val="00051D31"/>
    <w:rsid w:val="00055AC8"/>
    <w:rsid w:val="00055B5C"/>
    <w:rsid w:val="00056391"/>
    <w:rsid w:val="000567E1"/>
    <w:rsid w:val="00060FF9"/>
    <w:rsid w:val="000614BF"/>
    <w:rsid w:val="00067EB2"/>
    <w:rsid w:val="00075EB7"/>
    <w:rsid w:val="0009764F"/>
    <w:rsid w:val="000A0200"/>
    <w:rsid w:val="000A3A5B"/>
    <w:rsid w:val="000A73EC"/>
    <w:rsid w:val="000B1FD2"/>
    <w:rsid w:val="000B3D68"/>
    <w:rsid w:val="000C03AF"/>
    <w:rsid w:val="000D05EF"/>
    <w:rsid w:val="000D0C5D"/>
    <w:rsid w:val="000D585F"/>
    <w:rsid w:val="000D5DCF"/>
    <w:rsid w:val="000D7247"/>
    <w:rsid w:val="000D7888"/>
    <w:rsid w:val="000E7C0A"/>
    <w:rsid w:val="000F21C1"/>
    <w:rsid w:val="000F2A52"/>
    <w:rsid w:val="000F316E"/>
    <w:rsid w:val="000F5291"/>
    <w:rsid w:val="0010128B"/>
    <w:rsid w:val="00101D90"/>
    <w:rsid w:val="0010745C"/>
    <w:rsid w:val="0011116F"/>
    <w:rsid w:val="00113BD1"/>
    <w:rsid w:val="001159D8"/>
    <w:rsid w:val="00115C2A"/>
    <w:rsid w:val="00122206"/>
    <w:rsid w:val="00122C99"/>
    <w:rsid w:val="00125761"/>
    <w:rsid w:val="00125897"/>
    <w:rsid w:val="0013291C"/>
    <w:rsid w:val="00137C56"/>
    <w:rsid w:val="00141F4D"/>
    <w:rsid w:val="00150A39"/>
    <w:rsid w:val="00154C1B"/>
    <w:rsid w:val="0015646E"/>
    <w:rsid w:val="001643C9"/>
    <w:rsid w:val="00165568"/>
    <w:rsid w:val="001661CD"/>
    <w:rsid w:val="00166C2F"/>
    <w:rsid w:val="00170659"/>
    <w:rsid w:val="001716C9"/>
    <w:rsid w:val="00172C24"/>
    <w:rsid w:val="00173363"/>
    <w:rsid w:val="00173B94"/>
    <w:rsid w:val="00184D20"/>
    <w:rsid w:val="001854B4"/>
    <w:rsid w:val="001930B3"/>
    <w:rsid w:val="001939E1"/>
    <w:rsid w:val="00195381"/>
    <w:rsid w:val="00195382"/>
    <w:rsid w:val="001953F2"/>
    <w:rsid w:val="001974B7"/>
    <w:rsid w:val="001A3658"/>
    <w:rsid w:val="001A5E77"/>
    <w:rsid w:val="001A759A"/>
    <w:rsid w:val="001B2850"/>
    <w:rsid w:val="001B633C"/>
    <w:rsid w:val="001B6A51"/>
    <w:rsid w:val="001B7A5D"/>
    <w:rsid w:val="001C2418"/>
    <w:rsid w:val="001C46B6"/>
    <w:rsid w:val="001C69C4"/>
    <w:rsid w:val="001E3590"/>
    <w:rsid w:val="001E6D20"/>
    <w:rsid w:val="001E7407"/>
    <w:rsid w:val="001E7D5C"/>
    <w:rsid w:val="001F0B1B"/>
    <w:rsid w:val="00201D27"/>
    <w:rsid w:val="00202618"/>
    <w:rsid w:val="00203883"/>
    <w:rsid w:val="00205A63"/>
    <w:rsid w:val="00207265"/>
    <w:rsid w:val="00212B42"/>
    <w:rsid w:val="002140E4"/>
    <w:rsid w:val="002178EA"/>
    <w:rsid w:val="00222297"/>
    <w:rsid w:val="00231196"/>
    <w:rsid w:val="00240749"/>
    <w:rsid w:val="0024483E"/>
    <w:rsid w:val="00251CB7"/>
    <w:rsid w:val="002561AB"/>
    <w:rsid w:val="00263820"/>
    <w:rsid w:val="00264954"/>
    <w:rsid w:val="00275197"/>
    <w:rsid w:val="00276504"/>
    <w:rsid w:val="00293B89"/>
    <w:rsid w:val="00297ECB"/>
    <w:rsid w:val="002A494D"/>
    <w:rsid w:val="002B5A30"/>
    <w:rsid w:val="002B7C22"/>
    <w:rsid w:val="002C13B0"/>
    <w:rsid w:val="002D043A"/>
    <w:rsid w:val="002D2219"/>
    <w:rsid w:val="002D395A"/>
    <w:rsid w:val="002D5772"/>
    <w:rsid w:val="002E5514"/>
    <w:rsid w:val="002E79C7"/>
    <w:rsid w:val="002F32EB"/>
    <w:rsid w:val="002F5A80"/>
    <w:rsid w:val="003052A0"/>
    <w:rsid w:val="00306104"/>
    <w:rsid w:val="00315FF6"/>
    <w:rsid w:val="0031687D"/>
    <w:rsid w:val="00321EE3"/>
    <w:rsid w:val="003247EB"/>
    <w:rsid w:val="00333731"/>
    <w:rsid w:val="00336B0A"/>
    <w:rsid w:val="003370C1"/>
    <w:rsid w:val="00337CA0"/>
    <w:rsid w:val="003415D3"/>
    <w:rsid w:val="0034356E"/>
    <w:rsid w:val="00350417"/>
    <w:rsid w:val="00350767"/>
    <w:rsid w:val="00351A2C"/>
    <w:rsid w:val="00352B0F"/>
    <w:rsid w:val="003530A2"/>
    <w:rsid w:val="00362045"/>
    <w:rsid w:val="00373874"/>
    <w:rsid w:val="003759A9"/>
    <w:rsid w:val="00375C6C"/>
    <w:rsid w:val="00377A90"/>
    <w:rsid w:val="00380144"/>
    <w:rsid w:val="00382573"/>
    <w:rsid w:val="003918A9"/>
    <w:rsid w:val="0039459A"/>
    <w:rsid w:val="003945AA"/>
    <w:rsid w:val="003A7B3C"/>
    <w:rsid w:val="003B0F72"/>
    <w:rsid w:val="003B4E3D"/>
    <w:rsid w:val="003C04F8"/>
    <w:rsid w:val="003C09B0"/>
    <w:rsid w:val="003C3F20"/>
    <w:rsid w:val="003C5BD3"/>
    <w:rsid w:val="003C5F2B"/>
    <w:rsid w:val="003D0BFE"/>
    <w:rsid w:val="003D5700"/>
    <w:rsid w:val="003E7EA4"/>
    <w:rsid w:val="003F04F8"/>
    <w:rsid w:val="003F5A9E"/>
    <w:rsid w:val="00402621"/>
    <w:rsid w:val="00405579"/>
    <w:rsid w:val="00406CE1"/>
    <w:rsid w:val="00406DED"/>
    <w:rsid w:val="00410154"/>
    <w:rsid w:val="00410B8E"/>
    <w:rsid w:val="004116CD"/>
    <w:rsid w:val="00412246"/>
    <w:rsid w:val="00412393"/>
    <w:rsid w:val="00421FC1"/>
    <w:rsid w:val="004229C7"/>
    <w:rsid w:val="00424CA9"/>
    <w:rsid w:val="00427A09"/>
    <w:rsid w:val="00431819"/>
    <w:rsid w:val="00434B57"/>
    <w:rsid w:val="00436785"/>
    <w:rsid w:val="00436BD5"/>
    <w:rsid w:val="00437E4B"/>
    <w:rsid w:val="0044291A"/>
    <w:rsid w:val="00445146"/>
    <w:rsid w:val="00447C7C"/>
    <w:rsid w:val="00455EC1"/>
    <w:rsid w:val="004570AE"/>
    <w:rsid w:val="004620F3"/>
    <w:rsid w:val="00462BCF"/>
    <w:rsid w:val="00472430"/>
    <w:rsid w:val="0048196B"/>
    <w:rsid w:val="0048364F"/>
    <w:rsid w:val="00483C07"/>
    <w:rsid w:val="00486D05"/>
    <w:rsid w:val="00496F97"/>
    <w:rsid w:val="004A1AA3"/>
    <w:rsid w:val="004B0E71"/>
    <w:rsid w:val="004B252A"/>
    <w:rsid w:val="004B50D8"/>
    <w:rsid w:val="004B5781"/>
    <w:rsid w:val="004C7BF6"/>
    <w:rsid w:val="004C7C8C"/>
    <w:rsid w:val="004D49AB"/>
    <w:rsid w:val="004E2A4A"/>
    <w:rsid w:val="004F0D23"/>
    <w:rsid w:val="004F1FAC"/>
    <w:rsid w:val="004F2E91"/>
    <w:rsid w:val="00504F72"/>
    <w:rsid w:val="005079C5"/>
    <w:rsid w:val="0051312D"/>
    <w:rsid w:val="00516B8D"/>
    <w:rsid w:val="00520DA7"/>
    <w:rsid w:val="005228EC"/>
    <w:rsid w:val="005236EC"/>
    <w:rsid w:val="00525DEF"/>
    <w:rsid w:val="00526B7F"/>
    <w:rsid w:val="00537FBC"/>
    <w:rsid w:val="00543469"/>
    <w:rsid w:val="00545D52"/>
    <w:rsid w:val="00546112"/>
    <w:rsid w:val="005518FC"/>
    <w:rsid w:val="00551B54"/>
    <w:rsid w:val="00557688"/>
    <w:rsid w:val="005639CF"/>
    <w:rsid w:val="00564121"/>
    <w:rsid w:val="00570C99"/>
    <w:rsid w:val="00584811"/>
    <w:rsid w:val="00593AA6"/>
    <w:rsid w:val="00594161"/>
    <w:rsid w:val="00594749"/>
    <w:rsid w:val="00594869"/>
    <w:rsid w:val="00595E9B"/>
    <w:rsid w:val="00596280"/>
    <w:rsid w:val="005A0D92"/>
    <w:rsid w:val="005A5BB7"/>
    <w:rsid w:val="005B4067"/>
    <w:rsid w:val="005B5984"/>
    <w:rsid w:val="005B5FFE"/>
    <w:rsid w:val="005C3F41"/>
    <w:rsid w:val="005C5556"/>
    <w:rsid w:val="005D3890"/>
    <w:rsid w:val="005D5ED6"/>
    <w:rsid w:val="005E0BE8"/>
    <w:rsid w:val="005E152A"/>
    <w:rsid w:val="005E2801"/>
    <w:rsid w:val="005E5AFB"/>
    <w:rsid w:val="005F11B1"/>
    <w:rsid w:val="005F6F63"/>
    <w:rsid w:val="00600219"/>
    <w:rsid w:val="00613D23"/>
    <w:rsid w:val="006167FD"/>
    <w:rsid w:val="00641DE5"/>
    <w:rsid w:val="00642813"/>
    <w:rsid w:val="00650558"/>
    <w:rsid w:val="00656DDE"/>
    <w:rsid w:val="00656F0C"/>
    <w:rsid w:val="00660D01"/>
    <w:rsid w:val="00677CC2"/>
    <w:rsid w:val="00681F92"/>
    <w:rsid w:val="006842C2"/>
    <w:rsid w:val="00685F42"/>
    <w:rsid w:val="0069207B"/>
    <w:rsid w:val="0069589D"/>
    <w:rsid w:val="0069732A"/>
    <w:rsid w:val="00697BA6"/>
    <w:rsid w:val="006A4B23"/>
    <w:rsid w:val="006A50A9"/>
    <w:rsid w:val="006B4192"/>
    <w:rsid w:val="006C033D"/>
    <w:rsid w:val="006C2807"/>
    <w:rsid w:val="006C2874"/>
    <w:rsid w:val="006C7F8C"/>
    <w:rsid w:val="006D26E1"/>
    <w:rsid w:val="006D380D"/>
    <w:rsid w:val="006D3F2F"/>
    <w:rsid w:val="006E0135"/>
    <w:rsid w:val="006E303A"/>
    <w:rsid w:val="006E3B27"/>
    <w:rsid w:val="006E5AA0"/>
    <w:rsid w:val="006F1C51"/>
    <w:rsid w:val="006F7E19"/>
    <w:rsid w:val="00700B2C"/>
    <w:rsid w:val="007055F2"/>
    <w:rsid w:val="00712D8D"/>
    <w:rsid w:val="00713084"/>
    <w:rsid w:val="00714B26"/>
    <w:rsid w:val="007313D9"/>
    <w:rsid w:val="00731E00"/>
    <w:rsid w:val="007344C4"/>
    <w:rsid w:val="00737EA5"/>
    <w:rsid w:val="0074136A"/>
    <w:rsid w:val="007440B7"/>
    <w:rsid w:val="007477A3"/>
    <w:rsid w:val="00753BA3"/>
    <w:rsid w:val="00756983"/>
    <w:rsid w:val="0076299D"/>
    <w:rsid w:val="007634AD"/>
    <w:rsid w:val="007715C9"/>
    <w:rsid w:val="00774EDD"/>
    <w:rsid w:val="007757EC"/>
    <w:rsid w:val="00782363"/>
    <w:rsid w:val="0079001E"/>
    <w:rsid w:val="007B30AA"/>
    <w:rsid w:val="007B63EE"/>
    <w:rsid w:val="007B6D2C"/>
    <w:rsid w:val="007D0265"/>
    <w:rsid w:val="007E4363"/>
    <w:rsid w:val="007E7D4A"/>
    <w:rsid w:val="008006CC"/>
    <w:rsid w:val="008039D4"/>
    <w:rsid w:val="00807F18"/>
    <w:rsid w:val="00811256"/>
    <w:rsid w:val="00823A22"/>
    <w:rsid w:val="00824B0E"/>
    <w:rsid w:val="0083143F"/>
    <w:rsid w:val="00831E8D"/>
    <w:rsid w:val="00836379"/>
    <w:rsid w:val="0084156C"/>
    <w:rsid w:val="0084202F"/>
    <w:rsid w:val="0084594F"/>
    <w:rsid w:val="008468DD"/>
    <w:rsid w:val="00856A31"/>
    <w:rsid w:val="00857D6B"/>
    <w:rsid w:val="008754D0"/>
    <w:rsid w:val="00876322"/>
    <w:rsid w:val="00877D48"/>
    <w:rsid w:val="008818B5"/>
    <w:rsid w:val="00883781"/>
    <w:rsid w:val="00883980"/>
    <w:rsid w:val="00885570"/>
    <w:rsid w:val="00885748"/>
    <w:rsid w:val="00893958"/>
    <w:rsid w:val="00894E4C"/>
    <w:rsid w:val="008A2E77"/>
    <w:rsid w:val="008A51DD"/>
    <w:rsid w:val="008A6158"/>
    <w:rsid w:val="008B78AB"/>
    <w:rsid w:val="008C172F"/>
    <w:rsid w:val="008C6F6F"/>
    <w:rsid w:val="008D0EE0"/>
    <w:rsid w:val="008D3E94"/>
    <w:rsid w:val="008F4F1C"/>
    <w:rsid w:val="008F6E8B"/>
    <w:rsid w:val="008F77C4"/>
    <w:rsid w:val="009103F3"/>
    <w:rsid w:val="0092396F"/>
    <w:rsid w:val="00924355"/>
    <w:rsid w:val="00932377"/>
    <w:rsid w:val="009358C4"/>
    <w:rsid w:val="00943221"/>
    <w:rsid w:val="00951C48"/>
    <w:rsid w:val="0095269C"/>
    <w:rsid w:val="0095763D"/>
    <w:rsid w:val="00967042"/>
    <w:rsid w:val="00967916"/>
    <w:rsid w:val="00975000"/>
    <w:rsid w:val="00976953"/>
    <w:rsid w:val="0098255A"/>
    <w:rsid w:val="0098353D"/>
    <w:rsid w:val="009843D6"/>
    <w:rsid w:val="009845BE"/>
    <w:rsid w:val="00986996"/>
    <w:rsid w:val="009901A1"/>
    <w:rsid w:val="009969C9"/>
    <w:rsid w:val="00997485"/>
    <w:rsid w:val="009C48AD"/>
    <w:rsid w:val="009D036C"/>
    <w:rsid w:val="009D7B98"/>
    <w:rsid w:val="009E186E"/>
    <w:rsid w:val="009E3438"/>
    <w:rsid w:val="009F7BD0"/>
    <w:rsid w:val="00A048FF"/>
    <w:rsid w:val="00A04E57"/>
    <w:rsid w:val="00A10775"/>
    <w:rsid w:val="00A16F0D"/>
    <w:rsid w:val="00A1760C"/>
    <w:rsid w:val="00A231E2"/>
    <w:rsid w:val="00A31F17"/>
    <w:rsid w:val="00A36C48"/>
    <w:rsid w:val="00A41E0B"/>
    <w:rsid w:val="00A4233A"/>
    <w:rsid w:val="00A447B0"/>
    <w:rsid w:val="00A5413D"/>
    <w:rsid w:val="00A55631"/>
    <w:rsid w:val="00A61DAF"/>
    <w:rsid w:val="00A64912"/>
    <w:rsid w:val="00A65451"/>
    <w:rsid w:val="00A70A74"/>
    <w:rsid w:val="00A74E50"/>
    <w:rsid w:val="00A92D3E"/>
    <w:rsid w:val="00A957AF"/>
    <w:rsid w:val="00A96F43"/>
    <w:rsid w:val="00AA0311"/>
    <w:rsid w:val="00AA09F3"/>
    <w:rsid w:val="00AA3795"/>
    <w:rsid w:val="00AA3A86"/>
    <w:rsid w:val="00AA7F8A"/>
    <w:rsid w:val="00AB02FF"/>
    <w:rsid w:val="00AB6398"/>
    <w:rsid w:val="00AB6C10"/>
    <w:rsid w:val="00AC1E75"/>
    <w:rsid w:val="00AC754C"/>
    <w:rsid w:val="00AD5641"/>
    <w:rsid w:val="00AD7891"/>
    <w:rsid w:val="00AE1088"/>
    <w:rsid w:val="00AE41EC"/>
    <w:rsid w:val="00AE5D0E"/>
    <w:rsid w:val="00AE6863"/>
    <w:rsid w:val="00AF1BA4"/>
    <w:rsid w:val="00AF3190"/>
    <w:rsid w:val="00AF612C"/>
    <w:rsid w:val="00B02D5A"/>
    <w:rsid w:val="00B032D8"/>
    <w:rsid w:val="00B06653"/>
    <w:rsid w:val="00B15F73"/>
    <w:rsid w:val="00B20EFD"/>
    <w:rsid w:val="00B22FD6"/>
    <w:rsid w:val="00B2478B"/>
    <w:rsid w:val="00B24B43"/>
    <w:rsid w:val="00B32BE2"/>
    <w:rsid w:val="00B33B3C"/>
    <w:rsid w:val="00B40082"/>
    <w:rsid w:val="00B6142B"/>
    <w:rsid w:val="00B614BD"/>
    <w:rsid w:val="00B6382D"/>
    <w:rsid w:val="00B64F0C"/>
    <w:rsid w:val="00B70981"/>
    <w:rsid w:val="00B70CF5"/>
    <w:rsid w:val="00B73768"/>
    <w:rsid w:val="00B82454"/>
    <w:rsid w:val="00B85701"/>
    <w:rsid w:val="00BA5026"/>
    <w:rsid w:val="00BB40BF"/>
    <w:rsid w:val="00BB6E77"/>
    <w:rsid w:val="00BC0CD1"/>
    <w:rsid w:val="00BC179E"/>
    <w:rsid w:val="00BC470B"/>
    <w:rsid w:val="00BD7043"/>
    <w:rsid w:val="00BE3A0D"/>
    <w:rsid w:val="00BE3E4D"/>
    <w:rsid w:val="00BE6C2C"/>
    <w:rsid w:val="00BE719A"/>
    <w:rsid w:val="00BE720A"/>
    <w:rsid w:val="00BF0461"/>
    <w:rsid w:val="00BF29AA"/>
    <w:rsid w:val="00BF4944"/>
    <w:rsid w:val="00BF56D4"/>
    <w:rsid w:val="00C03960"/>
    <w:rsid w:val="00C04207"/>
    <w:rsid w:val="00C04409"/>
    <w:rsid w:val="00C067E5"/>
    <w:rsid w:val="00C12B06"/>
    <w:rsid w:val="00C143FB"/>
    <w:rsid w:val="00C164CA"/>
    <w:rsid w:val="00C176CF"/>
    <w:rsid w:val="00C23A6F"/>
    <w:rsid w:val="00C24EE9"/>
    <w:rsid w:val="00C2684F"/>
    <w:rsid w:val="00C337D7"/>
    <w:rsid w:val="00C42BF8"/>
    <w:rsid w:val="00C455FF"/>
    <w:rsid w:val="00C460AE"/>
    <w:rsid w:val="00C50043"/>
    <w:rsid w:val="00C52402"/>
    <w:rsid w:val="00C52FA1"/>
    <w:rsid w:val="00C54E84"/>
    <w:rsid w:val="00C61D4B"/>
    <w:rsid w:val="00C658A0"/>
    <w:rsid w:val="00C70426"/>
    <w:rsid w:val="00C70BC5"/>
    <w:rsid w:val="00C7573B"/>
    <w:rsid w:val="00C76CF3"/>
    <w:rsid w:val="00C8773E"/>
    <w:rsid w:val="00C93F3D"/>
    <w:rsid w:val="00C96D80"/>
    <w:rsid w:val="00CA095B"/>
    <w:rsid w:val="00CA5C8C"/>
    <w:rsid w:val="00CA72B9"/>
    <w:rsid w:val="00CA745A"/>
    <w:rsid w:val="00CA78A2"/>
    <w:rsid w:val="00CB24B1"/>
    <w:rsid w:val="00CB4337"/>
    <w:rsid w:val="00CB43B9"/>
    <w:rsid w:val="00CB6AC7"/>
    <w:rsid w:val="00CD249C"/>
    <w:rsid w:val="00CE1E31"/>
    <w:rsid w:val="00CE20C8"/>
    <w:rsid w:val="00CE6986"/>
    <w:rsid w:val="00CF0BB2"/>
    <w:rsid w:val="00CF7A3B"/>
    <w:rsid w:val="00D00EAA"/>
    <w:rsid w:val="00D07A16"/>
    <w:rsid w:val="00D10B0C"/>
    <w:rsid w:val="00D112FF"/>
    <w:rsid w:val="00D13441"/>
    <w:rsid w:val="00D155E2"/>
    <w:rsid w:val="00D1777A"/>
    <w:rsid w:val="00D20195"/>
    <w:rsid w:val="00D243A3"/>
    <w:rsid w:val="00D41F5B"/>
    <w:rsid w:val="00D45000"/>
    <w:rsid w:val="00D46B6D"/>
    <w:rsid w:val="00D477C3"/>
    <w:rsid w:val="00D52EFE"/>
    <w:rsid w:val="00D63EF6"/>
    <w:rsid w:val="00D67EE6"/>
    <w:rsid w:val="00D70DFB"/>
    <w:rsid w:val="00D73029"/>
    <w:rsid w:val="00D766AF"/>
    <w:rsid w:val="00D766DF"/>
    <w:rsid w:val="00D76F4B"/>
    <w:rsid w:val="00D84C06"/>
    <w:rsid w:val="00D858D9"/>
    <w:rsid w:val="00DA5CA5"/>
    <w:rsid w:val="00DB229A"/>
    <w:rsid w:val="00DB50AB"/>
    <w:rsid w:val="00DC07AE"/>
    <w:rsid w:val="00DC0F2F"/>
    <w:rsid w:val="00DC2410"/>
    <w:rsid w:val="00DD012F"/>
    <w:rsid w:val="00DD5A7D"/>
    <w:rsid w:val="00DE2002"/>
    <w:rsid w:val="00DF3D15"/>
    <w:rsid w:val="00DF63D6"/>
    <w:rsid w:val="00DF7AE9"/>
    <w:rsid w:val="00DF7ECA"/>
    <w:rsid w:val="00E05704"/>
    <w:rsid w:val="00E05B6B"/>
    <w:rsid w:val="00E0628F"/>
    <w:rsid w:val="00E1480D"/>
    <w:rsid w:val="00E24D66"/>
    <w:rsid w:val="00E251C2"/>
    <w:rsid w:val="00E25CFB"/>
    <w:rsid w:val="00E3031A"/>
    <w:rsid w:val="00E37760"/>
    <w:rsid w:val="00E4049F"/>
    <w:rsid w:val="00E42FE4"/>
    <w:rsid w:val="00E50732"/>
    <w:rsid w:val="00E50831"/>
    <w:rsid w:val="00E54292"/>
    <w:rsid w:val="00E54377"/>
    <w:rsid w:val="00E6578C"/>
    <w:rsid w:val="00E74788"/>
    <w:rsid w:val="00E74DC7"/>
    <w:rsid w:val="00E773B3"/>
    <w:rsid w:val="00E84ECA"/>
    <w:rsid w:val="00E86425"/>
    <w:rsid w:val="00E87699"/>
    <w:rsid w:val="00E947C6"/>
    <w:rsid w:val="00E97F2C"/>
    <w:rsid w:val="00EA02FA"/>
    <w:rsid w:val="00EA1899"/>
    <w:rsid w:val="00EB510C"/>
    <w:rsid w:val="00EC6E2D"/>
    <w:rsid w:val="00ED0131"/>
    <w:rsid w:val="00ED10F4"/>
    <w:rsid w:val="00ED1A80"/>
    <w:rsid w:val="00ED31E1"/>
    <w:rsid w:val="00ED3659"/>
    <w:rsid w:val="00ED492F"/>
    <w:rsid w:val="00EE3E36"/>
    <w:rsid w:val="00EE67A4"/>
    <w:rsid w:val="00EE7338"/>
    <w:rsid w:val="00EE7E0C"/>
    <w:rsid w:val="00EF2928"/>
    <w:rsid w:val="00EF2E3A"/>
    <w:rsid w:val="00F0103E"/>
    <w:rsid w:val="00F047E2"/>
    <w:rsid w:val="00F078DC"/>
    <w:rsid w:val="00F121FB"/>
    <w:rsid w:val="00F13E86"/>
    <w:rsid w:val="00F16A9E"/>
    <w:rsid w:val="00F17B00"/>
    <w:rsid w:val="00F21EBC"/>
    <w:rsid w:val="00F23B05"/>
    <w:rsid w:val="00F25441"/>
    <w:rsid w:val="00F44E0C"/>
    <w:rsid w:val="00F53432"/>
    <w:rsid w:val="00F54146"/>
    <w:rsid w:val="00F551D6"/>
    <w:rsid w:val="00F5690E"/>
    <w:rsid w:val="00F60CF9"/>
    <w:rsid w:val="00F63214"/>
    <w:rsid w:val="00F6414A"/>
    <w:rsid w:val="00F65F64"/>
    <w:rsid w:val="00F677A9"/>
    <w:rsid w:val="00F816A9"/>
    <w:rsid w:val="00F8243D"/>
    <w:rsid w:val="00F84CF5"/>
    <w:rsid w:val="00F84DFA"/>
    <w:rsid w:val="00F874FF"/>
    <w:rsid w:val="00F90723"/>
    <w:rsid w:val="00F92D35"/>
    <w:rsid w:val="00F961ED"/>
    <w:rsid w:val="00FA2659"/>
    <w:rsid w:val="00FA420B"/>
    <w:rsid w:val="00FA42BC"/>
    <w:rsid w:val="00FB1D9E"/>
    <w:rsid w:val="00FB4418"/>
    <w:rsid w:val="00FC0AE2"/>
    <w:rsid w:val="00FC4D32"/>
    <w:rsid w:val="00FD1E13"/>
    <w:rsid w:val="00FD2F78"/>
    <w:rsid w:val="00FD7EB1"/>
    <w:rsid w:val="00FE41C9"/>
    <w:rsid w:val="00FE7F93"/>
    <w:rsid w:val="00FF0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876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7BA6"/>
    <w:pPr>
      <w:spacing w:line="260" w:lineRule="atLeast"/>
    </w:pPr>
    <w:rPr>
      <w:sz w:val="22"/>
    </w:rPr>
  </w:style>
  <w:style w:type="paragraph" w:styleId="Heading1">
    <w:name w:val="heading 1"/>
    <w:basedOn w:val="Normal"/>
    <w:next w:val="Normal"/>
    <w:link w:val="Heading1Char"/>
    <w:uiPriority w:val="9"/>
    <w:qFormat/>
    <w:rsid w:val="003435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435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35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35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34356E"/>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3435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4356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435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35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7BA6"/>
  </w:style>
  <w:style w:type="paragraph" w:customStyle="1" w:styleId="OPCParaBase">
    <w:name w:val="OPCParaBase"/>
    <w:qFormat/>
    <w:rsid w:val="00697BA6"/>
    <w:pPr>
      <w:spacing w:line="260" w:lineRule="atLeast"/>
    </w:pPr>
    <w:rPr>
      <w:rFonts w:eastAsia="Times New Roman" w:cs="Times New Roman"/>
      <w:sz w:val="22"/>
      <w:lang w:eastAsia="en-AU"/>
    </w:rPr>
  </w:style>
  <w:style w:type="paragraph" w:customStyle="1" w:styleId="ShortT">
    <w:name w:val="ShortT"/>
    <w:basedOn w:val="OPCParaBase"/>
    <w:next w:val="Normal"/>
    <w:qFormat/>
    <w:rsid w:val="00697BA6"/>
    <w:pPr>
      <w:spacing w:line="240" w:lineRule="auto"/>
    </w:pPr>
    <w:rPr>
      <w:b/>
      <w:sz w:val="40"/>
    </w:rPr>
  </w:style>
  <w:style w:type="paragraph" w:customStyle="1" w:styleId="ActHead1">
    <w:name w:val="ActHead 1"/>
    <w:aliases w:val="c"/>
    <w:basedOn w:val="OPCParaBase"/>
    <w:next w:val="Normal"/>
    <w:qFormat/>
    <w:rsid w:val="00697B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7B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7B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7B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7B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7B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7B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7B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7B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7BA6"/>
  </w:style>
  <w:style w:type="paragraph" w:customStyle="1" w:styleId="Blocks">
    <w:name w:val="Blocks"/>
    <w:aliases w:val="bb"/>
    <w:basedOn w:val="OPCParaBase"/>
    <w:qFormat/>
    <w:rsid w:val="00697BA6"/>
    <w:pPr>
      <w:spacing w:line="240" w:lineRule="auto"/>
    </w:pPr>
    <w:rPr>
      <w:sz w:val="24"/>
    </w:rPr>
  </w:style>
  <w:style w:type="paragraph" w:customStyle="1" w:styleId="BoxText">
    <w:name w:val="BoxText"/>
    <w:aliases w:val="bt"/>
    <w:basedOn w:val="OPCParaBase"/>
    <w:qFormat/>
    <w:rsid w:val="00697B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7BA6"/>
    <w:rPr>
      <w:b/>
    </w:rPr>
  </w:style>
  <w:style w:type="paragraph" w:customStyle="1" w:styleId="BoxHeadItalic">
    <w:name w:val="BoxHeadItalic"/>
    <w:aliases w:val="bhi"/>
    <w:basedOn w:val="BoxText"/>
    <w:next w:val="BoxStep"/>
    <w:qFormat/>
    <w:rsid w:val="00697BA6"/>
    <w:rPr>
      <w:i/>
    </w:rPr>
  </w:style>
  <w:style w:type="paragraph" w:customStyle="1" w:styleId="BoxList">
    <w:name w:val="BoxList"/>
    <w:aliases w:val="bl"/>
    <w:basedOn w:val="BoxText"/>
    <w:qFormat/>
    <w:rsid w:val="00697BA6"/>
    <w:pPr>
      <w:ind w:left="1559" w:hanging="425"/>
    </w:pPr>
  </w:style>
  <w:style w:type="paragraph" w:customStyle="1" w:styleId="BoxNote">
    <w:name w:val="BoxNote"/>
    <w:aliases w:val="bn"/>
    <w:basedOn w:val="BoxText"/>
    <w:qFormat/>
    <w:rsid w:val="00697BA6"/>
    <w:pPr>
      <w:tabs>
        <w:tab w:val="left" w:pos="1985"/>
      </w:tabs>
      <w:spacing w:before="122" w:line="198" w:lineRule="exact"/>
      <w:ind w:left="2948" w:hanging="1814"/>
    </w:pPr>
    <w:rPr>
      <w:sz w:val="18"/>
    </w:rPr>
  </w:style>
  <w:style w:type="paragraph" w:customStyle="1" w:styleId="BoxPara">
    <w:name w:val="BoxPara"/>
    <w:aliases w:val="bp"/>
    <w:basedOn w:val="BoxText"/>
    <w:qFormat/>
    <w:rsid w:val="00697BA6"/>
    <w:pPr>
      <w:tabs>
        <w:tab w:val="right" w:pos="2268"/>
      </w:tabs>
      <w:ind w:left="2552" w:hanging="1418"/>
    </w:pPr>
  </w:style>
  <w:style w:type="paragraph" w:customStyle="1" w:styleId="BoxStep">
    <w:name w:val="BoxStep"/>
    <w:aliases w:val="bs"/>
    <w:basedOn w:val="BoxText"/>
    <w:qFormat/>
    <w:rsid w:val="00697BA6"/>
    <w:pPr>
      <w:ind w:left="1985" w:hanging="851"/>
    </w:pPr>
  </w:style>
  <w:style w:type="character" w:customStyle="1" w:styleId="CharAmPartNo">
    <w:name w:val="CharAmPartNo"/>
    <w:basedOn w:val="OPCCharBase"/>
    <w:qFormat/>
    <w:rsid w:val="00697BA6"/>
  </w:style>
  <w:style w:type="character" w:customStyle="1" w:styleId="CharAmPartText">
    <w:name w:val="CharAmPartText"/>
    <w:basedOn w:val="OPCCharBase"/>
    <w:qFormat/>
    <w:rsid w:val="00697BA6"/>
  </w:style>
  <w:style w:type="character" w:customStyle="1" w:styleId="CharAmSchNo">
    <w:name w:val="CharAmSchNo"/>
    <w:basedOn w:val="OPCCharBase"/>
    <w:qFormat/>
    <w:rsid w:val="00697BA6"/>
  </w:style>
  <w:style w:type="character" w:customStyle="1" w:styleId="CharAmSchText">
    <w:name w:val="CharAmSchText"/>
    <w:basedOn w:val="OPCCharBase"/>
    <w:qFormat/>
    <w:rsid w:val="00697BA6"/>
  </w:style>
  <w:style w:type="character" w:customStyle="1" w:styleId="CharBoldItalic">
    <w:name w:val="CharBoldItalic"/>
    <w:basedOn w:val="OPCCharBase"/>
    <w:uiPriority w:val="1"/>
    <w:qFormat/>
    <w:rsid w:val="00697BA6"/>
    <w:rPr>
      <w:b/>
      <w:i/>
    </w:rPr>
  </w:style>
  <w:style w:type="character" w:customStyle="1" w:styleId="CharChapNo">
    <w:name w:val="CharChapNo"/>
    <w:basedOn w:val="OPCCharBase"/>
    <w:uiPriority w:val="1"/>
    <w:qFormat/>
    <w:rsid w:val="00697BA6"/>
  </w:style>
  <w:style w:type="character" w:customStyle="1" w:styleId="CharChapText">
    <w:name w:val="CharChapText"/>
    <w:basedOn w:val="OPCCharBase"/>
    <w:uiPriority w:val="1"/>
    <w:qFormat/>
    <w:rsid w:val="00697BA6"/>
  </w:style>
  <w:style w:type="character" w:customStyle="1" w:styleId="CharDivNo">
    <w:name w:val="CharDivNo"/>
    <w:basedOn w:val="OPCCharBase"/>
    <w:uiPriority w:val="1"/>
    <w:qFormat/>
    <w:rsid w:val="00697BA6"/>
  </w:style>
  <w:style w:type="character" w:customStyle="1" w:styleId="CharDivText">
    <w:name w:val="CharDivText"/>
    <w:basedOn w:val="OPCCharBase"/>
    <w:uiPriority w:val="1"/>
    <w:qFormat/>
    <w:rsid w:val="00697BA6"/>
  </w:style>
  <w:style w:type="character" w:customStyle="1" w:styleId="CharItalic">
    <w:name w:val="CharItalic"/>
    <w:basedOn w:val="OPCCharBase"/>
    <w:uiPriority w:val="1"/>
    <w:qFormat/>
    <w:rsid w:val="00697BA6"/>
    <w:rPr>
      <w:i/>
    </w:rPr>
  </w:style>
  <w:style w:type="character" w:customStyle="1" w:styleId="CharPartNo">
    <w:name w:val="CharPartNo"/>
    <w:basedOn w:val="OPCCharBase"/>
    <w:uiPriority w:val="1"/>
    <w:qFormat/>
    <w:rsid w:val="00697BA6"/>
  </w:style>
  <w:style w:type="character" w:customStyle="1" w:styleId="CharPartText">
    <w:name w:val="CharPartText"/>
    <w:basedOn w:val="OPCCharBase"/>
    <w:uiPriority w:val="1"/>
    <w:qFormat/>
    <w:rsid w:val="00697BA6"/>
  </w:style>
  <w:style w:type="character" w:customStyle="1" w:styleId="CharSectno">
    <w:name w:val="CharSectno"/>
    <w:basedOn w:val="OPCCharBase"/>
    <w:qFormat/>
    <w:rsid w:val="00697BA6"/>
  </w:style>
  <w:style w:type="character" w:customStyle="1" w:styleId="CharSubdNo">
    <w:name w:val="CharSubdNo"/>
    <w:basedOn w:val="OPCCharBase"/>
    <w:uiPriority w:val="1"/>
    <w:qFormat/>
    <w:rsid w:val="00697BA6"/>
  </w:style>
  <w:style w:type="character" w:customStyle="1" w:styleId="CharSubdText">
    <w:name w:val="CharSubdText"/>
    <w:basedOn w:val="OPCCharBase"/>
    <w:uiPriority w:val="1"/>
    <w:qFormat/>
    <w:rsid w:val="00697BA6"/>
  </w:style>
  <w:style w:type="paragraph" w:customStyle="1" w:styleId="CTA--">
    <w:name w:val="CTA --"/>
    <w:basedOn w:val="OPCParaBase"/>
    <w:next w:val="Normal"/>
    <w:rsid w:val="00697BA6"/>
    <w:pPr>
      <w:spacing w:before="60" w:line="240" w:lineRule="atLeast"/>
      <w:ind w:left="142" w:hanging="142"/>
    </w:pPr>
    <w:rPr>
      <w:sz w:val="20"/>
    </w:rPr>
  </w:style>
  <w:style w:type="paragraph" w:customStyle="1" w:styleId="CTA-">
    <w:name w:val="CTA -"/>
    <w:basedOn w:val="OPCParaBase"/>
    <w:rsid w:val="00697BA6"/>
    <w:pPr>
      <w:spacing w:before="60" w:line="240" w:lineRule="atLeast"/>
      <w:ind w:left="85" w:hanging="85"/>
    </w:pPr>
    <w:rPr>
      <w:sz w:val="20"/>
    </w:rPr>
  </w:style>
  <w:style w:type="paragraph" w:customStyle="1" w:styleId="CTA---">
    <w:name w:val="CTA ---"/>
    <w:basedOn w:val="OPCParaBase"/>
    <w:next w:val="Normal"/>
    <w:rsid w:val="00697BA6"/>
    <w:pPr>
      <w:spacing w:before="60" w:line="240" w:lineRule="atLeast"/>
      <w:ind w:left="198" w:hanging="198"/>
    </w:pPr>
    <w:rPr>
      <w:sz w:val="20"/>
    </w:rPr>
  </w:style>
  <w:style w:type="paragraph" w:customStyle="1" w:styleId="CTA----">
    <w:name w:val="CTA ----"/>
    <w:basedOn w:val="OPCParaBase"/>
    <w:next w:val="Normal"/>
    <w:rsid w:val="00697BA6"/>
    <w:pPr>
      <w:spacing w:before="60" w:line="240" w:lineRule="atLeast"/>
      <w:ind w:left="255" w:hanging="255"/>
    </w:pPr>
    <w:rPr>
      <w:sz w:val="20"/>
    </w:rPr>
  </w:style>
  <w:style w:type="paragraph" w:customStyle="1" w:styleId="CTA1a">
    <w:name w:val="CTA 1(a)"/>
    <w:basedOn w:val="OPCParaBase"/>
    <w:rsid w:val="00697BA6"/>
    <w:pPr>
      <w:tabs>
        <w:tab w:val="right" w:pos="414"/>
      </w:tabs>
      <w:spacing w:before="40" w:line="240" w:lineRule="atLeast"/>
      <w:ind w:left="675" w:hanging="675"/>
    </w:pPr>
    <w:rPr>
      <w:sz w:val="20"/>
    </w:rPr>
  </w:style>
  <w:style w:type="paragraph" w:customStyle="1" w:styleId="CTA1ai">
    <w:name w:val="CTA 1(a)(i)"/>
    <w:basedOn w:val="OPCParaBase"/>
    <w:rsid w:val="00697BA6"/>
    <w:pPr>
      <w:tabs>
        <w:tab w:val="right" w:pos="1004"/>
      </w:tabs>
      <w:spacing w:before="40" w:line="240" w:lineRule="atLeast"/>
      <w:ind w:left="1253" w:hanging="1253"/>
    </w:pPr>
    <w:rPr>
      <w:sz w:val="20"/>
    </w:rPr>
  </w:style>
  <w:style w:type="paragraph" w:customStyle="1" w:styleId="CTA2a">
    <w:name w:val="CTA 2(a)"/>
    <w:basedOn w:val="OPCParaBase"/>
    <w:rsid w:val="00697BA6"/>
    <w:pPr>
      <w:tabs>
        <w:tab w:val="right" w:pos="482"/>
      </w:tabs>
      <w:spacing w:before="40" w:line="240" w:lineRule="atLeast"/>
      <w:ind w:left="748" w:hanging="748"/>
    </w:pPr>
    <w:rPr>
      <w:sz w:val="20"/>
    </w:rPr>
  </w:style>
  <w:style w:type="paragraph" w:customStyle="1" w:styleId="CTA2ai">
    <w:name w:val="CTA 2(a)(i)"/>
    <w:basedOn w:val="OPCParaBase"/>
    <w:rsid w:val="00697BA6"/>
    <w:pPr>
      <w:tabs>
        <w:tab w:val="right" w:pos="1089"/>
      </w:tabs>
      <w:spacing w:before="40" w:line="240" w:lineRule="atLeast"/>
      <w:ind w:left="1327" w:hanging="1327"/>
    </w:pPr>
    <w:rPr>
      <w:sz w:val="20"/>
    </w:rPr>
  </w:style>
  <w:style w:type="paragraph" w:customStyle="1" w:styleId="CTA3a">
    <w:name w:val="CTA 3(a)"/>
    <w:basedOn w:val="OPCParaBase"/>
    <w:rsid w:val="00697BA6"/>
    <w:pPr>
      <w:tabs>
        <w:tab w:val="right" w:pos="556"/>
      </w:tabs>
      <w:spacing w:before="40" w:line="240" w:lineRule="atLeast"/>
      <w:ind w:left="805" w:hanging="805"/>
    </w:pPr>
    <w:rPr>
      <w:sz w:val="20"/>
    </w:rPr>
  </w:style>
  <w:style w:type="paragraph" w:customStyle="1" w:styleId="CTA3ai">
    <w:name w:val="CTA 3(a)(i)"/>
    <w:basedOn w:val="OPCParaBase"/>
    <w:rsid w:val="00697BA6"/>
    <w:pPr>
      <w:tabs>
        <w:tab w:val="right" w:pos="1140"/>
      </w:tabs>
      <w:spacing w:before="40" w:line="240" w:lineRule="atLeast"/>
      <w:ind w:left="1361" w:hanging="1361"/>
    </w:pPr>
    <w:rPr>
      <w:sz w:val="20"/>
    </w:rPr>
  </w:style>
  <w:style w:type="paragraph" w:customStyle="1" w:styleId="CTA4a">
    <w:name w:val="CTA 4(a)"/>
    <w:basedOn w:val="OPCParaBase"/>
    <w:rsid w:val="00697BA6"/>
    <w:pPr>
      <w:tabs>
        <w:tab w:val="right" w:pos="624"/>
      </w:tabs>
      <w:spacing w:before="40" w:line="240" w:lineRule="atLeast"/>
      <w:ind w:left="873" w:hanging="873"/>
    </w:pPr>
    <w:rPr>
      <w:sz w:val="20"/>
    </w:rPr>
  </w:style>
  <w:style w:type="paragraph" w:customStyle="1" w:styleId="CTA4ai">
    <w:name w:val="CTA 4(a)(i)"/>
    <w:basedOn w:val="OPCParaBase"/>
    <w:rsid w:val="00697BA6"/>
    <w:pPr>
      <w:tabs>
        <w:tab w:val="right" w:pos="1213"/>
      </w:tabs>
      <w:spacing w:before="40" w:line="240" w:lineRule="atLeast"/>
      <w:ind w:left="1452" w:hanging="1452"/>
    </w:pPr>
    <w:rPr>
      <w:sz w:val="20"/>
    </w:rPr>
  </w:style>
  <w:style w:type="paragraph" w:customStyle="1" w:styleId="CTACAPS">
    <w:name w:val="CTA CAPS"/>
    <w:basedOn w:val="OPCParaBase"/>
    <w:rsid w:val="00697BA6"/>
    <w:pPr>
      <w:spacing w:before="60" w:line="240" w:lineRule="atLeast"/>
    </w:pPr>
    <w:rPr>
      <w:sz w:val="20"/>
    </w:rPr>
  </w:style>
  <w:style w:type="paragraph" w:customStyle="1" w:styleId="CTAright">
    <w:name w:val="CTA right"/>
    <w:basedOn w:val="OPCParaBase"/>
    <w:rsid w:val="00697BA6"/>
    <w:pPr>
      <w:spacing w:before="60" w:line="240" w:lineRule="auto"/>
      <w:jc w:val="right"/>
    </w:pPr>
    <w:rPr>
      <w:sz w:val="20"/>
    </w:rPr>
  </w:style>
  <w:style w:type="paragraph" w:customStyle="1" w:styleId="subsection">
    <w:name w:val="subsection"/>
    <w:aliases w:val="ss"/>
    <w:basedOn w:val="OPCParaBase"/>
    <w:link w:val="subsectionChar"/>
    <w:rsid w:val="00697BA6"/>
    <w:pPr>
      <w:tabs>
        <w:tab w:val="right" w:pos="1021"/>
      </w:tabs>
      <w:spacing w:before="180" w:line="240" w:lineRule="auto"/>
      <w:ind w:left="1134" w:hanging="1134"/>
    </w:pPr>
  </w:style>
  <w:style w:type="paragraph" w:customStyle="1" w:styleId="Definition">
    <w:name w:val="Definition"/>
    <w:aliases w:val="dd"/>
    <w:basedOn w:val="OPCParaBase"/>
    <w:rsid w:val="00697BA6"/>
    <w:pPr>
      <w:spacing w:before="180" w:line="240" w:lineRule="auto"/>
      <w:ind w:left="1134"/>
    </w:pPr>
  </w:style>
  <w:style w:type="paragraph" w:customStyle="1" w:styleId="ETAsubitem">
    <w:name w:val="ETA(subitem)"/>
    <w:basedOn w:val="OPCParaBase"/>
    <w:rsid w:val="00697BA6"/>
    <w:pPr>
      <w:tabs>
        <w:tab w:val="right" w:pos="340"/>
      </w:tabs>
      <w:spacing w:before="60" w:line="240" w:lineRule="auto"/>
      <w:ind w:left="454" w:hanging="454"/>
    </w:pPr>
    <w:rPr>
      <w:sz w:val="20"/>
    </w:rPr>
  </w:style>
  <w:style w:type="paragraph" w:customStyle="1" w:styleId="ETApara">
    <w:name w:val="ETA(para)"/>
    <w:basedOn w:val="OPCParaBase"/>
    <w:rsid w:val="00697BA6"/>
    <w:pPr>
      <w:tabs>
        <w:tab w:val="right" w:pos="754"/>
      </w:tabs>
      <w:spacing w:before="60" w:line="240" w:lineRule="auto"/>
      <w:ind w:left="828" w:hanging="828"/>
    </w:pPr>
    <w:rPr>
      <w:sz w:val="20"/>
    </w:rPr>
  </w:style>
  <w:style w:type="paragraph" w:customStyle="1" w:styleId="ETAsubpara">
    <w:name w:val="ETA(subpara)"/>
    <w:basedOn w:val="OPCParaBase"/>
    <w:rsid w:val="00697BA6"/>
    <w:pPr>
      <w:tabs>
        <w:tab w:val="right" w:pos="1083"/>
      </w:tabs>
      <w:spacing w:before="60" w:line="240" w:lineRule="auto"/>
      <w:ind w:left="1191" w:hanging="1191"/>
    </w:pPr>
    <w:rPr>
      <w:sz w:val="20"/>
    </w:rPr>
  </w:style>
  <w:style w:type="paragraph" w:customStyle="1" w:styleId="ETAsub-subpara">
    <w:name w:val="ETA(sub-subpara)"/>
    <w:basedOn w:val="OPCParaBase"/>
    <w:rsid w:val="00697BA6"/>
    <w:pPr>
      <w:tabs>
        <w:tab w:val="right" w:pos="1412"/>
      </w:tabs>
      <w:spacing w:before="60" w:line="240" w:lineRule="auto"/>
      <w:ind w:left="1525" w:hanging="1525"/>
    </w:pPr>
    <w:rPr>
      <w:sz w:val="20"/>
    </w:rPr>
  </w:style>
  <w:style w:type="paragraph" w:customStyle="1" w:styleId="Formula">
    <w:name w:val="Formula"/>
    <w:basedOn w:val="OPCParaBase"/>
    <w:rsid w:val="00697BA6"/>
    <w:pPr>
      <w:spacing w:line="240" w:lineRule="auto"/>
      <w:ind w:left="1134"/>
    </w:pPr>
    <w:rPr>
      <w:sz w:val="20"/>
    </w:rPr>
  </w:style>
  <w:style w:type="paragraph" w:styleId="Header">
    <w:name w:val="header"/>
    <w:basedOn w:val="OPCParaBase"/>
    <w:link w:val="HeaderChar"/>
    <w:unhideWhenUsed/>
    <w:rsid w:val="00697B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7BA6"/>
    <w:rPr>
      <w:rFonts w:eastAsia="Times New Roman" w:cs="Times New Roman"/>
      <w:sz w:val="16"/>
      <w:lang w:eastAsia="en-AU"/>
    </w:rPr>
  </w:style>
  <w:style w:type="paragraph" w:customStyle="1" w:styleId="House">
    <w:name w:val="House"/>
    <w:basedOn w:val="OPCParaBase"/>
    <w:rsid w:val="00697BA6"/>
    <w:pPr>
      <w:spacing w:line="240" w:lineRule="auto"/>
    </w:pPr>
    <w:rPr>
      <w:sz w:val="28"/>
    </w:rPr>
  </w:style>
  <w:style w:type="paragraph" w:customStyle="1" w:styleId="Item">
    <w:name w:val="Item"/>
    <w:aliases w:val="i"/>
    <w:basedOn w:val="OPCParaBase"/>
    <w:next w:val="ItemHead"/>
    <w:rsid w:val="00697BA6"/>
    <w:pPr>
      <w:keepLines/>
      <w:spacing w:before="80" w:line="240" w:lineRule="auto"/>
      <w:ind w:left="709"/>
    </w:pPr>
  </w:style>
  <w:style w:type="paragraph" w:customStyle="1" w:styleId="ItemHead">
    <w:name w:val="ItemHead"/>
    <w:aliases w:val="ih"/>
    <w:basedOn w:val="OPCParaBase"/>
    <w:next w:val="Item"/>
    <w:rsid w:val="00697B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7BA6"/>
    <w:pPr>
      <w:spacing w:line="240" w:lineRule="auto"/>
    </w:pPr>
    <w:rPr>
      <w:b/>
      <w:sz w:val="32"/>
    </w:rPr>
  </w:style>
  <w:style w:type="paragraph" w:customStyle="1" w:styleId="notedraft">
    <w:name w:val="note(draft)"/>
    <w:aliases w:val="nd"/>
    <w:basedOn w:val="OPCParaBase"/>
    <w:rsid w:val="00697BA6"/>
    <w:pPr>
      <w:spacing w:before="240" w:line="240" w:lineRule="auto"/>
      <w:ind w:left="284" w:hanging="284"/>
    </w:pPr>
    <w:rPr>
      <w:i/>
      <w:sz w:val="24"/>
    </w:rPr>
  </w:style>
  <w:style w:type="paragraph" w:customStyle="1" w:styleId="notemargin">
    <w:name w:val="note(margin)"/>
    <w:aliases w:val="nm"/>
    <w:basedOn w:val="OPCParaBase"/>
    <w:rsid w:val="00697BA6"/>
    <w:pPr>
      <w:tabs>
        <w:tab w:val="left" w:pos="709"/>
      </w:tabs>
      <w:spacing w:before="122" w:line="198" w:lineRule="exact"/>
      <w:ind w:left="709" w:hanging="709"/>
    </w:pPr>
    <w:rPr>
      <w:sz w:val="18"/>
    </w:rPr>
  </w:style>
  <w:style w:type="paragraph" w:customStyle="1" w:styleId="noteToPara">
    <w:name w:val="noteToPara"/>
    <w:aliases w:val="ntp"/>
    <w:basedOn w:val="OPCParaBase"/>
    <w:rsid w:val="00697BA6"/>
    <w:pPr>
      <w:spacing w:before="122" w:line="198" w:lineRule="exact"/>
      <w:ind w:left="2353" w:hanging="709"/>
    </w:pPr>
    <w:rPr>
      <w:sz w:val="18"/>
    </w:rPr>
  </w:style>
  <w:style w:type="paragraph" w:customStyle="1" w:styleId="noteParlAmend">
    <w:name w:val="note(ParlAmend)"/>
    <w:aliases w:val="npp"/>
    <w:basedOn w:val="OPCParaBase"/>
    <w:next w:val="ParlAmend"/>
    <w:rsid w:val="00697BA6"/>
    <w:pPr>
      <w:spacing w:line="240" w:lineRule="auto"/>
      <w:jc w:val="right"/>
    </w:pPr>
    <w:rPr>
      <w:rFonts w:ascii="Arial" w:hAnsi="Arial"/>
      <w:b/>
      <w:i/>
    </w:rPr>
  </w:style>
  <w:style w:type="paragraph" w:customStyle="1" w:styleId="Page1">
    <w:name w:val="Page1"/>
    <w:basedOn w:val="OPCParaBase"/>
    <w:rsid w:val="00697BA6"/>
    <w:pPr>
      <w:spacing w:before="5600" w:line="240" w:lineRule="auto"/>
    </w:pPr>
    <w:rPr>
      <w:b/>
      <w:sz w:val="32"/>
    </w:rPr>
  </w:style>
  <w:style w:type="paragraph" w:customStyle="1" w:styleId="PageBreak">
    <w:name w:val="PageBreak"/>
    <w:aliases w:val="pb"/>
    <w:basedOn w:val="OPCParaBase"/>
    <w:rsid w:val="00697BA6"/>
    <w:pPr>
      <w:spacing w:line="240" w:lineRule="auto"/>
    </w:pPr>
    <w:rPr>
      <w:sz w:val="20"/>
    </w:rPr>
  </w:style>
  <w:style w:type="paragraph" w:customStyle="1" w:styleId="paragraphsub">
    <w:name w:val="paragraph(sub)"/>
    <w:aliases w:val="aa"/>
    <w:basedOn w:val="OPCParaBase"/>
    <w:rsid w:val="00697BA6"/>
    <w:pPr>
      <w:tabs>
        <w:tab w:val="right" w:pos="1985"/>
      </w:tabs>
      <w:spacing w:before="40" w:line="240" w:lineRule="auto"/>
      <w:ind w:left="2098" w:hanging="2098"/>
    </w:pPr>
  </w:style>
  <w:style w:type="paragraph" w:customStyle="1" w:styleId="paragraphsub-sub">
    <w:name w:val="paragraph(sub-sub)"/>
    <w:aliases w:val="aaa"/>
    <w:basedOn w:val="OPCParaBase"/>
    <w:rsid w:val="00697BA6"/>
    <w:pPr>
      <w:tabs>
        <w:tab w:val="right" w:pos="2722"/>
      </w:tabs>
      <w:spacing w:before="40" w:line="240" w:lineRule="auto"/>
      <w:ind w:left="2835" w:hanging="2835"/>
    </w:pPr>
  </w:style>
  <w:style w:type="paragraph" w:customStyle="1" w:styleId="paragraph">
    <w:name w:val="paragraph"/>
    <w:aliases w:val="a"/>
    <w:basedOn w:val="OPCParaBase"/>
    <w:rsid w:val="00697BA6"/>
    <w:pPr>
      <w:tabs>
        <w:tab w:val="right" w:pos="1531"/>
      </w:tabs>
      <w:spacing w:before="40" w:line="240" w:lineRule="auto"/>
      <w:ind w:left="1644" w:hanging="1644"/>
    </w:pPr>
  </w:style>
  <w:style w:type="paragraph" w:customStyle="1" w:styleId="ParlAmend">
    <w:name w:val="ParlAmend"/>
    <w:aliases w:val="pp"/>
    <w:basedOn w:val="OPCParaBase"/>
    <w:rsid w:val="00697BA6"/>
    <w:pPr>
      <w:spacing w:before="240" w:line="240" w:lineRule="atLeast"/>
      <w:ind w:hanging="567"/>
    </w:pPr>
    <w:rPr>
      <w:sz w:val="24"/>
    </w:rPr>
  </w:style>
  <w:style w:type="paragraph" w:customStyle="1" w:styleId="Penalty">
    <w:name w:val="Penalty"/>
    <w:basedOn w:val="OPCParaBase"/>
    <w:rsid w:val="00697BA6"/>
    <w:pPr>
      <w:tabs>
        <w:tab w:val="left" w:pos="2977"/>
      </w:tabs>
      <w:spacing w:before="180" w:line="240" w:lineRule="auto"/>
      <w:ind w:left="1985" w:hanging="851"/>
    </w:pPr>
  </w:style>
  <w:style w:type="paragraph" w:customStyle="1" w:styleId="Portfolio">
    <w:name w:val="Portfolio"/>
    <w:basedOn w:val="OPCParaBase"/>
    <w:rsid w:val="00697BA6"/>
    <w:pPr>
      <w:spacing w:line="240" w:lineRule="auto"/>
    </w:pPr>
    <w:rPr>
      <w:i/>
      <w:sz w:val="20"/>
    </w:rPr>
  </w:style>
  <w:style w:type="paragraph" w:customStyle="1" w:styleId="Preamble">
    <w:name w:val="Preamble"/>
    <w:basedOn w:val="OPCParaBase"/>
    <w:next w:val="Normal"/>
    <w:rsid w:val="00697B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7BA6"/>
    <w:pPr>
      <w:spacing w:line="240" w:lineRule="auto"/>
    </w:pPr>
    <w:rPr>
      <w:i/>
      <w:sz w:val="20"/>
    </w:rPr>
  </w:style>
  <w:style w:type="paragraph" w:customStyle="1" w:styleId="Session">
    <w:name w:val="Session"/>
    <w:basedOn w:val="OPCParaBase"/>
    <w:rsid w:val="00697BA6"/>
    <w:pPr>
      <w:spacing w:line="240" w:lineRule="auto"/>
    </w:pPr>
    <w:rPr>
      <w:sz w:val="28"/>
    </w:rPr>
  </w:style>
  <w:style w:type="paragraph" w:customStyle="1" w:styleId="Sponsor">
    <w:name w:val="Sponsor"/>
    <w:basedOn w:val="OPCParaBase"/>
    <w:rsid w:val="00697BA6"/>
    <w:pPr>
      <w:spacing w:line="240" w:lineRule="auto"/>
    </w:pPr>
    <w:rPr>
      <w:i/>
    </w:rPr>
  </w:style>
  <w:style w:type="paragraph" w:customStyle="1" w:styleId="Subitem">
    <w:name w:val="Subitem"/>
    <w:aliases w:val="iss"/>
    <w:basedOn w:val="OPCParaBase"/>
    <w:rsid w:val="00697BA6"/>
    <w:pPr>
      <w:spacing w:before="180" w:line="240" w:lineRule="auto"/>
      <w:ind w:left="709" w:hanging="709"/>
    </w:pPr>
  </w:style>
  <w:style w:type="paragraph" w:customStyle="1" w:styleId="SubitemHead">
    <w:name w:val="SubitemHead"/>
    <w:aliases w:val="issh"/>
    <w:basedOn w:val="OPCParaBase"/>
    <w:rsid w:val="00697B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7BA6"/>
    <w:pPr>
      <w:spacing w:before="40" w:line="240" w:lineRule="auto"/>
      <w:ind w:left="1134"/>
    </w:pPr>
  </w:style>
  <w:style w:type="paragraph" w:customStyle="1" w:styleId="SubsectionHead">
    <w:name w:val="SubsectionHead"/>
    <w:aliases w:val="ssh"/>
    <w:basedOn w:val="OPCParaBase"/>
    <w:next w:val="subsection"/>
    <w:rsid w:val="00697BA6"/>
    <w:pPr>
      <w:keepNext/>
      <w:keepLines/>
      <w:spacing w:before="240" w:line="240" w:lineRule="auto"/>
      <w:ind w:left="1134"/>
    </w:pPr>
    <w:rPr>
      <w:i/>
    </w:rPr>
  </w:style>
  <w:style w:type="paragraph" w:customStyle="1" w:styleId="Tablea">
    <w:name w:val="Table(a)"/>
    <w:aliases w:val="ta"/>
    <w:basedOn w:val="OPCParaBase"/>
    <w:rsid w:val="00697BA6"/>
    <w:pPr>
      <w:spacing w:before="60" w:line="240" w:lineRule="auto"/>
      <w:ind w:left="284" w:hanging="284"/>
    </w:pPr>
    <w:rPr>
      <w:sz w:val="20"/>
    </w:rPr>
  </w:style>
  <w:style w:type="paragraph" w:customStyle="1" w:styleId="TableAA">
    <w:name w:val="Table(AA)"/>
    <w:aliases w:val="taaa"/>
    <w:basedOn w:val="OPCParaBase"/>
    <w:rsid w:val="00697B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7B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7BA6"/>
    <w:pPr>
      <w:spacing w:before="60" w:line="240" w:lineRule="atLeast"/>
    </w:pPr>
    <w:rPr>
      <w:sz w:val="20"/>
    </w:rPr>
  </w:style>
  <w:style w:type="paragraph" w:customStyle="1" w:styleId="TLPBoxTextnote">
    <w:name w:val="TLPBoxText(note"/>
    <w:aliases w:val="right)"/>
    <w:basedOn w:val="OPCParaBase"/>
    <w:rsid w:val="00697B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7B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7BA6"/>
    <w:pPr>
      <w:spacing w:before="122" w:line="198" w:lineRule="exact"/>
      <w:ind w:left="1985" w:hanging="851"/>
      <w:jc w:val="right"/>
    </w:pPr>
    <w:rPr>
      <w:sz w:val="18"/>
    </w:rPr>
  </w:style>
  <w:style w:type="paragraph" w:customStyle="1" w:styleId="TLPTableBullet">
    <w:name w:val="TLPTableBullet"/>
    <w:aliases w:val="ttb"/>
    <w:basedOn w:val="OPCParaBase"/>
    <w:rsid w:val="00697BA6"/>
    <w:pPr>
      <w:spacing w:line="240" w:lineRule="exact"/>
      <w:ind w:left="284" w:hanging="284"/>
    </w:pPr>
    <w:rPr>
      <w:sz w:val="20"/>
    </w:rPr>
  </w:style>
  <w:style w:type="paragraph" w:styleId="TOC1">
    <w:name w:val="toc 1"/>
    <w:basedOn w:val="OPCParaBase"/>
    <w:next w:val="Normal"/>
    <w:uiPriority w:val="39"/>
    <w:semiHidden/>
    <w:unhideWhenUsed/>
    <w:rsid w:val="00697BA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97BA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97BA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7BA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97B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97B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97B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7B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7B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7BA6"/>
    <w:pPr>
      <w:keepLines/>
      <w:spacing w:before="240" w:after="120" w:line="240" w:lineRule="auto"/>
      <w:ind w:left="794"/>
    </w:pPr>
    <w:rPr>
      <w:b/>
      <w:kern w:val="28"/>
      <w:sz w:val="20"/>
    </w:rPr>
  </w:style>
  <w:style w:type="paragraph" w:customStyle="1" w:styleId="TofSectsHeading">
    <w:name w:val="TofSects(Heading)"/>
    <w:basedOn w:val="OPCParaBase"/>
    <w:rsid w:val="00697BA6"/>
    <w:pPr>
      <w:spacing w:before="240" w:after="120" w:line="240" w:lineRule="auto"/>
    </w:pPr>
    <w:rPr>
      <w:b/>
      <w:sz w:val="24"/>
    </w:rPr>
  </w:style>
  <w:style w:type="paragraph" w:customStyle="1" w:styleId="TofSectsSection">
    <w:name w:val="TofSects(Section)"/>
    <w:basedOn w:val="OPCParaBase"/>
    <w:rsid w:val="00697BA6"/>
    <w:pPr>
      <w:keepLines/>
      <w:spacing w:before="40" w:line="240" w:lineRule="auto"/>
      <w:ind w:left="1588" w:hanging="794"/>
    </w:pPr>
    <w:rPr>
      <w:kern w:val="28"/>
      <w:sz w:val="18"/>
    </w:rPr>
  </w:style>
  <w:style w:type="paragraph" w:customStyle="1" w:styleId="TofSectsSubdiv">
    <w:name w:val="TofSects(Subdiv)"/>
    <w:basedOn w:val="OPCParaBase"/>
    <w:rsid w:val="00697BA6"/>
    <w:pPr>
      <w:keepLines/>
      <w:spacing w:before="80" w:line="240" w:lineRule="auto"/>
      <w:ind w:left="1588" w:hanging="794"/>
    </w:pPr>
    <w:rPr>
      <w:kern w:val="28"/>
    </w:rPr>
  </w:style>
  <w:style w:type="paragraph" w:customStyle="1" w:styleId="WRStyle">
    <w:name w:val="WR Style"/>
    <w:aliases w:val="WR"/>
    <w:basedOn w:val="OPCParaBase"/>
    <w:rsid w:val="00697BA6"/>
    <w:pPr>
      <w:spacing w:before="240" w:line="240" w:lineRule="auto"/>
      <w:ind w:left="284" w:hanging="284"/>
    </w:pPr>
    <w:rPr>
      <w:b/>
      <w:i/>
      <w:kern w:val="28"/>
      <w:sz w:val="24"/>
    </w:rPr>
  </w:style>
  <w:style w:type="paragraph" w:customStyle="1" w:styleId="notepara">
    <w:name w:val="note(para)"/>
    <w:aliases w:val="na"/>
    <w:basedOn w:val="OPCParaBase"/>
    <w:rsid w:val="00697BA6"/>
    <w:pPr>
      <w:spacing w:before="40" w:line="198" w:lineRule="exact"/>
      <w:ind w:left="2354" w:hanging="369"/>
    </w:pPr>
    <w:rPr>
      <w:sz w:val="18"/>
    </w:rPr>
  </w:style>
  <w:style w:type="paragraph" w:styleId="Footer">
    <w:name w:val="footer"/>
    <w:link w:val="FooterChar"/>
    <w:rsid w:val="00697B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7BA6"/>
    <w:rPr>
      <w:rFonts w:eastAsia="Times New Roman" w:cs="Times New Roman"/>
      <w:sz w:val="22"/>
      <w:szCs w:val="24"/>
      <w:lang w:eastAsia="en-AU"/>
    </w:rPr>
  </w:style>
  <w:style w:type="character" w:styleId="LineNumber">
    <w:name w:val="line number"/>
    <w:basedOn w:val="OPCCharBase"/>
    <w:uiPriority w:val="99"/>
    <w:semiHidden/>
    <w:unhideWhenUsed/>
    <w:rsid w:val="00697BA6"/>
    <w:rPr>
      <w:sz w:val="16"/>
    </w:rPr>
  </w:style>
  <w:style w:type="table" w:customStyle="1" w:styleId="CFlag">
    <w:name w:val="CFlag"/>
    <w:basedOn w:val="TableNormal"/>
    <w:uiPriority w:val="99"/>
    <w:rsid w:val="00697BA6"/>
    <w:rPr>
      <w:rFonts w:eastAsia="Times New Roman" w:cs="Times New Roman"/>
      <w:lang w:eastAsia="en-AU"/>
    </w:rPr>
    <w:tblPr/>
  </w:style>
  <w:style w:type="paragraph" w:customStyle="1" w:styleId="NotesHeading1">
    <w:name w:val="NotesHeading 1"/>
    <w:basedOn w:val="OPCParaBase"/>
    <w:next w:val="Normal"/>
    <w:rsid w:val="00697BA6"/>
    <w:rPr>
      <w:b/>
      <w:sz w:val="28"/>
      <w:szCs w:val="28"/>
    </w:rPr>
  </w:style>
  <w:style w:type="paragraph" w:customStyle="1" w:styleId="NotesHeading2">
    <w:name w:val="NotesHeading 2"/>
    <w:basedOn w:val="OPCParaBase"/>
    <w:next w:val="Normal"/>
    <w:rsid w:val="00697BA6"/>
    <w:rPr>
      <w:b/>
      <w:sz w:val="28"/>
      <w:szCs w:val="28"/>
    </w:rPr>
  </w:style>
  <w:style w:type="paragraph" w:customStyle="1" w:styleId="SignCoverPageEnd">
    <w:name w:val="SignCoverPageEnd"/>
    <w:basedOn w:val="OPCParaBase"/>
    <w:next w:val="Normal"/>
    <w:rsid w:val="00697B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7BA6"/>
    <w:pPr>
      <w:pBdr>
        <w:top w:val="single" w:sz="4" w:space="1" w:color="auto"/>
      </w:pBdr>
      <w:spacing w:before="360"/>
      <w:ind w:right="397"/>
      <w:jc w:val="both"/>
    </w:pPr>
  </w:style>
  <w:style w:type="paragraph" w:customStyle="1" w:styleId="Paragraphsub-sub-sub">
    <w:name w:val="Paragraph(sub-sub-sub)"/>
    <w:aliases w:val="aaaa"/>
    <w:basedOn w:val="OPCParaBase"/>
    <w:rsid w:val="00697B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7B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7B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7B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7BA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97BA6"/>
    <w:pPr>
      <w:spacing w:before="120"/>
    </w:pPr>
  </w:style>
  <w:style w:type="paragraph" w:customStyle="1" w:styleId="TableTextEndNotes">
    <w:name w:val="TableTextEndNotes"/>
    <w:aliases w:val="Tten"/>
    <w:basedOn w:val="Normal"/>
    <w:rsid w:val="00697BA6"/>
    <w:pPr>
      <w:spacing w:before="60" w:line="240" w:lineRule="auto"/>
    </w:pPr>
    <w:rPr>
      <w:rFonts w:cs="Arial"/>
      <w:sz w:val="20"/>
      <w:szCs w:val="22"/>
    </w:rPr>
  </w:style>
  <w:style w:type="paragraph" w:customStyle="1" w:styleId="TableHeading">
    <w:name w:val="TableHeading"/>
    <w:aliases w:val="th"/>
    <w:basedOn w:val="OPCParaBase"/>
    <w:next w:val="Tabletext"/>
    <w:rsid w:val="00697BA6"/>
    <w:pPr>
      <w:keepNext/>
      <w:spacing w:before="60" w:line="240" w:lineRule="atLeast"/>
    </w:pPr>
    <w:rPr>
      <w:b/>
      <w:sz w:val="20"/>
    </w:rPr>
  </w:style>
  <w:style w:type="paragraph" w:customStyle="1" w:styleId="NoteToSubpara">
    <w:name w:val="NoteToSubpara"/>
    <w:aliases w:val="nts"/>
    <w:basedOn w:val="OPCParaBase"/>
    <w:rsid w:val="00697BA6"/>
    <w:pPr>
      <w:spacing w:before="40" w:line="198" w:lineRule="exact"/>
      <w:ind w:left="2835" w:hanging="709"/>
    </w:pPr>
    <w:rPr>
      <w:sz w:val="18"/>
    </w:rPr>
  </w:style>
  <w:style w:type="paragraph" w:customStyle="1" w:styleId="ENoteTableHeading">
    <w:name w:val="ENoteTableHeading"/>
    <w:aliases w:val="enth"/>
    <w:basedOn w:val="OPCParaBase"/>
    <w:rsid w:val="00697BA6"/>
    <w:pPr>
      <w:keepNext/>
      <w:spacing w:before="60" w:line="240" w:lineRule="atLeast"/>
    </w:pPr>
    <w:rPr>
      <w:rFonts w:ascii="Arial" w:hAnsi="Arial"/>
      <w:b/>
      <w:sz w:val="16"/>
    </w:rPr>
  </w:style>
  <w:style w:type="paragraph" w:customStyle="1" w:styleId="ENoteTTi">
    <w:name w:val="ENoteTTi"/>
    <w:aliases w:val="entti"/>
    <w:basedOn w:val="OPCParaBase"/>
    <w:rsid w:val="00697BA6"/>
    <w:pPr>
      <w:keepNext/>
      <w:spacing w:before="60" w:line="240" w:lineRule="atLeast"/>
      <w:ind w:left="170"/>
    </w:pPr>
    <w:rPr>
      <w:sz w:val="16"/>
    </w:rPr>
  </w:style>
  <w:style w:type="paragraph" w:customStyle="1" w:styleId="ENotesHeading1">
    <w:name w:val="ENotesHeading 1"/>
    <w:aliases w:val="Enh1"/>
    <w:basedOn w:val="OPCParaBase"/>
    <w:next w:val="Normal"/>
    <w:rsid w:val="00697BA6"/>
    <w:pPr>
      <w:spacing w:before="120"/>
      <w:outlineLvl w:val="1"/>
    </w:pPr>
    <w:rPr>
      <w:b/>
      <w:sz w:val="28"/>
      <w:szCs w:val="28"/>
    </w:rPr>
  </w:style>
  <w:style w:type="paragraph" w:customStyle="1" w:styleId="ENotesHeading2">
    <w:name w:val="ENotesHeading 2"/>
    <w:aliases w:val="Enh2"/>
    <w:basedOn w:val="OPCParaBase"/>
    <w:next w:val="Normal"/>
    <w:rsid w:val="00697BA6"/>
    <w:pPr>
      <w:spacing w:before="120" w:after="120"/>
      <w:outlineLvl w:val="2"/>
    </w:pPr>
    <w:rPr>
      <w:b/>
      <w:sz w:val="24"/>
      <w:szCs w:val="28"/>
    </w:rPr>
  </w:style>
  <w:style w:type="paragraph" w:customStyle="1" w:styleId="ENoteTTIndentHeading">
    <w:name w:val="ENoteTTIndentHeading"/>
    <w:aliases w:val="enTTHi"/>
    <w:basedOn w:val="OPCParaBase"/>
    <w:rsid w:val="00697B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7BA6"/>
    <w:pPr>
      <w:spacing w:before="60" w:line="240" w:lineRule="atLeast"/>
    </w:pPr>
    <w:rPr>
      <w:sz w:val="16"/>
    </w:rPr>
  </w:style>
  <w:style w:type="paragraph" w:customStyle="1" w:styleId="MadeunderText">
    <w:name w:val="MadeunderText"/>
    <w:basedOn w:val="OPCParaBase"/>
    <w:next w:val="Normal"/>
    <w:rsid w:val="00697BA6"/>
    <w:pPr>
      <w:spacing w:before="240"/>
    </w:pPr>
    <w:rPr>
      <w:sz w:val="24"/>
      <w:szCs w:val="24"/>
    </w:rPr>
  </w:style>
  <w:style w:type="paragraph" w:customStyle="1" w:styleId="ENotesHeading3">
    <w:name w:val="ENotesHeading 3"/>
    <w:aliases w:val="Enh3"/>
    <w:basedOn w:val="OPCParaBase"/>
    <w:next w:val="Normal"/>
    <w:rsid w:val="00697BA6"/>
    <w:pPr>
      <w:keepNext/>
      <w:spacing w:before="120" w:line="240" w:lineRule="auto"/>
      <w:outlineLvl w:val="4"/>
    </w:pPr>
    <w:rPr>
      <w:b/>
      <w:szCs w:val="24"/>
    </w:rPr>
  </w:style>
  <w:style w:type="paragraph" w:customStyle="1" w:styleId="SubPartCASA">
    <w:name w:val="SubPart(CASA)"/>
    <w:aliases w:val="csp"/>
    <w:basedOn w:val="OPCParaBase"/>
    <w:next w:val="ActHead3"/>
    <w:rsid w:val="00697BA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97BA6"/>
  </w:style>
  <w:style w:type="character" w:customStyle="1" w:styleId="CharSubPartNoCASA">
    <w:name w:val="CharSubPartNo(CASA)"/>
    <w:basedOn w:val="OPCCharBase"/>
    <w:uiPriority w:val="1"/>
    <w:rsid w:val="00697BA6"/>
  </w:style>
  <w:style w:type="paragraph" w:customStyle="1" w:styleId="ENoteTTIndentHeadingSub">
    <w:name w:val="ENoteTTIndentHeadingSub"/>
    <w:aliases w:val="enTTHis"/>
    <w:basedOn w:val="OPCParaBase"/>
    <w:rsid w:val="00697BA6"/>
    <w:pPr>
      <w:keepNext/>
      <w:spacing w:before="60" w:line="240" w:lineRule="atLeast"/>
      <w:ind w:left="340"/>
    </w:pPr>
    <w:rPr>
      <w:b/>
      <w:sz w:val="16"/>
    </w:rPr>
  </w:style>
  <w:style w:type="paragraph" w:customStyle="1" w:styleId="ENoteTTiSub">
    <w:name w:val="ENoteTTiSub"/>
    <w:aliases w:val="enttis"/>
    <w:basedOn w:val="OPCParaBase"/>
    <w:rsid w:val="00697BA6"/>
    <w:pPr>
      <w:keepNext/>
      <w:spacing w:before="60" w:line="240" w:lineRule="atLeast"/>
      <w:ind w:left="340"/>
    </w:pPr>
    <w:rPr>
      <w:sz w:val="16"/>
    </w:rPr>
  </w:style>
  <w:style w:type="paragraph" w:customStyle="1" w:styleId="SubDivisionMigration">
    <w:name w:val="SubDivisionMigration"/>
    <w:aliases w:val="sdm"/>
    <w:basedOn w:val="OPCParaBase"/>
    <w:rsid w:val="00697B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7BA6"/>
    <w:pPr>
      <w:keepNext/>
      <w:keepLines/>
      <w:spacing w:before="240" w:line="240" w:lineRule="auto"/>
      <w:ind w:left="1134" w:hanging="1134"/>
    </w:pPr>
    <w:rPr>
      <w:b/>
      <w:sz w:val="28"/>
    </w:rPr>
  </w:style>
  <w:style w:type="table" w:styleId="TableGrid">
    <w:name w:val="Table Grid"/>
    <w:basedOn w:val="TableNormal"/>
    <w:uiPriority w:val="59"/>
    <w:rsid w:val="0069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97BA6"/>
    <w:pPr>
      <w:spacing w:before="122" w:line="240" w:lineRule="auto"/>
      <w:ind w:left="1985" w:hanging="851"/>
    </w:pPr>
    <w:rPr>
      <w:sz w:val="18"/>
    </w:rPr>
  </w:style>
  <w:style w:type="paragraph" w:customStyle="1" w:styleId="FreeForm">
    <w:name w:val="FreeForm"/>
    <w:rsid w:val="00697BA6"/>
    <w:rPr>
      <w:rFonts w:ascii="Arial" w:hAnsi="Arial"/>
      <w:sz w:val="22"/>
    </w:rPr>
  </w:style>
  <w:style w:type="paragraph" w:customStyle="1" w:styleId="SOText">
    <w:name w:val="SO Text"/>
    <w:aliases w:val="sot"/>
    <w:link w:val="SOTextChar"/>
    <w:rsid w:val="00697B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7BA6"/>
    <w:rPr>
      <w:sz w:val="22"/>
    </w:rPr>
  </w:style>
  <w:style w:type="paragraph" w:customStyle="1" w:styleId="SOTextNote">
    <w:name w:val="SO TextNote"/>
    <w:aliases w:val="sont"/>
    <w:basedOn w:val="SOText"/>
    <w:qFormat/>
    <w:rsid w:val="00697BA6"/>
    <w:pPr>
      <w:spacing w:before="122" w:line="198" w:lineRule="exact"/>
      <w:ind w:left="1843" w:hanging="709"/>
    </w:pPr>
    <w:rPr>
      <w:sz w:val="18"/>
    </w:rPr>
  </w:style>
  <w:style w:type="paragraph" w:customStyle="1" w:styleId="SOPara">
    <w:name w:val="SO Para"/>
    <w:aliases w:val="soa"/>
    <w:basedOn w:val="SOText"/>
    <w:link w:val="SOParaChar"/>
    <w:qFormat/>
    <w:rsid w:val="00697BA6"/>
    <w:pPr>
      <w:tabs>
        <w:tab w:val="right" w:pos="1786"/>
      </w:tabs>
      <w:spacing w:before="40"/>
      <w:ind w:left="2070" w:hanging="936"/>
    </w:pPr>
  </w:style>
  <w:style w:type="character" w:customStyle="1" w:styleId="SOParaChar">
    <w:name w:val="SO Para Char"/>
    <w:aliases w:val="soa Char"/>
    <w:basedOn w:val="DefaultParagraphFont"/>
    <w:link w:val="SOPara"/>
    <w:rsid w:val="00697BA6"/>
    <w:rPr>
      <w:sz w:val="22"/>
    </w:rPr>
  </w:style>
  <w:style w:type="paragraph" w:customStyle="1" w:styleId="FileName">
    <w:name w:val="FileName"/>
    <w:basedOn w:val="Normal"/>
    <w:rsid w:val="00697BA6"/>
  </w:style>
  <w:style w:type="paragraph" w:customStyle="1" w:styleId="SOHeadBold">
    <w:name w:val="SO HeadBold"/>
    <w:aliases w:val="sohb"/>
    <w:basedOn w:val="SOText"/>
    <w:next w:val="SOText"/>
    <w:link w:val="SOHeadBoldChar"/>
    <w:qFormat/>
    <w:rsid w:val="00697BA6"/>
    <w:rPr>
      <w:b/>
    </w:rPr>
  </w:style>
  <w:style w:type="character" w:customStyle="1" w:styleId="SOHeadBoldChar">
    <w:name w:val="SO HeadBold Char"/>
    <w:aliases w:val="sohb Char"/>
    <w:basedOn w:val="DefaultParagraphFont"/>
    <w:link w:val="SOHeadBold"/>
    <w:rsid w:val="00697BA6"/>
    <w:rPr>
      <w:b/>
      <w:sz w:val="22"/>
    </w:rPr>
  </w:style>
  <w:style w:type="paragraph" w:customStyle="1" w:styleId="SOHeadItalic">
    <w:name w:val="SO HeadItalic"/>
    <w:aliases w:val="sohi"/>
    <w:basedOn w:val="SOText"/>
    <w:next w:val="SOText"/>
    <w:link w:val="SOHeadItalicChar"/>
    <w:qFormat/>
    <w:rsid w:val="00697BA6"/>
    <w:rPr>
      <w:i/>
    </w:rPr>
  </w:style>
  <w:style w:type="character" w:customStyle="1" w:styleId="SOHeadItalicChar">
    <w:name w:val="SO HeadItalic Char"/>
    <w:aliases w:val="sohi Char"/>
    <w:basedOn w:val="DefaultParagraphFont"/>
    <w:link w:val="SOHeadItalic"/>
    <w:rsid w:val="00697BA6"/>
    <w:rPr>
      <w:i/>
      <w:sz w:val="22"/>
    </w:rPr>
  </w:style>
  <w:style w:type="paragraph" w:customStyle="1" w:styleId="SOBullet">
    <w:name w:val="SO Bullet"/>
    <w:aliases w:val="sotb"/>
    <w:basedOn w:val="SOText"/>
    <w:link w:val="SOBulletChar"/>
    <w:qFormat/>
    <w:rsid w:val="00697BA6"/>
    <w:pPr>
      <w:ind w:left="1559" w:hanging="425"/>
    </w:pPr>
  </w:style>
  <w:style w:type="character" w:customStyle="1" w:styleId="SOBulletChar">
    <w:name w:val="SO Bullet Char"/>
    <w:aliases w:val="sotb Char"/>
    <w:basedOn w:val="DefaultParagraphFont"/>
    <w:link w:val="SOBullet"/>
    <w:rsid w:val="00697BA6"/>
    <w:rPr>
      <w:sz w:val="22"/>
    </w:rPr>
  </w:style>
  <w:style w:type="paragraph" w:customStyle="1" w:styleId="SOBulletNote">
    <w:name w:val="SO BulletNote"/>
    <w:aliases w:val="sonb"/>
    <w:basedOn w:val="SOTextNote"/>
    <w:link w:val="SOBulletNoteChar"/>
    <w:qFormat/>
    <w:rsid w:val="00697BA6"/>
    <w:pPr>
      <w:tabs>
        <w:tab w:val="left" w:pos="1560"/>
      </w:tabs>
      <w:ind w:left="2268" w:hanging="1134"/>
    </w:pPr>
  </w:style>
  <w:style w:type="character" w:customStyle="1" w:styleId="SOBulletNoteChar">
    <w:name w:val="SO BulletNote Char"/>
    <w:aliases w:val="sonb Char"/>
    <w:basedOn w:val="DefaultParagraphFont"/>
    <w:link w:val="SOBulletNote"/>
    <w:rsid w:val="00697BA6"/>
    <w:rPr>
      <w:sz w:val="18"/>
    </w:rPr>
  </w:style>
  <w:style w:type="paragraph" w:customStyle="1" w:styleId="SOText2">
    <w:name w:val="SO Text2"/>
    <w:aliases w:val="sot2"/>
    <w:basedOn w:val="Normal"/>
    <w:next w:val="SOText"/>
    <w:link w:val="SOText2Char"/>
    <w:rsid w:val="00697B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7BA6"/>
    <w:rPr>
      <w:sz w:val="22"/>
    </w:rPr>
  </w:style>
  <w:style w:type="paragraph" w:customStyle="1" w:styleId="Transitional">
    <w:name w:val="Transitional"/>
    <w:aliases w:val="tr"/>
    <w:basedOn w:val="ItemHead"/>
    <w:next w:val="Item"/>
    <w:rsid w:val="00697BA6"/>
  </w:style>
  <w:style w:type="character" w:customStyle="1" w:styleId="Heading5Char">
    <w:name w:val="Heading 5 Char"/>
    <w:basedOn w:val="DefaultParagraphFont"/>
    <w:link w:val="Heading5"/>
    <w:rsid w:val="0034356E"/>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34356E"/>
    <w:rPr>
      <w:rFonts w:eastAsia="Times New Roman" w:cs="Times New Roman"/>
      <w:sz w:val="22"/>
      <w:lang w:eastAsia="en-AU"/>
    </w:rPr>
  </w:style>
  <w:style w:type="character" w:customStyle="1" w:styleId="notetextChar">
    <w:name w:val="note(text) Char"/>
    <w:aliases w:val="n Char"/>
    <w:basedOn w:val="DefaultParagraphFont"/>
    <w:link w:val="notetext"/>
    <w:rsid w:val="0034356E"/>
    <w:rPr>
      <w:rFonts w:eastAsia="Times New Roman" w:cs="Times New Roman"/>
      <w:sz w:val="18"/>
      <w:lang w:eastAsia="en-AU"/>
    </w:rPr>
  </w:style>
  <w:style w:type="character" w:customStyle="1" w:styleId="Heading1Char">
    <w:name w:val="Heading 1 Char"/>
    <w:basedOn w:val="DefaultParagraphFont"/>
    <w:link w:val="Heading1"/>
    <w:uiPriority w:val="9"/>
    <w:rsid w:val="003435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435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435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356E"/>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34356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4356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435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356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461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112"/>
    <w:rPr>
      <w:rFonts w:ascii="Segoe UI" w:hAnsi="Segoe UI" w:cs="Segoe UI"/>
      <w:sz w:val="18"/>
      <w:szCs w:val="18"/>
    </w:rPr>
  </w:style>
  <w:style w:type="character" w:styleId="Hyperlink">
    <w:name w:val="Hyperlink"/>
    <w:basedOn w:val="DefaultParagraphFont"/>
    <w:uiPriority w:val="99"/>
    <w:semiHidden/>
    <w:unhideWhenUsed/>
    <w:rsid w:val="00C52FA1"/>
    <w:rPr>
      <w:color w:val="0000FF" w:themeColor="hyperlink"/>
      <w:u w:val="single"/>
    </w:rPr>
  </w:style>
  <w:style w:type="character" w:styleId="FollowedHyperlink">
    <w:name w:val="FollowedHyperlink"/>
    <w:basedOn w:val="DefaultParagraphFont"/>
    <w:uiPriority w:val="99"/>
    <w:semiHidden/>
    <w:unhideWhenUsed/>
    <w:rsid w:val="00C52FA1"/>
    <w:rPr>
      <w:color w:val="0000FF" w:themeColor="hyperlink"/>
      <w:u w:val="single"/>
    </w:rPr>
  </w:style>
  <w:style w:type="paragraph" w:customStyle="1" w:styleId="ShortTP1">
    <w:name w:val="ShortTP1"/>
    <w:basedOn w:val="ShortT"/>
    <w:link w:val="ShortTP1Char"/>
    <w:rsid w:val="00C52FA1"/>
    <w:pPr>
      <w:spacing w:before="800"/>
    </w:pPr>
  </w:style>
  <w:style w:type="character" w:customStyle="1" w:styleId="ShortTP1Char">
    <w:name w:val="ShortTP1 Char"/>
    <w:basedOn w:val="DefaultParagraphFont"/>
    <w:link w:val="ShortTP1"/>
    <w:rsid w:val="00C52FA1"/>
    <w:rPr>
      <w:rFonts w:eastAsia="Times New Roman" w:cs="Times New Roman"/>
      <w:b/>
      <w:sz w:val="40"/>
      <w:lang w:eastAsia="en-AU"/>
    </w:rPr>
  </w:style>
  <w:style w:type="paragraph" w:customStyle="1" w:styleId="ActNoP1">
    <w:name w:val="ActNoP1"/>
    <w:basedOn w:val="Actno"/>
    <w:link w:val="ActNoP1Char"/>
    <w:rsid w:val="00C52FA1"/>
    <w:pPr>
      <w:spacing w:before="800"/>
    </w:pPr>
    <w:rPr>
      <w:sz w:val="28"/>
    </w:rPr>
  </w:style>
  <w:style w:type="character" w:customStyle="1" w:styleId="ActNoP1Char">
    <w:name w:val="ActNoP1 Char"/>
    <w:basedOn w:val="DefaultParagraphFont"/>
    <w:link w:val="ActNoP1"/>
    <w:rsid w:val="00C52FA1"/>
    <w:rPr>
      <w:rFonts w:eastAsia="Times New Roman" w:cs="Times New Roman"/>
      <w:b/>
      <w:sz w:val="28"/>
      <w:lang w:eastAsia="en-AU"/>
    </w:rPr>
  </w:style>
  <w:style w:type="paragraph" w:customStyle="1" w:styleId="AssentBk">
    <w:name w:val="AssentBk"/>
    <w:basedOn w:val="Normal"/>
    <w:rsid w:val="00C52FA1"/>
    <w:pPr>
      <w:spacing w:line="240" w:lineRule="auto"/>
    </w:pPr>
    <w:rPr>
      <w:rFonts w:eastAsia="Times New Roman" w:cs="Times New Roman"/>
      <w:sz w:val="20"/>
      <w:lang w:eastAsia="en-AU"/>
    </w:rPr>
  </w:style>
  <w:style w:type="paragraph" w:customStyle="1" w:styleId="AssentDt">
    <w:name w:val="AssentDt"/>
    <w:basedOn w:val="Normal"/>
    <w:rsid w:val="004A1AA3"/>
    <w:pPr>
      <w:spacing w:line="240" w:lineRule="auto"/>
    </w:pPr>
    <w:rPr>
      <w:rFonts w:eastAsia="Times New Roman" w:cs="Times New Roman"/>
      <w:sz w:val="20"/>
      <w:lang w:eastAsia="en-AU"/>
    </w:rPr>
  </w:style>
  <w:style w:type="paragraph" w:customStyle="1" w:styleId="2ndRd">
    <w:name w:val="2ndRd"/>
    <w:basedOn w:val="Normal"/>
    <w:rsid w:val="004A1AA3"/>
    <w:pPr>
      <w:spacing w:line="240" w:lineRule="auto"/>
    </w:pPr>
    <w:rPr>
      <w:rFonts w:eastAsia="Times New Roman" w:cs="Times New Roman"/>
      <w:sz w:val="20"/>
      <w:lang w:eastAsia="en-AU"/>
    </w:rPr>
  </w:style>
  <w:style w:type="paragraph" w:customStyle="1" w:styleId="ScalePlusRef">
    <w:name w:val="ScalePlusRef"/>
    <w:basedOn w:val="Normal"/>
    <w:rsid w:val="004A1AA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14312">
      <w:bodyDiv w:val="1"/>
      <w:marLeft w:val="0"/>
      <w:marRight w:val="0"/>
      <w:marTop w:val="0"/>
      <w:marBottom w:val="0"/>
      <w:divBdr>
        <w:top w:val="none" w:sz="0" w:space="0" w:color="auto"/>
        <w:left w:val="none" w:sz="0" w:space="0" w:color="auto"/>
        <w:bottom w:val="none" w:sz="0" w:space="0" w:color="auto"/>
        <w:right w:val="none" w:sz="0" w:space="0" w:color="auto"/>
      </w:divBdr>
    </w:div>
    <w:div w:id="1046176750">
      <w:bodyDiv w:val="1"/>
      <w:marLeft w:val="0"/>
      <w:marRight w:val="0"/>
      <w:marTop w:val="0"/>
      <w:marBottom w:val="0"/>
      <w:divBdr>
        <w:top w:val="none" w:sz="0" w:space="0" w:color="auto"/>
        <w:left w:val="none" w:sz="0" w:space="0" w:color="auto"/>
        <w:bottom w:val="none" w:sz="0" w:space="0" w:color="auto"/>
        <w:right w:val="none" w:sz="0" w:space="0" w:color="auto"/>
      </w:divBdr>
    </w:div>
    <w:div w:id="1192303291">
      <w:bodyDiv w:val="1"/>
      <w:marLeft w:val="0"/>
      <w:marRight w:val="0"/>
      <w:marTop w:val="0"/>
      <w:marBottom w:val="0"/>
      <w:divBdr>
        <w:top w:val="none" w:sz="0" w:space="0" w:color="auto"/>
        <w:left w:val="none" w:sz="0" w:space="0" w:color="auto"/>
        <w:bottom w:val="none" w:sz="0" w:space="0" w:color="auto"/>
        <w:right w:val="none" w:sz="0" w:space="0" w:color="auto"/>
      </w:divBdr>
    </w:div>
    <w:div w:id="1366177208">
      <w:bodyDiv w:val="1"/>
      <w:marLeft w:val="0"/>
      <w:marRight w:val="0"/>
      <w:marTop w:val="0"/>
      <w:marBottom w:val="0"/>
      <w:divBdr>
        <w:top w:val="none" w:sz="0" w:space="0" w:color="auto"/>
        <w:left w:val="none" w:sz="0" w:space="0" w:color="auto"/>
        <w:bottom w:val="none" w:sz="0" w:space="0" w:color="auto"/>
        <w:right w:val="none" w:sz="0" w:space="0" w:color="auto"/>
      </w:divBdr>
    </w:div>
    <w:div w:id="1495683834">
      <w:bodyDiv w:val="1"/>
      <w:marLeft w:val="0"/>
      <w:marRight w:val="0"/>
      <w:marTop w:val="0"/>
      <w:marBottom w:val="0"/>
      <w:divBdr>
        <w:top w:val="none" w:sz="0" w:space="0" w:color="auto"/>
        <w:left w:val="none" w:sz="0" w:space="0" w:color="auto"/>
        <w:bottom w:val="none" w:sz="0" w:space="0" w:color="auto"/>
        <w:right w:val="none" w:sz="0" w:space="0" w:color="auto"/>
      </w:divBdr>
    </w:div>
    <w:div w:id="1588492360">
      <w:bodyDiv w:val="1"/>
      <w:marLeft w:val="0"/>
      <w:marRight w:val="0"/>
      <w:marTop w:val="0"/>
      <w:marBottom w:val="0"/>
      <w:divBdr>
        <w:top w:val="none" w:sz="0" w:space="0" w:color="auto"/>
        <w:left w:val="none" w:sz="0" w:space="0" w:color="auto"/>
        <w:bottom w:val="none" w:sz="0" w:space="0" w:color="auto"/>
        <w:right w:val="none" w:sz="0" w:space="0" w:color="auto"/>
      </w:divBdr>
    </w:div>
    <w:div w:id="1709841203">
      <w:bodyDiv w:val="1"/>
      <w:marLeft w:val="0"/>
      <w:marRight w:val="0"/>
      <w:marTop w:val="0"/>
      <w:marBottom w:val="0"/>
      <w:divBdr>
        <w:top w:val="none" w:sz="0" w:space="0" w:color="auto"/>
        <w:left w:val="none" w:sz="0" w:space="0" w:color="auto"/>
        <w:bottom w:val="none" w:sz="0" w:space="0" w:color="auto"/>
        <w:right w:val="none" w:sz="0" w:space="0" w:color="auto"/>
      </w:divBdr>
    </w:div>
    <w:div w:id="19431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EBDB-626E-4033-ABD2-C430BD0E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2339</Words>
  <Characters>11560</Characters>
  <Application>Microsoft Office Word</Application>
  <DocSecurity>0</DocSecurity>
  <PresentationFormat/>
  <Lines>385</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2023-05-15T05:43:00Z</cp:lastPrinted>
  <dcterms:created xsi:type="dcterms:W3CDTF">2023-10-17T21:43:00Z</dcterms:created>
  <dcterms:modified xsi:type="dcterms:W3CDTF">2023-10-17T22:28:00Z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(Giving Documents and Other Measures) Act 2023</vt:lpwstr>
  </property>
  <property fmtid="{D5CDD505-2E9C-101B-9397-08002B2CF9AE}" pid="3" name="ActNo">
    <vt:lpwstr>No. 26,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2023-06-21T01:18:19Z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17737124-3c9a-4200-9a50-57f772b8c6f7</vt:lpwstr>
  </property>
  <property fmtid="{D5CDD505-2E9C-101B-9397-08002B2CF9AE}" pid="18" name="MSIP_Label_234ea0fa-41da-4eb0-b95e-07c328641c0b_ContentBits">
    <vt:lpwstr>0</vt:lpwstr>
  </property>
</Properties>
</file>