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4093835"/>
    <w:p w14:paraId="53A51CE8" w14:textId="0E1E3A73" w:rsidR="00666962" w:rsidRDefault="00666962" w:rsidP="00666962">
      <w:r>
        <w:object w:dxaOrig="2146" w:dyaOrig="1561" w14:anchorId="4705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9039079" r:id="rId8"/>
        </w:object>
      </w:r>
    </w:p>
    <w:p w14:paraId="22D5863A" w14:textId="77777777" w:rsidR="00666962" w:rsidRDefault="00666962" w:rsidP="00666962"/>
    <w:p w14:paraId="601D37D4" w14:textId="77777777" w:rsidR="00666962" w:rsidRDefault="00666962" w:rsidP="00666962"/>
    <w:p w14:paraId="086B2B84" w14:textId="77777777" w:rsidR="00666962" w:rsidRDefault="00666962" w:rsidP="00666962"/>
    <w:p w14:paraId="28C8FF4D" w14:textId="77777777" w:rsidR="00666962" w:rsidRDefault="00666962" w:rsidP="00666962"/>
    <w:p w14:paraId="150348CE" w14:textId="77777777" w:rsidR="00666962" w:rsidRDefault="00666962" w:rsidP="00666962"/>
    <w:p w14:paraId="12A6523B" w14:textId="77777777" w:rsidR="00666962" w:rsidRDefault="00666962" w:rsidP="00666962"/>
    <w:p w14:paraId="0F073499" w14:textId="1761E857" w:rsidR="0048364F" w:rsidRPr="009F0DEC" w:rsidRDefault="00666962" w:rsidP="0048364F">
      <w:pPr>
        <w:pStyle w:val="ShortT"/>
      </w:pPr>
      <w:r>
        <w:t>Treasury Laws Amendment (2023 Measures No. 2) Act 2023</w:t>
      </w:r>
    </w:p>
    <w:bookmarkEnd w:id="0"/>
    <w:p w14:paraId="2279812A" w14:textId="77777777" w:rsidR="0048364F" w:rsidRPr="009F0DEC" w:rsidRDefault="0048364F" w:rsidP="0048364F"/>
    <w:p w14:paraId="2A5CE8D9" w14:textId="601EAA93" w:rsidR="0048364F" w:rsidRPr="009F0DEC" w:rsidRDefault="00C164CA" w:rsidP="00666962">
      <w:pPr>
        <w:pStyle w:val="Actno"/>
        <w:spacing w:before="400"/>
      </w:pPr>
      <w:r w:rsidRPr="009F0DEC">
        <w:t>No.</w:t>
      </w:r>
      <w:r w:rsidR="00145D16">
        <w:t xml:space="preserve"> 28</w:t>
      </w:r>
      <w:r w:rsidRPr="009F0DEC">
        <w:t xml:space="preserve">, </w:t>
      </w:r>
      <w:r w:rsidR="00005D25" w:rsidRPr="009F0DEC">
        <w:t>2023</w:t>
      </w:r>
    </w:p>
    <w:p w14:paraId="495D9656" w14:textId="77777777" w:rsidR="0048364F" w:rsidRPr="009F0DEC" w:rsidRDefault="0048364F" w:rsidP="0048364F"/>
    <w:p w14:paraId="597BCE7E" w14:textId="77777777" w:rsidR="001E7DB6" w:rsidRDefault="001E7DB6" w:rsidP="001E7DB6">
      <w:pPr>
        <w:rPr>
          <w:lang w:eastAsia="en-AU"/>
        </w:rPr>
      </w:pPr>
    </w:p>
    <w:p w14:paraId="62C739C1" w14:textId="64883C3D" w:rsidR="0048364F" w:rsidRPr="009F0DEC" w:rsidRDefault="0048364F" w:rsidP="0048364F"/>
    <w:p w14:paraId="0FFF90C2" w14:textId="77777777" w:rsidR="0048364F" w:rsidRPr="009F0DEC" w:rsidRDefault="0048364F" w:rsidP="0048364F"/>
    <w:p w14:paraId="5A612EAD" w14:textId="77777777" w:rsidR="0048364F" w:rsidRPr="009F0DEC" w:rsidRDefault="0048364F" w:rsidP="0048364F"/>
    <w:p w14:paraId="2E1B2FB8" w14:textId="77777777" w:rsidR="00666962" w:rsidRDefault="00666962" w:rsidP="00666962">
      <w:pPr>
        <w:pStyle w:val="LongT"/>
      </w:pPr>
      <w:r>
        <w:t xml:space="preserve">An Act to amend the law relating to taxation and housing, and to amend the </w:t>
      </w:r>
      <w:r w:rsidRPr="00666962">
        <w:rPr>
          <w:i/>
        </w:rPr>
        <w:t>Commonwealth Banks Act 1959</w:t>
      </w:r>
      <w:r>
        <w:t>, and for related purposes</w:t>
      </w:r>
    </w:p>
    <w:p w14:paraId="45146D5F" w14:textId="68B620F4" w:rsidR="0048364F" w:rsidRPr="00C1515F" w:rsidRDefault="0048364F" w:rsidP="0048364F">
      <w:pPr>
        <w:pStyle w:val="Header"/>
        <w:tabs>
          <w:tab w:val="clear" w:pos="4150"/>
          <w:tab w:val="clear" w:pos="8307"/>
        </w:tabs>
      </w:pPr>
      <w:r w:rsidRPr="00C1515F">
        <w:rPr>
          <w:rStyle w:val="CharAmSchNo"/>
        </w:rPr>
        <w:t xml:space="preserve"> </w:t>
      </w:r>
      <w:r w:rsidRPr="00C1515F">
        <w:rPr>
          <w:rStyle w:val="CharAmSchText"/>
        </w:rPr>
        <w:t xml:space="preserve"> </w:t>
      </w:r>
    </w:p>
    <w:p w14:paraId="3BB4AC47" w14:textId="77777777" w:rsidR="0048364F" w:rsidRPr="00C1515F" w:rsidRDefault="0048364F" w:rsidP="0048364F">
      <w:pPr>
        <w:pStyle w:val="Header"/>
        <w:tabs>
          <w:tab w:val="clear" w:pos="4150"/>
          <w:tab w:val="clear" w:pos="8307"/>
        </w:tabs>
      </w:pPr>
      <w:r w:rsidRPr="00C1515F">
        <w:rPr>
          <w:rStyle w:val="CharAmPartNo"/>
        </w:rPr>
        <w:t xml:space="preserve"> </w:t>
      </w:r>
      <w:r w:rsidRPr="00C1515F">
        <w:rPr>
          <w:rStyle w:val="CharAmPartText"/>
        </w:rPr>
        <w:t xml:space="preserve"> </w:t>
      </w:r>
    </w:p>
    <w:p w14:paraId="1D4206AC" w14:textId="77777777" w:rsidR="0048364F" w:rsidRPr="009F0DEC" w:rsidRDefault="0048364F" w:rsidP="0048364F">
      <w:pPr>
        <w:sectPr w:rsidR="0048364F" w:rsidRPr="009F0DEC" w:rsidSect="0066696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906B706" w14:textId="77777777" w:rsidR="0048364F" w:rsidRPr="009F0DEC" w:rsidRDefault="0048364F" w:rsidP="0048364F">
      <w:pPr>
        <w:outlineLvl w:val="0"/>
        <w:rPr>
          <w:sz w:val="36"/>
        </w:rPr>
      </w:pPr>
      <w:r w:rsidRPr="009F0DEC">
        <w:rPr>
          <w:sz w:val="36"/>
        </w:rPr>
        <w:lastRenderedPageBreak/>
        <w:t>Contents</w:t>
      </w:r>
    </w:p>
    <w:p w14:paraId="11ABD423" w14:textId="35D79338" w:rsidR="00145D16" w:rsidRDefault="00145D1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45D16">
        <w:rPr>
          <w:noProof/>
        </w:rPr>
        <w:tab/>
      </w:r>
      <w:r w:rsidRPr="00145D16">
        <w:rPr>
          <w:noProof/>
        </w:rPr>
        <w:fldChar w:fldCharType="begin"/>
      </w:r>
      <w:r w:rsidRPr="00145D16">
        <w:rPr>
          <w:noProof/>
        </w:rPr>
        <w:instrText xml:space="preserve"> PAGEREF _Toc138426201 \h </w:instrText>
      </w:r>
      <w:r w:rsidRPr="00145D16">
        <w:rPr>
          <w:noProof/>
        </w:rPr>
      </w:r>
      <w:r w:rsidRPr="00145D16">
        <w:rPr>
          <w:noProof/>
        </w:rPr>
        <w:fldChar w:fldCharType="separate"/>
      </w:r>
      <w:r w:rsidRPr="00145D16">
        <w:rPr>
          <w:noProof/>
        </w:rPr>
        <w:t>1</w:t>
      </w:r>
      <w:r w:rsidRPr="00145D16">
        <w:rPr>
          <w:noProof/>
        </w:rPr>
        <w:fldChar w:fldCharType="end"/>
      </w:r>
    </w:p>
    <w:p w14:paraId="07F5EA95" w14:textId="349204B2" w:rsidR="00145D16" w:rsidRDefault="00145D16">
      <w:pPr>
        <w:pStyle w:val="TOC5"/>
        <w:rPr>
          <w:rFonts w:asciiTheme="minorHAnsi" w:eastAsiaTheme="minorEastAsia" w:hAnsiTheme="minorHAnsi" w:cstheme="minorBidi"/>
          <w:noProof/>
          <w:kern w:val="0"/>
          <w:sz w:val="22"/>
          <w:szCs w:val="22"/>
        </w:rPr>
      </w:pPr>
      <w:r>
        <w:rPr>
          <w:noProof/>
        </w:rPr>
        <w:t>2</w:t>
      </w:r>
      <w:r>
        <w:rPr>
          <w:noProof/>
        </w:rPr>
        <w:tab/>
        <w:t>Commencement</w:t>
      </w:r>
      <w:r w:rsidRPr="00145D16">
        <w:rPr>
          <w:noProof/>
        </w:rPr>
        <w:tab/>
      </w:r>
      <w:r w:rsidRPr="00145D16">
        <w:rPr>
          <w:noProof/>
        </w:rPr>
        <w:fldChar w:fldCharType="begin"/>
      </w:r>
      <w:r w:rsidRPr="00145D16">
        <w:rPr>
          <w:noProof/>
        </w:rPr>
        <w:instrText xml:space="preserve"> PAGEREF _Toc138426202 \h </w:instrText>
      </w:r>
      <w:r w:rsidRPr="00145D16">
        <w:rPr>
          <w:noProof/>
        </w:rPr>
      </w:r>
      <w:r w:rsidRPr="00145D16">
        <w:rPr>
          <w:noProof/>
        </w:rPr>
        <w:fldChar w:fldCharType="separate"/>
      </w:r>
      <w:r w:rsidRPr="00145D16">
        <w:rPr>
          <w:noProof/>
        </w:rPr>
        <w:t>2</w:t>
      </w:r>
      <w:r w:rsidRPr="00145D16">
        <w:rPr>
          <w:noProof/>
        </w:rPr>
        <w:fldChar w:fldCharType="end"/>
      </w:r>
    </w:p>
    <w:p w14:paraId="0034FB86" w14:textId="62EB1BB6" w:rsidR="00145D16" w:rsidRDefault="00145D16">
      <w:pPr>
        <w:pStyle w:val="TOC5"/>
        <w:rPr>
          <w:rFonts w:asciiTheme="minorHAnsi" w:eastAsiaTheme="minorEastAsia" w:hAnsiTheme="minorHAnsi" w:cstheme="minorBidi"/>
          <w:noProof/>
          <w:kern w:val="0"/>
          <w:sz w:val="22"/>
          <w:szCs w:val="22"/>
        </w:rPr>
      </w:pPr>
      <w:r>
        <w:rPr>
          <w:noProof/>
        </w:rPr>
        <w:t>3</w:t>
      </w:r>
      <w:r>
        <w:rPr>
          <w:noProof/>
        </w:rPr>
        <w:tab/>
        <w:t>Schedules</w:t>
      </w:r>
      <w:r w:rsidRPr="00145D16">
        <w:rPr>
          <w:noProof/>
        </w:rPr>
        <w:tab/>
      </w:r>
      <w:r w:rsidRPr="00145D16">
        <w:rPr>
          <w:noProof/>
        </w:rPr>
        <w:fldChar w:fldCharType="begin"/>
      </w:r>
      <w:r w:rsidRPr="00145D16">
        <w:rPr>
          <w:noProof/>
        </w:rPr>
        <w:instrText xml:space="preserve"> PAGEREF _Toc138426203 \h </w:instrText>
      </w:r>
      <w:r w:rsidRPr="00145D16">
        <w:rPr>
          <w:noProof/>
        </w:rPr>
      </w:r>
      <w:r w:rsidRPr="00145D16">
        <w:rPr>
          <w:noProof/>
        </w:rPr>
        <w:fldChar w:fldCharType="separate"/>
      </w:r>
      <w:r w:rsidRPr="00145D16">
        <w:rPr>
          <w:noProof/>
        </w:rPr>
        <w:t>3</w:t>
      </w:r>
      <w:r w:rsidRPr="00145D16">
        <w:rPr>
          <w:noProof/>
        </w:rPr>
        <w:fldChar w:fldCharType="end"/>
      </w:r>
    </w:p>
    <w:p w14:paraId="0BA1E94C" w14:textId="29DD2270" w:rsidR="00145D16" w:rsidRDefault="00145D16">
      <w:pPr>
        <w:pStyle w:val="TOC6"/>
        <w:rPr>
          <w:rFonts w:asciiTheme="minorHAnsi" w:eastAsiaTheme="minorEastAsia" w:hAnsiTheme="minorHAnsi" w:cstheme="minorBidi"/>
          <w:b w:val="0"/>
          <w:noProof/>
          <w:kern w:val="0"/>
          <w:sz w:val="22"/>
          <w:szCs w:val="22"/>
        </w:rPr>
      </w:pPr>
      <w:r>
        <w:rPr>
          <w:noProof/>
        </w:rPr>
        <w:t>Schedule 1—Medicare levy and Medicare levy surcharge income thresholds</w:t>
      </w:r>
      <w:r w:rsidRPr="00145D16">
        <w:rPr>
          <w:b w:val="0"/>
          <w:noProof/>
          <w:sz w:val="18"/>
        </w:rPr>
        <w:tab/>
      </w:r>
      <w:r w:rsidRPr="00145D16">
        <w:rPr>
          <w:b w:val="0"/>
          <w:noProof/>
          <w:sz w:val="18"/>
        </w:rPr>
        <w:fldChar w:fldCharType="begin"/>
      </w:r>
      <w:r w:rsidRPr="00145D16">
        <w:rPr>
          <w:b w:val="0"/>
          <w:noProof/>
          <w:sz w:val="18"/>
        </w:rPr>
        <w:instrText xml:space="preserve"> PAGEREF _Toc138426204 \h </w:instrText>
      </w:r>
      <w:r w:rsidRPr="00145D16">
        <w:rPr>
          <w:b w:val="0"/>
          <w:noProof/>
          <w:sz w:val="18"/>
        </w:rPr>
      </w:r>
      <w:r w:rsidRPr="00145D16">
        <w:rPr>
          <w:b w:val="0"/>
          <w:noProof/>
          <w:sz w:val="18"/>
        </w:rPr>
        <w:fldChar w:fldCharType="separate"/>
      </w:r>
      <w:r w:rsidRPr="00145D16">
        <w:rPr>
          <w:b w:val="0"/>
          <w:noProof/>
          <w:sz w:val="18"/>
        </w:rPr>
        <w:t>4</w:t>
      </w:r>
      <w:r w:rsidRPr="00145D16">
        <w:rPr>
          <w:b w:val="0"/>
          <w:noProof/>
          <w:sz w:val="18"/>
        </w:rPr>
        <w:fldChar w:fldCharType="end"/>
      </w:r>
    </w:p>
    <w:p w14:paraId="5D7FC321" w14:textId="5177A1F2" w:rsidR="00145D16" w:rsidRDefault="00145D16">
      <w:pPr>
        <w:pStyle w:val="TOC9"/>
        <w:rPr>
          <w:rFonts w:asciiTheme="minorHAnsi" w:eastAsiaTheme="minorEastAsia" w:hAnsiTheme="minorHAnsi" w:cstheme="minorBidi"/>
          <w:i w:val="0"/>
          <w:noProof/>
          <w:kern w:val="0"/>
          <w:sz w:val="22"/>
          <w:szCs w:val="22"/>
        </w:rPr>
      </w:pPr>
      <w:r>
        <w:rPr>
          <w:noProof/>
        </w:rPr>
        <w:t>A New Tax System (Medicare Levy Surcharge—Fringe Benefits) Act 1999</w:t>
      </w:r>
      <w:r w:rsidRPr="00145D16">
        <w:rPr>
          <w:i w:val="0"/>
          <w:noProof/>
          <w:sz w:val="18"/>
        </w:rPr>
        <w:tab/>
      </w:r>
      <w:r w:rsidRPr="00145D16">
        <w:rPr>
          <w:i w:val="0"/>
          <w:noProof/>
          <w:sz w:val="18"/>
        </w:rPr>
        <w:fldChar w:fldCharType="begin"/>
      </w:r>
      <w:r w:rsidRPr="00145D16">
        <w:rPr>
          <w:i w:val="0"/>
          <w:noProof/>
          <w:sz w:val="18"/>
        </w:rPr>
        <w:instrText xml:space="preserve"> PAGEREF _Toc138426205 \h </w:instrText>
      </w:r>
      <w:r w:rsidRPr="00145D16">
        <w:rPr>
          <w:i w:val="0"/>
          <w:noProof/>
          <w:sz w:val="18"/>
        </w:rPr>
      </w:r>
      <w:r w:rsidRPr="00145D16">
        <w:rPr>
          <w:i w:val="0"/>
          <w:noProof/>
          <w:sz w:val="18"/>
        </w:rPr>
        <w:fldChar w:fldCharType="separate"/>
      </w:r>
      <w:r w:rsidRPr="00145D16">
        <w:rPr>
          <w:i w:val="0"/>
          <w:noProof/>
          <w:sz w:val="18"/>
        </w:rPr>
        <w:t>4</w:t>
      </w:r>
      <w:r w:rsidRPr="00145D16">
        <w:rPr>
          <w:i w:val="0"/>
          <w:noProof/>
          <w:sz w:val="18"/>
        </w:rPr>
        <w:fldChar w:fldCharType="end"/>
      </w:r>
    </w:p>
    <w:p w14:paraId="096DABE3" w14:textId="0689EAC4" w:rsidR="00145D16" w:rsidRDefault="00145D16">
      <w:pPr>
        <w:pStyle w:val="TOC9"/>
        <w:rPr>
          <w:rFonts w:asciiTheme="minorHAnsi" w:eastAsiaTheme="minorEastAsia" w:hAnsiTheme="minorHAnsi" w:cstheme="minorBidi"/>
          <w:i w:val="0"/>
          <w:noProof/>
          <w:kern w:val="0"/>
          <w:sz w:val="22"/>
          <w:szCs w:val="22"/>
        </w:rPr>
      </w:pPr>
      <w:r>
        <w:rPr>
          <w:noProof/>
        </w:rPr>
        <w:t>Medicare Levy Act 1986</w:t>
      </w:r>
      <w:r w:rsidRPr="00145D16">
        <w:rPr>
          <w:i w:val="0"/>
          <w:noProof/>
          <w:sz w:val="18"/>
        </w:rPr>
        <w:tab/>
      </w:r>
      <w:r w:rsidRPr="00145D16">
        <w:rPr>
          <w:i w:val="0"/>
          <w:noProof/>
          <w:sz w:val="18"/>
        </w:rPr>
        <w:fldChar w:fldCharType="begin"/>
      </w:r>
      <w:r w:rsidRPr="00145D16">
        <w:rPr>
          <w:i w:val="0"/>
          <w:noProof/>
          <w:sz w:val="18"/>
        </w:rPr>
        <w:instrText xml:space="preserve"> PAGEREF _Toc138426206 \h </w:instrText>
      </w:r>
      <w:r w:rsidRPr="00145D16">
        <w:rPr>
          <w:i w:val="0"/>
          <w:noProof/>
          <w:sz w:val="18"/>
        </w:rPr>
      </w:r>
      <w:r w:rsidRPr="00145D16">
        <w:rPr>
          <w:i w:val="0"/>
          <w:noProof/>
          <w:sz w:val="18"/>
        </w:rPr>
        <w:fldChar w:fldCharType="separate"/>
      </w:r>
      <w:r w:rsidRPr="00145D16">
        <w:rPr>
          <w:i w:val="0"/>
          <w:noProof/>
          <w:sz w:val="18"/>
        </w:rPr>
        <w:t>4</w:t>
      </w:r>
      <w:r w:rsidRPr="00145D16">
        <w:rPr>
          <w:i w:val="0"/>
          <w:noProof/>
          <w:sz w:val="18"/>
        </w:rPr>
        <w:fldChar w:fldCharType="end"/>
      </w:r>
    </w:p>
    <w:p w14:paraId="4F67E507" w14:textId="3B036F3E" w:rsidR="00145D16" w:rsidRDefault="00145D16">
      <w:pPr>
        <w:pStyle w:val="TOC6"/>
        <w:rPr>
          <w:rFonts w:asciiTheme="minorHAnsi" w:eastAsiaTheme="minorEastAsia" w:hAnsiTheme="minorHAnsi" w:cstheme="minorBidi"/>
          <w:b w:val="0"/>
          <w:noProof/>
          <w:kern w:val="0"/>
          <w:sz w:val="22"/>
          <w:szCs w:val="22"/>
        </w:rPr>
      </w:pPr>
      <w:r>
        <w:rPr>
          <w:noProof/>
        </w:rPr>
        <w:t>Schedule 2—Maintaining the Commonwealth Bank superannuation fund guarantee</w:t>
      </w:r>
      <w:r w:rsidRPr="00145D16">
        <w:rPr>
          <w:b w:val="0"/>
          <w:noProof/>
          <w:sz w:val="18"/>
        </w:rPr>
        <w:tab/>
      </w:r>
      <w:r w:rsidRPr="00145D16">
        <w:rPr>
          <w:b w:val="0"/>
          <w:noProof/>
          <w:sz w:val="18"/>
        </w:rPr>
        <w:fldChar w:fldCharType="begin"/>
      </w:r>
      <w:r w:rsidRPr="00145D16">
        <w:rPr>
          <w:b w:val="0"/>
          <w:noProof/>
          <w:sz w:val="18"/>
        </w:rPr>
        <w:instrText xml:space="preserve"> PAGEREF _Toc138426207 \h </w:instrText>
      </w:r>
      <w:r w:rsidRPr="00145D16">
        <w:rPr>
          <w:b w:val="0"/>
          <w:noProof/>
          <w:sz w:val="18"/>
        </w:rPr>
      </w:r>
      <w:r w:rsidRPr="00145D16">
        <w:rPr>
          <w:b w:val="0"/>
          <w:noProof/>
          <w:sz w:val="18"/>
        </w:rPr>
        <w:fldChar w:fldCharType="separate"/>
      </w:r>
      <w:r w:rsidRPr="00145D16">
        <w:rPr>
          <w:b w:val="0"/>
          <w:noProof/>
          <w:sz w:val="18"/>
        </w:rPr>
        <w:t>6</w:t>
      </w:r>
      <w:r w:rsidRPr="00145D16">
        <w:rPr>
          <w:b w:val="0"/>
          <w:noProof/>
          <w:sz w:val="18"/>
        </w:rPr>
        <w:fldChar w:fldCharType="end"/>
      </w:r>
    </w:p>
    <w:p w14:paraId="5FCA14E8" w14:textId="1C836F0A" w:rsidR="00145D16" w:rsidRDefault="00145D16">
      <w:pPr>
        <w:pStyle w:val="TOC9"/>
        <w:rPr>
          <w:rFonts w:asciiTheme="minorHAnsi" w:eastAsiaTheme="minorEastAsia" w:hAnsiTheme="minorHAnsi" w:cstheme="minorBidi"/>
          <w:i w:val="0"/>
          <w:noProof/>
          <w:kern w:val="0"/>
          <w:sz w:val="22"/>
          <w:szCs w:val="22"/>
        </w:rPr>
      </w:pPr>
      <w:r>
        <w:rPr>
          <w:noProof/>
        </w:rPr>
        <w:t>Commonwealth Banks Act 1959</w:t>
      </w:r>
      <w:r w:rsidRPr="00145D16">
        <w:rPr>
          <w:i w:val="0"/>
          <w:noProof/>
          <w:sz w:val="18"/>
        </w:rPr>
        <w:tab/>
      </w:r>
      <w:r w:rsidRPr="00145D16">
        <w:rPr>
          <w:i w:val="0"/>
          <w:noProof/>
          <w:sz w:val="18"/>
        </w:rPr>
        <w:fldChar w:fldCharType="begin"/>
      </w:r>
      <w:r w:rsidRPr="00145D16">
        <w:rPr>
          <w:i w:val="0"/>
          <w:noProof/>
          <w:sz w:val="18"/>
        </w:rPr>
        <w:instrText xml:space="preserve"> PAGEREF _Toc138426208 \h </w:instrText>
      </w:r>
      <w:r w:rsidRPr="00145D16">
        <w:rPr>
          <w:i w:val="0"/>
          <w:noProof/>
          <w:sz w:val="18"/>
        </w:rPr>
      </w:r>
      <w:r w:rsidRPr="00145D16">
        <w:rPr>
          <w:i w:val="0"/>
          <w:noProof/>
          <w:sz w:val="18"/>
        </w:rPr>
        <w:fldChar w:fldCharType="separate"/>
      </w:r>
      <w:r w:rsidRPr="00145D16">
        <w:rPr>
          <w:i w:val="0"/>
          <w:noProof/>
          <w:sz w:val="18"/>
        </w:rPr>
        <w:t>6</w:t>
      </w:r>
      <w:r w:rsidRPr="00145D16">
        <w:rPr>
          <w:i w:val="0"/>
          <w:noProof/>
          <w:sz w:val="18"/>
        </w:rPr>
        <w:fldChar w:fldCharType="end"/>
      </w:r>
    </w:p>
    <w:p w14:paraId="6691008A" w14:textId="0533C176" w:rsidR="00145D16" w:rsidRDefault="00145D16">
      <w:pPr>
        <w:pStyle w:val="TOC6"/>
        <w:rPr>
          <w:rFonts w:asciiTheme="minorHAnsi" w:eastAsiaTheme="minorEastAsia" w:hAnsiTheme="minorHAnsi" w:cstheme="minorBidi"/>
          <w:b w:val="0"/>
          <w:noProof/>
          <w:kern w:val="0"/>
          <w:sz w:val="22"/>
          <w:szCs w:val="22"/>
        </w:rPr>
      </w:pPr>
      <w:r>
        <w:rPr>
          <w:noProof/>
        </w:rPr>
        <w:t>Schedule 3—Tax accounting for primary producer registered emissions units</w:t>
      </w:r>
      <w:r w:rsidRPr="00145D16">
        <w:rPr>
          <w:b w:val="0"/>
          <w:noProof/>
          <w:sz w:val="18"/>
        </w:rPr>
        <w:tab/>
      </w:r>
      <w:r w:rsidRPr="00145D16">
        <w:rPr>
          <w:b w:val="0"/>
          <w:noProof/>
          <w:sz w:val="18"/>
        </w:rPr>
        <w:fldChar w:fldCharType="begin"/>
      </w:r>
      <w:r w:rsidRPr="00145D16">
        <w:rPr>
          <w:b w:val="0"/>
          <w:noProof/>
          <w:sz w:val="18"/>
        </w:rPr>
        <w:instrText xml:space="preserve"> PAGEREF _Toc138426209 \h </w:instrText>
      </w:r>
      <w:r w:rsidRPr="00145D16">
        <w:rPr>
          <w:b w:val="0"/>
          <w:noProof/>
          <w:sz w:val="18"/>
        </w:rPr>
      </w:r>
      <w:r w:rsidRPr="00145D16">
        <w:rPr>
          <w:b w:val="0"/>
          <w:noProof/>
          <w:sz w:val="18"/>
        </w:rPr>
        <w:fldChar w:fldCharType="separate"/>
      </w:r>
      <w:r w:rsidRPr="00145D16">
        <w:rPr>
          <w:b w:val="0"/>
          <w:noProof/>
          <w:sz w:val="18"/>
        </w:rPr>
        <w:t>7</w:t>
      </w:r>
      <w:r w:rsidRPr="00145D16">
        <w:rPr>
          <w:b w:val="0"/>
          <w:noProof/>
          <w:sz w:val="18"/>
        </w:rPr>
        <w:fldChar w:fldCharType="end"/>
      </w:r>
    </w:p>
    <w:p w14:paraId="63CE9C6D" w14:textId="395A29C1" w:rsidR="00145D16" w:rsidRDefault="00145D16">
      <w:pPr>
        <w:pStyle w:val="TOC9"/>
        <w:rPr>
          <w:rFonts w:asciiTheme="minorHAnsi" w:eastAsiaTheme="minorEastAsia" w:hAnsiTheme="minorHAnsi" w:cstheme="minorBidi"/>
          <w:i w:val="0"/>
          <w:noProof/>
          <w:kern w:val="0"/>
          <w:sz w:val="22"/>
          <w:szCs w:val="22"/>
        </w:rPr>
      </w:pPr>
      <w:r>
        <w:rPr>
          <w:noProof/>
        </w:rPr>
        <w:t>Income Tax Assessment Act 1997</w:t>
      </w:r>
      <w:r w:rsidRPr="00145D16">
        <w:rPr>
          <w:i w:val="0"/>
          <w:noProof/>
          <w:sz w:val="18"/>
        </w:rPr>
        <w:tab/>
      </w:r>
      <w:r w:rsidRPr="00145D16">
        <w:rPr>
          <w:i w:val="0"/>
          <w:noProof/>
          <w:sz w:val="18"/>
        </w:rPr>
        <w:fldChar w:fldCharType="begin"/>
      </w:r>
      <w:r w:rsidRPr="00145D16">
        <w:rPr>
          <w:i w:val="0"/>
          <w:noProof/>
          <w:sz w:val="18"/>
        </w:rPr>
        <w:instrText xml:space="preserve"> PAGEREF _Toc138426210 \h </w:instrText>
      </w:r>
      <w:r w:rsidRPr="00145D16">
        <w:rPr>
          <w:i w:val="0"/>
          <w:noProof/>
          <w:sz w:val="18"/>
        </w:rPr>
      </w:r>
      <w:r w:rsidRPr="00145D16">
        <w:rPr>
          <w:i w:val="0"/>
          <w:noProof/>
          <w:sz w:val="18"/>
        </w:rPr>
        <w:fldChar w:fldCharType="separate"/>
      </w:r>
      <w:r w:rsidRPr="00145D16">
        <w:rPr>
          <w:i w:val="0"/>
          <w:noProof/>
          <w:sz w:val="18"/>
        </w:rPr>
        <w:t>7</w:t>
      </w:r>
      <w:r w:rsidRPr="00145D16">
        <w:rPr>
          <w:i w:val="0"/>
          <w:noProof/>
          <w:sz w:val="18"/>
        </w:rPr>
        <w:fldChar w:fldCharType="end"/>
      </w:r>
    </w:p>
    <w:p w14:paraId="660CF2D1" w14:textId="67F1A859" w:rsidR="00145D16" w:rsidRDefault="00145D16">
      <w:pPr>
        <w:pStyle w:val="TOC6"/>
        <w:rPr>
          <w:rFonts w:asciiTheme="minorHAnsi" w:eastAsiaTheme="minorEastAsia" w:hAnsiTheme="minorHAnsi" w:cstheme="minorBidi"/>
          <w:b w:val="0"/>
          <w:noProof/>
          <w:kern w:val="0"/>
          <w:sz w:val="22"/>
          <w:szCs w:val="22"/>
        </w:rPr>
      </w:pPr>
      <w:r>
        <w:rPr>
          <w:noProof/>
        </w:rPr>
        <w:t>Schedule 4—Cash flow relief for small and medium businesses</w:t>
      </w:r>
      <w:r w:rsidRPr="00145D16">
        <w:rPr>
          <w:b w:val="0"/>
          <w:noProof/>
          <w:sz w:val="18"/>
        </w:rPr>
        <w:tab/>
      </w:r>
      <w:r w:rsidRPr="00145D16">
        <w:rPr>
          <w:b w:val="0"/>
          <w:noProof/>
          <w:sz w:val="18"/>
        </w:rPr>
        <w:fldChar w:fldCharType="begin"/>
      </w:r>
      <w:r w:rsidRPr="00145D16">
        <w:rPr>
          <w:b w:val="0"/>
          <w:noProof/>
          <w:sz w:val="18"/>
        </w:rPr>
        <w:instrText xml:space="preserve"> PAGEREF _Toc138426213 \h </w:instrText>
      </w:r>
      <w:r w:rsidRPr="00145D16">
        <w:rPr>
          <w:b w:val="0"/>
          <w:noProof/>
          <w:sz w:val="18"/>
        </w:rPr>
      </w:r>
      <w:r w:rsidRPr="00145D16">
        <w:rPr>
          <w:b w:val="0"/>
          <w:noProof/>
          <w:sz w:val="18"/>
        </w:rPr>
        <w:fldChar w:fldCharType="separate"/>
      </w:r>
      <w:r w:rsidRPr="00145D16">
        <w:rPr>
          <w:b w:val="0"/>
          <w:noProof/>
          <w:sz w:val="18"/>
        </w:rPr>
        <w:t>12</w:t>
      </w:r>
      <w:r w:rsidRPr="00145D16">
        <w:rPr>
          <w:b w:val="0"/>
          <w:noProof/>
          <w:sz w:val="18"/>
        </w:rPr>
        <w:fldChar w:fldCharType="end"/>
      </w:r>
    </w:p>
    <w:p w14:paraId="19CC2BB9" w14:textId="162A7BCF" w:rsidR="00145D16" w:rsidRDefault="00145D16">
      <w:pPr>
        <w:pStyle w:val="TOC7"/>
        <w:rPr>
          <w:rFonts w:asciiTheme="minorHAnsi" w:eastAsiaTheme="minorEastAsia" w:hAnsiTheme="minorHAnsi" w:cstheme="minorBidi"/>
          <w:noProof/>
          <w:kern w:val="0"/>
          <w:sz w:val="22"/>
          <w:szCs w:val="22"/>
        </w:rPr>
      </w:pPr>
      <w:r>
        <w:rPr>
          <w:noProof/>
        </w:rPr>
        <w:t>Part 1—Amendments</w:t>
      </w:r>
      <w:r w:rsidRPr="00145D16">
        <w:rPr>
          <w:noProof/>
          <w:sz w:val="18"/>
        </w:rPr>
        <w:tab/>
      </w:r>
      <w:r w:rsidRPr="00145D16">
        <w:rPr>
          <w:noProof/>
          <w:sz w:val="18"/>
        </w:rPr>
        <w:fldChar w:fldCharType="begin"/>
      </w:r>
      <w:r w:rsidRPr="00145D16">
        <w:rPr>
          <w:noProof/>
          <w:sz w:val="18"/>
        </w:rPr>
        <w:instrText xml:space="preserve"> PAGEREF _Toc138426214 \h </w:instrText>
      </w:r>
      <w:r w:rsidRPr="00145D16">
        <w:rPr>
          <w:noProof/>
          <w:sz w:val="18"/>
        </w:rPr>
      </w:r>
      <w:r w:rsidRPr="00145D16">
        <w:rPr>
          <w:noProof/>
          <w:sz w:val="18"/>
        </w:rPr>
        <w:fldChar w:fldCharType="separate"/>
      </w:r>
      <w:r w:rsidRPr="00145D16">
        <w:rPr>
          <w:noProof/>
          <w:sz w:val="18"/>
        </w:rPr>
        <w:t>12</w:t>
      </w:r>
      <w:r w:rsidRPr="00145D16">
        <w:rPr>
          <w:noProof/>
          <w:sz w:val="18"/>
        </w:rPr>
        <w:fldChar w:fldCharType="end"/>
      </w:r>
    </w:p>
    <w:p w14:paraId="48B60BFB" w14:textId="7744B99A" w:rsidR="00145D16" w:rsidRDefault="00145D16">
      <w:pPr>
        <w:pStyle w:val="TOC9"/>
        <w:rPr>
          <w:rFonts w:asciiTheme="minorHAnsi" w:eastAsiaTheme="minorEastAsia" w:hAnsiTheme="minorHAnsi" w:cstheme="minorBidi"/>
          <w:i w:val="0"/>
          <w:noProof/>
          <w:kern w:val="0"/>
          <w:sz w:val="22"/>
          <w:szCs w:val="22"/>
        </w:rPr>
      </w:pPr>
      <w:r>
        <w:rPr>
          <w:noProof/>
        </w:rPr>
        <w:t>Taxation Administration Act 1953</w:t>
      </w:r>
      <w:r w:rsidRPr="00145D16">
        <w:rPr>
          <w:i w:val="0"/>
          <w:noProof/>
          <w:sz w:val="18"/>
        </w:rPr>
        <w:tab/>
      </w:r>
      <w:r w:rsidRPr="00145D16">
        <w:rPr>
          <w:i w:val="0"/>
          <w:noProof/>
          <w:sz w:val="18"/>
        </w:rPr>
        <w:fldChar w:fldCharType="begin"/>
      </w:r>
      <w:r w:rsidRPr="00145D16">
        <w:rPr>
          <w:i w:val="0"/>
          <w:noProof/>
          <w:sz w:val="18"/>
        </w:rPr>
        <w:instrText xml:space="preserve"> PAGEREF _Toc138426215 \h </w:instrText>
      </w:r>
      <w:r w:rsidRPr="00145D16">
        <w:rPr>
          <w:i w:val="0"/>
          <w:noProof/>
          <w:sz w:val="18"/>
        </w:rPr>
      </w:r>
      <w:r w:rsidRPr="00145D16">
        <w:rPr>
          <w:i w:val="0"/>
          <w:noProof/>
          <w:sz w:val="18"/>
        </w:rPr>
        <w:fldChar w:fldCharType="separate"/>
      </w:r>
      <w:r w:rsidRPr="00145D16">
        <w:rPr>
          <w:i w:val="0"/>
          <w:noProof/>
          <w:sz w:val="18"/>
        </w:rPr>
        <w:t>12</w:t>
      </w:r>
      <w:r w:rsidRPr="00145D16">
        <w:rPr>
          <w:i w:val="0"/>
          <w:noProof/>
          <w:sz w:val="18"/>
        </w:rPr>
        <w:fldChar w:fldCharType="end"/>
      </w:r>
    </w:p>
    <w:p w14:paraId="0AF689BB" w14:textId="1A2AB665" w:rsidR="00145D16" w:rsidRDefault="00145D16">
      <w:pPr>
        <w:pStyle w:val="TOC7"/>
        <w:rPr>
          <w:rFonts w:asciiTheme="minorHAnsi" w:eastAsiaTheme="minorEastAsia" w:hAnsiTheme="minorHAnsi" w:cstheme="minorBidi"/>
          <w:noProof/>
          <w:kern w:val="0"/>
          <w:sz w:val="22"/>
          <w:szCs w:val="22"/>
        </w:rPr>
      </w:pPr>
      <w:r>
        <w:rPr>
          <w:noProof/>
        </w:rPr>
        <w:t>Part 2—Sunsetting</w:t>
      </w:r>
      <w:r w:rsidRPr="00145D16">
        <w:rPr>
          <w:noProof/>
          <w:sz w:val="18"/>
        </w:rPr>
        <w:tab/>
      </w:r>
      <w:r w:rsidRPr="00145D16">
        <w:rPr>
          <w:noProof/>
          <w:sz w:val="18"/>
        </w:rPr>
        <w:fldChar w:fldCharType="begin"/>
      </w:r>
      <w:r w:rsidRPr="00145D16">
        <w:rPr>
          <w:noProof/>
          <w:sz w:val="18"/>
        </w:rPr>
        <w:instrText xml:space="preserve"> PAGEREF _Toc138426216 \h </w:instrText>
      </w:r>
      <w:r w:rsidRPr="00145D16">
        <w:rPr>
          <w:noProof/>
          <w:sz w:val="18"/>
        </w:rPr>
      </w:r>
      <w:r w:rsidRPr="00145D16">
        <w:rPr>
          <w:noProof/>
          <w:sz w:val="18"/>
        </w:rPr>
        <w:fldChar w:fldCharType="separate"/>
      </w:r>
      <w:r w:rsidRPr="00145D16">
        <w:rPr>
          <w:noProof/>
          <w:sz w:val="18"/>
        </w:rPr>
        <w:t>13</w:t>
      </w:r>
      <w:r w:rsidRPr="00145D16">
        <w:rPr>
          <w:noProof/>
          <w:sz w:val="18"/>
        </w:rPr>
        <w:fldChar w:fldCharType="end"/>
      </w:r>
    </w:p>
    <w:p w14:paraId="2F0E93D7" w14:textId="0275ECAD" w:rsidR="00145D16" w:rsidRDefault="00145D16">
      <w:pPr>
        <w:pStyle w:val="TOC9"/>
        <w:rPr>
          <w:rFonts w:asciiTheme="minorHAnsi" w:eastAsiaTheme="minorEastAsia" w:hAnsiTheme="minorHAnsi" w:cstheme="minorBidi"/>
          <w:i w:val="0"/>
          <w:noProof/>
          <w:kern w:val="0"/>
          <w:sz w:val="22"/>
          <w:szCs w:val="22"/>
        </w:rPr>
      </w:pPr>
      <w:r>
        <w:rPr>
          <w:noProof/>
        </w:rPr>
        <w:t>Taxation Administration Act 1953</w:t>
      </w:r>
      <w:r w:rsidRPr="00145D16">
        <w:rPr>
          <w:i w:val="0"/>
          <w:noProof/>
          <w:sz w:val="18"/>
        </w:rPr>
        <w:tab/>
      </w:r>
      <w:r w:rsidRPr="00145D16">
        <w:rPr>
          <w:i w:val="0"/>
          <w:noProof/>
          <w:sz w:val="18"/>
        </w:rPr>
        <w:fldChar w:fldCharType="begin"/>
      </w:r>
      <w:r w:rsidRPr="00145D16">
        <w:rPr>
          <w:i w:val="0"/>
          <w:noProof/>
          <w:sz w:val="18"/>
        </w:rPr>
        <w:instrText xml:space="preserve"> PAGEREF _Toc138426217 \h </w:instrText>
      </w:r>
      <w:r w:rsidRPr="00145D16">
        <w:rPr>
          <w:i w:val="0"/>
          <w:noProof/>
          <w:sz w:val="18"/>
        </w:rPr>
      </w:r>
      <w:r w:rsidRPr="00145D16">
        <w:rPr>
          <w:i w:val="0"/>
          <w:noProof/>
          <w:sz w:val="18"/>
        </w:rPr>
        <w:fldChar w:fldCharType="separate"/>
      </w:r>
      <w:r w:rsidRPr="00145D16">
        <w:rPr>
          <w:i w:val="0"/>
          <w:noProof/>
          <w:sz w:val="18"/>
        </w:rPr>
        <w:t>13</w:t>
      </w:r>
      <w:r w:rsidRPr="00145D16">
        <w:rPr>
          <w:i w:val="0"/>
          <w:noProof/>
          <w:sz w:val="18"/>
        </w:rPr>
        <w:fldChar w:fldCharType="end"/>
      </w:r>
    </w:p>
    <w:p w14:paraId="5D4A6ED4" w14:textId="52B68407" w:rsidR="00145D16" w:rsidRDefault="00145D16">
      <w:pPr>
        <w:pStyle w:val="TOC6"/>
        <w:rPr>
          <w:rFonts w:asciiTheme="minorHAnsi" w:eastAsiaTheme="minorEastAsia" w:hAnsiTheme="minorHAnsi" w:cstheme="minorBidi"/>
          <w:b w:val="0"/>
          <w:noProof/>
          <w:kern w:val="0"/>
          <w:sz w:val="22"/>
          <w:szCs w:val="22"/>
        </w:rPr>
      </w:pPr>
      <w:r>
        <w:rPr>
          <w:noProof/>
        </w:rPr>
        <w:t>Schedule 5—Enhancements to the Home Guarantee Scheme</w:t>
      </w:r>
      <w:r w:rsidRPr="00145D16">
        <w:rPr>
          <w:b w:val="0"/>
          <w:noProof/>
          <w:sz w:val="18"/>
        </w:rPr>
        <w:tab/>
      </w:r>
      <w:r w:rsidRPr="00145D16">
        <w:rPr>
          <w:b w:val="0"/>
          <w:noProof/>
          <w:sz w:val="18"/>
        </w:rPr>
        <w:fldChar w:fldCharType="begin"/>
      </w:r>
      <w:r w:rsidRPr="00145D16">
        <w:rPr>
          <w:b w:val="0"/>
          <w:noProof/>
          <w:sz w:val="18"/>
        </w:rPr>
        <w:instrText xml:space="preserve"> PAGEREF _Toc138426218 \h </w:instrText>
      </w:r>
      <w:r w:rsidRPr="00145D16">
        <w:rPr>
          <w:b w:val="0"/>
          <w:noProof/>
          <w:sz w:val="18"/>
        </w:rPr>
      </w:r>
      <w:r w:rsidRPr="00145D16">
        <w:rPr>
          <w:b w:val="0"/>
          <w:noProof/>
          <w:sz w:val="18"/>
        </w:rPr>
        <w:fldChar w:fldCharType="separate"/>
      </w:r>
      <w:r w:rsidRPr="00145D16">
        <w:rPr>
          <w:b w:val="0"/>
          <w:noProof/>
          <w:sz w:val="18"/>
        </w:rPr>
        <w:t>14</w:t>
      </w:r>
      <w:r w:rsidRPr="00145D16">
        <w:rPr>
          <w:b w:val="0"/>
          <w:noProof/>
          <w:sz w:val="18"/>
        </w:rPr>
        <w:fldChar w:fldCharType="end"/>
      </w:r>
    </w:p>
    <w:p w14:paraId="0B8A9F0C" w14:textId="3BD365E8" w:rsidR="00145D16" w:rsidRDefault="00145D16">
      <w:pPr>
        <w:pStyle w:val="TOC9"/>
        <w:rPr>
          <w:rFonts w:asciiTheme="minorHAnsi" w:eastAsiaTheme="minorEastAsia" w:hAnsiTheme="minorHAnsi" w:cstheme="minorBidi"/>
          <w:i w:val="0"/>
          <w:noProof/>
          <w:kern w:val="0"/>
          <w:sz w:val="22"/>
          <w:szCs w:val="22"/>
        </w:rPr>
      </w:pPr>
      <w:r>
        <w:rPr>
          <w:noProof/>
        </w:rPr>
        <w:t>National Housing Finance and Investment Corporation Act 2018</w:t>
      </w:r>
      <w:r w:rsidRPr="00145D16">
        <w:rPr>
          <w:i w:val="0"/>
          <w:noProof/>
          <w:sz w:val="18"/>
        </w:rPr>
        <w:tab/>
      </w:r>
      <w:r w:rsidRPr="00145D16">
        <w:rPr>
          <w:i w:val="0"/>
          <w:noProof/>
          <w:sz w:val="18"/>
        </w:rPr>
        <w:fldChar w:fldCharType="begin"/>
      </w:r>
      <w:r w:rsidRPr="00145D16">
        <w:rPr>
          <w:i w:val="0"/>
          <w:noProof/>
          <w:sz w:val="18"/>
        </w:rPr>
        <w:instrText xml:space="preserve"> PAGEREF _Toc138426219 \h </w:instrText>
      </w:r>
      <w:r w:rsidRPr="00145D16">
        <w:rPr>
          <w:i w:val="0"/>
          <w:noProof/>
          <w:sz w:val="18"/>
        </w:rPr>
      </w:r>
      <w:r w:rsidRPr="00145D16">
        <w:rPr>
          <w:i w:val="0"/>
          <w:noProof/>
          <w:sz w:val="18"/>
        </w:rPr>
        <w:fldChar w:fldCharType="separate"/>
      </w:r>
      <w:r w:rsidRPr="00145D16">
        <w:rPr>
          <w:i w:val="0"/>
          <w:noProof/>
          <w:sz w:val="18"/>
        </w:rPr>
        <w:t>14</w:t>
      </w:r>
      <w:r w:rsidRPr="00145D16">
        <w:rPr>
          <w:i w:val="0"/>
          <w:noProof/>
          <w:sz w:val="18"/>
        </w:rPr>
        <w:fldChar w:fldCharType="end"/>
      </w:r>
    </w:p>
    <w:p w14:paraId="600455A4" w14:textId="10C50A90" w:rsidR="00145D16" w:rsidRDefault="00145D16">
      <w:pPr>
        <w:pStyle w:val="TOC6"/>
        <w:rPr>
          <w:rFonts w:asciiTheme="minorHAnsi" w:eastAsiaTheme="minorEastAsia" w:hAnsiTheme="minorHAnsi" w:cstheme="minorBidi"/>
          <w:b w:val="0"/>
          <w:noProof/>
          <w:kern w:val="0"/>
          <w:sz w:val="22"/>
          <w:szCs w:val="22"/>
        </w:rPr>
      </w:pPr>
      <w:r>
        <w:rPr>
          <w:noProof/>
        </w:rPr>
        <w:t>Schedule 6—Deductible gift recipients—Australians for Unity Ltd</w:t>
      </w:r>
      <w:r w:rsidRPr="00145D16">
        <w:rPr>
          <w:b w:val="0"/>
          <w:noProof/>
          <w:sz w:val="18"/>
        </w:rPr>
        <w:tab/>
      </w:r>
      <w:r w:rsidRPr="00145D16">
        <w:rPr>
          <w:b w:val="0"/>
          <w:noProof/>
          <w:sz w:val="18"/>
        </w:rPr>
        <w:fldChar w:fldCharType="begin"/>
      </w:r>
      <w:r w:rsidRPr="00145D16">
        <w:rPr>
          <w:b w:val="0"/>
          <w:noProof/>
          <w:sz w:val="18"/>
        </w:rPr>
        <w:instrText xml:space="preserve"> PAGEREF _Toc138426220 \h </w:instrText>
      </w:r>
      <w:r w:rsidRPr="00145D16">
        <w:rPr>
          <w:b w:val="0"/>
          <w:noProof/>
          <w:sz w:val="18"/>
        </w:rPr>
      </w:r>
      <w:r w:rsidRPr="00145D16">
        <w:rPr>
          <w:b w:val="0"/>
          <w:noProof/>
          <w:sz w:val="18"/>
        </w:rPr>
        <w:fldChar w:fldCharType="separate"/>
      </w:r>
      <w:r w:rsidRPr="00145D16">
        <w:rPr>
          <w:b w:val="0"/>
          <w:noProof/>
          <w:sz w:val="18"/>
        </w:rPr>
        <w:t>15</w:t>
      </w:r>
      <w:r w:rsidRPr="00145D16">
        <w:rPr>
          <w:b w:val="0"/>
          <w:noProof/>
          <w:sz w:val="18"/>
        </w:rPr>
        <w:fldChar w:fldCharType="end"/>
      </w:r>
    </w:p>
    <w:p w14:paraId="21565CF5" w14:textId="0C02F430" w:rsidR="00145D16" w:rsidRDefault="00145D16">
      <w:pPr>
        <w:pStyle w:val="TOC9"/>
        <w:rPr>
          <w:rFonts w:asciiTheme="minorHAnsi" w:eastAsiaTheme="minorEastAsia" w:hAnsiTheme="minorHAnsi" w:cstheme="minorBidi"/>
          <w:i w:val="0"/>
          <w:noProof/>
          <w:kern w:val="0"/>
          <w:sz w:val="22"/>
          <w:szCs w:val="22"/>
        </w:rPr>
      </w:pPr>
      <w:r w:rsidRPr="007C34B6">
        <w:rPr>
          <w:noProof/>
          <w:shd w:val="clear" w:color="auto" w:fill="FFFFFF"/>
        </w:rPr>
        <w:t>Income Tax Assessment Act 1997</w:t>
      </w:r>
      <w:r w:rsidRPr="00145D16">
        <w:rPr>
          <w:i w:val="0"/>
          <w:noProof/>
          <w:sz w:val="18"/>
        </w:rPr>
        <w:tab/>
      </w:r>
      <w:r w:rsidRPr="00145D16">
        <w:rPr>
          <w:i w:val="0"/>
          <w:noProof/>
          <w:sz w:val="18"/>
        </w:rPr>
        <w:fldChar w:fldCharType="begin"/>
      </w:r>
      <w:r w:rsidRPr="00145D16">
        <w:rPr>
          <w:i w:val="0"/>
          <w:noProof/>
          <w:sz w:val="18"/>
        </w:rPr>
        <w:instrText xml:space="preserve"> PAGEREF _Toc138426221 \h </w:instrText>
      </w:r>
      <w:r w:rsidRPr="00145D16">
        <w:rPr>
          <w:i w:val="0"/>
          <w:noProof/>
          <w:sz w:val="18"/>
        </w:rPr>
      </w:r>
      <w:r w:rsidRPr="00145D16">
        <w:rPr>
          <w:i w:val="0"/>
          <w:noProof/>
          <w:sz w:val="18"/>
        </w:rPr>
        <w:fldChar w:fldCharType="separate"/>
      </w:r>
      <w:r w:rsidRPr="00145D16">
        <w:rPr>
          <w:i w:val="0"/>
          <w:noProof/>
          <w:sz w:val="18"/>
        </w:rPr>
        <w:t>15</w:t>
      </w:r>
      <w:r w:rsidRPr="00145D16">
        <w:rPr>
          <w:i w:val="0"/>
          <w:noProof/>
          <w:sz w:val="18"/>
        </w:rPr>
        <w:fldChar w:fldCharType="end"/>
      </w:r>
    </w:p>
    <w:p w14:paraId="551CDE2A" w14:textId="51EAAE85" w:rsidR="00055B5C" w:rsidRPr="009F0DEC" w:rsidRDefault="00145D16" w:rsidP="0048364F">
      <w:r>
        <w:fldChar w:fldCharType="end"/>
      </w:r>
    </w:p>
    <w:p w14:paraId="4F83D968" w14:textId="77777777" w:rsidR="00FE7F93" w:rsidRPr="009F0DEC" w:rsidRDefault="00FE7F93" w:rsidP="0048364F">
      <w:pPr>
        <w:sectPr w:rsidR="00FE7F93" w:rsidRPr="009F0DEC" w:rsidSect="0066696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E46D5C5" w14:textId="77777777" w:rsidR="00666962" w:rsidRDefault="00666962">
      <w:r>
        <w:object w:dxaOrig="2146" w:dyaOrig="1561" w14:anchorId="3BB30801">
          <v:shape id="_x0000_i1027" type="#_x0000_t75" alt="Commonwealth Coat of Arms of Australia" style="width:110.25pt;height:80.25pt" o:ole="" fillcolor="window">
            <v:imagedata r:id="rId7" o:title=""/>
          </v:shape>
          <o:OLEObject Type="Embed" ProgID="Word.Picture.8" ShapeID="_x0000_i1027" DrawAspect="Content" ObjectID="_1749039080" r:id="rId20"/>
        </w:object>
      </w:r>
    </w:p>
    <w:p w14:paraId="5E83C460" w14:textId="77777777" w:rsidR="00666962" w:rsidRDefault="00666962"/>
    <w:p w14:paraId="0011809A" w14:textId="77777777" w:rsidR="00666962" w:rsidRDefault="00666962" w:rsidP="000178F8">
      <w:pPr>
        <w:spacing w:line="240" w:lineRule="auto"/>
      </w:pPr>
    </w:p>
    <w:p w14:paraId="3A7F52BC" w14:textId="3F3BE535" w:rsidR="00666962" w:rsidRDefault="00145D16" w:rsidP="000178F8">
      <w:pPr>
        <w:pStyle w:val="ShortTP1"/>
      </w:pPr>
      <w:r>
        <w:fldChar w:fldCharType="begin"/>
      </w:r>
      <w:r>
        <w:instrText xml:space="preserve"> STYLEREF ShortT </w:instrText>
      </w:r>
      <w:r>
        <w:fldChar w:fldCharType="separate"/>
      </w:r>
      <w:r>
        <w:rPr>
          <w:noProof/>
        </w:rPr>
        <w:t>Treasury Laws Amendment (2023 Measures No. 2) Act 2023</w:t>
      </w:r>
      <w:r>
        <w:rPr>
          <w:noProof/>
        </w:rPr>
        <w:fldChar w:fldCharType="end"/>
      </w:r>
    </w:p>
    <w:p w14:paraId="4195D861" w14:textId="3EE0ED06" w:rsidR="00666962" w:rsidRDefault="00145D16" w:rsidP="000178F8">
      <w:pPr>
        <w:pStyle w:val="ActNoP1"/>
      </w:pPr>
      <w:r>
        <w:fldChar w:fldCharType="begin"/>
      </w:r>
      <w:r>
        <w:instrText xml:space="preserve"> STYLEREF Actno </w:instrText>
      </w:r>
      <w:r>
        <w:fldChar w:fldCharType="separate"/>
      </w:r>
      <w:r>
        <w:rPr>
          <w:noProof/>
        </w:rPr>
        <w:t>No. 28, 2023</w:t>
      </w:r>
      <w:r>
        <w:rPr>
          <w:noProof/>
        </w:rPr>
        <w:fldChar w:fldCharType="end"/>
      </w:r>
    </w:p>
    <w:p w14:paraId="2C9ADFCD" w14:textId="77777777" w:rsidR="00666962" w:rsidRPr="009A0728" w:rsidRDefault="00666962" w:rsidP="009A0728">
      <w:pPr>
        <w:pBdr>
          <w:bottom w:val="single" w:sz="6" w:space="0" w:color="auto"/>
        </w:pBdr>
        <w:spacing w:before="400" w:line="240" w:lineRule="auto"/>
        <w:rPr>
          <w:rFonts w:eastAsia="Times New Roman"/>
          <w:b/>
          <w:sz w:val="28"/>
        </w:rPr>
      </w:pPr>
    </w:p>
    <w:p w14:paraId="4C8877CA" w14:textId="77777777" w:rsidR="00666962" w:rsidRPr="009A0728" w:rsidRDefault="00666962" w:rsidP="009A0728">
      <w:pPr>
        <w:spacing w:line="40" w:lineRule="exact"/>
        <w:rPr>
          <w:rFonts w:eastAsia="Calibri"/>
          <w:b/>
          <w:sz w:val="28"/>
        </w:rPr>
      </w:pPr>
    </w:p>
    <w:p w14:paraId="2A6862B1" w14:textId="77777777" w:rsidR="00666962" w:rsidRPr="009A0728" w:rsidRDefault="00666962" w:rsidP="009A0728">
      <w:pPr>
        <w:pBdr>
          <w:top w:val="single" w:sz="12" w:space="0" w:color="auto"/>
        </w:pBdr>
        <w:spacing w:line="240" w:lineRule="auto"/>
        <w:rPr>
          <w:rFonts w:eastAsia="Times New Roman"/>
          <w:b/>
          <w:sz w:val="28"/>
        </w:rPr>
      </w:pPr>
    </w:p>
    <w:p w14:paraId="7165D18D" w14:textId="77777777" w:rsidR="00666962" w:rsidRDefault="00666962" w:rsidP="00666962">
      <w:pPr>
        <w:pStyle w:val="Page1"/>
        <w:spacing w:before="400"/>
      </w:pPr>
      <w:r>
        <w:t xml:space="preserve">An Act to amend the law relating to taxation and housing, and to amend the </w:t>
      </w:r>
      <w:r w:rsidRPr="00666962">
        <w:rPr>
          <w:i/>
        </w:rPr>
        <w:t>Commonwealth Banks Act 1959</w:t>
      </w:r>
      <w:r>
        <w:t>, and for related purposes</w:t>
      </w:r>
    </w:p>
    <w:p w14:paraId="50DA8E97" w14:textId="14E66F42" w:rsidR="00145D16" w:rsidRPr="00145D16" w:rsidRDefault="00145D16" w:rsidP="00145D16">
      <w:pPr>
        <w:pStyle w:val="AssentDt"/>
        <w:spacing w:before="240"/>
        <w:rPr>
          <w:sz w:val="24"/>
        </w:rPr>
      </w:pPr>
      <w:r>
        <w:rPr>
          <w:sz w:val="24"/>
        </w:rPr>
        <w:t>[</w:t>
      </w:r>
      <w:r>
        <w:rPr>
          <w:i/>
          <w:sz w:val="24"/>
        </w:rPr>
        <w:t>Assented to 23 June 2023</w:t>
      </w:r>
      <w:r>
        <w:rPr>
          <w:sz w:val="24"/>
        </w:rPr>
        <w:t>]</w:t>
      </w:r>
    </w:p>
    <w:p w14:paraId="5C70799E" w14:textId="5171E9CC" w:rsidR="0048364F" w:rsidRPr="009F0DEC" w:rsidRDefault="0048364F" w:rsidP="00592076">
      <w:pPr>
        <w:spacing w:before="240" w:line="240" w:lineRule="auto"/>
        <w:rPr>
          <w:sz w:val="32"/>
        </w:rPr>
      </w:pPr>
      <w:r w:rsidRPr="009F0DEC">
        <w:rPr>
          <w:sz w:val="32"/>
        </w:rPr>
        <w:t>The Parliament of Australia e</w:t>
      </w:r>
      <w:bookmarkStart w:id="1" w:name="_GoBack"/>
      <w:bookmarkEnd w:id="1"/>
      <w:r w:rsidRPr="009F0DEC">
        <w:rPr>
          <w:sz w:val="32"/>
        </w:rPr>
        <w:t>nacts:</w:t>
      </w:r>
    </w:p>
    <w:p w14:paraId="61F691D1" w14:textId="77777777" w:rsidR="0048364F" w:rsidRPr="009F0DEC" w:rsidRDefault="0048364F" w:rsidP="00592076">
      <w:pPr>
        <w:pStyle w:val="ActHead5"/>
      </w:pPr>
      <w:bookmarkStart w:id="2" w:name="_Toc138426201"/>
      <w:r w:rsidRPr="00C1515F">
        <w:rPr>
          <w:rStyle w:val="CharSectno"/>
        </w:rPr>
        <w:t>1</w:t>
      </w:r>
      <w:r w:rsidRPr="009F0DEC">
        <w:t xml:space="preserve">  Short title</w:t>
      </w:r>
      <w:bookmarkEnd w:id="2"/>
    </w:p>
    <w:p w14:paraId="4B44DC96" w14:textId="77777777" w:rsidR="0048364F" w:rsidRPr="009F0DEC" w:rsidRDefault="0048364F" w:rsidP="00592076">
      <w:pPr>
        <w:pStyle w:val="subsection"/>
      </w:pPr>
      <w:r w:rsidRPr="009F0DEC">
        <w:tab/>
      </w:r>
      <w:r w:rsidRPr="009F0DEC">
        <w:tab/>
        <w:t xml:space="preserve">This Act </w:t>
      </w:r>
      <w:r w:rsidR="00275197" w:rsidRPr="009F0DEC">
        <w:t xml:space="preserve">is </w:t>
      </w:r>
      <w:r w:rsidRPr="009F0DEC">
        <w:t xml:space="preserve">the </w:t>
      </w:r>
      <w:r w:rsidR="00F55A35" w:rsidRPr="009F0DEC">
        <w:rPr>
          <w:i/>
        </w:rPr>
        <w:t>Treasury Laws Amendment (2023 Measures No. 2)</w:t>
      </w:r>
      <w:r w:rsidR="00EE3E36" w:rsidRPr="009F0DEC">
        <w:rPr>
          <w:i/>
        </w:rPr>
        <w:t xml:space="preserve"> Act </w:t>
      </w:r>
      <w:r w:rsidR="00005D25" w:rsidRPr="009F0DEC">
        <w:rPr>
          <w:i/>
        </w:rPr>
        <w:t>2023</w:t>
      </w:r>
      <w:r w:rsidRPr="009F0DEC">
        <w:t>.</w:t>
      </w:r>
    </w:p>
    <w:p w14:paraId="2BCF4248" w14:textId="77777777" w:rsidR="0048364F" w:rsidRPr="009F0DEC" w:rsidRDefault="0048364F" w:rsidP="00592076">
      <w:pPr>
        <w:pStyle w:val="ActHead5"/>
      </w:pPr>
      <w:bookmarkStart w:id="3" w:name="_Toc138426202"/>
      <w:r w:rsidRPr="00C1515F">
        <w:rPr>
          <w:rStyle w:val="CharSectno"/>
        </w:rPr>
        <w:t>2</w:t>
      </w:r>
      <w:r w:rsidRPr="009F0DEC">
        <w:t xml:space="preserve">  Commencement</w:t>
      </w:r>
      <w:bookmarkEnd w:id="3"/>
    </w:p>
    <w:p w14:paraId="492E8B30" w14:textId="77777777" w:rsidR="0048364F" w:rsidRPr="009F0DEC" w:rsidRDefault="0048364F" w:rsidP="00592076">
      <w:pPr>
        <w:pStyle w:val="subsection"/>
      </w:pPr>
      <w:r w:rsidRPr="009F0DEC">
        <w:tab/>
        <w:t>(1)</w:t>
      </w:r>
      <w:r w:rsidRPr="009F0DEC">
        <w:tab/>
        <w:t>Each provision of this Act specified in column 1 of the table commences, or is taken to have commenced, in accordance with column 2 of the table. Any other statement in column 2 has effect according to its terms.</w:t>
      </w:r>
    </w:p>
    <w:p w14:paraId="199E91C6" w14:textId="77777777" w:rsidR="0048364F" w:rsidRPr="009F0DEC" w:rsidRDefault="0048364F" w:rsidP="0059207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F0DEC" w14:paraId="20DFE6B0" w14:textId="77777777" w:rsidTr="004C7C8C">
        <w:trPr>
          <w:tblHeader/>
        </w:trPr>
        <w:tc>
          <w:tcPr>
            <w:tcW w:w="7111" w:type="dxa"/>
            <w:gridSpan w:val="3"/>
            <w:tcBorders>
              <w:top w:val="single" w:sz="12" w:space="0" w:color="auto"/>
              <w:bottom w:val="single" w:sz="6" w:space="0" w:color="auto"/>
            </w:tcBorders>
            <w:shd w:val="clear" w:color="auto" w:fill="auto"/>
          </w:tcPr>
          <w:p w14:paraId="734B0A88" w14:textId="77777777" w:rsidR="0048364F" w:rsidRPr="009F0DEC" w:rsidRDefault="0048364F" w:rsidP="00592076">
            <w:pPr>
              <w:pStyle w:val="TableHeading"/>
            </w:pPr>
            <w:r w:rsidRPr="009F0DEC">
              <w:t>Commencement information</w:t>
            </w:r>
          </w:p>
        </w:tc>
      </w:tr>
      <w:tr w:rsidR="0048364F" w:rsidRPr="009F0DEC" w14:paraId="7EF298E6" w14:textId="77777777" w:rsidTr="004C7C8C">
        <w:trPr>
          <w:tblHeader/>
        </w:trPr>
        <w:tc>
          <w:tcPr>
            <w:tcW w:w="1701" w:type="dxa"/>
            <w:tcBorders>
              <w:top w:val="single" w:sz="6" w:space="0" w:color="auto"/>
              <w:bottom w:val="single" w:sz="6" w:space="0" w:color="auto"/>
            </w:tcBorders>
            <w:shd w:val="clear" w:color="auto" w:fill="auto"/>
          </w:tcPr>
          <w:p w14:paraId="48A1BB57" w14:textId="77777777" w:rsidR="0048364F" w:rsidRPr="009F0DEC" w:rsidRDefault="0048364F" w:rsidP="00592076">
            <w:pPr>
              <w:pStyle w:val="TableHeading"/>
            </w:pPr>
            <w:r w:rsidRPr="009F0DEC">
              <w:t>Column 1</w:t>
            </w:r>
          </w:p>
        </w:tc>
        <w:tc>
          <w:tcPr>
            <w:tcW w:w="3828" w:type="dxa"/>
            <w:tcBorders>
              <w:top w:val="single" w:sz="6" w:space="0" w:color="auto"/>
              <w:bottom w:val="single" w:sz="6" w:space="0" w:color="auto"/>
            </w:tcBorders>
            <w:shd w:val="clear" w:color="auto" w:fill="auto"/>
          </w:tcPr>
          <w:p w14:paraId="7F9CC46E" w14:textId="77777777" w:rsidR="0048364F" w:rsidRPr="009F0DEC" w:rsidRDefault="0048364F" w:rsidP="00592076">
            <w:pPr>
              <w:pStyle w:val="TableHeading"/>
            </w:pPr>
            <w:r w:rsidRPr="009F0DEC">
              <w:t>Column 2</w:t>
            </w:r>
          </w:p>
        </w:tc>
        <w:tc>
          <w:tcPr>
            <w:tcW w:w="1582" w:type="dxa"/>
            <w:tcBorders>
              <w:top w:val="single" w:sz="6" w:space="0" w:color="auto"/>
              <w:bottom w:val="single" w:sz="6" w:space="0" w:color="auto"/>
            </w:tcBorders>
            <w:shd w:val="clear" w:color="auto" w:fill="auto"/>
          </w:tcPr>
          <w:p w14:paraId="3C28A945" w14:textId="77777777" w:rsidR="0048364F" w:rsidRPr="009F0DEC" w:rsidRDefault="0048364F" w:rsidP="00592076">
            <w:pPr>
              <w:pStyle w:val="TableHeading"/>
            </w:pPr>
            <w:r w:rsidRPr="009F0DEC">
              <w:t>Column 3</w:t>
            </w:r>
          </w:p>
        </w:tc>
      </w:tr>
      <w:tr w:rsidR="0048364F" w:rsidRPr="009F0DEC" w14:paraId="355F83A5" w14:textId="77777777" w:rsidTr="004C7C8C">
        <w:trPr>
          <w:tblHeader/>
        </w:trPr>
        <w:tc>
          <w:tcPr>
            <w:tcW w:w="1701" w:type="dxa"/>
            <w:tcBorders>
              <w:top w:val="single" w:sz="6" w:space="0" w:color="auto"/>
              <w:bottom w:val="single" w:sz="12" w:space="0" w:color="auto"/>
            </w:tcBorders>
            <w:shd w:val="clear" w:color="auto" w:fill="auto"/>
          </w:tcPr>
          <w:p w14:paraId="3BE0B1C8" w14:textId="77777777" w:rsidR="0048364F" w:rsidRPr="009F0DEC" w:rsidRDefault="0048364F" w:rsidP="00592076">
            <w:pPr>
              <w:pStyle w:val="TableHeading"/>
            </w:pPr>
            <w:r w:rsidRPr="009F0DEC">
              <w:t>Provisions</w:t>
            </w:r>
          </w:p>
        </w:tc>
        <w:tc>
          <w:tcPr>
            <w:tcW w:w="3828" w:type="dxa"/>
            <w:tcBorders>
              <w:top w:val="single" w:sz="6" w:space="0" w:color="auto"/>
              <w:bottom w:val="single" w:sz="12" w:space="0" w:color="auto"/>
            </w:tcBorders>
            <w:shd w:val="clear" w:color="auto" w:fill="auto"/>
          </w:tcPr>
          <w:p w14:paraId="361113CF" w14:textId="77777777" w:rsidR="0048364F" w:rsidRPr="009F0DEC" w:rsidRDefault="0048364F" w:rsidP="00592076">
            <w:pPr>
              <w:pStyle w:val="TableHeading"/>
            </w:pPr>
            <w:r w:rsidRPr="009F0DEC">
              <w:t>Commencement</w:t>
            </w:r>
          </w:p>
        </w:tc>
        <w:tc>
          <w:tcPr>
            <w:tcW w:w="1582" w:type="dxa"/>
            <w:tcBorders>
              <w:top w:val="single" w:sz="6" w:space="0" w:color="auto"/>
              <w:bottom w:val="single" w:sz="12" w:space="0" w:color="auto"/>
            </w:tcBorders>
            <w:shd w:val="clear" w:color="auto" w:fill="auto"/>
          </w:tcPr>
          <w:p w14:paraId="4831B0FC" w14:textId="77777777" w:rsidR="0048364F" w:rsidRPr="009F0DEC" w:rsidRDefault="0048364F" w:rsidP="00592076">
            <w:pPr>
              <w:pStyle w:val="TableHeading"/>
            </w:pPr>
            <w:r w:rsidRPr="009F0DEC">
              <w:t>Date/Details</w:t>
            </w:r>
          </w:p>
        </w:tc>
      </w:tr>
      <w:tr w:rsidR="0048364F" w:rsidRPr="009F0DEC" w14:paraId="6D6C338D" w14:textId="77777777" w:rsidTr="004C7C8C">
        <w:tc>
          <w:tcPr>
            <w:tcW w:w="1701" w:type="dxa"/>
            <w:tcBorders>
              <w:top w:val="single" w:sz="12" w:space="0" w:color="auto"/>
            </w:tcBorders>
            <w:shd w:val="clear" w:color="auto" w:fill="auto"/>
          </w:tcPr>
          <w:p w14:paraId="2C4A3173" w14:textId="77777777" w:rsidR="0048364F" w:rsidRPr="009F0DEC" w:rsidRDefault="0048364F" w:rsidP="00592076">
            <w:pPr>
              <w:pStyle w:val="Tabletext"/>
            </w:pPr>
            <w:r w:rsidRPr="009F0DEC">
              <w:t xml:space="preserve">1.  </w:t>
            </w:r>
            <w:r w:rsidR="00AC7332" w:rsidRPr="009F0DEC">
              <w:t>Sections 1</w:t>
            </w:r>
            <w:r w:rsidRPr="009F0DEC">
              <w:t xml:space="preserve"> to 3 and anything in this Act not elsewhere covered by this table</w:t>
            </w:r>
          </w:p>
        </w:tc>
        <w:tc>
          <w:tcPr>
            <w:tcW w:w="3828" w:type="dxa"/>
            <w:tcBorders>
              <w:top w:val="single" w:sz="12" w:space="0" w:color="auto"/>
            </w:tcBorders>
            <w:shd w:val="clear" w:color="auto" w:fill="auto"/>
          </w:tcPr>
          <w:p w14:paraId="3557E0D2" w14:textId="77777777" w:rsidR="0048364F" w:rsidRPr="009F0DEC" w:rsidRDefault="0048364F" w:rsidP="00592076">
            <w:pPr>
              <w:pStyle w:val="Tabletext"/>
            </w:pPr>
            <w:r w:rsidRPr="009F0DEC">
              <w:t>The day this Act receives the Royal Assent.</w:t>
            </w:r>
          </w:p>
        </w:tc>
        <w:tc>
          <w:tcPr>
            <w:tcW w:w="1582" w:type="dxa"/>
            <w:tcBorders>
              <w:top w:val="single" w:sz="12" w:space="0" w:color="auto"/>
            </w:tcBorders>
            <w:shd w:val="clear" w:color="auto" w:fill="auto"/>
          </w:tcPr>
          <w:p w14:paraId="07589C2E" w14:textId="56E3DF17" w:rsidR="0048364F" w:rsidRPr="009F0DEC" w:rsidRDefault="00145D16" w:rsidP="00592076">
            <w:pPr>
              <w:pStyle w:val="Tabletext"/>
            </w:pPr>
            <w:r>
              <w:t>23 June 2023</w:t>
            </w:r>
          </w:p>
        </w:tc>
      </w:tr>
      <w:tr w:rsidR="0048364F" w:rsidRPr="009F0DEC" w14:paraId="63AF65D6" w14:textId="77777777" w:rsidTr="004C7C8C">
        <w:tc>
          <w:tcPr>
            <w:tcW w:w="1701" w:type="dxa"/>
            <w:shd w:val="clear" w:color="auto" w:fill="auto"/>
          </w:tcPr>
          <w:p w14:paraId="6B0293D1" w14:textId="77777777" w:rsidR="0048364F" w:rsidRPr="009F0DEC" w:rsidRDefault="0048364F" w:rsidP="00592076">
            <w:pPr>
              <w:pStyle w:val="Tabletext"/>
            </w:pPr>
            <w:r w:rsidRPr="009F0DEC">
              <w:t xml:space="preserve">2.  </w:t>
            </w:r>
            <w:r w:rsidR="00AC7332" w:rsidRPr="009F0DEC">
              <w:t>Schedule</w:t>
            </w:r>
            <w:r w:rsidR="005270E4" w:rsidRPr="009F0DEC">
              <w:t>s</w:t>
            </w:r>
            <w:r w:rsidR="00AC7332" w:rsidRPr="009F0DEC">
              <w:t> 1</w:t>
            </w:r>
            <w:r w:rsidR="005270E4" w:rsidRPr="009F0DEC">
              <w:t xml:space="preserve"> and 2</w:t>
            </w:r>
          </w:p>
        </w:tc>
        <w:tc>
          <w:tcPr>
            <w:tcW w:w="3828" w:type="dxa"/>
            <w:shd w:val="clear" w:color="auto" w:fill="auto"/>
          </w:tcPr>
          <w:p w14:paraId="5CEDB2D5" w14:textId="77777777" w:rsidR="0048364F" w:rsidRPr="009F0DEC" w:rsidRDefault="004D321B" w:rsidP="00592076">
            <w:pPr>
              <w:pStyle w:val="Tabletext"/>
            </w:pPr>
            <w:r w:rsidRPr="009F0DEC">
              <w:t>The day after this Act receives the Royal Assent.</w:t>
            </w:r>
          </w:p>
        </w:tc>
        <w:tc>
          <w:tcPr>
            <w:tcW w:w="1582" w:type="dxa"/>
            <w:shd w:val="clear" w:color="auto" w:fill="auto"/>
          </w:tcPr>
          <w:p w14:paraId="25F2839A" w14:textId="18C9F207" w:rsidR="0048364F" w:rsidRPr="009F0DEC" w:rsidRDefault="00145D16" w:rsidP="00592076">
            <w:pPr>
              <w:pStyle w:val="Tabletext"/>
            </w:pPr>
            <w:r>
              <w:t>24 June 2023</w:t>
            </w:r>
          </w:p>
        </w:tc>
      </w:tr>
      <w:tr w:rsidR="0048364F" w:rsidRPr="009F0DEC" w14:paraId="45312266" w14:textId="77777777" w:rsidTr="002E498D">
        <w:tc>
          <w:tcPr>
            <w:tcW w:w="1701" w:type="dxa"/>
            <w:shd w:val="clear" w:color="auto" w:fill="auto"/>
          </w:tcPr>
          <w:p w14:paraId="5AE2BA1A" w14:textId="77777777" w:rsidR="0048364F" w:rsidRPr="009F0DEC" w:rsidRDefault="005270E4" w:rsidP="00592076">
            <w:pPr>
              <w:pStyle w:val="Tabletext"/>
            </w:pPr>
            <w:r w:rsidRPr="009F0DEC">
              <w:t>3</w:t>
            </w:r>
            <w:r w:rsidR="0048364F" w:rsidRPr="009F0DEC">
              <w:t xml:space="preserve">.  </w:t>
            </w:r>
            <w:r w:rsidR="00AC7332" w:rsidRPr="009F0DEC">
              <w:t>Schedule 3</w:t>
            </w:r>
          </w:p>
        </w:tc>
        <w:tc>
          <w:tcPr>
            <w:tcW w:w="3828" w:type="dxa"/>
            <w:shd w:val="clear" w:color="auto" w:fill="auto"/>
          </w:tcPr>
          <w:p w14:paraId="470A5ED9" w14:textId="77777777" w:rsidR="0048364F" w:rsidRPr="009F0DEC" w:rsidRDefault="004D321B" w:rsidP="00592076">
            <w:pPr>
              <w:pStyle w:val="Tabletext"/>
            </w:pPr>
            <w:r w:rsidRPr="009F0DEC">
              <w:t xml:space="preserve">The first 1 January, 1 April, </w:t>
            </w:r>
            <w:r w:rsidR="00AC7332" w:rsidRPr="009F0DEC">
              <w:t>1 July</w:t>
            </w:r>
            <w:r w:rsidRPr="009F0DEC">
              <w:t xml:space="preserve"> or 1 October to occur after the day this Act receives the Royal Assent.</w:t>
            </w:r>
          </w:p>
        </w:tc>
        <w:tc>
          <w:tcPr>
            <w:tcW w:w="1582" w:type="dxa"/>
            <w:shd w:val="clear" w:color="auto" w:fill="auto"/>
          </w:tcPr>
          <w:p w14:paraId="73E577C8" w14:textId="4766D0AD" w:rsidR="0048364F" w:rsidRPr="009F0DEC" w:rsidRDefault="00145D16" w:rsidP="00592076">
            <w:pPr>
              <w:pStyle w:val="Tabletext"/>
            </w:pPr>
            <w:r>
              <w:t>1 July 2023</w:t>
            </w:r>
          </w:p>
        </w:tc>
      </w:tr>
      <w:tr w:rsidR="002E498D" w:rsidRPr="009F0DEC" w14:paraId="7111C4BC" w14:textId="77777777" w:rsidTr="002E498D">
        <w:tc>
          <w:tcPr>
            <w:tcW w:w="1701" w:type="dxa"/>
            <w:shd w:val="clear" w:color="auto" w:fill="auto"/>
          </w:tcPr>
          <w:p w14:paraId="09018EE1" w14:textId="77777777" w:rsidR="002E498D" w:rsidRPr="009F0DEC" w:rsidRDefault="002E498D" w:rsidP="00592076">
            <w:pPr>
              <w:pStyle w:val="Tabletext"/>
            </w:pPr>
            <w:r w:rsidRPr="009F0DEC">
              <w:t>4.  Schedule 4, Part 1</w:t>
            </w:r>
          </w:p>
        </w:tc>
        <w:tc>
          <w:tcPr>
            <w:tcW w:w="3828" w:type="dxa"/>
            <w:shd w:val="clear" w:color="auto" w:fill="auto"/>
          </w:tcPr>
          <w:p w14:paraId="1BD30FD4" w14:textId="77777777" w:rsidR="002E498D" w:rsidRPr="009F0DEC" w:rsidRDefault="002E498D" w:rsidP="00592076">
            <w:pPr>
              <w:pStyle w:val="Tabletext"/>
            </w:pPr>
            <w:r w:rsidRPr="009F0DEC">
              <w:t>The day after this Act receives the Royal Assent.</w:t>
            </w:r>
          </w:p>
        </w:tc>
        <w:tc>
          <w:tcPr>
            <w:tcW w:w="1582" w:type="dxa"/>
            <w:shd w:val="clear" w:color="auto" w:fill="auto"/>
          </w:tcPr>
          <w:p w14:paraId="0B12F370" w14:textId="64B5EE15" w:rsidR="002E498D" w:rsidRPr="009F0DEC" w:rsidRDefault="00145D16" w:rsidP="00592076">
            <w:pPr>
              <w:pStyle w:val="Tabletext"/>
            </w:pPr>
            <w:r>
              <w:t>24 June 2023</w:t>
            </w:r>
          </w:p>
        </w:tc>
      </w:tr>
      <w:tr w:rsidR="002E498D" w:rsidRPr="009F0DEC" w14:paraId="79129EA0" w14:textId="77777777" w:rsidTr="00937AA4">
        <w:tc>
          <w:tcPr>
            <w:tcW w:w="1701" w:type="dxa"/>
            <w:tcBorders>
              <w:bottom w:val="single" w:sz="4" w:space="0" w:color="auto"/>
            </w:tcBorders>
            <w:shd w:val="clear" w:color="auto" w:fill="auto"/>
          </w:tcPr>
          <w:p w14:paraId="51B55137" w14:textId="77777777" w:rsidR="002E498D" w:rsidRPr="009F0DEC" w:rsidRDefault="002E498D" w:rsidP="00592076">
            <w:pPr>
              <w:pStyle w:val="Tabletext"/>
            </w:pPr>
            <w:r w:rsidRPr="009F0DEC">
              <w:t>5.  Schedule 4, Part 2</w:t>
            </w:r>
          </w:p>
        </w:tc>
        <w:tc>
          <w:tcPr>
            <w:tcW w:w="3828" w:type="dxa"/>
            <w:tcBorders>
              <w:bottom w:val="single" w:sz="4" w:space="0" w:color="auto"/>
            </w:tcBorders>
            <w:shd w:val="clear" w:color="auto" w:fill="auto"/>
          </w:tcPr>
          <w:p w14:paraId="33F97AA1" w14:textId="77777777" w:rsidR="002E498D" w:rsidRPr="009F0DEC" w:rsidRDefault="002E498D" w:rsidP="00592076">
            <w:pPr>
              <w:pStyle w:val="Tabletext"/>
            </w:pPr>
            <w:r w:rsidRPr="009F0DEC">
              <w:t>1 July 2028.</w:t>
            </w:r>
          </w:p>
        </w:tc>
        <w:tc>
          <w:tcPr>
            <w:tcW w:w="1582" w:type="dxa"/>
            <w:tcBorders>
              <w:bottom w:val="single" w:sz="4" w:space="0" w:color="auto"/>
            </w:tcBorders>
            <w:shd w:val="clear" w:color="auto" w:fill="auto"/>
          </w:tcPr>
          <w:p w14:paraId="04E24F8E" w14:textId="77777777" w:rsidR="002E498D" w:rsidRPr="009F0DEC" w:rsidRDefault="00A773DE" w:rsidP="00592076">
            <w:pPr>
              <w:pStyle w:val="Tabletext"/>
            </w:pPr>
            <w:r w:rsidRPr="009F0DEC">
              <w:t>1 July 2028</w:t>
            </w:r>
          </w:p>
        </w:tc>
      </w:tr>
      <w:tr w:rsidR="00F2713B" w:rsidRPr="009F0DEC" w14:paraId="4FB067FD" w14:textId="77777777" w:rsidTr="00937AA4">
        <w:tc>
          <w:tcPr>
            <w:tcW w:w="1701" w:type="dxa"/>
            <w:tcBorders>
              <w:bottom w:val="single" w:sz="4" w:space="0" w:color="auto"/>
            </w:tcBorders>
            <w:shd w:val="clear" w:color="auto" w:fill="auto"/>
          </w:tcPr>
          <w:p w14:paraId="5A5C4820" w14:textId="77777777" w:rsidR="00F2713B" w:rsidRPr="009F0DEC" w:rsidRDefault="009C6821" w:rsidP="00592076">
            <w:pPr>
              <w:pStyle w:val="Tabletext"/>
            </w:pPr>
            <w:r w:rsidRPr="009F0DEC">
              <w:t>6.  Schedule 5</w:t>
            </w:r>
          </w:p>
        </w:tc>
        <w:tc>
          <w:tcPr>
            <w:tcW w:w="3828" w:type="dxa"/>
            <w:tcBorders>
              <w:bottom w:val="single" w:sz="4" w:space="0" w:color="auto"/>
            </w:tcBorders>
            <w:shd w:val="clear" w:color="auto" w:fill="auto"/>
          </w:tcPr>
          <w:p w14:paraId="2147D1F6" w14:textId="77777777" w:rsidR="009C6821" w:rsidRPr="009F0DEC" w:rsidRDefault="009C6821" w:rsidP="00592076">
            <w:pPr>
              <w:pStyle w:val="Tabletext"/>
            </w:pPr>
            <w:r w:rsidRPr="009F0DEC">
              <w:t>The later of:</w:t>
            </w:r>
          </w:p>
          <w:p w14:paraId="5B4E9824" w14:textId="77777777" w:rsidR="009C6821" w:rsidRPr="009F0DEC" w:rsidRDefault="009C6821" w:rsidP="00592076">
            <w:pPr>
              <w:pStyle w:val="Tablea"/>
            </w:pPr>
            <w:r w:rsidRPr="009F0DEC">
              <w:t>(a) 1 July 2023; and</w:t>
            </w:r>
          </w:p>
          <w:p w14:paraId="712F8BBF" w14:textId="77777777" w:rsidR="00F2713B" w:rsidRPr="009F0DEC" w:rsidRDefault="009C6821" w:rsidP="00592076">
            <w:pPr>
              <w:pStyle w:val="Tablea"/>
            </w:pPr>
            <w:r w:rsidRPr="009F0DEC">
              <w:t>(b) the day after this Act receives the Royal Assent.</w:t>
            </w:r>
          </w:p>
        </w:tc>
        <w:tc>
          <w:tcPr>
            <w:tcW w:w="1582" w:type="dxa"/>
            <w:tcBorders>
              <w:bottom w:val="single" w:sz="4" w:space="0" w:color="auto"/>
            </w:tcBorders>
            <w:shd w:val="clear" w:color="auto" w:fill="auto"/>
          </w:tcPr>
          <w:p w14:paraId="3E8BAA46" w14:textId="77777777" w:rsidR="00F2713B" w:rsidRDefault="00145D16" w:rsidP="00592076">
            <w:pPr>
              <w:pStyle w:val="Tabletext"/>
            </w:pPr>
            <w:r>
              <w:t>1 July 2023</w:t>
            </w:r>
          </w:p>
          <w:p w14:paraId="48110317" w14:textId="4117DFC6" w:rsidR="00145D16" w:rsidRPr="009F0DEC" w:rsidRDefault="00145D16" w:rsidP="00592076">
            <w:pPr>
              <w:pStyle w:val="Tabletext"/>
            </w:pPr>
            <w:r>
              <w:t>(paragraph (a) applies)</w:t>
            </w:r>
          </w:p>
        </w:tc>
      </w:tr>
      <w:tr w:rsidR="00937AA4" w:rsidRPr="009F0DEC" w14:paraId="446D4B19" w14:textId="77777777" w:rsidTr="00937AA4">
        <w:tc>
          <w:tcPr>
            <w:tcW w:w="1701" w:type="dxa"/>
            <w:tcBorders>
              <w:top w:val="single" w:sz="4" w:space="0" w:color="auto"/>
              <w:bottom w:val="single" w:sz="12" w:space="0" w:color="auto"/>
              <w:right w:val="nil"/>
            </w:tcBorders>
            <w:shd w:val="clear" w:color="auto" w:fill="auto"/>
          </w:tcPr>
          <w:p w14:paraId="7EDF11D5" w14:textId="77777777" w:rsidR="00937AA4" w:rsidRPr="009F0DEC" w:rsidRDefault="00937AA4" w:rsidP="003957EC">
            <w:pPr>
              <w:pStyle w:val="Tabletext"/>
            </w:pPr>
            <w:r>
              <w:t>7</w:t>
            </w:r>
            <w:r w:rsidRPr="009F0DEC">
              <w:t xml:space="preserve">.  </w:t>
            </w:r>
            <w:r>
              <w:t>Schedule 6</w:t>
            </w:r>
          </w:p>
        </w:tc>
        <w:tc>
          <w:tcPr>
            <w:tcW w:w="3828" w:type="dxa"/>
            <w:tcBorders>
              <w:top w:val="single" w:sz="4" w:space="0" w:color="auto"/>
              <w:left w:val="nil"/>
              <w:bottom w:val="single" w:sz="12" w:space="0" w:color="auto"/>
              <w:right w:val="nil"/>
            </w:tcBorders>
            <w:shd w:val="clear" w:color="auto" w:fill="auto"/>
          </w:tcPr>
          <w:p w14:paraId="4EBC0267" w14:textId="77777777" w:rsidR="00937AA4" w:rsidRPr="009F0DEC" w:rsidRDefault="00937AA4" w:rsidP="003957EC">
            <w:pPr>
              <w:pStyle w:val="Tabletext"/>
            </w:pPr>
            <w:r w:rsidRPr="00986AF4">
              <w:t>The day after this Act receives the Royal Assent.</w:t>
            </w:r>
          </w:p>
        </w:tc>
        <w:tc>
          <w:tcPr>
            <w:tcW w:w="1582" w:type="dxa"/>
            <w:tcBorders>
              <w:top w:val="single" w:sz="4" w:space="0" w:color="auto"/>
              <w:left w:val="nil"/>
              <w:bottom w:val="single" w:sz="12" w:space="0" w:color="auto"/>
            </w:tcBorders>
            <w:shd w:val="clear" w:color="auto" w:fill="auto"/>
          </w:tcPr>
          <w:p w14:paraId="1DB50429" w14:textId="488B68C3" w:rsidR="00937AA4" w:rsidRPr="009F0DEC" w:rsidRDefault="00145D16" w:rsidP="003957EC">
            <w:pPr>
              <w:pStyle w:val="Tabletext"/>
            </w:pPr>
            <w:r>
              <w:t>24 June 2023</w:t>
            </w:r>
          </w:p>
        </w:tc>
      </w:tr>
    </w:tbl>
    <w:p w14:paraId="3D923E8F" w14:textId="77777777" w:rsidR="0048364F" w:rsidRPr="009F0DEC" w:rsidRDefault="00201D27" w:rsidP="00592076">
      <w:pPr>
        <w:pStyle w:val="notetext"/>
      </w:pPr>
      <w:r w:rsidRPr="009F0DEC">
        <w:t>Note:</w:t>
      </w:r>
      <w:r w:rsidRPr="009F0DEC">
        <w:tab/>
        <w:t>This table relates only to the provisions of this Act as originally enacted. It will not be amended to deal with any later amendments of this Act.</w:t>
      </w:r>
    </w:p>
    <w:p w14:paraId="2E76D223" w14:textId="77777777" w:rsidR="0048364F" w:rsidRPr="009F0DEC" w:rsidRDefault="0048364F" w:rsidP="00592076">
      <w:pPr>
        <w:pStyle w:val="subsection"/>
      </w:pPr>
      <w:r w:rsidRPr="009F0DEC">
        <w:tab/>
        <w:t>(2)</w:t>
      </w:r>
      <w:r w:rsidRPr="009F0DEC">
        <w:tab/>
      </w:r>
      <w:r w:rsidR="00201D27" w:rsidRPr="009F0DEC">
        <w:t xml:space="preserve">Any information in </w:t>
      </w:r>
      <w:r w:rsidR="00877D48" w:rsidRPr="009F0DEC">
        <w:t>c</w:t>
      </w:r>
      <w:r w:rsidR="00201D27" w:rsidRPr="009F0DEC">
        <w:t>olumn 3 of the table is not part of this Act. Information may be inserted in this column, or information in it may be edited, in any published version of this Act.</w:t>
      </w:r>
    </w:p>
    <w:p w14:paraId="1F68488E" w14:textId="77777777" w:rsidR="0048364F" w:rsidRPr="009F0DEC" w:rsidRDefault="0048364F" w:rsidP="00592076">
      <w:pPr>
        <w:pStyle w:val="ActHead5"/>
      </w:pPr>
      <w:bookmarkStart w:id="4" w:name="_Toc138426203"/>
      <w:r w:rsidRPr="00C1515F">
        <w:rPr>
          <w:rStyle w:val="CharSectno"/>
        </w:rPr>
        <w:t>3</w:t>
      </w:r>
      <w:r w:rsidRPr="009F0DEC">
        <w:t xml:space="preserve">  Schedules</w:t>
      </w:r>
      <w:bookmarkEnd w:id="4"/>
    </w:p>
    <w:p w14:paraId="7EB44021" w14:textId="77777777" w:rsidR="0048364F" w:rsidRPr="009F0DEC" w:rsidRDefault="0048364F" w:rsidP="00592076">
      <w:pPr>
        <w:pStyle w:val="subsection"/>
      </w:pPr>
      <w:r w:rsidRPr="009F0DEC">
        <w:tab/>
      </w:r>
      <w:r w:rsidRPr="009F0DEC">
        <w:tab/>
      </w:r>
      <w:r w:rsidR="00202618" w:rsidRPr="009F0DEC">
        <w:t>Legislation that is specified in a Schedule to this Act is amended or repealed as set out in the applicable items in the Schedule concerned, and any other item in a Schedule to this Act has effect according to its terms.</w:t>
      </w:r>
    </w:p>
    <w:p w14:paraId="640D3C4E" w14:textId="77777777" w:rsidR="008D3E94" w:rsidRPr="009F0DEC" w:rsidRDefault="00AC7332" w:rsidP="00592076">
      <w:pPr>
        <w:pStyle w:val="ActHead6"/>
        <w:pageBreakBefore/>
      </w:pPr>
      <w:bookmarkStart w:id="5" w:name="_Toc138426204"/>
      <w:r w:rsidRPr="00C1515F">
        <w:rPr>
          <w:rStyle w:val="CharAmSchNo"/>
        </w:rPr>
        <w:lastRenderedPageBreak/>
        <w:t>Schedule 1</w:t>
      </w:r>
      <w:r w:rsidR="0048364F" w:rsidRPr="009F0DEC">
        <w:t>—</w:t>
      </w:r>
      <w:r w:rsidR="00F55A35" w:rsidRPr="00C1515F">
        <w:rPr>
          <w:rStyle w:val="CharAmSchText"/>
        </w:rPr>
        <w:t>Medicare levy and Medicare levy surcharge income thresholds</w:t>
      </w:r>
      <w:bookmarkEnd w:id="5"/>
    </w:p>
    <w:p w14:paraId="6ACF6229" w14:textId="77777777" w:rsidR="004D321B" w:rsidRPr="00C1515F" w:rsidRDefault="004D321B" w:rsidP="00592076">
      <w:pPr>
        <w:pStyle w:val="Header"/>
      </w:pPr>
      <w:r w:rsidRPr="00C1515F">
        <w:rPr>
          <w:rStyle w:val="CharAmPartNo"/>
        </w:rPr>
        <w:t xml:space="preserve"> </w:t>
      </w:r>
      <w:r w:rsidRPr="00C1515F">
        <w:rPr>
          <w:rStyle w:val="CharAmPartText"/>
        </w:rPr>
        <w:t xml:space="preserve"> </w:t>
      </w:r>
    </w:p>
    <w:p w14:paraId="30F5B954" w14:textId="77777777" w:rsidR="004D321B" w:rsidRPr="009F0DEC" w:rsidRDefault="004D321B" w:rsidP="00592076">
      <w:pPr>
        <w:pStyle w:val="ActHead9"/>
        <w:rPr>
          <w:i w:val="0"/>
        </w:rPr>
      </w:pPr>
      <w:bookmarkStart w:id="6" w:name="_Toc138426205"/>
      <w:r w:rsidRPr="009F0DEC">
        <w:t>A New Tax System (Medicare Levy Surcharge—Fringe Benefits) Act 1999</w:t>
      </w:r>
      <w:bookmarkEnd w:id="6"/>
    </w:p>
    <w:p w14:paraId="5DD39DDC" w14:textId="77777777" w:rsidR="004D321B" w:rsidRPr="009F0DEC" w:rsidRDefault="002D2E80" w:rsidP="00592076">
      <w:pPr>
        <w:pStyle w:val="ItemHead"/>
      </w:pPr>
      <w:r w:rsidRPr="009F0DEC">
        <w:t>1</w:t>
      </w:r>
      <w:r w:rsidR="004D321B" w:rsidRPr="009F0DEC">
        <w:t xml:space="preserve">  Paragraphs 15(1)(c) and 16(2)(c)</w:t>
      </w:r>
    </w:p>
    <w:p w14:paraId="1A5BF2AA" w14:textId="77777777" w:rsidR="004D321B" w:rsidRPr="009F0DEC" w:rsidRDefault="004D321B" w:rsidP="00592076">
      <w:pPr>
        <w:pStyle w:val="Item"/>
      </w:pPr>
      <w:r w:rsidRPr="009F0DEC">
        <w:t>Omit “$23,365”, substitute “$24,276”.</w:t>
      </w:r>
    </w:p>
    <w:p w14:paraId="54793341" w14:textId="77777777" w:rsidR="004D321B" w:rsidRPr="009F0DEC" w:rsidRDefault="004D321B" w:rsidP="00592076">
      <w:pPr>
        <w:pStyle w:val="ActHead9"/>
        <w:rPr>
          <w:i w:val="0"/>
        </w:rPr>
      </w:pPr>
      <w:bookmarkStart w:id="7" w:name="_Toc138426206"/>
      <w:r w:rsidRPr="009F0DEC">
        <w:t>Medicare Levy Act 1986</w:t>
      </w:r>
      <w:bookmarkEnd w:id="7"/>
    </w:p>
    <w:p w14:paraId="48B03A1A" w14:textId="77777777" w:rsidR="004D321B" w:rsidRPr="009F0DEC" w:rsidRDefault="002D2E80" w:rsidP="00592076">
      <w:pPr>
        <w:pStyle w:val="ItemHead"/>
      </w:pPr>
      <w:r w:rsidRPr="009F0DEC">
        <w:t>2</w:t>
      </w:r>
      <w:r w:rsidR="004D321B" w:rsidRPr="009F0DEC">
        <w:t xml:space="preserve">  Subsection 3(1) (paragraph (a) of the definition of </w:t>
      </w:r>
      <w:r w:rsidR="004D321B" w:rsidRPr="009F0DEC">
        <w:rPr>
          <w:i/>
        </w:rPr>
        <w:t>phase</w:t>
      </w:r>
      <w:r w:rsidR="00592076">
        <w:rPr>
          <w:i/>
        </w:rPr>
        <w:noBreakHyphen/>
      </w:r>
      <w:r w:rsidR="004D321B" w:rsidRPr="009F0DEC">
        <w:rPr>
          <w:i/>
        </w:rPr>
        <w:t>in limit</w:t>
      </w:r>
      <w:r w:rsidR="004D321B" w:rsidRPr="009F0DEC">
        <w:t>)</w:t>
      </w:r>
    </w:p>
    <w:p w14:paraId="2BB1CA18" w14:textId="77777777" w:rsidR="004D321B" w:rsidRPr="009F0DEC" w:rsidRDefault="004D321B" w:rsidP="00592076">
      <w:pPr>
        <w:pStyle w:val="Item"/>
      </w:pPr>
      <w:r w:rsidRPr="009F0DEC">
        <w:t>Omit “$46,156”, substitute “$47,956”.</w:t>
      </w:r>
    </w:p>
    <w:p w14:paraId="5EA2BB9B" w14:textId="77777777" w:rsidR="004D321B" w:rsidRPr="009F0DEC" w:rsidRDefault="002D2E80" w:rsidP="00592076">
      <w:pPr>
        <w:pStyle w:val="ItemHead"/>
      </w:pPr>
      <w:r w:rsidRPr="009F0DEC">
        <w:t>3</w:t>
      </w:r>
      <w:r w:rsidR="004D321B" w:rsidRPr="009F0DEC">
        <w:t xml:space="preserve">  Subsection 3(1) (paragraph (c) of the definition of </w:t>
      </w:r>
      <w:r w:rsidR="004D321B" w:rsidRPr="009F0DEC">
        <w:rPr>
          <w:i/>
        </w:rPr>
        <w:t>phase</w:t>
      </w:r>
      <w:r w:rsidR="00592076">
        <w:rPr>
          <w:i/>
        </w:rPr>
        <w:noBreakHyphen/>
      </w:r>
      <w:r w:rsidR="004D321B" w:rsidRPr="009F0DEC">
        <w:rPr>
          <w:i/>
        </w:rPr>
        <w:t>in limit</w:t>
      </w:r>
      <w:r w:rsidR="004D321B" w:rsidRPr="009F0DEC">
        <w:t>)</w:t>
      </w:r>
    </w:p>
    <w:p w14:paraId="24040EB0" w14:textId="77777777" w:rsidR="004D321B" w:rsidRPr="009F0DEC" w:rsidRDefault="004D321B" w:rsidP="00592076">
      <w:pPr>
        <w:pStyle w:val="Item"/>
      </w:pPr>
      <w:r w:rsidRPr="009F0DEC">
        <w:t>Omit “$29,206”, substitute “$30,345”.</w:t>
      </w:r>
    </w:p>
    <w:p w14:paraId="4AB4468F" w14:textId="77777777" w:rsidR="004D321B" w:rsidRPr="009F0DEC" w:rsidRDefault="002D2E80" w:rsidP="00592076">
      <w:pPr>
        <w:pStyle w:val="ItemHead"/>
      </w:pPr>
      <w:r w:rsidRPr="009F0DEC">
        <w:t>4</w:t>
      </w:r>
      <w:r w:rsidR="004D321B" w:rsidRPr="009F0DEC">
        <w:t xml:space="preserve">  Subsection 3(1) (paragraph (a) of the definition of </w:t>
      </w:r>
      <w:r w:rsidR="004D321B" w:rsidRPr="009F0DEC">
        <w:rPr>
          <w:i/>
        </w:rPr>
        <w:t>threshold amount</w:t>
      </w:r>
      <w:r w:rsidR="004D321B" w:rsidRPr="009F0DEC">
        <w:t>)</w:t>
      </w:r>
    </w:p>
    <w:p w14:paraId="0103C6E0" w14:textId="77777777" w:rsidR="004D321B" w:rsidRPr="009F0DEC" w:rsidRDefault="004D321B" w:rsidP="00592076">
      <w:pPr>
        <w:pStyle w:val="Item"/>
      </w:pPr>
      <w:r w:rsidRPr="009F0DEC">
        <w:t>Omit “$36,925”, substitute “$38,365”.</w:t>
      </w:r>
    </w:p>
    <w:p w14:paraId="08F13A92" w14:textId="77777777" w:rsidR="004D321B" w:rsidRPr="009F0DEC" w:rsidRDefault="002D2E80" w:rsidP="00592076">
      <w:pPr>
        <w:pStyle w:val="ItemHead"/>
      </w:pPr>
      <w:r w:rsidRPr="009F0DEC">
        <w:t>5</w:t>
      </w:r>
      <w:r w:rsidR="004D321B" w:rsidRPr="009F0DEC">
        <w:t xml:space="preserve">  Subsection 3(1) (paragraph (c) of the definition of </w:t>
      </w:r>
      <w:r w:rsidR="004D321B" w:rsidRPr="009F0DEC">
        <w:rPr>
          <w:i/>
        </w:rPr>
        <w:t>threshold amount</w:t>
      </w:r>
      <w:r w:rsidR="004D321B" w:rsidRPr="009F0DEC">
        <w:t>)</w:t>
      </w:r>
    </w:p>
    <w:p w14:paraId="2960B98D" w14:textId="77777777" w:rsidR="004D321B" w:rsidRPr="009F0DEC" w:rsidRDefault="004D321B" w:rsidP="00592076">
      <w:pPr>
        <w:pStyle w:val="Item"/>
      </w:pPr>
      <w:r w:rsidRPr="009F0DEC">
        <w:t>Omit “$23,365”, substitute “$24,276”.</w:t>
      </w:r>
    </w:p>
    <w:p w14:paraId="7EBB1246" w14:textId="77777777" w:rsidR="004D321B" w:rsidRPr="009F0DEC" w:rsidRDefault="002D2E80" w:rsidP="00592076">
      <w:pPr>
        <w:pStyle w:val="ItemHead"/>
      </w:pPr>
      <w:r w:rsidRPr="009F0DEC">
        <w:t>6</w:t>
      </w:r>
      <w:r w:rsidR="004D321B" w:rsidRPr="009F0DEC">
        <w:t xml:space="preserve">  Subsection 8(5) (definition of </w:t>
      </w:r>
      <w:r w:rsidR="004D321B" w:rsidRPr="009F0DEC">
        <w:rPr>
          <w:i/>
        </w:rPr>
        <w:t>family income threshold</w:t>
      </w:r>
      <w:r w:rsidR="004D321B" w:rsidRPr="009F0DEC">
        <w:t>)</w:t>
      </w:r>
    </w:p>
    <w:p w14:paraId="69B90AE4" w14:textId="77777777" w:rsidR="004D321B" w:rsidRPr="009F0DEC" w:rsidRDefault="004D321B" w:rsidP="00592076">
      <w:pPr>
        <w:pStyle w:val="Item"/>
      </w:pPr>
      <w:r w:rsidRPr="009F0DEC">
        <w:t>Omit “$39,402”, substitute “$40,939”.</w:t>
      </w:r>
    </w:p>
    <w:p w14:paraId="7AE3AE02" w14:textId="77777777" w:rsidR="004D321B" w:rsidRPr="009F0DEC" w:rsidRDefault="002D2E80" w:rsidP="00592076">
      <w:pPr>
        <w:pStyle w:val="ItemHead"/>
      </w:pPr>
      <w:r w:rsidRPr="009F0DEC">
        <w:t>7</w:t>
      </w:r>
      <w:r w:rsidR="004D321B" w:rsidRPr="009F0DEC">
        <w:t xml:space="preserve">  Subsection 8(5) (definition of </w:t>
      </w:r>
      <w:r w:rsidR="004D321B" w:rsidRPr="009F0DEC">
        <w:rPr>
          <w:i/>
        </w:rPr>
        <w:t>family income threshold</w:t>
      </w:r>
      <w:r w:rsidR="004D321B" w:rsidRPr="009F0DEC">
        <w:t>)</w:t>
      </w:r>
    </w:p>
    <w:p w14:paraId="0B97731F" w14:textId="77777777" w:rsidR="004D321B" w:rsidRPr="009F0DEC" w:rsidRDefault="004D321B" w:rsidP="00592076">
      <w:pPr>
        <w:pStyle w:val="Item"/>
      </w:pPr>
      <w:r w:rsidRPr="009F0DEC">
        <w:t>Omit “$3,619”, substitute “$3,760”.</w:t>
      </w:r>
    </w:p>
    <w:p w14:paraId="4C28316C" w14:textId="77777777" w:rsidR="004D321B" w:rsidRPr="009F0DEC" w:rsidRDefault="002D2E80" w:rsidP="00592076">
      <w:pPr>
        <w:pStyle w:val="ItemHead"/>
      </w:pPr>
      <w:r w:rsidRPr="009F0DEC">
        <w:t>8</w:t>
      </w:r>
      <w:r w:rsidR="004D321B" w:rsidRPr="009F0DEC">
        <w:t xml:space="preserve">  Subsections 8(6) and (7)</w:t>
      </w:r>
    </w:p>
    <w:p w14:paraId="3CFCC8D0" w14:textId="77777777" w:rsidR="004D321B" w:rsidRPr="009F0DEC" w:rsidRDefault="004D321B" w:rsidP="00592076">
      <w:pPr>
        <w:pStyle w:val="Item"/>
      </w:pPr>
      <w:r w:rsidRPr="009F0DEC">
        <w:t>Omit “$39,402”, substitute “$40,939”.</w:t>
      </w:r>
    </w:p>
    <w:p w14:paraId="48B09F77" w14:textId="77777777" w:rsidR="004D321B" w:rsidRPr="009F0DEC" w:rsidRDefault="002D2E80" w:rsidP="00592076">
      <w:pPr>
        <w:pStyle w:val="ItemHead"/>
      </w:pPr>
      <w:r w:rsidRPr="009F0DEC">
        <w:t>9</w:t>
      </w:r>
      <w:r w:rsidR="004D321B" w:rsidRPr="009F0DEC">
        <w:t xml:space="preserve">  Subsection 8(7)</w:t>
      </w:r>
    </w:p>
    <w:p w14:paraId="3AE27225" w14:textId="77777777" w:rsidR="004D321B" w:rsidRPr="009F0DEC" w:rsidRDefault="004D321B" w:rsidP="00592076">
      <w:pPr>
        <w:pStyle w:val="Item"/>
      </w:pPr>
      <w:r w:rsidRPr="009F0DEC">
        <w:t>Omit “$51,401”, substitute “$53,406”.</w:t>
      </w:r>
    </w:p>
    <w:p w14:paraId="1C41CE16" w14:textId="77777777" w:rsidR="004D321B" w:rsidRPr="009F0DEC" w:rsidRDefault="002D2E80" w:rsidP="00592076">
      <w:pPr>
        <w:pStyle w:val="ItemHead"/>
      </w:pPr>
      <w:r w:rsidRPr="009F0DEC">
        <w:t>10</w:t>
      </w:r>
      <w:r w:rsidR="004D321B" w:rsidRPr="009F0DEC">
        <w:t xml:space="preserve">  Paragraph 8D(3)(c)</w:t>
      </w:r>
    </w:p>
    <w:p w14:paraId="238BD0E6" w14:textId="77777777" w:rsidR="004D321B" w:rsidRPr="009F0DEC" w:rsidRDefault="004D321B" w:rsidP="00592076">
      <w:pPr>
        <w:pStyle w:val="Item"/>
      </w:pPr>
      <w:r w:rsidRPr="009F0DEC">
        <w:t>Omit “$23,365”, substitute “$24,276”.</w:t>
      </w:r>
    </w:p>
    <w:p w14:paraId="45D9D628" w14:textId="77777777" w:rsidR="004D321B" w:rsidRPr="009F0DEC" w:rsidRDefault="002D2E80" w:rsidP="00592076">
      <w:pPr>
        <w:pStyle w:val="ItemHead"/>
      </w:pPr>
      <w:r w:rsidRPr="009F0DEC">
        <w:t>11</w:t>
      </w:r>
      <w:r w:rsidR="004D321B" w:rsidRPr="009F0DEC">
        <w:t xml:space="preserve">  Subparagraph 8D(4)(a)(ii)</w:t>
      </w:r>
    </w:p>
    <w:p w14:paraId="50F984C3" w14:textId="77777777" w:rsidR="004D321B" w:rsidRPr="009F0DEC" w:rsidRDefault="004D321B" w:rsidP="00592076">
      <w:pPr>
        <w:pStyle w:val="Item"/>
      </w:pPr>
      <w:r w:rsidRPr="009F0DEC">
        <w:t>Omit “$23,365”, substitute “$24,276”.</w:t>
      </w:r>
    </w:p>
    <w:p w14:paraId="0F670A94" w14:textId="77777777" w:rsidR="004D321B" w:rsidRPr="009F0DEC" w:rsidRDefault="002D2E80" w:rsidP="00592076">
      <w:pPr>
        <w:pStyle w:val="ItemHead"/>
      </w:pPr>
      <w:r w:rsidRPr="009F0DEC">
        <w:t>12</w:t>
      </w:r>
      <w:r w:rsidR="004D321B" w:rsidRPr="009F0DEC">
        <w:t xml:space="preserve">  Paragraph 8G(2)(c)</w:t>
      </w:r>
    </w:p>
    <w:p w14:paraId="7F0D8C28" w14:textId="77777777" w:rsidR="004D321B" w:rsidRPr="009F0DEC" w:rsidRDefault="004D321B" w:rsidP="00592076">
      <w:pPr>
        <w:pStyle w:val="Item"/>
      </w:pPr>
      <w:r w:rsidRPr="009F0DEC">
        <w:t>Omit “$23,365”, substitute “$24,276”.</w:t>
      </w:r>
    </w:p>
    <w:p w14:paraId="45C6C3CE" w14:textId="77777777" w:rsidR="004D321B" w:rsidRPr="009F0DEC" w:rsidRDefault="002D2E80" w:rsidP="00592076">
      <w:pPr>
        <w:pStyle w:val="ItemHead"/>
      </w:pPr>
      <w:r w:rsidRPr="009F0DEC">
        <w:t>13</w:t>
      </w:r>
      <w:r w:rsidR="004D321B" w:rsidRPr="009F0DEC">
        <w:t xml:space="preserve">  Subparagraph 8G(3)(a)(ii)</w:t>
      </w:r>
    </w:p>
    <w:p w14:paraId="7552979D" w14:textId="77777777" w:rsidR="004D321B" w:rsidRPr="009F0DEC" w:rsidRDefault="004D321B" w:rsidP="00592076">
      <w:pPr>
        <w:pStyle w:val="Item"/>
      </w:pPr>
      <w:r w:rsidRPr="009F0DEC">
        <w:t>Omit “$23,365”, substitute “$24,276”.</w:t>
      </w:r>
    </w:p>
    <w:p w14:paraId="7C8F63CF" w14:textId="77777777" w:rsidR="004D321B" w:rsidRPr="009F0DEC" w:rsidRDefault="002D2E80" w:rsidP="00592076">
      <w:pPr>
        <w:pStyle w:val="Transitional"/>
      </w:pPr>
      <w:r w:rsidRPr="009F0DEC">
        <w:t>14</w:t>
      </w:r>
      <w:r w:rsidR="004D321B" w:rsidRPr="009F0DEC">
        <w:t xml:space="preserve">  Application of amendments</w:t>
      </w:r>
    </w:p>
    <w:p w14:paraId="23F4ED1E" w14:textId="77777777" w:rsidR="004D321B" w:rsidRPr="009F0DEC" w:rsidRDefault="004D321B" w:rsidP="00592076">
      <w:pPr>
        <w:pStyle w:val="Item"/>
      </w:pPr>
      <w:r w:rsidRPr="009F0DEC">
        <w:t>The amendments made by this Schedule apply to assessments for the 2022</w:t>
      </w:r>
      <w:r w:rsidR="00592076">
        <w:noBreakHyphen/>
      </w:r>
      <w:r w:rsidRPr="009F0DEC">
        <w:t>23 year of income and later years of income.</w:t>
      </w:r>
    </w:p>
    <w:p w14:paraId="0639678D" w14:textId="77777777" w:rsidR="00F55A35" w:rsidRPr="009F0DEC" w:rsidRDefault="00AC7332" w:rsidP="00592076">
      <w:pPr>
        <w:pStyle w:val="ActHead6"/>
        <w:pageBreakBefore/>
      </w:pPr>
      <w:bookmarkStart w:id="8" w:name="_Toc138426207"/>
      <w:r w:rsidRPr="00C1515F">
        <w:rPr>
          <w:rStyle w:val="CharAmSchNo"/>
        </w:rPr>
        <w:t>Schedule 2</w:t>
      </w:r>
      <w:r w:rsidR="00F55A35" w:rsidRPr="009F0DEC">
        <w:t>—</w:t>
      </w:r>
      <w:r w:rsidR="00F55A35" w:rsidRPr="00C1515F">
        <w:rPr>
          <w:rStyle w:val="CharAmSchText"/>
        </w:rPr>
        <w:t>Maintaining the Commonwealth Bank superannuation fund guarantee</w:t>
      </w:r>
      <w:bookmarkEnd w:id="8"/>
    </w:p>
    <w:p w14:paraId="634642EB" w14:textId="77777777" w:rsidR="004D321B" w:rsidRPr="00C1515F" w:rsidRDefault="004D321B" w:rsidP="00592076">
      <w:pPr>
        <w:pStyle w:val="Header"/>
      </w:pPr>
      <w:r w:rsidRPr="00C1515F">
        <w:rPr>
          <w:rStyle w:val="CharAmPartNo"/>
        </w:rPr>
        <w:t xml:space="preserve"> </w:t>
      </w:r>
      <w:r w:rsidRPr="00C1515F">
        <w:rPr>
          <w:rStyle w:val="CharAmPartText"/>
        </w:rPr>
        <w:t xml:space="preserve"> </w:t>
      </w:r>
    </w:p>
    <w:p w14:paraId="19822224" w14:textId="77777777" w:rsidR="004D321B" w:rsidRPr="009F0DEC" w:rsidRDefault="004D321B" w:rsidP="00592076">
      <w:pPr>
        <w:pStyle w:val="ActHead9"/>
      </w:pPr>
      <w:bookmarkStart w:id="9" w:name="_Toc138426208"/>
      <w:r w:rsidRPr="009F0DEC">
        <w:t>Commonwealth Banks Act 1959</w:t>
      </w:r>
      <w:bookmarkEnd w:id="9"/>
    </w:p>
    <w:p w14:paraId="306480B7" w14:textId="77777777" w:rsidR="004D321B" w:rsidRPr="009F0DEC" w:rsidRDefault="002D2E80" w:rsidP="00592076">
      <w:pPr>
        <w:pStyle w:val="ItemHead"/>
      </w:pPr>
      <w:r w:rsidRPr="009F0DEC">
        <w:t>1</w:t>
      </w:r>
      <w:r w:rsidR="004D321B" w:rsidRPr="009F0DEC">
        <w:t xml:space="preserve">  After subsection 117(3)</w:t>
      </w:r>
    </w:p>
    <w:p w14:paraId="1AAACAD1" w14:textId="77777777" w:rsidR="004D321B" w:rsidRPr="009F0DEC" w:rsidRDefault="004D321B" w:rsidP="00592076">
      <w:pPr>
        <w:pStyle w:val="Item"/>
      </w:pPr>
      <w:r w:rsidRPr="009F0DEC">
        <w:t>Insert:</w:t>
      </w:r>
    </w:p>
    <w:p w14:paraId="253381B4" w14:textId="77777777" w:rsidR="004D321B" w:rsidRPr="009F0DEC" w:rsidRDefault="004D321B" w:rsidP="00592076">
      <w:pPr>
        <w:pStyle w:val="subsection"/>
      </w:pPr>
      <w:r w:rsidRPr="009F0DEC">
        <w:tab/>
        <w:t>(3A)</w:t>
      </w:r>
      <w:r w:rsidRPr="009F0DEC">
        <w:tab/>
        <w:t>If:</w:t>
      </w:r>
    </w:p>
    <w:p w14:paraId="44039EB2" w14:textId="77777777" w:rsidR="004D321B" w:rsidRPr="009F0DEC" w:rsidRDefault="004D321B" w:rsidP="00592076">
      <w:pPr>
        <w:pStyle w:val="paragraph"/>
      </w:pPr>
      <w:r w:rsidRPr="009F0DEC">
        <w:tab/>
        <w:t>(a)</w:t>
      </w:r>
      <w:r w:rsidRPr="009F0DEC">
        <w:tab/>
        <w:t xml:space="preserve">immediately before the day (the </w:t>
      </w:r>
      <w:r w:rsidRPr="009F0DEC">
        <w:rPr>
          <w:b/>
          <w:i/>
        </w:rPr>
        <w:t>commencement day</w:t>
      </w:r>
      <w:r w:rsidRPr="009F0DEC">
        <w:t xml:space="preserve">) that </w:t>
      </w:r>
      <w:r w:rsidR="00AC7332" w:rsidRPr="009F0DEC">
        <w:t>Schedule 1</w:t>
      </w:r>
      <w:r w:rsidRPr="009F0DEC">
        <w:t xml:space="preserve"> to the </w:t>
      </w:r>
      <w:r w:rsidRPr="009F0DEC">
        <w:rPr>
          <w:i/>
        </w:rPr>
        <w:t>Treasury Laws Amendment (2023 Measures No. 2) Act 2023</w:t>
      </w:r>
      <w:r w:rsidRPr="009F0DEC">
        <w:t xml:space="preserve"> commences a person holds an interest in the superannuation fund; and</w:t>
      </w:r>
    </w:p>
    <w:p w14:paraId="59EBF75E" w14:textId="77777777" w:rsidR="004D321B" w:rsidRPr="009F0DEC" w:rsidRDefault="004D321B" w:rsidP="00592076">
      <w:pPr>
        <w:pStyle w:val="paragraph"/>
      </w:pPr>
      <w:r w:rsidRPr="009F0DEC">
        <w:tab/>
        <w:t>(b)</w:t>
      </w:r>
      <w:r w:rsidRPr="009F0DEC">
        <w:tab/>
        <w:t>immediately before the commencement day the Commonwealth guarantees under subsection (3) the due payment of any amount in respect of the person; and</w:t>
      </w:r>
    </w:p>
    <w:p w14:paraId="4C7DAFC8" w14:textId="77777777" w:rsidR="004D321B" w:rsidRPr="009F0DEC" w:rsidRDefault="004D321B" w:rsidP="00592076">
      <w:pPr>
        <w:pStyle w:val="paragraph"/>
      </w:pPr>
      <w:r w:rsidRPr="009F0DEC">
        <w:tab/>
        <w:t>(c)</w:t>
      </w:r>
      <w:r w:rsidRPr="009F0DEC">
        <w:tab/>
        <w:t>on or after the commencement day:</w:t>
      </w:r>
    </w:p>
    <w:p w14:paraId="0CCD754F" w14:textId="77777777" w:rsidR="004D321B" w:rsidRPr="009F0DEC" w:rsidRDefault="004D321B" w:rsidP="00592076">
      <w:pPr>
        <w:pStyle w:val="paragraphsub"/>
      </w:pPr>
      <w:r w:rsidRPr="009F0DEC">
        <w:tab/>
        <w:t>(i)</w:t>
      </w:r>
      <w:r w:rsidRPr="009F0DEC">
        <w:tab/>
        <w:t xml:space="preserve">the interest is transferred from the superannuation fund to a successor fund (within the meaning of the </w:t>
      </w:r>
      <w:r w:rsidRPr="009F0DEC">
        <w:rPr>
          <w:i/>
        </w:rPr>
        <w:t>Income Tax Assessment Act 1997</w:t>
      </w:r>
      <w:r w:rsidRPr="009F0DEC">
        <w:t>); and</w:t>
      </w:r>
    </w:p>
    <w:p w14:paraId="411A0F85" w14:textId="77777777" w:rsidR="004D321B" w:rsidRPr="009F0DEC" w:rsidRDefault="004D321B" w:rsidP="00592076">
      <w:pPr>
        <w:pStyle w:val="paragraphsub"/>
      </w:pPr>
      <w:r w:rsidRPr="009F0DEC">
        <w:tab/>
        <w:t>(ii)</w:t>
      </w:r>
      <w:r w:rsidRPr="009F0DEC">
        <w:tab/>
        <w:t>the successor fund is a regulated superannuation fund;</w:t>
      </w:r>
    </w:p>
    <w:p w14:paraId="1FD24785" w14:textId="77777777" w:rsidR="004D321B" w:rsidRPr="009F0DEC" w:rsidRDefault="004D321B" w:rsidP="00592076">
      <w:pPr>
        <w:pStyle w:val="subsection2"/>
      </w:pPr>
      <w:r w:rsidRPr="009F0DEC">
        <w:t>then, so long as the person continues to hold an interest in the successor fund, the Commonwealth guarantees the due payment of any amount that is payable to or from the successor fund, by the trustee of the successor fund or by the Commonwealth Bank, in respect of the person.</w:t>
      </w:r>
    </w:p>
    <w:p w14:paraId="610E89DD" w14:textId="77777777" w:rsidR="004D321B" w:rsidRPr="009F0DEC" w:rsidRDefault="004D321B" w:rsidP="00592076">
      <w:pPr>
        <w:pStyle w:val="subsection"/>
      </w:pPr>
      <w:r w:rsidRPr="009F0DEC">
        <w:tab/>
        <w:t>(3B)</w:t>
      </w:r>
      <w:r w:rsidRPr="009F0DEC">
        <w:tab/>
        <w:t>Disregard subsection (3) when determining whether a regulated superannuation fund confers on a person equivalent rights in respect of an interest to the rights they had under another regulated superannuation fund in respect of the interest for the purposes of any law of the Commonwealth dealing with successor funds.</w:t>
      </w:r>
    </w:p>
    <w:p w14:paraId="05CBC73E" w14:textId="77777777" w:rsidR="004D321B" w:rsidRPr="009F0DEC" w:rsidRDefault="002D2E80" w:rsidP="00592076">
      <w:pPr>
        <w:pStyle w:val="ItemHead"/>
      </w:pPr>
      <w:r w:rsidRPr="009F0DEC">
        <w:t>2</w:t>
      </w:r>
      <w:r w:rsidR="004D321B" w:rsidRPr="009F0DEC">
        <w:t xml:space="preserve">  Subsection 117(4)</w:t>
      </w:r>
    </w:p>
    <w:p w14:paraId="75A754D6" w14:textId="77777777" w:rsidR="004D321B" w:rsidRPr="009F0DEC" w:rsidRDefault="004D321B" w:rsidP="00592076">
      <w:pPr>
        <w:pStyle w:val="Item"/>
      </w:pPr>
      <w:r w:rsidRPr="009F0DEC">
        <w:t>Insert:</w:t>
      </w:r>
    </w:p>
    <w:p w14:paraId="2F6E823D" w14:textId="77777777" w:rsidR="004D321B" w:rsidRPr="009F0DEC" w:rsidRDefault="004D321B" w:rsidP="00592076">
      <w:pPr>
        <w:pStyle w:val="Definition"/>
      </w:pPr>
      <w:r w:rsidRPr="009F0DEC">
        <w:rPr>
          <w:b/>
          <w:i/>
        </w:rPr>
        <w:t>regulated superannuation fund</w:t>
      </w:r>
      <w:r w:rsidRPr="009F0DEC">
        <w:t xml:space="preserve"> has the same meaning as in the </w:t>
      </w:r>
      <w:r w:rsidRPr="009F0DEC">
        <w:rPr>
          <w:i/>
        </w:rPr>
        <w:t>Superannuation Industry (Supervision) Act 1993</w:t>
      </w:r>
      <w:r w:rsidRPr="009F0DEC">
        <w:t>.</w:t>
      </w:r>
    </w:p>
    <w:p w14:paraId="3D873899" w14:textId="77777777" w:rsidR="004D321B" w:rsidRPr="009F0DEC" w:rsidRDefault="00AC7332" w:rsidP="00592076">
      <w:pPr>
        <w:pStyle w:val="ActHead6"/>
        <w:pageBreakBefore/>
      </w:pPr>
      <w:bookmarkStart w:id="10" w:name="_Toc138426209"/>
      <w:r w:rsidRPr="00C1515F">
        <w:rPr>
          <w:rStyle w:val="CharAmSchNo"/>
        </w:rPr>
        <w:t>Schedule 3</w:t>
      </w:r>
      <w:r w:rsidR="004D321B" w:rsidRPr="009F0DEC">
        <w:t>—</w:t>
      </w:r>
      <w:r w:rsidR="004D321B" w:rsidRPr="00C1515F">
        <w:rPr>
          <w:rStyle w:val="CharAmSchText"/>
        </w:rPr>
        <w:t>Tax accounting for primary producer registered emissions units</w:t>
      </w:r>
      <w:bookmarkEnd w:id="10"/>
    </w:p>
    <w:p w14:paraId="079328A4" w14:textId="77777777" w:rsidR="004D321B" w:rsidRPr="00C1515F" w:rsidRDefault="004D321B" w:rsidP="00592076">
      <w:pPr>
        <w:pStyle w:val="Header"/>
      </w:pPr>
      <w:r w:rsidRPr="00C1515F">
        <w:rPr>
          <w:rStyle w:val="CharAmPartNo"/>
        </w:rPr>
        <w:t xml:space="preserve"> </w:t>
      </w:r>
      <w:r w:rsidRPr="00C1515F">
        <w:rPr>
          <w:rStyle w:val="CharAmPartText"/>
        </w:rPr>
        <w:t xml:space="preserve"> </w:t>
      </w:r>
    </w:p>
    <w:p w14:paraId="338AD400" w14:textId="77777777" w:rsidR="004D321B" w:rsidRPr="009F0DEC" w:rsidRDefault="004D321B" w:rsidP="00592076">
      <w:pPr>
        <w:pStyle w:val="ActHead9"/>
      </w:pPr>
      <w:bookmarkStart w:id="11" w:name="_Toc138426210"/>
      <w:r w:rsidRPr="009F0DEC">
        <w:t>Income Tax Assessment Act 1997</w:t>
      </w:r>
      <w:bookmarkEnd w:id="11"/>
    </w:p>
    <w:p w14:paraId="6FF3D538" w14:textId="77777777" w:rsidR="004D321B" w:rsidRPr="009F0DEC" w:rsidRDefault="002D2E80" w:rsidP="00592076">
      <w:pPr>
        <w:pStyle w:val="ItemHead"/>
      </w:pPr>
      <w:r w:rsidRPr="009F0DEC">
        <w:t>1</w:t>
      </w:r>
      <w:r w:rsidR="004D321B" w:rsidRPr="009F0DEC">
        <w:t xml:space="preserve">  Subsection 392</w:t>
      </w:r>
      <w:r w:rsidR="00592076">
        <w:noBreakHyphen/>
      </w:r>
      <w:r w:rsidR="004D321B" w:rsidRPr="009F0DEC">
        <w:t>45(2)</w:t>
      </w:r>
    </w:p>
    <w:p w14:paraId="7847C1A6" w14:textId="77777777" w:rsidR="004D321B" w:rsidRPr="009F0DEC" w:rsidRDefault="004D321B" w:rsidP="00592076">
      <w:pPr>
        <w:pStyle w:val="Item"/>
      </w:pPr>
      <w:r w:rsidRPr="009F0DEC">
        <w:t>Repeal the subsection, substitute:</w:t>
      </w:r>
    </w:p>
    <w:p w14:paraId="73DCE454" w14:textId="77777777" w:rsidR="004D321B" w:rsidRPr="009F0DEC" w:rsidRDefault="004D321B" w:rsidP="00592076">
      <w:pPr>
        <w:pStyle w:val="subsection"/>
      </w:pPr>
      <w:r w:rsidRPr="009F0DEC">
        <w:tab/>
        <w:t>(2)</w:t>
      </w:r>
      <w:r w:rsidRPr="009F0DEC">
        <w:tab/>
        <w:t xml:space="preserve">Your </w:t>
      </w:r>
      <w:r w:rsidRPr="009F0DEC">
        <w:rPr>
          <w:b/>
          <w:i/>
        </w:rPr>
        <w:t>basic assessable income</w:t>
      </w:r>
      <w:r w:rsidRPr="009F0DEC">
        <w:t xml:space="preserve"> for an income year is your assessable income for the income year, less:</w:t>
      </w:r>
    </w:p>
    <w:p w14:paraId="7C30616C" w14:textId="77777777" w:rsidR="004D321B" w:rsidRPr="009F0DEC" w:rsidRDefault="004D321B" w:rsidP="00592076">
      <w:pPr>
        <w:pStyle w:val="paragraph"/>
      </w:pPr>
      <w:r w:rsidRPr="009F0DEC">
        <w:tab/>
        <w:t>(a)</w:t>
      </w:r>
      <w:r w:rsidRPr="009F0DEC">
        <w:tab/>
        <w:t>any amount included in your assessable income under section 82</w:t>
      </w:r>
      <w:r w:rsidR="00592076">
        <w:noBreakHyphen/>
      </w:r>
      <w:r w:rsidRPr="009F0DEC">
        <w:t>65, 82</w:t>
      </w:r>
      <w:r w:rsidR="00592076">
        <w:noBreakHyphen/>
      </w:r>
      <w:r w:rsidRPr="009F0DEC">
        <w:t>70 or 302</w:t>
      </w:r>
      <w:r w:rsidR="00592076">
        <w:noBreakHyphen/>
      </w:r>
      <w:r w:rsidRPr="009F0DEC">
        <w:t>145 (certain employment termination payments and superannuation benefits); and</w:t>
      </w:r>
    </w:p>
    <w:p w14:paraId="671676A0" w14:textId="77777777" w:rsidR="004D321B" w:rsidRPr="009F0DEC" w:rsidRDefault="004D321B" w:rsidP="00592076">
      <w:pPr>
        <w:pStyle w:val="paragraph"/>
      </w:pPr>
      <w:r w:rsidRPr="009F0DEC">
        <w:tab/>
        <w:t>(b)</w:t>
      </w:r>
      <w:r w:rsidRPr="009F0DEC">
        <w:tab/>
        <w:t xml:space="preserve">any </w:t>
      </w:r>
      <w:r w:rsidR="00592076" w:rsidRPr="00592076">
        <w:rPr>
          <w:position w:val="6"/>
          <w:sz w:val="16"/>
        </w:rPr>
        <w:t>*</w:t>
      </w:r>
      <w:r w:rsidRPr="009F0DEC">
        <w:t>net capital gain included in your assessable income under Division 102.</w:t>
      </w:r>
    </w:p>
    <w:p w14:paraId="63D1C4D8" w14:textId="77777777" w:rsidR="004D321B" w:rsidRPr="009F0DEC" w:rsidRDefault="002D2E80" w:rsidP="00592076">
      <w:pPr>
        <w:pStyle w:val="ItemHead"/>
      </w:pPr>
      <w:r w:rsidRPr="009F0DEC">
        <w:t>2</w:t>
      </w:r>
      <w:r w:rsidR="004D321B" w:rsidRPr="009F0DEC">
        <w:t xml:space="preserve">  Subsections 392</w:t>
      </w:r>
      <w:r w:rsidR="00592076">
        <w:noBreakHyphen/>
      </w:r>
      <w:r w:rsidR="004D321B" w:rsidRPr="009F0DEC">
        <w:t>80(2) and (3)</w:t>
      </w:r>
    </w:p>
    <w:p w14:paraId="017981D1" w14:textId="77777777" w:rsidR="004D321B" w:rsidRPr="009F0DEC" w:rsidRDefault="004D321B" w:rsidP="00592076">
      <w:pPr>
        <w:pStyle w:val="Item"/>
      </w:pPr>
      <w:r w:rsidRPr="009F0DEC">
        <w:t>Repeal the subsections, substitute:</w:t>
      </w:r>
    </w:p>
    <w:p w14:paraId="2D75DF42" w14:textId="77777777" w:rsidR="004D321B" w:rsidRPr="009F0DEC" w:rsidRDefault="004D321B" w:rsidP="00592076">
      <w:pPr>
        <w:pStyle w:val="SubsectionHead"/>
      </w:pPr>
      <w:r w:rsidRPr="009F0DEC">
        <w:t>Assessable primary production income</w:t>
      </w:r>
    </w:p>
    <w:p w14:paraId="1E02A086" w14:textId="77777777" w:rsidR="004D321B" w:rsidRPr="009F0DEC" w:rsidRDefault="004D321B" w:rsidP="00592076">
      <w:pPr>
        <w:pStyle w:val="subsection"/>
      </w:pPr>
      <w:r w:rsidRPr="009F0DEC">
        <w:tab/>
        <w:t>(2)</w:t>
      </w:r>
      <w:r w:rsidRPr="009F0DEC">
        <w:tab/>
        <w:t xml:space="preserve">Your </w:t>
      </w:r>
      <w:r w:rsidRPr="009F0DEC">
        <w:rPr>
          <w:b/>
          <w:i/>
        </w:rPr>
        <w:t>assessable primary production income</w:t>
      </w:r>
      <w:r w:rsidRPr="009F0DEC">
        <w:t xml:space="preserve"> for the </w:t>
      </w:r>
      <w:r w:rsidR="00592076" w:rsidRPr="00592076">
        <w:rPr>
          <w:position w:val="6"/>
          <w:sz w:val="16"/>
        </w:rPr>
        <w:t>*</w:t>
      </w:r>
      <w:r w:rsidRPr="009F0DEC">
        <w:t>current year is the sum of:</w:t>
      </w:r>
    </w:p>
    <w:p w14:paraId="65D506D6" w14:textId="77777777" w:rsidR="004D321B" w:rsidRPr="009F0DEC" w:rsidRDefault="004D321B" w:rsidP="00592076">
      <w:pPr>
        <w:pStyle w:val="paragraph"/>
      </w:pPr>
      <w:r w:rsidRPr="009F0DEC">
        <w:tab/>
        <w:t>(a)</w:t>
      </w:r>
      <w:r w:rsidRPr="009F0DEC">
        <w:tab/>
        <w:t xml:space="preserve">any amount of your </w:t>
      </w:r>
      <w:r w:rsidR="00592076" w:rsidRPr="00592076">
        <w:rPr>
          <w:position w:val="6"/>
          <w:sz w:val="16"/>
        </w:rPr>
        <w:t>*</w:t>
      </w:r>
      <w:r w:rsidRPr="009F0DEC">
        <w:t xml:space="preserve">basic assessable income for the current year that was </w:t>
      </w:r>
      <w:r w:rsidR="00592076" w:rsidRPr="00592076">
        <w:rPr>
          <w:position w:val="6"/>
          <w:sz w:val="16"/>
        </w:rPr>
        <w:t>*</w:t>
      </w:r>
      <w:r w:rsidRPr="009F0DEC">
        <w:t xml:space="preserve">derived from, or resulted from, your carrying on a </w:t>
      </w:r>
      <w:r w:rsidR="00592076" w:rsidRPr="00592076">
        <w:rPr>
          <w:position w:val="6"/>
          <w:sz w:val="16"/>
        </w:rPr>
        <w:t>*</w:t>
      </w:r>
      <w:r w:rsidRPr="009F0DEC">
        <w:t>primary production business; and</w:t>
      </w:r>
    </w:p>
    <w:p w14:paraId="3874333F" w14:textId="77777777" w:rsidR="004D321B" w:rsidRPr="009F0DEC" w:rsidRDefault="004D321B" w:rsidP="00592076">
      <w:pPr>
        <w:pStyle w:val="paragraph"/>
        <w:tabs>
          <w:tab w:val="left" w:pos="2268"/>
          <w:tab w:val="left" w:pos="3402"/>
          <w:tab w:val="left" w:pos="4536"/>
          <w:tab w:val="left" w:pos="5670"/>
          <w:tab w:val="left" w:pos="6804"/>
        </w:tabs>
      </w:pPr>
      <w:r w:rsidRPr="009F0DEC">
        <w:tab/>
        <w:t>(b)</w:t>
      </w:r>
      <w:r w:rsidRPr="009F0DEC">
        <w:tab/>
        <w:t>any amount included in your assessable income under section 420</w:t>
      </w:r>
      <w:r w:rsidR="00592076">
        <w:noBreakHyphen/>
      </w:r>
      <w:r w:rsidRPr="009F0DEC">
        <w:t xml:space="preserve">25 for the current year because you cease to </w:t>
      </w:r>
      <w:r w:rsidR="00592076" w:rsidRPr="00592076">
        <w:rPr>
          <w:position w:val="6"/>
          <w:sz w:val="16"/>
        </w:rPr>
        <w:t>*</w:t>
      </w:r>
      <w:r w:rsidRPr="009F0DEC">
        <w:t xml:space="preserve">hold a </w:t>
      </w:r>
      <w:r w:rsidR="00592076" w:rsidRPr="00592076">
        <w:rPr>
          <w:position w:val="6"/>
          <w:sz w:val="16"/>
        </w:rPr>
        <w:t>*</w:t>
      </w:r>
      <w:r w:rsidRPr="009F0DEC">
        <w:t>primary producer registered emissions unit; and</w:t>
      </w:r>
    </w:p>
    <w:p w14:paraId="5CDEBE78" w14:textId="77777777" w:rsidR="004D321B" w:rsidRPr="009F0DEC" w:rsidRDefault="004D321B" w:rsidP="00592076">
      <w:pPr>
        <w:pStyle w:val="paragraph"/>
        <w:tabs>
          <w:tab w:val="left" w:pos="2268"/>
          <w:tab w:val="left" w:pos="3402"/>
          <w:tab w:val="left" w:pos="4536"/>
          <w:tab w:val="left" w:pos="5670"/>
          <w:tab w:val="left" w:pos="6804"/>
        </w:tabs>
      </w:pPr>
      <w:r w:rsidRPr="009F0DEC">
        <w:tab/>
        <w:t>(c)</w:t>
      </w:r>
      <w:r w:rsidRPr="009F0DEC">
        <w:tab/>
      </w:r>
      <w:bookmarkStart w:id="12" w:name="_Hlk126683310"/>
      <w:r w:rsidRPr="009F0DEC">
        <w:t>any amount of your basic assessable income for the current year to the extent that:</w:t>
      </w:r>
    </w:p>
    <w:p w14:paraId="683DDF7A" w14:textId="77777777" w:rsidR="004D321B" w:rsidRPr="009F0DEC" w:rsidRDefault="004D321B" w:rsidP="00592076">
      <w:pPr>
        <w:pStyle w:val="paragraphsub"/>
      </w:pPr>
      <w:r w:rsidRPr="009F0DEC">
        <w:tab/>
        <w:t>(i)</w:t>
      </w:r>
      <w:r w:rsidRPr="009F0DEC">
        <w:tab/>
        <w:t>you are a beneficiary of a trust that is carrying on a primary production business; and</w:t>
      </w:r>
    </w:p>
    <w:p w14:paraId="28B33C04" w14:textId="77777777" w:rsidR="004D321B" w:rsidRPr="009F0DEC" w:rsidRDefault="004D321B" w:rsidP="00592076">
      <w:pPr>
        <w:pStyle w:val="paragraphsub"/>
      </w:pPr>
      <w:r w:rsidRPr="009F0DEC">
        <w:tab/>
        <w:t>(ii)</w:t>
      </w:r>
      <w:r w:rsidRPr="009F0DEC">
        <w:tab/>
        <w:t xml:space="preserve">the amount is your share of the trust’s </w:t>
      </w:r>
      <w:r w:rsidR="00592076" w:rsidRPr="00592076">
        <w:rPr>
          <w:position w:val="6"/>
          <w:sz w:val="16"/>
        </w:rPr>
        <w:t>*</w:t>
      </w:r>
      <w:r w:rsidRPr="009F0DEC">
        <w:t>net income that is attributable to, or resulted from, an amount being included in the trust’s assessable income under section 420</w:t>
      </w:r>
      <w:r w:rsidR="00592076">
        <w:noBreakHyphen/>
      </w:r>
      <w:r w:rsidRPr="009F0DEC">
        <w:t xml:space="preserve">25 because the trust ceases to hold an </w:t>
      </w:r>
      <w:r w:rsidR="00592076" w:rsidRPr="00592076">
        <w:rPr>
          <w:position w:val="6"/>
          <w:sz w:val="16"/>
        </w:rPr>
        <w:t>*</w:t>
      </w:r>
      <w:r w:rsidRPr="009F0DEC">
        <w:t>Australian carbon credit unit; and</w:t>
      </w:r>
    </w:p>
    <w:p w14:paraId="7F12201E" w14:textId="77777777" w:rsidR="004D321B" w:rsidRPr="009F0DEC" w:rsidRDefault="004D321B" w:rsidP="00592076">
      <w:pPr>
        <w:pStyle w:val="paragraphsub"/>
      </w:pPr>
      <w:r w:rsidRPr="009F0DEC">
        <w:tab/>
        <w:t>(iii)</w:t>
      </w:r>
      <w:r w:rsidRPr="009F0DEC">
        <w:tab/>
        <w:t>the unit would have been a primary producer registered emissions unit if you had started to hold, held and ceased to hold the unit instead of the trust; and</w:t>
      </w:r>
    </w:p>
    <w:p w14:paraId="756727B7" w14:textId="77777777" w:rsidR="004D321B" w:rsidRPr="009F0DEC" w:rsidRDefault="004D321B" w:rsidP="00592076">
      <w:pPr>
        <w:pStyle w:val="paragraph"/>
      </w:pPr>
      <w:r w:rsidRPr="009F0DEC">
        <w:tab/>
        <w:t>(d)</w:t>
      </w:r>
      <w:r w:rsidRPr="009F0DEC">
        <w:tab/>
        <w:t>any amount of your basic assessable income for the current year to the extent that:</w:t>
      </w:r>
    </w:p>
    <w:p w14:paraId="116B8B66" w14:textId="77777777" w:rsidR="004D321B" w:rsidRPr="009F0DEC" w:rsidRDefault="004D321B" w:rsidP="00592076">
      <w:pPr>
        <w:pStyle w:val="paragraphsub"/>
      </w:pPr>
      <w:r w:rsidRPr="009F0DEC">
        <w:tab/>
        <w:t>(i)</w:t>
      </w:r>
      <w:r w:rsidRPr="009F0DEC">
        <w:tab/>
        <w:t>you are a partner in a partnership that is carrying on a primary production business; and</w:t>
      </w:r>
    </w:p>
    <w:p w14:paraId="65CF7B87" w14:textId="77777777" w:rsidR="004D321B" w:rsidRPr="009F0DEC" w:rsidRDefault="004D321B" w:rsidP="00592076">
      <w:pPr>
        <w:pStyle w:val="paragraphsub"/>
      </w:pPr>
      <w:r w:rsidRPr="009F0DEC">
        <w:tab/>
        <w:t>(ii)</w:t>
      </w:r>
      <w:r w:rsidRPr="009F0DEC">
        <w:tab/>
        <w:t>the amount is your share of the partnership’s net income that is attributable to, or resulted from, an amount being included in the partnership’s assessable income under section 420</w:t>
      </w:r>
      <w:r w:rsidR="00592076">
        <w:noBreakHyphen/>
      </w:r>
      <w:r w:rsidRPr="009F0DEC">
        <w:t xml:space="preserve">25 because a partner (the </w:t>
      </w:r>
      <w:r w:rsidRPr="009F0DEC">
        <w:rPr>
          <w:b/>
          <w:i/>
        </w:rPr>
        <w:t>holding partner</w:t>
      </w:r>
      <w:r w:rsidRPr="009F0DEC">
        <w:t>) in the partnership ceases to hold a primary producer registered emissions unit; and</w:t>
      </w:r>
    </w:p>
    <w:p w14:paraId="63C2E214" w14:textId="77777777" w:rsidR="004D321B" w:rsidRPr="009F0DEC" w:rsidRDefault="004D321B" w:rsidP="00592076">
      <w:pPr>
        <w:pStyle w:val="paragraphsub"/>
      </w:pPr>
      <w:r w:rsidRPr="009F0DEC">
        <w:tab/>
        <w:t>(iii)</w:t>
      </w:r>
      <w:r w:rsidRPr="009F0DEC">
        <w:tab/>
        <w:t>the unit would still have been a primary producer registered emissions unit if each other partner in the partnership had started to hold, held and ceased to hold the unit instead of the holding partner; and</w:t>
      </w:r>
    </w:p>
    <w:bookmarkEnd w:id="12"/>
    <w:p w14:paraId="4667F2A8" w14:textId="77777777" w:rsidR="004D321B" w:rsidRPr="009F0DEC" w:rsidRDefault="004D321B" w:rsidP="00592076">
      <w:pPr>
        <w:pStyle w:val="paragraph"/>
        <w:tabs>
          <w:tab w:val="left" w:pos="2268"/>
          <w:tab w:val="left" w:pos="3402"/>
          <w:tab w:val="left" w:pos="4536"/>
          <w:tab w:val="left" w:pos="5670"/>
          <w:tab w:val="left" w:pos="6804"/>
        </w:tabs>
      </w:pPr>
      <w:r w:rsidRPr="009F0DEC">
        <w:tab/>
        <w:t>(e)</w:t>
      </w:r>
      <w:r w:rsidRPr="009F0DEC">
        <w:tab/>
        <w:t xml:space="preserve">any amount of your basic assessable income for the current year that was derived from, or resulted from, an </w:t>
      </w:r>
      <w:r w:rsidR="00592076" w:rsidRPr="00592076">
        <w:rPr>
          <w:position w:val="6"/>
          <w:sz w:val="16"/>
        </w:rPr>
        <w:t>*</w:t>
      </w:r>
      <w:r w:rsidRPr="009F0DEC">
        <w:t xml:space="preserve">arrangement with a </w:t>
      </w:r>
      <w:r w:rsidR="00592076" w:rsidRPr="00592076">
        <w:rPr>
          <w:position w:val="6"/>
          <w:sz w:val="16"/>
        </w:rPr>
        <w:t>*</w:t>
      </w:r>
      <w:r w:rsidRPr="009F0DEC">
        <w:t>carbon service provider to the extent that:</w:t>
      </w:r>
    </w:p>
    <w:p w14:paraId="1CD4E542" w14:textId="77777777" w:rsidR="004D321B" w:rsidRPr="009F0DEC" w:rsidRDefault="004D321B" w:rsidP="00592076">
      <w:pPr>
        <w:pStyle w:val="paragraphsub"/>
      </w:pPr>
      <w:r w:rsidRPr="009F0DEC">
        <w:tab/>
        <w:t>(i)</w:t>
      </w:r>
      <w:r w:rsidRPr="009F0DEC">
        <w:tab/>
        <w:t>the arrangement relates to the provider starting to hold, holding or ceasing to hold an Australian carbon credit unit; and</w:t>
      </w:r>
    </w:p>
    <w:p w14:paraId="2E6BE0BB" w14:textId="77777777" w:rsidR="004D321B" w:rsidRPr="009F0DEC" w:rsidRDefault="004D321B" w:rsidP="00592076">
      <w:pPr>
        <w:pStyle w:val="paragraphsub"/>
      </w:pPr>
      <w:r w:rsidRPr="009F0DEC">
        <w:tab/>
        <w:t>(ii)</w:t>
      </w:r>
      <w:r w:rsidRPr="009F0DEC">
        <w:tab/>
        <w:t>the unit would have been a primary producer registered emissions unit if you were starting to hold, holding or ceasing to hold the unit (as applicable) instead of the provider; and</w:t>
      </w:r>
    </w:p>
    <w:p w14:paraId="7B9931E8" w14:textId="77777777" w:rsidR="004D321B" w:rsidRPr="009F0DEC" w:rsidRDefault="004D321B" w:rsidP="00592076">
      <w:pPr>
        <w:pStyle w:val="paragraphsub"/>
      </w:pPr>
      <w:r w:rsidRPr="009F0DEC">
        <w:tab/>
        <w:t>(iii)</w:t>
      </w:r>
      <w:r w:rsidRPr="009F0DEC">
        <w:tab/>
        <w:t xml:space="preserve">the amount does not relate to you giving the provider a </w:t>
      </w:r>
      <w:r w:rsidR="00592076" w:rsidRPr="00592076">
        <w:rPr>
          <w:position w:val="6"/>
          <w:sz w:val="16"/>
        </w:rPr>
        <w:t>*</w:t>
      </w:r>
      <w:r w:rsidRPr="009F0DEC">
        <w:t>quasi</w:t>
      </w:r>
      <w:r w:rsidR="00592076">
        <w:noBreakHyphen/>
      </w:r>
      <w:r w:rsidRPr="009F0DEC">
        <w:t>ownership right over land.</w:t>
      </w:r>
    </w:p>
    <w:p w14:paraId="3F1C9887" w14:textId="77777777" w:rsidR="004D321B" w:rsidRPr="009F0DEC" w:rsidRDefault="004D321B" w:rsidP="00592076">
      <w:pPr>
        <w:pStyle w:val="SubsectionHead"/>
      </w:pPr>
      <w:r w:rsidRPr="009F0DEC">
        <w:t>Primary production deductions</w:t>
      </w:r>
    </w:p>
    <w:p w14:paraId="471447A3" w14:textId="77777777" w:rsidR="004D321B" w:rsidRPr="009F0DEC" w:rsidRDefault="004D321B" w:rsidP="00592076">
      <w:pPr>
        <w:pStyle w:val="subsection"/>
      </w:pPr>
      <w:r w:rsidRPr="009F0DEC">
        <w:tab/>
        <w:t>(3)</w:t>
      </w:r>
      <w:r w:rsidRPr="009F0DEC">
        <w:tab/>
        <w:t xml:space="preserve">Your </w:t>
      </w:r>
      <w:r w:rsidRPr="009F0DEC">
        <w:rPr>
          <w:b/>
          <w:i/>
        </w:rPr>
        <w:t>primary production deductions</w:t>
      </w:r>
      <w:r w:rsidRPr="009F0DEC">
        <w:t xml:space="preserve"> for the </w:t>
      </w:r>
      <w:r w:rsidR="00592076" w:rsidRPr="00592076">
        <w:rPr>
          <w:position w:val="6"/>
          <w:sz w:val="16"/>
        </w:rPr>
        <w:t>*</w:t>
      </w:r>
      <w:r w:rsidRPr="009F0DEC">
        <w:t>current year are:</w:t>
      </w:r>
    </w:p>
    <w:p w14:paraId="700D14D3" w14:textId="77777777" w:rsidR="004D321B" w:rsidRPr="009F0DEC" w:rsidRDefault="004D321B" w:rsidP="00592076">
      <w:pPr>
        <w:pStyle w:val="paragraph"/>
      </w:pPr>
      <w:r w:rsidRPr="009F0DEC">
        <w:tab/>
        <w:t>(a)</w:t>
      </w:r>
      <w:r w:rsidRPr="009F0DEC">
        <w:tab/>
        <w:t>all amounts you can deduct that relate exclusively to the amount referred to in paragraph (2)(a); and</w:t>
      </w:r>
    </w:p>
    <w:p w14:paraId="40E4CFF9" w14:textId="77777777" w:rsidR="004D321B" w:rsidRPr="009F0DEC" w:rsidRDefault="004D321B" w:rsidP="00592076">
      <w:pPr>
        <w:pStyle w:val="paragraph"/>
      </w:pPr>
      <w:r w:rsidRPr="009F0DEC">
        <w:tab/>
        <w:t>(b)</w:t>
      </w:r>
      <w:r w:rsidRPr="009F0DEC">
        <w:tab/>
        <w:t xml:space="preserve">so much of any other amounts you can deduct (other than </w:t>
      </w:r>
      <w:r w:rsidR="00592076" w:rsidRPr="00592076">
        <w:rPr>
          <w:position w:val="6"/>
          <w:sz w:val="16"/>
        </w:rPr>
        <w:t>*</w:t>
      </w:r>
      <w:r w:rsidRPr="009F0DEC">
        <w:t>apportionable deductions) to the extent that they reasonably relate to the amount referred to in paragraph (2)(a); and</w:t>
      </w:r>
    </w:p>
    <w:p w14:paraId="250B5DE6" w14:textId="77777777" w:rsidR="004D321B" w:rsidRPr="009F0DEC" w:rsidRDefault="004D321B" w:rsidP="00592076">
      <w:pPr>
        <w:pStyle w:val="paragraph"/>
      </w:pPr>
      <w:r w:rsidRPr="009F0DEC">
        <w:tab/>
        <w:t>(c)</w:t>
      </w:r>
      <w:r w:rsidRPr="009F0DEC">
        <w:tab/>
        <w:t>so much of any other amounts you can deduct for the current year in relation to expenditure you incur in:</w:t>
      </w:r>
    </w:p>
    <w:p w14:paraId="401DFD3F" w14:textId="77777777" w:rsidR="004D321B" w:rsidRPr="009F0DEC" w:rsidRDefault="004D321B" w:rsidP="00592076">
      <w:pPr>
        <w:pStyle w:val="paragraphsub"/>
      </w:pPr>
      <w:r w:rsidRPr="009F0DEC">
        <w:tab/>
        <w:t>(i)</w:t>
      </w:r>
      <w:r w:rsidRPr="009F0DEC">
        <w:tab/>
        <w:t xml:space="preserve">starting to </w:t>
      </w:r>
      <w:r w:rsidR="00592076" w:rsidRPr="00592076">
        <w:rPr>
          <w:position w:val="6"/>
          <w:sz w:val="16"/>
        </w:rPr>
        <w:t>*</w:t>
      </w:r>
      <w:r w:rsidRPr="009F0DEC">
        <w:t xml:space="preserve">hold a </w:t>
      </w:r>
      <w:r w:rsidR="00592076" w:rsidRPr="00592076">
        <w:rPr>
          <w:position w:val="6"/>
          <w:sz w:val="16"/>
        </w:rPr>
        <w:t>*</w:t>
      </w:r>
      <w:r w:rsidRPr="009F0DEC">
        <w:t>primary producer registered emissions unit; or</w:t>
      </w:r>
    </w:p>
    <w:p w14:paraId="598938AB" w14:textId="77777777" w:rsidR="004D321B" w:rsidRPr="009F0DEC" w:rsidRDefault="004D321B" w:rsidP="00592076">
      <w:pPr>
        <w:pStyle w:val="paragraphsub"/>
      </w:pPr>
      <w:r w:rsidRPr="009F0DEC">
        <w:tab/>
        <w:t>(ii)</w:t>
      </w:r>
      <w:r w:rsidRPr="009F0DEC">
        <w:tab/>
        <w:t>holding such a unit; or</w:t>
      </w:r>
    </w:p>
    <w:p w14:paraId="004FEFB6" w14:textId="77777777" w:rsidR="004D321B" w:rsidRPr="009F0DEC" w:rsidRDefault="004D321B" w:rsidP="00592076">
      <w:pPr>
        <w:pStyle w:val="paragraphsub"/>
      </w:pPr>
      <w:r w:rsidRPr="009F0DEC">
        <w:tab/>
        <w:t>(iii)</w:t>
      </w:r>
      <w:r w:rsidRPr="009F0DEC">
        <w:tab/>
        <w:t>ceasing to hold such a unit; and</w:t>
      </w:r>
    </w:p>
    <w:p w14:paraId="15ABC8B3" w14:textId="77777777" w:rsidR="004D321B" w:rsidRPr="009F0DEC" w:rsidRDefault="004D321B" w:rsidP="00592076">
      <w:pPr>
        <w:pStyle w:val="paragraph"/>
      </w:pPr>
      <w:r w:rsidRPr="009F0DEC">
        <w:tab/>
        <w:t>(d)</w:t>
      </w:r>
      <w:r w:rsidRPr="009F0DEC">
        <w:tab/>
        <w:t xml:space="preserve">so much of any other amounts you can deduct for the current year in relation to expenditure you incur under an </w:t>
      </w:r>
      <w:r w:rsidR="00592076" w:rsidRPr="00592076">
        <w:rPr>
          <w:position w:val="6"/>
          <w:sz w:val="16"/>
        </w:rPr>
        <w:t>*</w:t>
      </w:r>
      <w:r w:rsidRPr="009F0DEC">
        <w:t xml:space="preserve">arrangement with a </w:t>
      </w:r>
      <w:r w:rsidR="00592076" w:rsidRPr="00592076">
        <w:rPr>
          <w:position w:val="6"/>
          <w:sz w:val="16"/>
        </w:rPr>
        <w:t>*</w:t>
      </w:r>
      <w:r w:rsidRPr="009F0DEC">
        <w:t>carbon service provider to the extent that:</w:t>
      </w:r>
    </w:p>
    <w:p w14:paraId="7A3F3B9D" w14:textId="77777777" w:rsidR="004D321B" w:rsidRPr="009F0DEC" w:rsidRDefault="004D321B" w:rsidP="00592076">
      <w:pPr>
        <w:pStyle w:val="paragraphsub"/>
      </w:pPr>
      <w:r w:rsidRPr="009F0DEC">
        <w:tab/>
        <w:t>(i)</w:t>
      </w:r>
      <w:r w:rsidRPr="009F0DEC">
        <w:tab/>
        <w:t xml:space="preserve">the arrangement relates to the provider starting to hold, holding or ceasing to hold an </w:t>
      </w:r>
      <w:r w:rsidR="00592076" w:rsidRPr="00592076">
        <w:rPr>
          <w:position w:val="6"/>
          <w:sz w:val="16"/>
        </w:rPr>
        <w:t>*</w:t>
      </w:r>
      <w:r w:rsidRPr="009F0DEC">
        <w:t>Australian carbon credit unit; and</w:t>
      </w:r>
    </w:p>
    <w:p w14:paraId="66DEF445" w14:textId="77777777" w:rsidR="004D321B" w:rsidRPr="009F0DEC" w:rsidRDefault="004D321B" w:rsidP="00592076">
      <w:pPr>
        <w:pStyle w:val="paragraphsub"/>
      </w:pPr>
      <w:r w:rsidRPr="009F0DEC">
        <w:tab/>
        <w:t>(ii)</w:t>
      </w:r>
      <w:r w:rsidRPr="009F0DEC">
        <w:tab/>
        <w:t>the unit would have been a primary producer registered emissions unit if you were starting to hold, holding or ceasing to hold the unit (as applicable) instead of the provider; and</w:t>
      </w:r>
    </w:p>
    <w:p w14:paraId="124DDF40" w14:textId="77777777" w:rsidR="004D321B" w:rsidRPr="009F0DEC" w:rsidRDefault="004D321B" w:rsidP="00592076">
      <w:pPr>
        <w:pStyle w:val="paragraphsub"/>
      </w:pPr>
      <w:r w:rsidRPr="009F0DEC">
        <w:tab/>
        <w:t>(iii)</w:t>
      </w:r>
      <w:r w:rsidRPr="009F0DEC">
        <w:tab/>
        <w:t xml:space="preserve">the expenditure does not relate to you giving the provider a </w:t>
      </w:r>
      <w:r w:rsidR="00592076" w:rsidRPr="00592076">
        <w:rPr>
          <w:position w:val="6"/>
          <w:sz w:val="16"/>
        </w:rPr>
        <w:t>*</w:t>
      </w:r>
      <w:r w:rsidRPr="009F0DEC">
        <w:t>quasi</w:t>
      </w:r>
      <w:r w:rsidR="00592076">
        <w:noBreakHyphen/>
      </w:r>
      <w:r w:rsidRPr="009F0DEC">
        <w:t>ownership right over land.</w:t>
      </w:r>
    </w:p>
    <w:p w14:paraId="507A481B" w14:textId="77777777" w:rsidR="004D321B" w:rsidRPr="009F0DEC" w:rsidRDefault="004D321B" w:rsidP="00592076">
      <w:pPr>
        <w:pStyle w:val="notetext"/>
      </w:pPr>
      <w:r w:rsidRPr="009F0DEC">
        <w:t>Note 1:</w:t>
      </w:r>
      <w:r w:rsidRPr="009F0DEC">
        <w:tab/>
        <w:t>For the expenditure covered by subparagraph (c)(i), see subsections 420</w:t>
      </w:r>
      <w:r w:rsidR="00592076">
        <w:noBreakHyphen/>
      </w:r>
      <w:r w:rsidRPr="009F0DEC">
        <w:t>15(1) and (4) and 420</w:t>
      </w:r>
      <w:r w:rsidR="00592076">
        <w:noBreakHyphen/>
      </w:r>
      <w:r w:rsidRPr="009F0DEC">
        <w:t>65(4).</w:t>
      </w:r>
    </w:p>
    <w:p w14:paraId="7E2D13F0" w14:textId="77777777" w:rsidR="004D321B" w:rsidRPr="009F0DEC" w:rsidRDefault="004D321B" w:rsidP="00592076">
      <w:pPr>
        <w:pStyle w:val="notetext"/>
      </w:pPr>
      <w:r w:rsidRPr="009F0DEC">
        <w:t>Note 2:</w:t>
      </w:r>
      <w:r w:rsidRPr="009F0DEC">
        <w:tab/>
        <w:t>For the expenditure covered by subparagraph (c)(iii), see subsection 420</w:t>
      </w:r>
      <w:r w:rsidR="00592076">
        <w:noBreakHyphen/>
      </w:r>
      <w:r w:rsidRPr="009F0DEC">
        <w:t>42(1).</w:t>
      </w:r>
    </w:p>
    <w:p w14:paraId="2262E01E" w14:textId="77777777" w:rsidR="004D321B" w:rsidRPr="009F0DEC" w:rsidRDefault="002D2E80" w:rsidP="00592076">
      <w:pPr>
        <w:pStyle w:val="ItemHead"/>
      </w:pPr>
      <w:r w:rsidRPr="009F0DEC">
        <w:t>3</w:t>
      </w:r>
      <w:r w:rsidR="004D321B" w:rsidRPr="009F0DEC">
        <w:t xml:space="preserve">  At the end of Subdivision 420</w:t>
      </w:r>
      <w:r w:rsidR="00592076">
        <w:noBreakHyphen/>
      </w:r>
      <w:r w:rsidR="004D321B" w:rsidRPr="009F0DEC">
        <w:t>A</w:t>
      </w:r>
    </w:p>
    <w:p w14:paraId="463C912D" w14:textId="77777777" w:rsidR="004D321B" w:rsidRPr="009F0DEC" w:rsidRDefault="004D321B" w:rsidP="00592076">
      <w:pPr>
        <w:pStyle w:val="Item"/>
      </w:pPr>
      <w:r w:rsidRPr="009F0DEC">
        <w:t>Add:</w:t>
      </w:r>
    </w:p>
    <w:p w14:paraId="1C9A409E" w14:textId="77777777" w:rsidR="004D321B" w:rsidRPr="009F0DEC" w:rsidRDefault="004D321B" w:rsidP="00592076">
      <w:pPr>
        <w:pStyle w:val="ActHead5"/>
      </w:pPr>
      <w:bookmarkStart w:id="13" w:name="_Toc138426211"/>
      <w:r w:rsidRPr="00C1515F">
        <w:rPr>
          <w:rStyle w:val="CharSectno"/>
        </w:rPr>
        <w:t>420</w:t>
      </w:r>
      <w:r w:rsidR="00592076" w:rsidRPr="00C1515F">
        <w:rPr>
          <w:rStyle w:val="CharSectno"/>
        </w:rPr>
        <w:noBreakHyphen/>
      </w:r>
      <w:r w:rsidRPr="00C1515F">
        <w:rPr>
          <w:rStyle w:val="CharSectno"/>
        </w:rPr>
        <w:t>13</w:t>
      </w:r>
      <w:r w:rsidRPr="009F0DEC">
        <w:t xml:space="preserve">  Meaning of </w:t>
      </w:r>
      <w:r w:rsidRPr="009F0DEC">
        <w:rPr>
          <w:i/>
        </w:rPr>
        <w:t>primary producer registered emissions unit</w:t>
      </w:r>
      <w:bookmarkEnd w:id="13"/>
    </w:p>
    <w:p w14:paraId="64ADBBFF" w14:textId="77777777" w:rsidR="004D321B" w:rsidRPr="009F0DEC" w:rsidRDefault="004D321B" w:rsidP="00592076">
      <w:pPr>
        <w:pStyle w:val="subsection"/>
      </w:pPr>
      <w:r w:rsidRPr="009F0DEC">
        <w:tab/>
      </w:r>
      <w:r w:rsidRPr="009F0DEC">
        <w:tab/>
        <w:t xml:space="preserve">A </w:t>
      </w:r>
      <w:r w:rsidR="00592076" w:rsidRPr="00592076">
        <w:rPr>
          <w:position w:val="6"/>
          <w:sz w:val="16"/>
        </w:rPr>
        <w:t>*</w:t>
      </w:r>
      <w:r w:rsidRPr="009F0DEC">
        <w:t xml:space="preserve">registered emissions unit you start to </w:t>
      </w:r>
      <w:r w:rsidR="00592076" w:rsidRPr="00592076">
        <w:rPr>
          <w:position w:val="6"/>
          <w:sz w:val="16"/>
        </w:rPr>
        <w:t>*</w:t>
      </w:r>
      <w:r w:rsidRPr="009F0DEC">
        <w:t xml:space="preserve">hold, hold or cease to hold is a </w:t>
      </w:r>
      <w:r w:rsidRPr="009F0DEC">
        <w:rPr>
          <w:b/>
          <w:i/>
        </w:rPr>
        <w:t>primary producer registered emissions unit</w:t>
      </w:r>
      <w:r w:rsidRPr="009F0DEC">
        <w:t xml:space="preserve"> if:</w:t>
      </w:r>
    </w:p>
    <w:p w14:paraId="7812143A" w14:textId="77777777" w:rsidR="004D321B" w:rsidRPr="009F0DEC" w:rsidRDefault="004D321B" w:rsidP="00592076">
      <w:pPr>
        <w:pStyle w:val="paragraph"/>
      </w:pPr>
      <w:r w:rsidRPr="009F0DEC">
        <w:tab/>
        <w:t>(a)</w:t>
      </w:r>
      <w:r w:rsidRPr="009F0DEC">
        <w:tab/>
        <w:t xml:space="preserve">the unit is an </w:t>
      </w:r>
      <w:r w:rsidR="00592076" w:rsidRPr="00592076">
        <w:rPr>
          <w:position w:val="6"/>
          <w:sz w:val="16"/>
        </w:rPr>
        <w:t>*</w:t>
      </w:r>
      <w:r w:rsidRPr="009F0DEC">
        <w:t>Australian carbon credit unit; and</w:t>
      </w:r>
    </w:p>
    <w:p w14:paraId="689EF92B" w14:textId="77777777" w:rsidR="004D321B" w:rsidRPr="009F0DEC" w:rsidRDefault="004D321B" w:rsidP="00592076">
      <w:pPr>
        <w:pStyle w:val="paragraph"/>
      </w:pPr>
      <w:r w:rsidRPr="009F0DEC">
        <w:tab/>
        <w:t>(b)</w:t>
      </w:r>
      <w:r w:rsidRPr="009F0DEC">
        <w:tab/>
        <w:t>you are an individual; and</w:t>
      </w:r>
    </w:p>
    <w:p w14:paraId="35C9C974" w14:textId="77777777" w:rsidR="004D321B" w:rsidRPr="009F0DEC" w:rsidRDefault="004D321B" w:rsidP="00592076">
      <w:pPr>
        <w:pStyle w:val="paragraph"/>
      </w:pPr>
      <w:r w:rsidRPr="009F0DEC">
        <w:tab/>
        <w:t>(c)</w:t>
      </w:r>
      <w:r w:rsidRPr="009F0DEC">
        <w:tab/>
        <w:t xml:space="preserve">your holding of the unit starts on or after </w:t>
      </w:r>
      <w:r w:rsidR="00AC7332" w:rsidRPr="009F0DEC">
        <w:t>1 July</w:t>
      </w:r>
      <w:r w:rsidRPr="009F0DEC">
        <w:t xml:space="preserve"> 2022 because the unit:</w:t>
      </w:r>
    </w:p>
    <w:p w14:paraId="19423106" w14:textId="77777777" w:rsidR="004D321B" w:rsidRPr="009F0DEC" w:rsidRDefault="004D321B" w:rsidP="00592076">
      <w:pPr>
        <w:pStyle w:val="paragraphsub"/>
      </w:pPr>
      <w:r w:rsidRPr="009F0DEC">
        <w:tab/>
        <w:t>(i)</w:t>
      </w:r>
      <w:r w:rsidRPr="009F0DEC">
        <w:tab/>
        <w:t xml:space="preserve">is issued to you under the </w:t>
      </w:r>
      <w:r w:rsidRPr="009F0DEC">
        <w:rPr>
          <w:i/>
          <w:iCs/>
        </w:rPr>
        <w:t>Carbon Credits (Carbon Farming Initiative) Act 2011</w:t>
      </w:r>
      <w:r w:rsidRPr="009F0DEC">
        <w:rPr>
          <w:iCs/>
        </w:rPr>
        <w:t xml:space="preserve"> in relation to an eligible offsets project (within the meaning of that Act); or</w:t>
      </w:r>
    </w:p>
    <w:p w14:paraId="1B5F6A68" w14:textId="77777777" w:rsidR="004D321B" w:rsidRPr="009F0DEC" w:rsidRDefault="004D321B" w:rsidP="00592076">
      <w:pPr>
        <w:pStyle w:val="paragraphsub"/>
        <w:rPr>
          <w:iCs/>
        </w:rPr>
      </w:pPr>
      <w:r w:rsidRPr="009F0DEC">
        <w:tab/>
        <w:t>(ii)</w:t>
      </w:r>
      <w:r w:rsidRPr="009F0DEC">
        <w:tab/>
      </w:r>
      <w:r w:rsidRPr="009F0DEC">
        <w:rPr>
          <w:iCs/>
        </w:rPr>
        <w:t xml:space="preserve">is transferred to you by a </w:t>
      </w:r>
      <w:r w:rsidR="00592076" w:rsidRPr="00592076">
        <w:rPr>
          <w:iCs/>
          <w:position w:val="6"/>
          <w:sz w:val="16"/>
        </w:rPr>
        <w:t>*</w:t>
      </w:r>
      <w:r w:rsidRPr="009F0DEC">
        <w:rPr>
          <w:iCs/>
        </w:rPr>
        <w:t xml:space="preserve">carbon service provider that was holding the unit because the unit was issued to the provider on or after </w:t>
      </w:r>
      <w:r w:rsidR="00AC7332" w:rsidRPr="009F0DEC">
        <w:rPr>
          <w:iCs/>
        </w:rPr>
        <w:t>1 July</w:t>
      </w:r>
      <w:r w:rsidRPr="009F0DEC">
        <w:rPr>
          <w:iCs/>
        </w:rPr>
        <w:t xml:space="preserve"> 2022 under that Act in relation to such a project; and</w:t>
      </w:r>
    </w:p>
    <w:p w14:paraId="3681C63D" w14:textId="77777777" w:rsidR="004D321B" w:rsidRPr="009F0DEC" w:rsidRDefault="004D321B" w:rsidP="00592076">
      <w:pPr>
        <w:pStyle w:val="paragraph"/>
      </w:pPr>
      <w:r w:rsidRPr="009F0DEC">
        <w:tab/>
        <w:t>(d)</w:t>
      </w:r>
      <w:r w:rsidRPr="009F0DEC">
        <w:tab/>
        <w:t xml:space="preserve">at all times while the project is carried on, a </w:t>
      </w:r>
      <w:r w:rsidR="00592076" w:rsidRPr="00592076">
        <w:rPr>
          <w:position w:val="6"/>
          <w:sz w:val="16"/>
        </w:rPr>
        <w:t>*</w:t>
      </w:r>
      <w:r w:rsidRPr="009F0DEC">
        <w:t>primary production business is carried on:</w:t>
      </w:r>
    </w:p>
    <w:p w14:paraId="2B9EDD51" w14:textId="77777777" w:rsidR="004D321B" w:rsidRPr="009F0DEC" w:rsidRDefault="004D321B" w:rsidP="00592076">
      <w:pPr>
        <w:pStyle w:val="paragraphsub"/>
      </w:pPr>
      <w:r w:rsidRPr="009F0DEC">
        <w:tab/>
        <w:t>(i)</w:t>
      </w:r>
      <w:r w:rsidRPr="009F0DEC">
        <w:tab/>
        <w:t>in the same area as the project; or</w:t>
      </w:r>
    </w:p>
    <w:p w14:paraId="089D2706" w14:textId="77777777" w:rsidR="004D321B" w:rsidRPr="009F0DEC" w:rsidRDefault="004D321B" w:rsidP="00592076">
      <w:pPr>
        <w:pStyle w:val="paragraphsub"/>
      </w:pPr>
      <w:r w:rsidRPr="009F0DEC">
        <w:tab/>
        <w:t>(ii)</w:t>
      </w:r>
      <w:r w:rsidRPr="009F0DEC">
        <w:tab/>
        <w:t>in an area connected to an area in which the project is carried on; and</w:t>
      </w:r>
    </w:p>
    <w:p w14:paraId="0FEEC64F" w14:textId="77777777" w:rsidR="004D321B" w:rsidRPr="009F0DEC" w:rsidRDefault="004D321B" w:rsidP="00592076">
      <w:pPr>
        <w:pStyle w:val="paragraph"/>
      </w:pPr>
      <w:r w:rsidRPr="009F0DEC">
        <w:tab/>
        <w:t>(e)</w:t>
      </w:r>
      <w:r w:rsidRPr="009F0DEC">
        <w:tab/>
        <w:t>at all times while the project is carried on, you are:</w:t>
      </w:r>
    </w:p>
    <w:p w14:paraId="563A6FDB" w14:textId="77777777" w:rsidR="004D321B" w:rsidRPr="009F0DEC" w:rsidRDefault="004D321B" w:rsidP="00592076">
      <w:pPr>
        <w:pStyle w:val="paragraphsub"/>
      </w:pPr>
      <w:r w:rsidRPr="009F0DEC">
        <w:tab/>
        <w:t>(i)</w:t>
      </w:r>
      <w:r w:rsidRPr="009F0DEC">
        <w:tab/>
        <w:t>carrying on a primary production business covered by paragraph (d); or</w:t>
      </w:r>
    </w:p>
    <w:p w14:paraId="1AE21661" w14:textId="77777777" w:rsidR="004D321B" w:rsidRPr="009F0DEC" w:rsidRDefault="004D321B" w:rsidP="00592076">
      <w:pPr>
        <w:pStyle w:val="paragraphsub"/>
      </w:pPr>
      <w:r w:rsidRPr="009F0DEC">
        <w:tab/>
        <w:t>(ii)</w:t>
      </w:r>
      <w:r w:rsidRPr="009F0DEC">
        <w:tab/>
        <w:t>a beneficiary of a trust that is carrying on a primary production business covered by paragraph (d); or</w:t>
      </w:r>
    </w:p>
    <w:p w14:paraId="6E813757" w14:textId="77777777" w:rsidR="004D321B" w:rsidRPr="009F0DEC" w:rsidRDefault="004D321B" w:rsidP="00592076">
      <w:pPr>
        <w:pStyle w:val="paragraphsub"/>
      </w:pPr>
      <w:r w:rsidRPr="009F0DEC">
        <w:tab/>
        <w:t>(iii)</w:t>
      </w:r>
      <w:r w:rsidRPr="009F0DEC">
        <w:tab/>
        <w:t>a partner in a partnership that is carrying on a primary production business covered by paragraph (d).</w:t>
      </w:r>
    </w:p>
    <w:p w14:paraId="6E34F5F8" w14:textId="77777777" w:rsidR="004D321B" w:rsidRPr="009F0DEC" w:rsidRDefault="004D321B" w:rsidP="00592076">
      <w:pPr>
        <w:pStyle w:val="notetext"/>
      </w:pPr>
      <w:r w:rsidRPr="009F0DEC">
        <w:t>Note 1:</w:t>
      </w:r>
      <w:r w:rsidRPr="009F0DEC">
        <w:tab/>
        <w:t>If you cease to hold the registered emissions unit, the unit is not a primary producer registered emissions unit for any new holder of the unit (see paragraph (c)).</w:t>
      </w:r>
    </w:p>
    <w:p w14:paraId="00CD248F" w14:textId="77777777" w:rsidR="004D321B" w:rsidRPr="009F0DEC" w:rsidRDefault="004D321B" w:rsidP="00592076">
      <w:pPr>
        <w:pStyle w:val="notetext"/>
      </w:pPr>
      <w:r w:rsidRPr="009F0DEC">
        <w:t>Note 2:</w:t>
      </w:r>
      <w:r w:rsidRPr="009F0DEC">
        <w:tab/>
        <w:t>A consequence of paragraph (c) is that the unit will not be a primary producer registered emissions unit for you for a subsequent holding of it. That is, if after disposing of the unit you later reacquire it.</w:t>
      </w:r>
    </w:p>
    <w:p w14:paraId="59001FFF" w14:textId="77777777" w:rsidR="004D321B" w:rsidRPr="009F0DEC" w:rsidRDefault="004D321B" w:rsidP="00592076">
      <w:pPr>
        <w:pStyle w:val="notetext"/>
      </w:pPr>
      <w:r w:rsidRPr="009F0DEC">
        <w:t>Note 3:</w:t>
      </w:r>
      <w:r w:rsidRPr="009F0DEC">
        <w:tab/>
        <w:t>Different subparagraphs of paragraph (e) may apply to you at different times.</w:t>
      </w:r>
    </w:p>
    <w:p w14:paraId="74D84D41" w14:textId="77777777" w:rsidR="004D321B" w:rsidRPr="009F0DEC" w:rsidRDefault="002D2E80" w:rsidP="00592076">
      <w:pPr>
        <w:pStyle w:val="ItemHead"/>
      </w:pPr>
      <w:r w:rsidRPr="009F0DEC">
        <w:t>4</w:t>
      </w:r>
      <w:r w:rsidR="004D321B" w:rsidRPr="009F0DEC">
        <w:t xml:space="preserve">  At the end of Subdivision 420</w:t>
      </w:r>
      <w:r w:rsidR="00592076">
        <w:noBreakHyphen/>
      </w:r>
      <w:r w:rsidR="004D321B" w:rsidRPr="009F0DEC">
        <w:t>D</w:t>
      </w:r>
    </w:p>
    <w:p w14:paraId="2918B731" w14:textId="77777777" w:rsidR="004D321B" w:rsidRPr="009F0DEC" w:rsidRDefault="004D321B" w:rsidP="00592076">
      <w:pPr>
        <w:pStyle w:val="Item"/>
      </w:pPr>
      <w:r w:rsidRPr="009F0DEC">
        <w:t>Add:</w:t>
      </w:r>
    </w:p>
    <w:p w14:paraId="3438A0F4" w14:textId="77777777" w:rsidR="004D321B" w:rsidRPr="009F0DEC" w:rsidRDefault="004D321B" w:rsidP="00592076">
      <w:pPr>
        <w:pStyle w:val="ActHead5"/>
      </w:pPr>
      <w:bookmarkStart w:id="14" w:name="_Toc138426212"/>
      <w:r w:rsidRPr="00C1515F">
        <w:rPr>
          <w:rStyle w:val="CharSectno"/>
        </w:rPr>
        <w:t>420</w:t>
      </w:r>
      <w:r w:rsidR="00592076" w:rsidRPr="00C1515F">
        <w:rPr>
          <w:rStyle w:val="CharSectno"/>
        </w:rPr>
        <w:noBreakHyphen/>
      </w:r>
      <w:r w:rsidRPr="00C1515F">
        <w:rPr>
          <w:rStyle w:val="CharSectno"/>
        </w:rPr>
        <w:t>62</w:t>
      </w:r>
      <w:r w:rsidRPr="009F0DEC">
        <w:t xml:space="preserve">  Primary producer registered emissions units</w:t>
      </w:r>
      <w:bookmarkEnd w:id="14"/>
    </w:p>
    <w:p w14:paraId="7B83756C" w14:textId="77777777" w:rsidR="004D321B" w:rsidRPr="009F0DEC" w:rsidRDefault="004D321B" w:rsidP="00592076">
      <w:pPr>
        <w:pStyle w:val="subsection"/>
      </w:pPr>
      <w:r w:rsidRPr="009F0DEC">
        <w:tab/>
      </w:r>
      <w:r w:rsidRPr="009F0DEC">
        <w:tab/>
        <w:t>This Subdivision (other than section 420</w:t>
      </w:r>
      <w:r w:rsidR="00592076">
        <w:noBreakHyphen/>
      </w:r>
      <w:r w:rsidRPr="009F0DEC">
        <w:t xml:space="preserve">60) does not apply to you in relation to a </w:t>
      </w:r>
      <w:r w:rsidR="00592076" w:rsidRPr="00592076">
        <w:rPr>
          <w:position w:val="6"/>
          <w:sz w:val="16"/>
        </w:rPr>
        <w:t>*</w:t>
      </w:r>
      <w:r w:rsidRPr="009F0DEC">
        <w:t>primary producer registered emissions unit.</w:t>
      </w:r>
    </w:p>
    <w:p w14:paraId="7D3CA6B1" w14:textId="77777777" w:rsidR="004D321B" w:rsidRPr="009F0DEC" w:rsidRDefault="002D2E80" w:rsidP="00592076">
      <w:pPr>
        <w:pStyle w:val="ItemHead"/>
      </w:pPr>
      <w:r w:rsidRPr="009F0DEC">
        <w:t>5</w:t>
      </w:r>
      <w:r w:rsidR="004D321B" w:rsidRPr="009F0DEC">
        <w:t xml:space="preserve">  At the end of section 420</w:t>
      </w:r>
      <w:r w:rsidR="00592076">
        <w:noBreakHyphen/>
      </w:r>
      <w:r w:rsidR="004D321B" w:rsidRPr="009F0DEC">
        <w:t>65</w:t>
      </w:r>
    </w:p>
    <w:p w14:paraId="1AD3DB40" w14:textId="77777777" w:rsidR="004D321B" w:rsidRPr="009F0DEC" w:rsidRDefault="004D321B" w:rsidP="00592076">
      <w:pPr>
        <w:pStyle w:val="Item"/>
      </w:pPr>
      <w:r w:rsidRPr="009F0DEC">
        <w:t>Add:</w:t>
      </w:r>
    </w:p>
    <w:p w14:paraId="4C8EDEF8" w14:textId="77777777" w:rsidR="004D321B" w:rsidRPr="009F0DEC" w:rsidRDefault="004D321B" w:rsidP="00592076">
      <w:pPr>
        <w:pStyle w:val="SubsectionHead"/>
      </w:pPr>
      <w:r w:rsidRPr="009F0DEC">
        <w:t>Primary producer registered emissions units</w:t>
      </w:r>
    </w:p>
    <w:p w14:paraId="200CBD31" w14:textId="77777777" w:rsidR="004D321B" w:rsidRPr="009F0DEC" w:rsidRDefault="004D321B" w:rsidP="00592076">
      <w:pPr>
        <w:pStyle w:val="subsection"/>
      </w:pPr>
      <w:r w:rsidRPr="009F0DEC">
        <w:tab/>
        <w:t>(7)</w:t>
      </w:r>
      <w:r w:rsidRPr="009F0DEC">
        <w:tab/>
        <w:t>Subsections (1), (2) and (6) do not affect the application of:</w:t>
      </w:r>
    </w:p>
    <w:p w14:paraId="23C2C643" w14:textId="77777777" w:rsidR="004D321B" w:rsidRPr="009F0DEC" w:rsidRDefault="004D321B" w:rsidP="00592076">
      <w:pPr>
        <w:pStyle w:val="paragraph"/>
      </w:pPr>
      <w:r w:rsidRPr="009F0DEC">
        <w:tab/>
        <w:t>(a)</w:t>
      </w:r>
      <w:r w:rsidRPr="009F0DEC">
        <w:tab/>
        <w:t>Division 392 (long</w:t>
      </w:r>
      <w:r w:rsidR="00592076">
        <w:noBreakHyphen/>
      </w:r>
      <w:r w:rsidRPr="009F0DEC">
        <w:t>term averaging of primary producers’ tax liability); or</w:t>
      </w:r>
    </w:p>
    <w:p w14:paraId="023CBA6E" w14:textId="77777777" w:rsidR="004D321B" w:rsidRPr="009F0DEC" w:rsidRDefault="004D321B" w:rsidP="00592076">
      <w:pPr>
        <w:pStyle w:val="paragraph"/>
      </w:pPr>
      <w:r w:rsidRPr="009F0DEC">
        <w:tab/>
        <w:t>(b)</w:t>
      </w:r>
      <w:r w:rsidRPr="009F0DEC">
        <w:tab/>
        <w:t>Division 393 (farm management deposits);</w:t>
      </w:r>
    </w:p>
    <w:p w14:paraId="6EC8C960" w14:textId="77777777" w:rsidR="004D321B" w:rsidRPr="009F0DEC" w:rsidRDefault="004D321B" w:rsidP="00592076">
      <w:pPr>
        <w:pStyle w:val="subsection2"/>
      </w:pPr>
      <w:r w:rsidRPr="009F0DEC">
        <w:t xml:space="preserve">to expenditure to the extent that you incur it in becoming the </w:t>
      </w:r>
      <w:r w:rsidR="00592076" w:rsidRPr="00592076">
        <w:rPr>
          <w:position w:val="6"/>
          <w:sz w:val="16"/>
        </w:rPr>
        <w:t>*</w:t>
      </w:r>
      <w:r w:rsidRPr="009F0DEC">
        <w:t xml:space="preserve">holder of, or ceasing to hold, a </w:t>
      </w:r>
      <w:r w:rsidR="00592076" w:rsidRPr="00592076">
        <w:rPr>
          <w:position w:val="6"/>
          <w:sz w:val="16"/>
        </w:rPr>
        <w:t>*</w:t>
      </w:r>
      <w:r w:rsidRPr="009F0DEC">
        <w:t>primary producer registered emissions unit.</w:t>
      </w:r>
    </w:p>
    <w:p w14:paraId="27E269A8" w14:textId="77777777" w:rsidR="004D321B" w:rsidRPr="009F0DEC" w:rsidRDefault="002D2E80" w:rsidP="00592076">
      <w:pPr>
        <w:pStyle w:val="ItemHead"/>
      </w:pPr>
      <w:r w:rsidRPr="009F0DEC">
        <w:t>6</w:t>
      </w:r>
      <w:r w:rsidR="004D321B" w:rsidRPr="009F0DEC">
        <w:t xml:space="preserve">  After subsection 420</w:t>
      </w:r>
      <w:r w:rsidR="00592076">
        <w:noBreakHyphen/>
      </w:r>
      <w:r w:rsidR="004D321B" w:rsidRPr="009F0DEC">
        <w:t>70(2)</w:t>
      </w:r>
    </w:p>
    <w:p w14:paraId="33FC0D4D" w14:textId="77777777" w:rsidR="004D321B" w:rsidRPr="009F0DEC" w:rsidRDefault="004D321B" w:rsidP="00592076">
      <w:pPr>
        <w:pStyle w:val="Item"/>
      </w:pPr>
      <w:r w:rsidRPr="009F0DEC">
        <w:t>Insert:</w:t>
      </w:r>
    </w:p>
    <w:p w14:paraId="67971072" w14:textId="77777777" w:rsidR="004D321B" w:rsidRPr="009F0DEC" w:rsidRDefault="004D321B" w:rsidP="00592076">
      <w:pPr>
        <w:pStyle w:val="subsection"/>
      </w:pPr>
      <w:r w:rsidRPr="009F0DEC">
        <w:tab/>
        <w:t>(3)</w:t>
      </w:r>
      <w:r w:rsidRPr="009F0DEC">
        <w:tab/>
        <w:t>Subsections (1) and (4) do not affect the application of:</w:t>
      </w:r>
    </w:p>
    <w:p w14:paraId="295EDE93" w14:textId="77777777" w:rsidR="004D321B" w:rsidRPr="009F0DEC" w:rsidRDefault="004D321B" w:rsidP="00592076">
      <w:pPr>
        <w:pStyle w:val="paragraph"/>
      </w:pPr>
      <w:r w:rsidRPr="009F0DEC">
        <w:tab/>
        <w:t>(a)</w:t>
      </w:r>
      <w:r w:rsidRPr="009F0DEC">
        <w:tab/>
        <w:t>Division 392 (long</w:t>
      </w:r>
      <w:r w:rsidR="00592076">
        <w:noBreakHyphen/>
      </w:r>
      <w:r w:rsidRPr="009F0DEC">
        <w:t>term averaging of primary producers’ tax liability); or</w:t>
      </w:r>
    </w:p>
    <w:p w14:paraId="378D7C3A" w14:textId="77777777" w:rsidR="004D321B" w:rsidRPr="009F0DEC" w:rsidRDefault="004D321B" w:rsidP="00592076">
      <w:pPr>
        <w:pStyle w:val="paragraph"/>
      </w:pPr>
      <w:r w:rsidRPr="009F0DEC">
        <w:tab/>
        <w:t>(b)</w:t>
      </w:r>
      <w:r w:rsidRPr="009F0DEC">
        <w:tab/>
        <w:t>Division 393 (farm management deposits);</w:t>
      </w:r>
    </w:p>
    <w:p w14:paraId="49E39A35" w14:textId="77777777" w:rsidR="004D321B" w:rsidRPr="009F0DEC" w:rsidRDefault="004D321B" w:rsidP="00592076">
      <w:pPr>
        <w:pStyle w:val="subsection2"/>
      </w:pPr>
      <w:r w:rsidRPr="009F0DEC">
        <w:t xml:space="preserve">to an amount that you are entitled to receive because you ceased to </w:t>
      </w:r>
      <w:r w:rsidR="00592076" w:rsidRPr="00592076">
        <w:rPr>
          <w:position w:val="6"/>
          <w:sz w:val="16"/>
        </w:rPr>
        <w:t>*</w:t>
      </w:r>
      <w:r w:rsidRPr="009F0DEC">
        <w:t xml:space="preserve">hold a </w:t>
      </w:r>
      <w:r w:rsidR="00592076" w:rsidRPr="00592076">
        <w:rPr>
          <w:position w:val="6"/>
          <w:sz w:val="16"/>
        </w:rPr>
        <w:t>*</w:t>
      </w:r>
      <w:r w:rsidRPr="009F0DEC">
        <w:t>primary producer registered emissions unit.</w:t>
      </w:r>
    </w:p>
    <w:p w14:paraId="3B9FB4A0" w14:textId="77777777" w:rsidR="004D321B" w:rsidRPr="009F0DEC" w:rsidRDefault="002D2E80" w:rsidP="00592076">
      <w:pPr>
        <w:pStyle w:val="ItemHead"/>
      </w:pPr>
      <w:r w:rsidRPr="009F0DEC">
        <w:t>7</w:t>
      </w:r>
      <w:r w:rsidR="004D321B" w:rsidRPr="009F0DEC">
        <w:t xml:space="preserve">  Subsection 995</w:t>
      </w:r>
      <w:r w:rsidR="00592076">
        <w:noBreakHyphen/>
      </w:r>
      <w:r w:rsidR="004D321B" w:rsidRPr="009F0DEC">
        <w:t>1(1)</w:t>
      </w:r>
    </w:p>
    <w:p w14:paraId="78E14200" w14:textId="77777777" w:rsidR="004D321B" w:rsidRPr="009F0DEC" w:rsidRDefault="004D321B" w:rsidP="00592076">
      <w:pPr>
        <w:pStyle w:val="Item"/>
      </w:pPr>
      <w:r w:rsidRPr="009F0DEC">
        <w:t>Insert:</w:t>
      </w:r>
    </w:p>
    <w:p w14:paraId="74ADFF12" w14:textId="77777777" w:rsidR="004D321B" w:rsidRPr="009F0DEC" w:rsidRDefault="004D321B" w:rsidP="00592076">
      <w:pPr>
        <w:pStyle w:val="Definition"/>
      </w:pPr>
      <w:r w:rsidRPr="009F0DEC">
        <w:rPr>
          <w:b/>
          <w:i/>
        </w:rPr>
        <w:t>carbon service provider</w:t>
      </w:r>
      <w:r w:rsidRPr="009F0DEC">
        <w:t xml:space="preserve"> means an entity that carries on the </w:t>
      </w:r>
      <w:r w:rsidR="00592076" w:rsidRPr="00592076">
        <w:rPr>
          <w:position w:val="6"/>
          <w:sz w:val="16"/>
        </w:rPr>
        <w:t>*</w:t>
      </w:r>
      <w:r w:rsidRPr="009F0DEC">
        <w:t xml:space="preserve">business of providing services wholly or mainly relating to offsets projects (within the meaning of the </w:t>
      </w:r>
      <w:r w:rsidRPr="009F0DEC">
        <w:rPr>
          <w:i/>
          <w:iCs/>
        </w:rPr>
        <w:t>Carbon Credits (Carbon Farming Initiative) Act 2011</w:t>
      </w:r>
      <w:r w:rsidRPr="009F0DEC">
        <w:rPr>
          <w:iCs/>
        </w:rPr>
        <w:t>), including services involving the entity carrying out such projects as the project proponent (within the meaning of that Act).</w:t>
      </w:r>
    </w:p>
    <w:p w14:paraId="521F4628" w14:textId="77777777" w:rsidR="004D321B" w:rsidRPr="009F0DEC" w:rsidRDefault="004D321B" w:rsidP="00592076">
      <w:pPr>
        <w:pStyle w:val="Definition"/>
      </w:pPr>
      <w:r w:rsidRPr="009F0DEC">
        <w:rPr>
          <w:b/>
          <w:i/>
        </w:rPr>
        <w:t xml:space="preserve">primary producer registered emissions unit </w:t>
      </w:r>
      <w:r w:rsidRPr="009F0DEC">
        <w:t>has the meaning given by section 420</w:t>
      </w:r>
      <w:r w:rsidR="00592076">
        <w:noBreakHyphen/>
      </w:r>
      <w:r w:rsidRPr="009F0DEC">
        <w:t>13.</w:t>
      </w:r>
    </w:p>
    <w:p w14:paraId="14D346AC" w14:textId="77777777" w:rsidR="004D321B" w:rsidRPr="009F0DEC" w:rsidRDefault="002D2E80" w:rsidP="00592076">
      <w:pPr>
        <w:pStyle w:val="Transitional"/>
      </w:pPr>
      <w:r w:rsidRPr="009F0DEC">
        <w:t>8</w:t>
      </w:r>
      <w:r w:rsidR="004D321B" w:rsidRPr="009F0DEC">
        <w:t xml:space="preserve">  Application of amendments</w:t>
      </w:r>
    </w:p>
    <w:p w14:paraId="084AFBAC" w14:textId="77777777" w:rsidR="004D321B" w:rsidRPr="009F0DEC" w:rsidRDefault="004D321B" w:rsidP="00592076">
      <w:pPr>
        <w:pStyle w:val="Item"/>
      </w:pPr>
      <w:r w:rsidRPr="009F0DEC">
        <w:t xml:space="preserve">The amendments made by this Schedule apply to assessments for the income year that includes </w:t>
      </w:r>
      <w:r w:rsidR="00AC7332" w:rsidRPr="009F0DEC">
        <w:t>1 July</w:t>
      </w:r>
      <w:r w:rsidRPr="009F0DEC">
        <w:t xml:space="preserve"> 2022 and later income years.</w:t>
      </w:r>
    </w:p>
    <w:p w14:paraId="3FA59807" w14:textId="77777777" w:rsidR="002E498D" w:rsidRPr="009F0DEC" w:rsidRDefault="002E498D" w:rsidP="00592076">
      <w:pPr>
        <w:pStyle w:val="ActHead6"/>
        <w:pageBreakBefore/>
      </w:pPr>
      <w:bookmarkStart w:id="15" w:name="opcAmSched"/>
      <w:bookmarkStart w:id="16" w:name="opcCurrentFind"/>
      <w:bookmarkStart w:id="17" w:name="_Toc138426213"/>
      <w:r w:rsidRPr="00C1515F">
        <w:rPr>
          <w:rStyle w:val="CharAmSchNo"/>
        </w:rPr>
        <w:t>Schedule 4</w:t>
      </w:r>
      <w:r w:rsidRPr="009F0DEC">
        <w:t>—</w:t>
      </w:r>
      <w:r w:rsidR="00592076" w:rsidRPr="00C1515F">
        <w:rPr>
          <w:rStyle w:val="CharAmSchText"/>
        </w:rPr>
        <w:t>Cash flow relief for small and medium businesses</w:t>
      </w:r>
      <w:bookmarkEnd w:id="17"/>
    </w:p>
    <w:p w14:paraId="4EC61444" w14:textId="77777777" w:rsidR="002E498D" w:rsidRPr="009F0DEC" w:rsidRDefault="002E498D" w:rsidP="00592076">
      <w:pPr>
        <w:pStyle w:val="ActHead7"/>
      </w:pPr>
      <w:bookmarkStart w:id="18" w:name="_Toc138426214"/>
      <w:bookmarkEnd w:id="15"/>
      <w:bookmarkEnd w:id="16"/>
      <w:r w:rsidRPr="00C1515F">
        <w:rPr>
          <w:rStyle w:val="CharAmPartNo"/>
        </w:rPr>
        <w:t>Part 1</w:t>
      </w:r>
      <w:r w:rsidRPr="009F0DEC">
        <w:t>—</w:t>
      </w:r>
      <w:r w:rsidRPr="00C1515F">
        <w:rPr>
          <w:rStyle w:val="CharAmPartText"/>
        </w:rPr>
        <w:t>Amendments</w:t>
      </w:r>
      <w:bookmarkEnd w:id="18"/>
    </w:p>
    <w:p w14:paraId="200458BC" w14:textId="77777777" w:rsidR="002E498D" w:rsidRPr="009F0DEC" w:rsidRDefault="002E498D" w:rsidP="00592076">
      <w:pPr>
        <w:pStyle w:val="ActHead9"/>
        <w:rPr>
          <w:i w:val="0"/>
        </w:rPr>
      </w:pPr>
      <w:bookmarkStart w:id="19" w:name="_Toc138426215"/>
      <w:r w:rsidRPr="009F0DEC">
        <w:t>Taxation Administration Act 1953</w:t>
      </w:r>
      <w:bookmarkEnd w:id="19"/>
    </w:p>
    <w:p w14:paraId="61CCEA94" w14:textId="77777777" w:rsidR="002E498D" w:rsidRPr="009F0DEC" w:rsidRDefault="002D2E80" w:rsidP="00592076">
      <w:pPr>
        <w:pStyle w:val="ItemHead"/>
      </w:pPr>
      <w:r w:rsidRPr="009F0DEC">
        <w:t>1</w:t>
      </w:r>
      <w:r w:rsidR="002E498D" w:rsidRPr="009F0DEC">
        <w:t xml:space="preserve">  At the end of section 45</w:t>
      </w:r>
      <w:r w:rsidR="00592076">
        <w:noBreakHyphen/>
      </w:r>
      <w:r w:rsidR="002E498D" w:rsidRPr="009F0DEC">
        <w:t>405 in Schedule 1</w:t>
      </w:r>
    </w:p>
    <w:p w14:paraId="0D501825" w14:textId="77777777" w:rsidR="002E498D" w:rsidRPr="009F0DEC" w:rsidRDefault="002E498D" w:rsidP="00592076">
      <w:pPr>
        <w:pStyle w:val="Item"/>
      </w:pPr>
      <w:r w:rsidRPr="009F0DEC">
        <w:t>Add:</w:t>
      </w:r>
    </w:p>
    <w:p w14:paraId="54BAF7E4" w14:textId="77777777" w:rsidR="002E498D" w:rsidRPr="009F0DEC" w:rsidRDefault="002E498D" w:rsidP="00592076">
      <w:pPr>
        <w:pStyle w:val="SubsectionHead"/>
      </w:pPr>
      <w:r w:rsidRPr="009F0DEC">
        <w:t xml:space="preserve">Reduced </w:t>
      </w:r>
      <w:r w:rsidRPr="009F0DEC">
        <w:rPr>
          <w:b/>
        </w:rPr>
        <w:t>GDP adjustment</w:t>
      </w:r>
      <w:r w:rsidRPr="009F0DEC">
        <w:t xml:space="preserve"> for 2023</w:t>
      </w:r>
      <w:r w:rsidR="00592076">
        <w:noBreakHyphen/>
      </w:r>
      <w:r w:rsidRPr="009F0DEC">
        <w:t>24 income year</w:t>
      </w:r>
    </w:p>
    <w:p w14:paraId="23C4C55D" w14:textId="77777777" w:rsidR="002E498D" w:rsidRPr="009F0DEC" w:rsidRDefault="002E498D" w:rsidP="00592076">
      <w:pPr>
        <w:pStyle w:val="subsection"/>
      </w:pPr>
      <w:r w:rsidRPr="009F0DEC">
        <w:tab/>
        <w:t>(10)</w:t>
      </w:r>
      <w:r w:rsidRPr="009F0DEC">
        <w:tab/>
        <w:t>Despite subsections (3) and (6), if the current year is the 2023</w:t>
      </w:r>
      <w:r w:rsidR="00592076">
        <w:noBreakHyphen/>
      </w:r>
      <w:r w:rsidRPr="009F0DEC">
        <w:t xml:space="preserve">24 income year, then for the purposes of the formula in subsection (2) the </w:t>
      </w:r>
      <w:r w:rsidRPr="009F0DEC">
        <w:rPr>
          <w:b/>
          <w:i/>
        </w:rPr>
        <w:t>GDP adjustment</w:t>
      </w:r>
      <w:r w:rsidRPr="009F0DEC">
        <w:t xml:space="preserve"> is 6%.</w:t>
      </w:r>
    </w:p>
    <w:p w14:paraId="4ED44AF7" w14:textId="77777777" w:rsidR="002E498D" w:rsidRPr="009F0DEC" w:rsidRDefault="002E498D" w:rsidP="00592076">
      <w:pPr>
        <w:pStyle w:val="notetext"/>
      </w:pPr>
      <w:r w:rsidRPr="009F0DEC">
        <w:t>Note:</w:t>
      </w:r>
      <w:r w:rsidRPr="009F0DEC">
        <w:tab/>
        <w:t xml:space="preserve">This subsection will be repealed on 1 July 2028: see Part 2 of Schedule 4 to the </w:t>
      </w:r>
      <w:r w:rsidRPr="009F0DEC">
        <w:rPr>
          <w:i/>
        </w:rPr>
        <w:t>Treasury Laws Amendment (2023 Measures No. 2) Act 2023</w:t>
      </w:r>
      <w:r w:rsidRPr="009F0DEC">
        <w:t>.</w:t>
      </w:r>
    </w:p>
    <w:p w14:paraId="414CB8D4" w14:textId="77777777" w:rsidR="002E498D" w:rsidRPr="009F0DEC" w:rsidRDefault="002D2E80" w:rsidP="00592076">
      <w:pPr>
        <w:pStyle w:val="Transitional"/>
      </w:pPr>
      <w:r w:rsidRPr="009F0DEC">
        <w:t>2</w:t>
      </w:r>
      <w:r w:rsidR="002E498D" w:rsidRPr="009F0DEC">
        <w:t xml:space="preserve">  Application of amendment</w:t>
      </w:r>
    </w:p>
    <w:p w14:paraId="375B615A" w14:textId="77777777" w:rsidR="002E498D" w:rsidRPr="009F0DEC" w:rsidRDefault="002E498D" w:rsidP="00592076">
      <w:pPr>
        <w:pStyle w:val="Item"/>
      </w:pPr>
      <w:r w:rsidRPr="009F0DEC">
        <w:t>The amendment made by this Part applies for the purposes of working out the amount of an instalment:</w:t>
      </w:r>
    </w:p>
    <w:p w14:paraId="47B28659" w14:textId="77777777" w:rsidR="002E498D" w:rsidRPr="009F0DEC" w:rsidRDefault="002E498D" w:rsidP="00592076">
      <w:pPr>
        <w:pStyle w:val="paragraph"/>
      </w:pPr>
      <w:r w:rsidRPr="009F0DEC">
        <w:tab/>
        <w:t>(a)</w:t>
      </w:r>
      <w:r w:rsidRPr="009F0DEC">
        <w:tab/>
        <w:t>for an instalment quarter for the 2023</w:t>
      </w:r>
      <w:r w:rsidR="00592076">
        <w:noBreakHyphen/>
      </w:r>
      <w:r w:rsidRPr="009F0DEC">
        <w:t>24 income year; and</w:t>
      </w:r>
    </w:p>
    <w:p w14:paraId="26D8D734" w14:textId="77777777" w:rsidR="002E498D" w:rsidRPr="009F0DEC" w:rsidRDefault="002E498D" w:rsidP="00592076">
      <w:pPr>
        <w:pStyle w:val="paragraph"/>
      </w:pPr>
      <w:r w:rsidRPr="009F0DEC">
        <w:tab/>
        <w:t>(b)</w:t>
      </w:r>
      <w:r w:rsidRPr="009F0DEC">
        <w:tab/>
        <w:t>that becomes due on or after the commencement of this Part.</w:t>
      </w:r>
    </w:p>
    <w:p w14:paraId="67C4BBAE" w14:textId="77777777" w:rsidR="002E498D" w:rsidRPr="009F0DEC" w:rsidRDefault="002E498D" w:rsidP="00592076">
      <w:pPr>
        <w:pStyle w:val="ActHead7"/>
        <w:pageBreakBefore/>
      </w:pPr>
      <w:bookmarkStart w:id="20" w:name="_Toc138426216"/>
      <w:r w:rsidRPr="00C1515F">
        <w:rPr>
          <w:rStyle w:val="CharAmPartNo"/>
        </w:rPr>
        <w:t>Part 2</w:t>
      </w:r>
      <w:r w:rsidRPr="009F0DEC">
        <w:t>—</w:t>
      </w:r>
      <w:r w:rsidRPr="00C1515F">
        <w:rPr>
          <w:rStyle w:val="CharAmPartText"/>
        </w:rPr>
        <w:t>Sunsetting</w:t>
      </w:r>
      <w:bookmarkEnd w:id="20"/>
    </w:p>
    <w:p w14:paraId="01610198" w14:textId="77777777" w:rsidR="002E498D" w:rsidRPr="009F0DEC" w:rsidRDefault="002E498D" w:rsidP="00592076">
      <w:pPr>
        <w:pStyle w:val="ActHead9"/>
        <w:rPr>
          <w:i w:val="0"/>
        </w:rPr>
      </w:pPr>
      <w:bookmarkStart w:id="21" w:name="_Toc138426217"/>
      <w:r w:rsidRPr="009F0DEC">
        <w:t>Taxation Administration Act 1953</w:t>
      </w:r>
      <w:bookmarkEnd w:id="21"/>
    </w:p>
    <w:p w14:paraId="0186CF9B" w14:textId="77777777" w:rsidR="002E498D" w:rsidRPr="009F0DEC" w:rsidRDefault="002D2E80" w:rsidP="00592076">
      <w:pPr>
        <w:pStyle w:val="ItemHead"/>
      </w:pPr>
      <w:r w:rsidRPr="009F0DEC">
        <w:t>3</w:t>
      </w:r>
      <w:r w:rsidR="002E498D" w:rsidRPr="009F0DEC">
        <w:t xml:space="preserve">  Subsection 45</w:t>
      </w:r>
      <w:r w:rsidR="00592076">
        <w:noBreakHyphen/>
      </w:r>
      <w:r w:rsidR="002E498D" w:rsidRPr="009F0DEC">
        <w:t>405(10) in Schedule 1</w:t>
      </w:r>
    </w:p>
    <w:p w14:paraId="2BD7274E" w14:textId="77777777" w:rsidR="002E498D" w:rsidRPr="009F0DEC" w:rsidRDefault="002E498D" w:rsidP="00592076">
      <w:pPr>
        <w:pStyle w:val="Item"/>
      </w:pPr>
      <w:r w:rsidRPr="009F0DEC">
        <w:t>Repeal the subsection.</w:t>
      </w:r>
    </w:p>
    <w:p w14:paraId="780BB0F0" w14:textId="77777777" w:rsidR="009C6821" w:rsidRPr="009F0DEC" w:rsidRDefault="009C6821" w:rsidP="00592076">
      <w:pPr>
        <w:pStyle w:val="ActHead6"/>
        <w:pageBreakBefore/>
      </w:pPr>
      <w:bookmarkStart w:id="22" w:name="_Toc138426218"/>
      <w:r w:rsidRPr="00C1515F">
        <w:rPr>
          <w:rStyle w:val="CharAmSchNo"/>
        </w:rPr>
        <w:t>Schedule 5</w:t>
      </w:r>
      <w:r w:rsidRPr="009F0DEC">
        <w:t>—</w:t>
      </w:r>
      <w:r w:rsidRPr="00C1515F">
        <w:rPr>
          <w:rStyle w:val="CharAmSchText"/>
        </w:rPr>
        <w:t>Enhancements to the Home Guarantee Scheme</w:t>
      </w:r>
      <w:bookmarkEnd w:id="22"/>
    </w:p>
    <w:p w14:paraId="738FD152" w14:textId="77777777" w:rsidR="004908E5" w:rsidRPr="00C1515F" w:rsidRDefault="004908E5" w:rsidP="00592076">
      <w:pPr>
        <w:pStyle w:val="Header"/>
      </w:pPr>
      <w:r w:rsidRPr="00C1515F">
        <w:rPr>
          <w:rStyle w:val="CharAmPartNo"/>
        </w:rPr>
        <w:t xml:space="preserve"> </w:t>
      </w:r>
      <w:r w:rsidRPr="00C1515F">
        <w:rPr>
          <w:rStyle w:val="CharAmPartText"/>
        </w:rPr>
        <w:t xml:space="preserve"> </w:t>
      </w:r>
    </w:p>
    <w:p w14:paraId="6F5E2F32" w14:textId="77777777" w:rsidR="004908E5" w:rsidRPr="009F0DEC" w:rsidRDefault="004908E5" w:rsidP="00592076">
      <w:pPr>
        <w:pStyle w:val="notemargin"/>
      </w:pPr>
      <w:r w:rsidRPr="009F0DEC">
        <w:t>Note:</w:t>
      </w:r>
      <w:r w:rsidRPr="009F0DEC">
        <w:tab/>
        <w:t xml:space="preserve">This Schedule amends the </w:t>
      </w:r>
      <w:r w:rsidRPr="009F0DEC">
        <w:rPr>
          <w:i/>
        </w:rPr>
        <w:t>National Housing Finance and Investment Corporation Act 2018</w:t>
      </w:r>
      <w:r w:rsidRPr="009F0DEC">
        <w:t xml:space="preserve">. If, at or before the commencement of this Schedule, another Act amends that short title, then references in this Schedule to that short title are instead references to that short title as amended by the other Act (see section 10 of the </w:t>
      </w:r>
      <w:r w:rsidRPr="009F0DEC">
        <w:rPr>
          <w:i/>
        </w:rPr>
        <w:t>Acts Interpretation Act 1901</w:t>
      </w:r>
      <w:r w:rsidRPr="009F0DEC">
        <w:t>).</w:t>
      </w:r>
    </w:p>
    <w:p w14:paraId="0B458D79" w14:textId="77777777" w:rsidR="004908E5" w:rsidRPr="009F0DEC" w:rsidRDefault="004908E5" w:rsidP="00592076">
      <w:pPr>
        <w:pStyle w:val="ActHead9"/>
      </w:pPr>
      <w:bookmarkStart w:id="23" w:name="_Toc138426219"/>
      <w:r w:rsidRPr="009F0DEC">
        <w:t>National Housing Finance and Investment Corporation Act 2018</w:t>
      </w:r>
      <w:bookmarkEnd w:id="23"/>
    </w:p>
    <w:p w14:paraId="06511BA0" w14:textId="77777777" w:rsidR="004908E5" w:rsidRPr="009F0DEC" w:rsidRDefault="002D2E80" w:rsidP="00592076">
      <w:pPr>
        <w:pStyle w:val="ItemHead"/>
      </w:pPr>
      <w:r w:rsidRPr="009F0DEC">
        <w:t>1</w:t>
      </w:r>
      <w:r w:rsidR="004908E5" w:rsidRPr="009F0DEC">
        <w:t xml:space="preserve">  </w:t>
      </w:r>
      <w:r w:rsidR="00802C79" w:rsidRPr="009F0DEC">
        <w:t>Paragraph 3</w:t>
      </w:r>
      <w:r w:rsidR="004908E5" w:rsidRPr="009F0DEC">
        <w:t>(f)</w:t>
      </w:r>
    </w:p>
    <w:p w14:paraId="709D733B" w14:textId="77777777" w:rsidR="004908E5" w:rsidRPr="009F0DEC" w:rsidRDefault="004908E5" w:rsidP="00592076">
      <w:pPr>
        <w:pStyle w:val="Item"/>
      </w:pPr>
      <w:r w:rsidRPr="009F0DEC">
        <w:t>Repeal the paragraph, substitute:</w:t>
      </w:r>
    </w:p>
    <w:p w14:paraId="635AA1C8" w14:textId="77777777" w:rsidR="004908E5" w:rsidRPr="009F0DEC" w:rsidRDefault="004908E5" w:rsidP="00592076">
      <w:pPr>
        <w:pStyle w:val="paragraph"/>
      </w:pPr>
      <w:r w:rsidRPr="009F0DEC">
        <w:tab/>
        <w:t>(f)</w:t>
      </w:r>
      <w:r w:rsidRPr="009F0DEC">
        <w:tab/>
        <w:t>assisting earlier access to the housing market by:</w:t>
      </w:r>
    </w:p>
    <w:p w14:paraId="26FD5F88" w14:textId="77777777" w:rsidR="004908E5" w:rsidRPr="009F0DEC" w:rsidRDefault="004908E5" w:rsidP="00592076">
      <w:pPr>
        <w:pStyle w:val="paragraphsub"/>
      </w:pPr>
      <w:r w:rsidRPr="009F0DEC">
        <w:tab/>
        <w:t>(i)</w:t>
      </w:r>
      <w:r w:rsidRPr="009F0DEC">
        <w:tab/>
        <w:t>single parents with dependants; and</w:t>
      </w:r>
    </w:p>
    <w:p w14:paraId="6146B122" w14:textId="77777777" w:rsidR="004908E5" w:rsidRPr="009F0DEC" w:rsidRDefault="004908E5" w:rsidP="00592076">
      <w:pPr>
        <w:pStyle w:val="paragraphsub"/>
      </w:pPr>
      <w:r w:rsidRPr="009F0DEC">
        <w:tab/>
        <w:t>(ii)</w:t>
      </w:r>
      <w:r w:rsidRPr="009F0DEC">
        <w:tab/>
        <w:t>legal guardians of children where the legal guardian is single; and</w:t>
      </w:r>
    </w:p>
    <w:p w14:paraId="2C992CA0" w14:textId="5CBFF2F9" w:rsidR="00F33B2D" w:rsidRDefault="004908E5" w:rsidP="00F33B2D">
      <w:pPr>
        <w:pStyle w:val="paragraph"/>
      </w:pPr>
      <w:r w:rsidRPr="009F0DEC">
        <w:tab/>
        <w:t>(g)</w:t>
      </w:r>
      <w:r w:rsidRPr="009F0DEC">
        <w:tab/>
        <w:t>assisting earlier access to the housing market by individuals who have not held an ownership interest in real property in Australia in the last 10 years.</w:t>
      </w:r>
    </w:p>
    <w:p w14:paraId="53B83F42" w14:textId="77777777" w:rsidR="00F33B2D" w:rsidRDefault="00F33B2D" w:rsidP="00F33B2D">
      <w:pPr>
        <w:pStyle w:val="ActHead6"/>
        <w:pageBreakBefore/>
      </w:pPr>
      <w:bookmarkStart w:id="24" w:name="_Toc138426220"/>
      <w:r w:rsidRPr="004E4C38">
        <w:rPr>
          <w:rStyle w:val="CharAmSchNo"/>
        </w:rPr>
        <w:t>Schedule 6</w:t>
      </w:r>
      <w:r w:rsidRPr="009F0DEC">
        <w:t>—</w:t>
      </w:r>
      <w:r w:rsidRPr="004E4C38">
        <w:rPr>
          <w:rStyle w:val="CharAmSchText"/>
        </w:rPr>
        <w:t>Deductible gift recipients—Australians for Unity Ltd</w:t>
      </w:r>
      <w:bookmarkEnd w:id="24"/>
    </w:p>
    <w:p w14:paraId="5E5FA622" w14:textId="77777777" w:rsidR="00F33B2D" w:rsidRDefault="00F33B2D" w:rsidP="00F33B2D">
      <w:pPr>
        <w:pStyle w:val="Header"/>
      </w:pPr>
      <w:r w:rsidRPr="004E4C38">
        <w:rPr>
          <w:rStyle w:val="CharAmPartNo"/>
        </w:rPr>
        <w:t xml:space="preserve"> </w:t>
      </w:r>
      <w:r w:rsidRPr="004E4C38">
        <w:rPr>
          <w:rStyle w:val="CharAmPartText"/>
        </w:rPr>
        <w:t xml:space="preserve"> </w:t>
      </w:r>
    </w:p>
    <w:p w14:paraId="16755A6B" w14:textId="77777777" w:rsidR="00F33B2D" w:rsidRDefault="00F33B2D" w:rsidP="00F33B2D">
      <w:pPr>
        <w:pStyle w:val="ActHead9"/>
        <w:rPr>
          <w:shd w:val="clear" w:color="auto" w:fill="FFFFFF"/>
        </w:rPr>
      </w:pPr>
      <w:bookmarkStart w:id="25" w:name="_Toc138426221"/>
      <w:r>
        <w:rPr>
          <w:shd w:val="clear" w:color="auto" w:fill="FFFFFF"/>
        </w:rPr>
        <w:t>Income Tax Assessment Act 1997</w:t>
      </w:r>
      <w:bookmarkEnd w:id="25"/>
    </w:p>
    <w:p w14:paraId="2F1A7C36" w14:textId="77777777" w:rsidR="00F33B2D" w:rsidRDefault="00F33B2D" w:rsidP="00F33B2D">
      <w:pPr>
        <w:pStyle w:val="ItemHead"/>
      </w:pPr>
      <w:r>
        <w:t>1  Section 30</w:t>
      </w:r>
      <w:r>
        <w:noBreakHyphen/>
        <w:t>105 (at the end of the table)</w:t>
      </w:r>
    </w:p>
    <w:p w14:paraId="261BE615" w14:textId="77777777" w:rsidR="00F33B2D" w:rsidRDefault="00F33B2D" w:rsidP="00F33B2D">
      <w:pPr>
        <w:pStyle w:val="Item"/>
      </w:pPr>
      <w:r>
        <w:t>Add:</w:t>
      </w:r>
    </w:p>
    <w:p w14:paraId="17566B87" w14:textId="77777777" w:rsidR="00F33B2D" w:rsidRPr="00B64F24" w:rsidRDefault="00F33B2D" w:rsidP="00F33B2D">
      <w:pPr>
        <w:pStyle w:val="Tabletext"/>
      </w:pPr>
    </w:p>
    <w:tbl>
      <w:tblPr>
        <w:tblW w:w="0" w:type="auto"/>
        <w:tblInd w:w="1242" w:type="dxa"/>
        <w:tblLayout w:type="fixed"/>
        <w:tblLook w:val="0020" w:firstRow="1" w:lastRow="0" w:firstColumn="0" w:lastColumn="0" w:noHBand="0" w:noVBand="0"/>
      </w:tblPr>
      <w:tblGrid>
        <w:gridCol w:w="1134"/>
        <w:gridCol w:w="2835"/>
        <w:gridCol w:w="1984"/>
      </w:tblGrid>
      <w:tr w:rsidR="00F33B2D" w:rsidRPr="00C01253" w14:paraId="714BFB82" w14:textId="77777777" w:rsidTr="003957EC">
        <w:tc>
          <w:tcPr>
            <w:tcW w:w="1134" w:type="dxa"/>
            <w:shd w:val="clear" w:color="auto" w:fill="auto"/>
          </w:tcPr>
          <w:p w14:paraId="6967E0D9" w14:textId="77777777" w:rsidR="00F33B2D" w:rsidRPr="00C01253" w:rsidRDefault="00F33B2D" w:rsidP="003957EC">
            <w:pPr>
              <w:pStyle w:val="Tabletext"/>
            </w:pPr>
            <w:r w:rsidRPr="00C01253">
              <w:t>13.2.3</w:t>
            </w:r>
            <w:r>
              <w:t>7</w:t>
            </w:r>
          </w:p>
        </w:tc>
        <w:tc>
          <w:tcPr>
            <w:tcW w:w="2835" w:type="dxa"/>
            <w:shd w:val="clear" w:color="auto" w:fill="auto"/>
          </w:tcPr>
          <w:p w14:paraId="5129D79F" w14:textId="77777777" w:rsidR="00F33B2D" w:rsidRPr="00C01253" w:rsidRDefault="00F33B2D" w:rsidP="003957EC">
            <w:pPr>
              <w:pStyle w:val="Tabletext"/>
            </w:pPr>
            <w:r>
              <w:t>Australians for Unity Ltd</w:t>
            </w:r>
          </w:p>
        </w:tc>
        <w:tc>
          <w:tcPr>
            <w:tcW w:w="1984" w:type="dxa"/>
            <w:shd w:val="clear" w:color="auto" w:fill="auto"/>
          </w:tcPr>
          <w:p w14:paraId="4D41D317" w14:textId="77777777" w:rsidR="00F33B2D" w:rsidRPr="00CA69AA" w:rsidRDefault="00F33B2D" w:rsidP="003957EC">
            <w:pPr>
              <w:pStyle w:val="Tabletext"/>
            </w:pPr>
            <w:r w:rsidRPr="00986AF4">
              <w:t xml:space="preserve">the gift must be made after </w:t>
            </w:r>
            <w:r>
              <w:t>31 May</w:t>
            </w:r>
            <w:r w:rsidRPr="00986AF4">
              <w:t xml:space="preserve"> 2023 and before </w:t>
            </w:r>
            <w:r>
              <w:t>1 July</w:t>
            </w:r>
            <w:r w:rsidRPr="00986AF4">
              <w:t xml:space="preserve"> 2024</w:t>
            </w:r>
          </w:p>
        </w:tc>
      </w:tr>
    </w:tbl>
    <w:p w14:paraId="0AFCA87C" w14:textId="77777777" w:rsidR="00F33B2D" w:rsidRDefault="00F33B2D" w:rsidP="00F33B2D">
      <w:pPr>
        <w:pStyle w:val="ItemHead"/>
      </w:pPr>
      <w:r>
        <w:t>2  Section 30</w:t>
      </w:r>
      <w:r>
        <w:noBreakHyphen/>
        <w:t>315 (</w:t>
      </w:r>
      <w:r w:rsidRPr="00FB5715">
        <w:t xml:space="preserve">after table </w:t>
      </w:r>
      <w:r>
        <w:t>item 2</w:t>
      </w:r>
      <w:r w:rsidRPr="00FB5715">
        <w:t>6A)</w:t>
      </w:r>
    </w:p>
    <w:p w14:paraId="19D85313" w14:textId="77777777" w:rsidR="00F33B2D" w:rsidRDefault="00F33B2D" w:rsidP="00F33B2D">
      <w:pPr>
        <w:pStyle w:val="Item"/>
      </w:pPr>
      <w:r>
        <w:t>Insert:</w:t>
      </w:r>
    </w:p>
    <w:p w14:paraId="1AF7B1F5" w14:textId="77777777" w:rsidR="00F33B2D" w:rsidRDefault="00F33B2D" w:rsidP="00F33B2D">
      <w:pPr>
        <w:pStyle w:val="Tabletext"/>
      </w:pPr>
    </w:p>
    <w:tbl>
      <w:tblPr>
        <w:tblW w:w="7307" w:type="dxa"/>
        <w:tblInd w:w="-70" w:type="dxa"/>
        <w:tblLayout w:type="fixed"/>
        <w:tblLook w:val="0020" w:firstRow="1" w:lastRow="0" w:firstColumn="0" w:lastColumn="0" w:noHBand="0" w:noVBand="0"/>
      </w:tblPr>
      <w:tblGrid>
        <w:gridCol w:w="1063"/>
        <w:gridCol w:w="3917"/>
        <w:gridCol w:w="2327"/>
      </w:tblGrid>
      <w:tr w:rsidR="00F33B2D" w:rsidRPr="00C01253" w14:paraId="0469CBF5" w14:textId="77777777" w:rsidTr="00145D16">
        <w:tc>
          <w:tcPr>
            <w:tcW w:w="1063" w:type="dxa"/>
            <w:shd w:val="clear" w:color="auto" w:fill="auto"/>
          </w:tcPr>
          <w:p w14:paraId="2B72C45E" w14:textId="77777777" w:rsidR="00F33B2D" w:rsidRPr="00C01253" w:rsidRDefault="00F33B2D" w:rsidP="003957EC">
            <w:pPr>
              <w:pStyle w:val="Tabletext"/>
            </w:pPr>
            <w:r w:rsidRPr="00C01253">
              <w:t>26</w:t>
            </w:r>
            <w:r>
              <w:t>B</w:t>
            </w:r>
          </w:p>
        </w:tc>
        <w:tc>
          <w:tcPr>
            <w:tcW w:w="3917" w:type="dxa"/>
            <w:shd w:val="clear" w:color="auto" w:fill="auto"/>
          </w:tcPr>
          <w:p w14:paraId="6CE4251C" w14:textId="77777777" w:rsidR="00F33B2D" w:rsidRPr="00C01253" w:rsidRDefault="00F33B2D" w:rsidP="003957EC">
            <w:pPr>
              <w:pStyle w:val="Tabletext"/>
            </w:pPr>
            <w:r>
              <w:t>Australians for Unity Ltd</w:t>
            </w:r>
          </w:p>
        </w:tc>
        <w:tc>
          <w:tcPr>
            <w:tcW w:w="2327" w:type="dxa"/>
            <w:shd w:val="clear" w:color="auto" w:fill="auto"/>
          </w:tcPr>
          <w:p w14:paraId="077090A5" w14:textId="77777777" w:rsidR="00F33B2D" w:rsidRPr="00C01253" w:rsidRDefault="00F33B2D" w:rsidP="003957EC">
            <w:pPr>
              <w:pStyle w:val="Tabletext"/>
            </w:pPr>
            <w:r w:rsidRPr="00C01253">
              <w:t>item 13.2.3</w:t>
            </w:r>
            <w:r>
              <w:t>7</w:t>
            </w:r>
          </w:p>
        </w:tc>
      </w:tr>
    </w:tbl>
    <w:p w14:paraId="2E0A7F76" w14:textId="77777777" w:rsidR="00145D16" w:rsidRPr="00F02B56" w:rsidRDefault="00145D16" w:rsidP="00145D16"/>
    <w:p w14:paraId="63C89886" w14:textId="77777777" w:rsidR="00145D16" w:rsidRDefault="00145D16" w:rsidP="00145D16">
      <w:pPr>
        <w:pStyle w:val="AssentBk"/>
        <w:keepNext/>
      </w:pPr>
    </w:p>
    <w:p w14:paraId="21903189" w14:textId="77777777" w:rsidR="00145D16" w:rsidRDefault="00145D16" w:rsidP="00145D16">
      <w:pPr>
        <w:pStyle w:val="AssentBk"/>
        <w:keepNext/>
      </w:pPr>
    </w:p>
    <w:p w14:paraId="33C91AFA" w14:textId="77777777" w:rsidR="00145D16" w:rsidRDefault="00145D16" w:rsidP="00145D16">
      <w:pPr>
        <w:pStyle w:val="2ndRd"/>
        <w:keepNext/>
        <w:pBdr>
          <w:top w:val="single" w:sz="2" w:space="1" w:color="auto"/>
        </w:pBdr>
      </w:pPr>
    </w:p>
    <w:p w14:paraId="62B055C7" w14:textId="77777777" w:rsidR="00145D16" w:rsidRDefault="00145D16" w:rsidP="000C5962">
      <w:pPr>
        <w:pStyle w:val="2ndRd"/>
        <w:keepNext/>
        <w:spacing w:line="260" w:lineRule="atLeast"/>
        <w:rPr>
          <w:i/>
        </w:rPr>
      </w:pPr>
      <w:r>
        <w:t>[</w:t>
      </w:r>
      <w:r>
        <w:rPr>
          <w:i/>
        </w:rPr>
        <w:t>Minister’s second reading speech made in—</w:t>
      </w:r>
    </w:p>
    <w:p w14:paraId="21D7A3D6" w14:textId="124C4349" w:rsidR="00145D16" w:rsidRDefault="00145D16" w:rsidP="000C5962">
      <w:pPr>
        <w:pStyle w:val="2ndRd"/>
        <w:keepNext/>
        <w:spacing w:line="260" w:lineRule="atLeast"/>
        <w:rPr>
          <w:i/>
        </w:rPr>
      </w:pPr>
      <w:r>
        <w:rPr>
          <w:i/>
        </w:rPr>
        <w:t>House of Representatives on 10 May 2023</w:t>
      </w:r>
    </w:p>
    <w:p w14:paraId="68B51BD6" w14:textId="76F9BB50" w:rsidR="00145D16" w:rsidRDefault="00145D16" w:rsidP="000C5962">
      <w:pPr>
        <w:pStyle w:val="2ndRd"/>
        <w:keepNext/>
        <w:spacing w:line="260" w:lineRule="atLeast"/>
        <w:rPr>
          <w:i/>
        </w:rPr>
      </w:pPr>
      <w:r>
        <w:rPr>
          <w:i/>
        </w:rPr>
        <w:t>Senate on 13 June 2023</w:t>
      </w:r>
      <w:r>
        <w:t>]</w:t>
      </w:r>
    </w:p>
    <w:p w14:paraId="06F9CB72" w14:textId="77777777" w:rsidR="00145D16" w:rsidRDefault="00145D16" w:rsidP="000C5962"/>
    <w:p w14:paraId="24215007" w14:textId="0437E1E0" w:rsidR="00666962" w:rsidRPr="00145D16" w:rsidRDefault="00145D16" w:rsidP="00145D16">
      <w:pPr>
        <w:framePr w:hSpace="180" w:wrap="around" w:vAnchor="text" w:hAnchor="page" w:x="2410" w:y="3039"/>
      </w:pPr>
      <w:r>
        <w:t>(52/23)</w:t>
      </w:r>
    </w:p>
    <w:p w14:paraId="6792C261" w14:textId="77777777" w:rsidR="00145D16" w:rsidRDefault="00145D16"/>
    <w:sectPr w:rsidR="00145D16" w:rsidSect="0066696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02B11" w14:textId="77777777" w:rsidR="002D2E80" w:rsidRDefault="002D2E80" w:rsidP="0048364F">
      <w:pPr>
        <w:spacing w:line="240" w:lineRule="auto"/>
      </w:pPr>
      <w:r>
        <w:separator/>
      </w:r>
    </w:p>
  </w:endnote>
  <w:endnote w:type="continuationSeparator" w:id="0">
    <w:p w14:paraId="790088CC" w14:textId="77777777" w:rsidR="002D2E80" w:rsidRDefault="002D2E8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77A4" w14:textId="77777777" w:rsidR="002D2E80" w:rsidRPr="005F1388" w:rsidRDefault="002D2E80" w:rsidP="0059207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30DE" w14:textId="003A90D0" w:rsidR="00145D16" w:rsidRDefault="00145D16" w:rsidP="00CD12A5">
    <w:pPr>
      <w:pStyle w:val="ScalePlusRef"/>
    </w:pPr>
    <w:r>
      <w:t>Note: An electronic version of this Act is available on the Federal Register of Legislation (</w:t>
    </w:r>
    <w:hyperlink r:id="rId1" w:history="1">
      <w:r>
        <w:t>https://www.legislation.gov.au/</w:t>
      </w:r>
    </w:hyperlink>
    <w:r>
      <w:t>)</w:t>
    </w:r>
  </w:p>
  <w:p w14:paraId="41AF6175" w14:textId="77777777" w:rsidR="00145D16" w:rsidRDefault="00145D16" w:rsidP="00CD12A5"/>
  <w:p w14:paraId="16A4A132" w14:textId="695F4969" w:rsidR="002D2E80" w:rsidRDefault="002D2E80" w:rsidP="00592076">
    <w:pPr>
      <w:pStyle w:val="Footer"/>
      <w:spacing w:before="120"/>
    </w:pPr>
  </w:p>
  <w:p w14:paraId="44C8BFCC" w14:textId="77777777" w:rsidR="002D2E80" w:rsidRPr="005F1388" w:rsidRDefault="002D2E8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8616" w14:textId="77777777" w:rsidR="002D2E80" w:rsidRPr="00ED79B6" w:rsidRDefault="002D2E80" w:rsidP="0059207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E1A8" w14:textId="77777777" w:rsidR="002D2E80" w:rsidRDefault="002D2E80" w:rsidP="005920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2E80" w14:paraId="008CE3EC" w14:textId="77777777" w:rsidTr="009030D5">
      <w:tc>
        <w:tcPr>
          <w:tcW w:w="646" w:type="dxa"/>
        </w:tcPr>
        <w:p w14:paraId="71C1DE05" w14:textId="77777777" w:rsidR="002D2E80" w:rsidRDefault="002D2E80" w:rsidP="009030D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56F5DA1" w14:textId="44E350BD" w:rsidR="002D2E80" w:rsidRDefault="002D2E80" w:rsidP="009030D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5D16">
            <w:rPr>
              <w:i/>
              <w:sz w:val="18"/>
            </w:rPr>
            <w:t>Treasury Laws Amendment (2023 Measures No. 2) Act 2023</w:t>
          </w:r>
          <w:r w:rsidRPr="00ED79B6">
            <w:rPr>
              <w:i/>
              <w:sz w:val="18"/>
            </w:rPr>
            <w:fldChar w:fldCharType="end"/>
          </w:r>
        </w:p>
      </w:tc>
      <w:tc>
        <w:tcPr>
          <w:tcW w:w="1270" w:type="dxa"/>
        </w:tcPr>
        <w:p w14:paraId="0C67AE0D" w14:textId="2DA2921F" w:rsidR="002D2E80" w:rsidRDefault="002D2E80" w:rsidP="009030D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5D16">
            <w:rPr>
              <w:i/>
              <w:sz w:val="18"/>
            </w:rPr>
            <w:t>No. 28, 2023</w:t>
          </w:r>
          <w:r w:rsidRPr="00ED79B6">
            <w:rPr>
              <w:i/>
              <w:sz w:val="18"/>
            </w:rPr>
            <w:fldChar w:fldCharType="end"/>
          </w:r>
        </w:p>
      </w:tc>
    </w:tr>
  </w:tbl>
  <w:p w14:paraId="381074E1" w14:textId="77777777" w:rsidR="002D2E80" w:rsidRDefault="002D2E8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B0F3" w14:textId="77777777" w:rsidR="002D2E80" w:rsidRDefault="002D2E80" w:rsidP="005920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2E80" w14:paraId="4B614533" w14:textId="77777777" w:rsidTr="009030D5">
      <w:tc>
        <w:tcPr>
          <w:tcW w:w="1247" w:type="dxa"/>
        </w:tcPr>
        <w:p w14:paraId="543B0C8E" w14:textId="38E8F475" w:rsidR="002D2E80" w:rsidRDefault="002D2E80" w:rsidP="009030D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45D16">
            <w:rPr>
              <w:i/>
              <w:sz w:val="18"/>
            </w:rPr>
            <w:t>No. 28, 2023</w:t>
          </w:r>
          <w:r w:rsidRPr="00ED79B6">
            <w:rPr>
              <w:i/>
              <w:sz w:val="18"/>
            </w:rPr>
            <w:fldChar w:fldCharType="end"/>
          </w:r>
        </w:p>
      </w:tc>
      <w:tc>
        <w:tcPr>
          <w:tcW w:w="5387" w:type="dxa"/>
        </w:tcPr>
        <w:p w14:paraId="785D78DA" w14:textId="2C5F8ACD" w:rsidR="002D2E80" w:rsidRDefault="002D2E80" w:rsidP="009030D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5D16">
            <w:rPr>
              <w:i/>
              <w:sz w:val="18"/>
            </w:rPr>
            <w:t>Treasury Laws Amendment (2023 Measures No. 2) Act 2023</w:t>
          </w:r>
          <w:r w:rsidRPr="00ED79B6">
            <w:rPr>
              <w:i/>
              <w:sz w:val="18"/>
            </w:rPr>
            <w:fldChar w:fldCharType="end"/>
          </w:r>
        </w:p>
      </w:tc>
      <w:tc>
        <w:tcPr>
          <w:tcW w:w="669" w:type="dxa"/>
        </w:tcPr>
        <w:p w14:paraId="34F23829" w14:textId="77777777" w:rsidR="002D2E80" w:rsidRDefault="002D2E80" w:rsidP="009030D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DA89A3A" w14:textId="77777777" w:rsidR="002D2E80" w:rsidRPr="00ED79B6" w:rsidRDefault="002D2E8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F6D4" w14:textId="77777777" w:rsidR="002D2E80" w:rsidRPr="00A961C4" w:rsidRDefault="002D2E80" w:rsidP="0059207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2E80" w14:paraId="51FE141E" w14:textId="77777777" w:rsidTr="00F649BA">
      <w:tc>
        <w:tcPr>
          <w:tcW w:w="646" w:type="dxa"/>
        </w:tcPr>
        <w:p w14:paraId="491308C5" w14:textId="77777777" w:rsidR="002D2E80" w:rsidRDefault="002D2E80" w:rsidP="009030D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A443AAA" w14:textId="1B3AF59D" w:rsidR="002D2E80" w:rsidRDefault="002D2E80" w:rsidP="009030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5D16">
            <w:rPr>
              <w:i/>
              <w:sz w:val="18"/>
            </w:rPr>
            <w:t>Treasury Laws Amendment (2023 Measures No. 2) Act 2023</w:t>
          </w:r>
          <w:r w:rsidRPr="007A1328">
            <w:rPr>
              <w:i/>
              <w:sz w:val="18"/>
            </w:rPr>
            <w:fldChar w:fldCharType="end"/>
          </w:r>
        </w:p>
      </w:tc>
      <w:tc>
        <w:tcPr>
          <w:tcW w:w="1270" w:type="dxa"/>
        </w:tcPr>
        <w:p w14:paraId="268B8871" w14:textId="1F62292A" w:rsidR="002D2E80" w:rsidRDefault="002D2E80" w:rsidP="009030D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5D16">
            <w:rPr>
              <w:i/>
              <w:sz w:val="18"/>
            </w:rPr>
            <w:t>No. 28, 2023</w:t>
          </w:r>
          <w:r w:rsidRPr="007A1328">
            <w:rPr>
              <w:i/>
              <w:sz w:val="18"/>
            </w:rPr>
            <w:fldChar w:fldCharType="end"/>
          </w:r>
        </w:p>
      </w:tc>
    </w:tr>
  </w:tbl>
  <w:p w14:paraId="1B569E2A" w14:textId="77777777" w:rsidR="002D2E80" w:rsidRPr="00A961C4" w:rsidRDefault="002D2E8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0232" w14:textId="77777777" w:rsidR="002D2E80" w:rsidRPr="00A961C4" w:rsidRDefault="002D2E80" w:rsidP="005920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2E80" w14:paraId="635D29B6" w14:textId="77777777" w:rsidTr="00F649BA">
      <w:tc>
        <w:tcPr>
          <w:tcW w:w="1247" w:type="dxa"/>
        </w:tcPr>
        <w:p w14:paraId="53C2E725" w14:textId="5C47455C" w:rsidR="002D2E80" w:rsidRDefault="002D2E80" w:rsidP="009030D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5D16">
            <w:rPr>
              <w:i/>
              <w:sz w:val="18"/>
            </w:rPr>
            <w:t>No. 28, 2023</w:t>
          </w:r>
          <w:r w:rsidRPr="007A1328">
            <w:rPr>
              <w:i/>
              <w:sz w:val="18"/>
            </w:rPr>
            <w:fldChar w:fldCharType="end"/>
          </w:r>
        </w:p>
      </w:tc>
      <w:tc>
        <w:tcPr>
          <w:tcW w:w="5387" w:type="dxa"/>
        </w:tcPr>
        <w:p w14:paraId="772A4C02" w14:textId="527AFBBC" w:rsidR="002D2E80" w:rsidRDefault="002D2E80" w:rsidP="009030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5D16">
            <w:rPr>
              <w:i/>
              <w:sz w:val="18"/>
            </w:rPr>
            <w:t>Treasury Laws Amendment (2023 Measures No. 2) Act 2023</w:t>
          </w:r>
          <w:r w:rsidRPr="007A1328">
            <w:rPr>
              <w:i/>
              <w:sz w:val="18"/>
            </w:rPr>
            <w:fldChar w:fldCharType="end"/>
          </w:r>
        </w:p>
      </w:tc>
      <w:tc>
        <w:tcPr>
          <w:tcW w:w="669" w:type="dxa"/>
        </w:tcPr>
        <w:p w14:paraId="2CB2D334" w14:textId="77777777" w:rsidR="002D2E80" w:rsidRDefault="002D2E80" w:rsidP="009030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8161153" w14:textId="77777777" w:rsidR="002D2E80" w:rsidRPr="00055B5C" w:rsidRDefault="002D2E8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BDAD" w14:textId="77777777" w:rsidR="002D2E80" w:rsidRPr="00A961C4" w:rsidRDefault="002D2E80" w:rsidP="005920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D2E80" w14:paraId="36C08EAB" w14:textId="77777777" w:rsidTr="00F649BA">
      <w:tc>
        <w:tcPr>
          <w:tcW w:w="1247" w:type="dxa"/>
        </w:tcPr>
        <w:p w14:paraId="42D47741" w14:textId="0E6D4F86" w:rsidR="002D2E80" w:rsidRDefault="002D2E80" w:rsidP="009030D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45D16">
            <w:rPr>
              <w:i/>
              <w:sz w:val="18"/>
            </w:rPr>
            <w:t>No. 28, 2023</w:t>
          </w:r>
          <w:r w:rsidRPr="007A1328">
            <w:rPr>
              <w:i/>
              <w:sz w:val="18"/>
            </w:rPr>
            <w:fldChar w:fldCharType="end"/>
          </w:r>
        </w:p>
      </w:tc>
      <w:tc>
        <w:tcPr>
          <w:tcW w:w="5387" w:type="dxa"/>
        </w:tcPr>
        <w:p w14:paraId="6BEFD78C" w14:textId="01869256" w:rsidR="002D2E80" w:rsidRDefault="002D2E80" w:rsidP="009030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5D16">
            <w:rPr>
              <w:i/>
              <w:sz w:val="18"/>
            </w:rPr>
            <w:t>Treasury Laws Amendment (2023 Measures No. 2) Act 2023</w:t>
          </w:r>
          <w:r w:rsidRPr="007A1328">
            <w:rPr>
              <w:i/>
              <w:sz w:val="18"/>
            </w:rPr>
            <w:fldChar w:fldCharType="end"/>
          </w:r>
        </w:p>
      </w:tc>
      <w:tc>
        <w:tcPr>
          <w:tcW w:w="669" w:type="dxa"/>
        </w:tcPr>
        <w:p w14:paraId="6B2CF504" w14:textId="77777777" w:rsidR="002D2E80" w:rsidRDefault="002D2E80" w:rsidP="009030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42E0579" w14:textId="77777777" w:rsidR="002D2E80" w:rsidRPr="00A961C4" w:rsidRDefault="002D2E8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25780" w14:textId="77777777" w:rsidR="002D2E80" w:rsidRDefault="002D2E80" w:rsidP="0048364F">
      <w:pPr>
        <w:spacing w:line="240" w:lineRule="auto"/>
      </w:pPr>
      <w:r>
        <w:separator/>
      </w:r>
    </w:p>
  </w:footnote>
  <w:footnote w:type="continuationSeparator" w:id="0">
    <w:p w14:paraId="0C07707D" w14:textId="77777777" w:rsidR="002D2E80" w:rsidRDefault="002D2E8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C0E2" w14:textId="77777777" w:rsidR="002D2E80" w:rsidRPr="005F1388" w:rsidRDefault="002D2E8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56C4" w14:textId="77777777" w:rsidR="002D2E80" w:rsidRPr="005F1388" w:rsidRDefault="002D2E8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789A" w14:textId="77777777" w:rsidR="002D2E80" w:rsidRPr="005F1388" w:rsidRDefault="002D2E8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39B4" w14:textId="77777777" w:rsidR="002D2E80" w:rsidRPr="00ED79B6" w:rsidRDefault="002D2E8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F34F" w14:textId="77777777" w:rsidR="002D2E80" w:rsidRPr="00ED79B6" w:rsidRDefault="002D2E8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7DE7" w14:textId="77777777" w:rsidR="002D2E80" w:rsidRPr="00ED79B6" w:rsidRDefault="002D2E8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72B5" w14:textId="5ECCCEFE" w:rsidR="002D2E80" w:rsidRPr="00A961C4" w:rsidRDefault="002D2E80"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F14568E" w14:textId="17EEBC8A" w:rsidR="002D2E80" w:rsidRPr="00A961C4" w:rsidRDefault="002D2E8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A496664" w14:textId="77777777" w:rsidR="002D2E80" w:rsidRPr="00A961C4" w:rsidRDefault="002D2E8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6A5C" w14:textId="21AFC4AB" w:rsidR="002D2E80" w:rsidRPr="00A961C4" w:rsidRDefault="002D2E80" w:rsidP="0048364F">
    <w:pPr>
      <w:jc w:val="right"/>
      <w:rPr>
        <w:sz w:val="20"/>
      </w:rPr>
    </w:pPr>
    <w:r w:rsidRPr="00A961C4">
      <w:rPr>
        <w:sz w:val="20"/>
      </w:rPr>
      <w:fldChar w:fldCharType="begin"/>
    </w:r>
    <w:r w:rsidRPr="00A961C4">
      <w:rPr>
        <w:sz w:val="20"/>
      </w:rPr>
      <w:instrText xml:space="preserve"> STYLEREF CharAmSchText </w:instrText>
    </w:r>
    <w:r w:rsidR="00145D16">
      <w:rPr>
        <w:sz w:val="20"/>
      </w:rPr>
      <w:fldChar w:fldCharType="separate"/>
    </w:r>
    <w:r w:rsidR="00145D16">
      <w:rPr>
        <w:noProof/>
        <w:sz w:val="20"/>
      </w:rPr>
      <w:t>Tax accounting for primary producer registered emissions units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45D16">
      <w:rPr>
        <w:b/>
        <w:sz w:val="20"/>
      </w:rPr>
      <w:fldChar w:fldCharType="separate"/>
    </w:r>
    <w:r w:rsidR="00145D16">
      <w:rPr>
        <w:b/>
        <w:noProof/>
        <w:sz w:val="20"/>
      </w:rPr>
      <w:t>Schedule 3</w:t>
    </w:r>
    <w:r>
      <w:rPr>
        <w:b/>
        <w:sz w:val="20"/>
      </w:rPr>
      <w:fldChar w:fldCharType="end"/>
    </w:r>
  </w:p>
  <w:p w14:paraId="01BC4389" w14:textId="63B92D2A" w:rsidR="002D2E80" w:rsidRPr="00A961C4" w:rsidRDefault="002D2E8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E7798C4" w14:textId="77777777" w:rsidR="002D2E80" w:rsidRPr="00A961C4" w:rsidRDefault="002D2E8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9231" w14:textId="77777777" w:rsidR="002D2E80" w:rsidRPr="00A961C4" w:rsidRDefault="002D2E8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EE0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46E6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386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A9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637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D23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2E4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E88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A8A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5848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D5"/>
    <w:rsid w:val="00005D25"/>
    <w:rsid w:val="000113BC"/>
    <w:rsid w:val="000136AF"/>
    <w:rsid w:val="000417C9"/>
    <w:rsid w:val="00055B5C"/>
    <w:rsid w:val="00056391"/>
    <w:rsid w:val="00060FF9"/>
    <w:rsid w:val="000614BF"/>
    <w:rsid w:val="0007312B"/>
    <w:rsid w:val="000B1FD2"/>
    <w:rsid w:val="000D05EF"/>
    <w:rsid w:val="000F21C1"/>
    <w:rsid w:val="000F316E"/>
    <w:rsid w:val="00101D90"/>
    <w:rsid w:val="0010745C"/>
    <w:rsid w:val="00113BD1"/>
    <w:rsid w:val="00122206"/>
    <w:rsid w:val="00145D16"/>
    <w:rsid w:val="0015646E"/>
    <w:rsid w:val="001643C9"/>
    <w:rsid w:val="00165568"/>
    <w:rsid w:val="00166C2F"/>
    <w:rsid w:val="001716C9"/>
    <w:rsid w:val="00173363"/>
    <w:rsid w:val="00173B94"/>
    <w:rsid w:val="001854B4"/>
    <w:rsid w:val="001939E1"/>
    <w:rsid w:val="00195382"/>
    <w:rsid w:val="001A3192"/>
    <w:rsid w:val="001A3658"/>
    <w:rsid w:val="001A759A"/>
    <w:rsid w:val="001B633C"/>
    <w:rsid w:val="001B7A5D"/>
    <w:rsid w:val="001C2418"/>
    <w:rsid w:val="001C69C4"/>
    <w:rsid w:val="001E3590"/>
    <w:rsid w:val="001E7407"/>
    <w:rsid w:val="001E7DB6"/>
    <w:rsid w:val="001F48E6"/>
    <w:rsid w:val="00201D27"/>
    <w:rsid w:val="00202618"/>
    <w:rsid w:val="00240749"/>
    <w:rsid w:val="0025386B"/>
    <w:rsid w:val="00263820"/>
    <w:rsid w:val="00275197"/>
    <w:rsid w:val="0027530B"/>
    <w:rsid w:val="00293B89"/>
    <w:rsid w:val="00297ECB"/>
    <w:rsid w:val="002B5A30"/>
    <w:rsid w:val="002C7296"/>
    <w:rsid w:val="002C769F"/>
    <w:rsid w:val="002D043A"/>
    <w:rsid w:val="002D0D66"/>
    <w:rsid w:val="002D2E80"/>
    <w:rsid w:val="002D2FE1"/>
    <w:rsid w:val="002D395A"/>
    <w:rsid w:val="002E498D"/>
    <w:rsid w:val="002F5A80"/>
    <w:rsid w:val="002F634F"/>
    <w:rsid w:val="00330CB2"/>
    <w:rsid w:val="003415D3"/>
    <w:rsid w:val="00350417"/>
    <w:rsid w:val="00352B0F"/>
    <w:rsid w:val="00373874"/>
    <w:rsid w:val="00375C6C"/>
    <w:rsid w:val="00391806"/>
    <w:rsid w:val="003979C1"/>
    <w:rsid w:val="003A7B3C"/>
    <w:rsid w:val="003B4E3D"/>
    <w:rsid w:val="003C5F2B"/>
    <w:rsid w:val="003D0BFE"/>
    <w:rsid w:val="003D5700"/>
    <w:rsid w:val="003E788C"/>
    <w:rsid w:val="00405579"/>
    <w:rsid w:val="00410B8E"/>
    <w:rsid w:val="004116CD"/>
    <w:rsid w:val="00415664"/>
    <w:rsid w:val="00421FC1"/>
    <w:rsid w:val="004229C7"/>
    <w:rsid w:val="00424CA9"/>
    <w:rsid w:val="00436785"/>
    <w:rsid w:val="00436BD5"/>
    <w:rsid w:val="00437489"/>
    <w:rsid w:val="00437E4B"/>
    <w:rsid w:val="0044291A"/>
    <w:rsid w:val="004815E5"/>
    <w:rsid w:val="0048196B"/>
    <w:rsid w:val="0048364F"/>
    <w:rsid w:val="00486D05"/>
    <w:rsid w:val="004908E5"/>
    <w:rsid w:val="00496F97"/>
    <w:rsid w:val="004C7C8C"/>
    <w:rsid w:val="004D321B"/>
    <w:rsid w:val="004E2A4A"/>
    <w:rsid w:val="004F0D23"/>
    <w:rsid w:val="004F1FAC"/>
    <w:rsid w:val="004F53BD"/>
    <w:rsid w:val="005044DF"/>
    <w:rsid w:val="00516B8D"/>
    <w:rsid w:val="005270E4"/>
    <w:rsid w:val="00537FBC"/>
    <w:rsid w:val="00543469"/>
    <w:rsid w:val="00545D52"/>
    <w:rsid w:val="00551B54"/>
    <w:rsid w:val="00556412"/>
    <w:rsid w:val="00563D79"/>
    <w:rsid w:val="00584811"/>
    <w:rsid w:val="00592076"/>
    <w:rsid w:val="00593AA6"/>
    <w:rsid w:val="00593D9A"/>
    <w:rsid w:val="00593E5D"/>
    <w:rsid w:val="00594161"/>
    <w:rsid w:val="00594749"/>
    <w:rsid w:val="005A0D92"/>
    <w:rsid w:val="005B4067"/>
    <w:rsid w:val="005C3F41"/>
    <w:rsid w:val="005E152A"/>
    <w:rsid w:val="005F11B1"/>
    <w:rsid w:val="00600219"/>
    <w:rsid w:val="006130B2"/>
    <w:rsid w:val="006167FD"/>
    <w:rsid w:val="00625B6F"/>
    <w:rsid w:val="00641DE5"/>
    <w:rsid w:val="00656F0C"/>
    <w:rsid w:val="00666962"/>
    <w:rsid w:val="00677CC2"/>
    <w:rsid w:val="00681F92"/>
    <w:rsid w:val="006842C2"/>
    <w:rsid w:val="006853D0"/>
    <w:rsid w:val="00685F42"/>
    <w:rsid w:val="0069207B"/>
    <w:rsid w:val="006A4B23"/>
    <w:rsid w:val="006A694B"/>
    <w:rsid w:val="006C2874"/>
    <w:rsid w:val="006C7F8C"/>
    <w:rsid w:val="006D380D"/>
    <w:rsid w:val="006D3A14"/>
    <w:rsid w:val="006D7B5A"/>
    <w:rsid w:val="006E0135"/>
    <w:rsid w:val="006E303A"/>
    <w:rsid w:val="006F7E19"/>
    <w:rsid w:val="00700B2C"/>
    <w:rsid w:val="00703F4C"/>
    <w:rsid w:val="00712D8D"/>
    <w:rsid w:val="00713084"/>
    <w:rsid w:val="00714B26"/>
    <w:rsid w:val="00715A46"/>
    <w:rsid w:val="00731E00"/>
    <w:rsid w:val="007427C3"/>
    <w:rsid w:val="007440B7"/>
    <w:rsid w:val="007634AD"/>
    <w:rsid w:val="007715C9"/>
    <w:rsid w:val="00774EDD"/>
    <w:rsid w:val="007757EC"/>
    <w:rsid w:val="00775A8B"/>
    <w:rsid w:val="007B30AA"/>
    <w:rsid w:val="007C1DDF"/>
    <w:rsid w:val="007E7D4A"/>
    <w:rsid w:val="008006CC"/>
    <w:rsid w:val="00802C79"/>
    <w:rsid w:val="00807F18"/>
    <w:rsid w:val="00831E8D"/>
    <w:rsid w:val="00856A31"/>
    <w:rsid w:val="00857D6B"/>
    <w:rsid w:val="00857E0A"/>
    <w:rsid w:val="00871742"/>
    <w:rsid w:val="008754D0"/>
    <w:rsid w:val="00876322"/>
    <w:rsid w:val="00877D48"/>
    <w:rsid w:val="00881804"/>
    <w:rsid w:val="00883781"/>
    <w:rsid w:val="00885570"/>
    <w:rsid w:val="00893958"/>
    <w:rsid w:val="008A2E77"/>
    <w:rsid w:val="008C6F6F"/>
    <w:rsid w:val="008D0EE0"/>
    <w:rsid w:val="008D3E94"/>
    <w:rsid w:val="008F4F1C"/>
    <w:rsid w:val="008F77C4"/>
    <w:rsid w:val="009030D5"/>
    <w:rsid w:val="009103F3"/>
    <w:rsid w:val="00932377"/>
    <w:rsid w:val="00937AA4"/>
    <w:rsid w:val="00943221"/>
    <w:rsid w:val="00967042"/>
    <w:rsid w:val="0098255A"/>
    <w:rsid w:val="009845BE"/>
    <w:rsid w:val="009969C9"/>
    <w:rsid w:val="009C6821"/>
    <w:rsid w:val="009E186E"/>
    <w:rsid w:val="009E2D1D"/>
    <w:rsid w:val="009F0DEC"/>
    <w:rsid w:val="009F7BD0"/>
    <w:rsid w:val="00A048FF"/>
    <w:rsid w:val="00A10775"/>
    <w:rsid w:val="00A16F0D"/>
    <w:rsid w:val="00A231E2"/>
    <w:rsid w:val="00A25D53"/>
    <w:rsid w:val="00A36C48"/>
    <w:rsid w:val="00A41E0B"/>
    <w:rsid w:val="00A451E6"/>
    <w:rsid w:val="00A55631"/>
    <w:rsid w:val="00A64912"/>
    <w:rsid w:val="00A70A74"/>
    <w:rsid w:val="00A773DE"/>
    <w:rsid w:val="00A8093E"/>
    <w:rsid w:val="00AA3795"/>
    <w:rsid w:val="00AB509E"/>
    <w:rsid w:val="00AC1E75"/>
    <w:rsid w:val="00AC7332"/>
    <w:rsid w:val="00AC7789"/>
    <w:rsid w:val="00AD5641"/>
    <w:rsid w:val="00AE1088"/>
    <w:rsid w:val="00AF1BA4"/>
    <w:rsid w:val="00AF209C"/>
    <w:rsid w:val="00B032D8"/>
    <w:rsid w:val="00B32BE2"/>
    <w:rsid w:val="00B33B3C"/>
    <w:rsid w:val="00B523A1"/>
    <w:rsid w:val="00B5360C"/>
    <w:rsid w:val="00B54548"/>
    <w:rsid w:val="00B6382D"/>
    <w:rsid w:val="00B97CD1"/>
    <w:rsid w:val="00BA5026"/>
    <w:rsid w:val="00BB40BF"/>
    <w:rsid w:val="00BC0CD1"/>
    <w:rsid w:val="00BE3D4B"/>
    <w:rsid w:val="00BE719A"/>
    <w:rsid w:val="00BE720A"/>
    <w:rsid w:val="00BF0461"/>
    <w:rsid w:val="00BF4944"/>
    <w:rsid w:val="00BF56D4"/>
    <w:rsid w:val="00C04409"/>
    <w:rsid w:val="00C067E5"/>
    <w:rsid w:val="00C12207"/>
    <w:rsid w:val="00C1515F"/>
    <w:rsid w:val="00C164CA"/>
    <w:rsid w:val="00C176CF"/>
    <w:rsid w:val="00C24EE9"/>
    <w:rsid w:val="00C42BF8"/>
    <w:rsid w:val="00C460AE"/>
    <w:rsid w:val="00C50043"/>
    <w:rsid w:val="00C54E84"/>
    <w:rsid w:val="00C57A06"/>
    <w:rsid w:val="00C60E2F"/>
    <w:rsid w:val="00C7573B"/>
    <w:rsid w:val="00C76CF3"/>
    <w:rsid w:val="00CE1E31"/>
    <w:rsid w:val="00CE3EFC"/>
    <w:rsid w:val="00CF0BB2"/>
    <w:rsid w:val="00CF2A3F"/>
    <w:rsid w:val="00D00EAA"/>
    <w:rsid w:val="00D13441"/>
    <w:rsid w:val="00D23703"/>
    <w:rsid w:val="00D243A3"/>
    <w:rsid w:val="00D477C3"/>
    <w:rsid w:val="00D52EFE"/>
    <w:rsid w:val="00D63EF6"/>
    <w:rsid w:val="00D70DFB"/>
    <w:rsid w:val="00D73029"/>
    <w:rsid w:val="00D766DF"/>
    <w:rsid w:val="00DE2002"/>
    <w:rsid w:val="00DF7AE9"/>
    <w:rsid w:val="00E01E63"/>
    <w:rsid w:val="00E05704"/>
    <w:rsid w:val="00E12840"/>
    <w:rsid w:val="00E24D66"/>
    <w:rsid w:val="00E37760"/>
    <w:rsid w:val="00E42770"/>
    <w:rsid w:val="00E54292"/>
    <w:rsid w:val="00E74DC7"/>
    <w:rsid w:val="00E84ECA"/>
    <w:rsid w:val="00E87699"/>
    <w:rsid w:val="00E947C6"/>
    <w:rsid w:val="00EB510C"/>
    <w:rsid w:val="00ED492F"/>
    <w:rsid w:val="00EE3E36"/>
    <w:rsid w:val="00EF2E3A"/>
    <w:rsid w:val="00F047E2"/>
    <w:rsid w:val="00F078DC"/>
    <w:rsid w:val="00F13E86"/>
    <w:rsid w:val="00F17B00"/>
    <w:rsid w:val="00F2713B"/>
    <w:rsid w:val="00F2718C"/>
    <w:rsid w:val="00F33B2D"/>
    <w:rsid w:val="00F340A9"/>
    <w:rsid w:val="00F55A35"/>
    <w:rsid w:val="00F649BA"/>
    <w:rsid w:val="00F677A9"/>
    <w:rsid w:val="00F71AB4"/>
    <w:rsid w:val="00F84CF5"/>
    <w:rsid w:val="00F92D35"/>
    <w:rsid w:val="00FA0A8E"/>
    <w:rsid w:val="00FA420B"/>
    <w:rsid w:val="00FB0DBE"/>
    <w:rsid w:val="00FB495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C25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2076"/>
    <w:pPr>
      <w:spacing w:line="260" w:lineRule="atLeast"/>
    </w:pPr>
    <w:rPr>
      <w:sz w:val="22"/>
    </w:rPr>
  </w:style>
  <w:style w:type="paragraph" w:styleId="Heading1">
    <w:name w:val="heading 1"/>
    <w:basedOn w:val="Normal"/>
    <w:next w:val="Normal"/>
    <w:link w:val="Heading1Char"/>
    <w:uiPriority w:val="9"/>
    <w:qFormat/>
    <w:rsid w:val="009C68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68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68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C68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68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682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82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68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68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92076"/>
  </w:style>
  <w:style w:type="paragraph" w:customStyle="1" w:styleId="OPCParaBase">
    <w:name w:val="OPCParaBase"/>
    <w:qFormat/>
    <w:rsid w:val="00592076"/>
    <w:pPr>
      <w:spacing w:line="260" w:lineRule="atLeast"/>
    </w:pPr>
    <w:rPr>
      <w:rFonts w:eastAsia="Times New Roman" w:cs="Times New Roman"/>
      <w:sz w:val="22"/>
      <w:lang w:eastAsia="en-AU"/>
    </w:rPr>
  </w:style>
  <w:style w:type="paragraph" w:customStyle="1" w:styleId="ShortT">
    <w:name w:val="ShortT"/>
    <w:basedOn w:val="OPCParaBase"/>
    <w:next w:val="Normal"/>
    <w:qFormat/>
    <w:rsid w:val="00592076"/>
    <w:pPr>
      <w:spacing w:line="240" w:lineRule="auto"/>
    </w:pPr>
    <w:rPr>
      <w:b/>
      <w:sz w:val="40"/>
    </w:rPr>
  </w:style>
  <w:style w:type="paragraph" w:customStyle="1" w:styleId="ActHead1">
    <w:name w:val="ActHead 1"/>
    <w:aliases w:val="c"/>
    <w:basedOn w:val="OPCParaBase"/>
    <w:next w:val="Normal"/>
    <w:qFormat/>
    <w:rsid w:val="005920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20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20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20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920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20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20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20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20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92076"/>
  </w:style>
  <w:style w:type="paragraph" w:customStyle="1" w:styleId="Blocks">
    <w:name w:val="Blocks"/>
    <w:aliases w:val="bb"/>
    <w:basedOn w:val="OPCParaBase"/>
    <w:qFormat/>
    <w:rsid w:val="00592076"/>
    <w:pPr>
      <w:spacing w:line="240" w:lineRule="auto"/>
    </w:pPr>
    <w:rPr>
      <w:sz w:val="24"/>
    </w:rPr>
  </w:style>
  <w:style w:type="paragraph" w:customStyle="1" w:styleId="BoxText">
    <w:name w:val="BoxText"/>
    <w:aliases w:val="bt"/>
    <w:basedOn w:val="OPCParaBase"/>
    <w:qFormat/>
    <w:rsid w:val="005920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2076"/>
    <w:rPr>
      <w:b/>
    </w:rPr>
  </w:style>
  <w:style w:type="paragraph" w:customStyle="1" w:styleId="BoxHeadItalic">
    <w:name w:val="BoxHeadItalic"/>
    <w:aliases w:val="bhi"/>
    <w:basedOn w:val="BoxText"/>
    <w:next w:val="BoxStep"/>
    <w:qFormat/>
    <w:rsid w:val="00592076"/>
    <w:rPr>
      <w:i/>
    </w:rPr>
  </w:style>
  <w:style w:type="paragraph" w:customStyle="1" w:styleId="BoxList">
    <w:name w:val="BoxList"/>
    <w:aliases w:val="bl"/>
    <w:basedOn w:val="BoxText"/>
    <w:qFormat/>
    <w:rsid w:val="00592076"/>
    <w:pPr>
      <w:ind w:left="1559" w:hanging="425"/>
    </w:pPr>
  </w:style>
  <w:style w:type="paragraph" w:customStyle="1" w:styleId="BoxNote">
    <w:name w:val="BoxNote"/>
    <w:aliases w:val="bn"/>
    <w:basedOn w:val="BoxText"/>
    <w:qFormat/>
    <w:rsid w:val="00592076"/>
    <w:pPr>
      <w:tabs>
        <w:tab w:val="left" w:pos="1985"/>
      </w:tabs>
      <w:spacing w:before="122" w:line="198" w:lineRule="exact"/>
      <w:ind w:left="2948" w:hanging="1814"/>
    </w:pPr>
    <w:rPr>
      <w:sz w:val="18"/>
    </w:rPr>
  </w:style>
  <w:style w:type="paragraph" w:customStyle="1" w:styleId="BoxPara">
    <w:name w:val="BoxPara"/>
    <w:aliases w:val="bp"/>
    <w:basedOn w:val="BoxText"/>
    <w:qFormat/>
    <w:rsid w:val="00592076"/>
    <w:pPr>
      <w:tabs>
        <w:tab w:val="right" w:pos="2268"/>
      </w:tabs>
      <w:ind w:left="2552" w:hanging="1418"/>
    </w:pPr>
  </w:style>
  <w:style w:type="paragraph" w:customStyle="1" w:styleId="BoxStep">
    <w:name w:val="BoxStep"/>
    <w:aliases w:val="bs"/>
    <w:basedOn w:val="BoxText"/>
    <w:qFormat/>
    <w:rsid w:val="00592076"/>
    <w:pPr>
      <w:ind w:left="1985" w:hanging="851"/>
    </w:pPr>
  </w:style>
  <w:style w:type="character" w:customStyle="1" w:styleId="CharAmPartNo">
    <w:name w:val="CharAmPartNo"/>
    <w:basedOn w:val="OPCCharBase"/>
    <w:qFormat/>
    <w:rsid w:val="00592076"/>
  </w:style>
  <w:style w:type="character" w:customStyle="1" w:styleId="CharAmPartText">
    <w:name w:val="CharAmPartText"/>
    <w:basedOn w:val="OPCCharBase"/>
    <w:qFormat/>
    <w:rsid w:val="00592076"/>
  </w:style>
  <w:style w:type="character" w:customStyle="1" w:styleId="CharAmSchNo">
    <w:name w:val="CharAmSchNo"/>
    <w:basedOn w:val="OPCCharBase"/>
    <w:qFormat/>
    <w:rsid w:val="00592076"/>
  </w:style>
  <w:style w:type="character" w:customStyle="1" w:styleId="CharAmSchText">
    <w:name w:val="CharAmSchText"/>
    <w:basedOn w:val="OPCCharBase"/>
    <w:qFormat/>
    <w:rsid w:val="00592076"/>
  </w:style>
  <w:style w:type="character" w:customStyle="1" w:styleId="CharBoldItalic">
    <w:name w:val="CharBoldItalic"/>
    <w:basedOn w:val="OPCCharBase"/>
    <w:uiPriority w:val="1"/>
    <w:qFormat/>
    <w:rsid w:val="00592076"/>
    <w:rPr>
      <w:b/>
      <w:i/>
    </w:rPr>
  </w:style>
  <w:style w:type="character" w:customStyle="1" w:styleId="CharChapNo">
    <w:name w:val="CharChapNo"/>
    <w:basedOn w:val="OPCCharBase"/>
    <w:uiPriority w:val="1"/>
    <w:qFormat/>
    <w:rsid w:val="00592076"/>
  </w:style>
  <w:style w:type="character" w:customStyle="1" w:styleId="CharChapText">
    <w:name w:val="CharChapText"/>
    <w:basedOn w:val="OPCCharBase"/>
    <w:uiPriority w:val="1"/>
    <w:qFormat/>
    <w:rsid w:val="00592076"/>
  </w:style>
  <w:style w:type="character" w:customStyle="1" w:styleId="CharDivNo">
    <w:name w:val="CharDivNo"/>
    <w:basedOn w:val="OPCCharBase"/>
    <w:uiPriority w:val="1"/>
    <w:qFormat/>
    <w:rsid w:val="00592076"/>
  </w:style>
  <w:style w:type="character" w:customStyle="1" w:styleId="CharDivText">
    <w:name w:val="CharDivText"/>
    <w:basedOn w:val="OPCCharBase"/>
    <w:uiPriority w:val="1"/>
    <w:qFormat/>
    <w:rsid w:val="00592076"/>
  </w:style>
  <w:style w:type="character" w:customStyle="1" w:styleId="CharItalic">
    <w:name w:val="CharItalic"/>
    <w:basedOn w:val="OPCCharBase"/>
    <w:uiPriority w:val="1"/>
    <w:qFormat/>
    <w:rsid w:val="00592076"/>
    <w:rPr>
      <w:i/>
    </w:rPr>
  </w:style>
  <w:style w:type="character" w:customStyle="1" w:styleId="CharPartNo">
    <w:name w:val="CharPartNo"/>
    <w:basedOn w:val="OPCCharBase"/>
    <w:uiPriority w:val="1"/>
    <w:qFormat/>
    <w:rsid w:val="00592076"/>
  </w:style>
  <w:style w:type="character" w:customStyle="1" w:styleId="CharPartText">
    <w:name w:val="CharPartText"/>
    <w:basedOn w:val="OPCCharBase"/>
    <w:uiPriority w:val="1"/>
    <w:qFormat/>
    <w:rsid w:val="00592076"/>
  </w:style>
  <w:style w:type="character" w:customStyle="1" w:styleId="CharSectno">
    <w:name w:val="CharSectno"/>
    <w:basedOn w:val="OPCCharBase"/>
    <w:qFormat/>
    <w:rsid w:val="00592076"/>
  </w:style>
  <w:style w:type="character" w:customStyle="1" w:styleId="CharSubdNo">
    <w:name w:val="CharSubdNo"/>
    <w:basedOn w:val="OPCCharBase"/>
    <w:uiPriority w:val="1"/>
    <w:qFormat/>
    <w:rsid w:val="00592076"/>
  </w:style>
  <w:style w:type="character" w:customStyle="1" w:styleId="CharSubdText">
    <w:name w:val="CharSubdText"/>
    <w:basedOn w:val="OPCCharBase"/>
    <w:uiPriority w:val="1"/>
    <w:qFormat/>
    <w:rsid w:val="00592076"/>
  </w:style>
  <w:style w:type="paragraph" w:customStyle="1" w:styleId="CTA--">
    <w:name w:val="CTA --"/>
    <w:basedOn w:val="OPCParaBase"/>
    <w:next w:val="Normal"/>
    <w:rsid w:val="00592076"/>
    <w:pPr>
      <w:spacing w:before="60" w:line="240" w:lineRule="atLeast"/>
      <w:ind w:left="142" w:hanging="142"/>
    </w:pPr>
    <w:rPr>
      <w:sz w:val="20"/>
    </w:rPr>
  </w:style>
  <w:style w:type="paragraph" w:customStyle="1" w:styleId="CTA-">
    <w:name w:val="CTA -"/>
    <w:basedOn w:val="OPCParaBase"/>
    <w:rsid w:val="00592076"/>
    <w:pPr>
      <w:spacing w:before="60" w:line="240" w:lineRule="atLeast"/>
      <w:ind w:left="85" w:hanging="85"/>
    </w:pPr>
    <w:rPr>
      <w:sz w:val="20"/>
    </w:rPr>
  </w:style>
  <w:style w:type="paragraph" w:customStyle="1" w:styleId="CTA---">
    <w:name w:val="CTA ---"/>
    <w:basedOn w:val="OPCParaBase"/>
    <w:next w:val="Normal"/>
    <w:rsid w:val="00592076"/>
    <w:pPr>
      <w:spacing w:before="60" w:line="240" w:lineRule="atLeast"/>
      <w:ind w:left="198" w:hanging="198"/>
    </w:pPr>
    <w:rPr>
      <w:sz w:val="20"/>
    </w:rPr>
  </w:style>
  <w:style w:type="paragraph" w:customStyle="1" w:styleId="CTA----">
    <w:name w:val="CTA ----"/>
    <w:basedOn w:val="OPCParaBase"/>
    <w:next w:val="Normal"/>
    <w:rsid w:val="00592076"/>
    <w:pPr>
      <w:spacing w:before="60" w:line="240" w:lineRule="atLeast"/>
      <w:ind w:left="255" w:hanging="255"/>
    </w:pPr>
    <w:rPr>
      <w:sz w:val="20"/>
    </w:rPr>
  </w:style>
  <w:style w:type="paragraph" w:customStyle="1" w:styleId="CTA1a">
    <w:name w:val="CTA 1(a)"/>
    <w:basedOn w:val="OPCParaBase"/>
    <w:rsid w:val="00592076"/>
    <w:pPr>
      <w:tabs>
        <w:tab w:val="right" w:pos="414"/>
      </w:tabs>
      <w:spacing w:before="40" w:line="240" w:lineRule="atLeast"/>
      <w:ind w:left="675" w:hanging="675"/>
    </w:pPr>
    <w:rPr>
      <w:sz w:val="20"/>
    </w:rPr>
  </w:style>
  <w:style w:type="paragraph" w:customStyle="1" w:styleId="CTA1ai">
    <w:name w:val="CTA 1(a)(i)"/>
    <w:basedOn w:val="OPCParaBase"/>
    <w:rsid w:val="00592076"/>
    <w:pPr>
      <w:tabs>
        <w:tab w:val="right" w:pos="1004"/>
      </w:tabs>
      <w:spacing w:before="40" w:line="240" w:lineRule="atLeast"/>
      <w:ind w:left="1253" w:hanging="1253"/>
    </w:pPr>
    <w:rPr>
      <w:sz w:val="20"/>
    </w:rPr>
  </w:style>
  <w:style w:type="paragraph" w:customStyle="1" w:styleId="CTA2a">
    <w:name w:val="CTA 2(a)"/>
    <w:basedOn w:val="OPCParaBase"/>
    <w:rsid w:val="00592076"/>
    <w:pPr>
      <w:tabs>
        <w:tab w:val="right" w:pos="482"/>
      </w:tabs>
      <w:spacing w:before="40" w:line="240" w:lineRule="atLeast"/>
      <w:ind w:left="748" w:hanging="748"/>
    </w:pPr>
    <w:rPr>
      <w:sz w:val="20"/>
    </w:rPr>
  </w:style>
  <w:style w:type="paragraph" w:customStyle="1" w:styleId="CTA2ai">
    <w:name w:val="CTA 2(a)(i)"/>
    <w:basedOn w:val="OPCParaBase"/>
    <w:rsid w:val="00592076"/>
    <w:pPr>
      <w:tabs>
        <w:tab w:val="right" w:pos="1089"/>
      </w:tabs>
      <w:spacing w:before="40" w:line="240" w:lineRule="atLeast"/>
      <w:ind w:left="1327" w:hanging="1327"/>
    </w:pPr>
    <w:rPr>
      <w:sz w:val="20"/>
    </w:rPr>
  </w:style>
  <w:style w:type="paragraph" w:customStyle="1" w:styleId="CTA3a">
    <w:name w:val="CTA 3(a)"/>
    <w:basedOn w:val="OPCParaBase"/>
    <w:rsid w:val="00592076"/>
    <w:pPr>
      <w:tabs>
        <w:tab w:val="right" w:pos="556"/>
      </w:tabs>
      <w:spacing w:before="40" w:line="240" w:lineRule="atLeast"/>
      <w:ind w:left="805" w:hanging="805"/>
    </w:pPr>
    <w:rPr>
      <w:sz w:val="20"/>
    </w:rPr>
  </w:style>
  <w:style w:type="paragraph" w:customStyle="1" w:styleId="CTA3ai">
    <w:name w:val="CTA 3(a)(i)"/>
    <w:basedOn w:val="OPCParaBase"/>
    <w:rsid w:val="00592076"/>
    <w:pPr>
      <w:tabs>
        <w:tab w:val="right" w:pos="1140"/>
      </w:tabs>
      <w:spacing w:before="40" w:line="240" w:lineRule="atLeast"/>
      <w:ind w:left="1361" w:hanging="1361"/>
    </w:pPr>
    <w:rPr>
      <w:sz w:val="20"/>
    </w:rPr>
  </w:style>
  <w:style w:type="paragraph" w:customStyle="1" w:styleId="CTA4a">
    <w:name w:val="CTA 4(a)"/>
    <w:basedOn w:val="OPCParaBase"/>
    <w:rsid w:val="00592076"/>
    <w:pPr>
      <w:tabs>
        <w:tab w:val="right" w:pos="624"/>
      </w:tabs>
      <w:spacing w:before="40" w:line="240" w:lineRule="atLeast"/>
      <w:ind w:left="873" w:hanging="873"/>
    </w:pPr>
    <w:rPr>
      <w:sz w:val="20"/>
    </w:rPr>
  </w:style>
  <w:style w:type="paragraph" w:customStyle="1" w:styleId="CTA4ai">
    <w:name w:val="CTA 4(a)(i)"/>
    <w:basedOn w:val="OPCParaBase"/>
    <w:rsid w:val="00592076"/>
    <w:pPr>
      <w:tabs>
        <w:tab w:val="right" w:pos="1213"/>
      </w:tabs>
      <w:spacing w:before="40" w:line="240" w:lineRule="atLeast"/>
      <w:ind w:left="1452" w:hanging="1452"/>
    </w:pPr>
    <w:rPr>
      <w:sz w:val="20"/>
    </w:rPr>
  </w:style>
  <w:style w:type="paragraph" w:customStyle="1" w:styleId="CTACAPS">
    <w:name w:val="CTA CAPS"/>
    <w:basedOn w:val="OPCParaBase"/>
    <w:rsid w:val="00592076"/>
    <w:pPr>
      <w:spacing w:before="60" w:line="240" w:lineRule="atLeast"/>
    </w:pPr>
    <w:rPr>
      <w:sz w:val="20"/>
    </w:rPr>
  </w:style>
  <w:style w:type="paragraph" w:customStyle="1" w:styleId="CTAright">
    <w:name w:val="CTA right"/>
    <w:basedOn w:val="OPCParaBase"/>
    <w:rsid w:val="00592076"/>
    <w:pPr>
      <w:spacing w:before="60" w:line="240" w:lineRule="auto"/>
      <w:jc w:val="right"/>
    </w:pPr>
    <w:rPr>
      <w:sz w:val="20"/>
    </w:rPr>
  </w:style>
  <w:style w:type="paragraph" w:customStyle="1" w:styleId="subsection">
    <w:name w:val="subsection"/>
    <w:aliases w:val="ss"/>
    <w:basedOn w:val="OPCParaBase"/>
    <w:link w:val="subsectionChar"/>
    <w:rsid w:val="0059207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92076"/>
    <w:pPr>
      <w:spacing w:before="180" w:line="240" w:lineRule="auto"/>
      <w:ind w:left="1134"/>
    </w:pPr>
  </w:style>
  <w:style w:type="paragraph" w:customStyle="1" w:styleId="ETAsubitem">
    <w:name w:val="ETA(subitem)"/>
    <w:basedOn w:val="OPCParaBase"/>
    <w:rsid w:val="00592076"/>
    <w:pPr>
      <w:tabs>
        <w:tab w:val="right" w:pos="340"/>
      </w:tabs>
      <w:spacing w:before="60" w:line="240" w:lineRule="auto"/>
      <w:ind w:left="454" w:hanging="454"/>
    </w:pPr>
    <w:rPr>
      <w:sz w:val="20"/>
    </w:rPr>
  </w:style>
  <w:style w:type="paragraph" w:customStyle="1" w:styleId="ETApara">
    <w:name w:val="ETA(para)"/>
    <w:basedOn w:val="OPCParaBase"/>
    <w:rsid w:val="00592076"/>
    <w:pPr>
      <w:tabs>
        <w:tab w:val="right" w:pos="754"/>
      </w:tabs>
      <w:spacing w:before="60" w:line="240" w:lineRule="auto"/>
      <w:ind w:left="828" w:hanging="828"/>
    </w:pPr>
    <w:rPr>
      <w:sz w:val="20"/>
    </w:rPr>
  </w:style>
  <w:style w:type="paragraph" w:customStyle="1" w:styleId="ETAsubpara">
    <w:name w:val="ETA(subpara)"/>
    <w:basedOn w:val="OPCParaBase"/>
    <w:rsid w:val="00592076"/>
    <w:pPr>
      <w:tabs>
        <w:tab w:val="right" w:pos="1083"/>
      </w:tabs>
      <w:spacing w:before="60" w:line="240" w:lineRule="auto"/>
      <w:ind w:left="1191" w:hanging="1191"/>
    </w:pPr>
    <w:rPr>
      <w:sz w:val="20"/>
    </w:rPr>
  </w:style>
  <w:style w:type="paragraph" w:customStyle="1" w:styleId="ETAsub-subpara">
    <w:name w:val="ETA(sub-subpara)"/>
    <w:basedOn w:val="OPCParaBase"/>
    <w:rsid w:val="00592076"/>
    <w:pPr>
      <w:tabs>
        <w:tab w:val="right" w:pos="1412"/>
      </w:tabs>
      <w:spacing w:before="60" w:line="240" w:lineRule="auto"/>
      <w:ind w:left="1525" w:hanging="1525"/>
    </w:pPr>
    <w:rPr>
      <w:sz w:val="20"/>
    </w:rPr>
  </w:style>
  <w:style w:type="paragraph" w:customStyle="1" w:styleId="Formula">
    <w:name w:val="Formula"/>
    <w:basedOn w:val="OPCParaBase"/>
    <w:rsid w:val="00592076"/>
    <w:pPr>
      <w:spacing w:line="240" w:lineRule="auto"/>
      <w:ind w:left="1134"/>
    </w:pPr>
    <w:rPr>
      <w:sz w:val="20"/>
    </w:rPr>
  </w:style>
  <w:style w:type="paragraph" w:styleId="Header">
    <w:name w:val="header"/>
    <w:basedOn w:val="OPCParaBase"/>
    <w:link w:val="HeaderChar"/>
    <w:unhideWhenUsed/>
    <w:rsid w:val="005920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2076"/>
    <w:rPr>
      <w:rFonts w:eastAsia="Times New Roman" w:cs="Times New Roman"/>
      <w:sz w:val="16"/>
      <w:lang w:eastAsia="en-AU"/>
    </w:rPr>
  </w:style>
  <w:style w:type="paragraph" w:customStyle="1" w:styleId="House">
    <w:name w:val="House"/>
    <w:basedOn w:val="OPCParaBase"/>
    <w:rsid w:val="00592076"/>
    <w:pPr>
      <w:spacing w:line="240" w:lineRule="auto"/>
    </w:pPr>
    <w:rPr>
      <w:sz w:val="28"/>
    </w:rPr>
  </w:style>
  <w:style w:type="paragraph" w:customStyle="1" w:styleId="Item">
    <w:name w:val="Item"/>
    <w:aliases w:val="i"/>
    <w:basedOn w:val="OPCParaBase"/>
    <w:next w:val="ItemHead"/>
    <w:link w:val="ItemChar"/>
    <w:rsid w:val="00592076"/>
    <w:pPr>
      <w:keepLines/>
      <w:spacing w:before="80" w:line="240" w:lineRule="auto"/>
      <w:ind w:left="709"/>
    </w:pPr>
  </w:style>
  <w:style w:type="paragraph" w:customStyle="1" w:styleId="ItemHead">
    <w:name w:val="ItemHead"/>
    <w:aliases w:val="ih"/>
    <w:basedOn w:val="OPCParaBase"/>
    <w:next w:val="Item"/>
    <w:link w:val="ItemHeadChar"/>
    <w:rsid w:val="005920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2076"/>
    <w:pPr>
      <w:spacing w:line="240" w:lineRule="auto"/>
    </w:pPr>
    <w:rPr>
      <w:b/>
      <w:sz w:val="32"/>
    </w:rPr>
  </w:style>
  <w:style w:type="paragraph" w:customStyle="1" w:styleId="notedraft">
    <w:name w:val="note(draft)"/>
    <w:aliases w:val="nd"/>
    <w:basedOn w:val="OPCParaBase"/>
    <w:rsid w:val="00592076"/>
    <w:pPr>
      <w:spacing w:before="240" w:line="240" w:lineRule="auto"/>
      <w:ind w:left="284" w:hanging="284"/>
    </w:pPr>
    <w:rPr>
      <w:i/>
      <w:sz w:val="24"/>
    </w:rPr>
  </w:style>
  <w:style w:type="paragraph" w:customStyle="1" w:styleId="notemargin">
    <w:name w:val="note(margin)"/>
    <w:aliases w:val="nm"/>
    <w:basedOn w:val="OPCParaBase"/>
    <w:rsid w:val="00592076"/>
    <w:pPr>
      <w:tabs>
        <w:tab w:val="left" w:pos="709"/>
      </w:tabs>
      <w:spacing w:before="122" w:line="198" w:lineRule="exact"/>
      <w:ind w:left="709" w:hanging="709"/>
    </w:pPr>
    <w:rPr>
      <w:sz w:val="18"/>
    </w:rPr>
  </w:style>
  <w:style w:type="paragraph" w:customStyle="1" w:styleId="noteToPara">
    <w:name w:val="noteToPara"/>
    <w:aliases w:val="ntp"/>
    <w:basedOn w:val="OPCParaBase"/>
    <w:rsid w:val="00592076"/>
    <w:pPr>
      <w:spacing w:before="122" w:line="198" w:lineRule="exact"/>
      <w:ind w:left="2353" w:hanging="709"/>
    </w:pPr>
    <w:rPr>
      <w:sz w:val="18"/>
    </w:rPr>
  </w:style>
  <w:style w:type="paragraph" w:customStyle="1" w:styleId="noteParlAmend">
    <w:name w:val="note(ParlAmend)"/>
    <w:aliases w:val="npp"/>
    <w:basedOn w:val="OPCParaBase"/>
    <w:next w:val="ParlAmend"/>
    <w:rsid w:val="00592076"/>
    <w:pPr>
      <w:spacing w:line="240" w:lineRule="auto"/>
      <w:jc w:val="right"/>
    </w:pPr>
    <w:rPr>
      <w:rFonts w:ascii="Arial" w:hAnsi="Arial"/>
      <w:b/>
      <w:i/>
    </w:rPr>
  </w:style>
  <w:style w:type="paragraph" w:customStyle="1" w:styleId="Page1">
    <w:name w:val="Page1"/>
    <w:basedOn w:val="OPCParaBase"/>
    <w:rsid w:val="00592076"/>
    <w:pPr>
      <w:spacing w:before="5600" w:line="240" w:lineRule="auto"/>
    </w:pPr>
    <w:rPr>
      <w:b/>
      <w:sz w:val="32"/>
    </w:rPr>
  </w:style>
  <w:style w:type="paragraph" w:customStyle="1" w:styleId="PageBreak">
    <w:name w:val="PageBreak"/>
    <w:aliases w:val="pb"/>
    <w:basedOn w:val="OPCParaBase"/>
    <w:rsid w:val="00592076"/>
    <w:pPr>
      <w:spacing w:line="240" w:lineRule="auto"/>
    </w:pPr>
    <w:rPr>
      <w:sz w:val="20"/>
    </w:rPr>
  </w:style>
  <w:style w:type="paragraph" w:customStyle="1" w:styleId="paragraphsub">
    <w:name w:val="paragraph(sub)"/>
    <w:aliases w:val="aa"/>
    <w:basedOn w:val="OPCParaBase"/>
    <w:link w:val="paragraphsubChar"/>
    <w:rsid w:val="00592076"/>
    <w:pPr>
      <w:tabs>
        <w:tab w:val="right" w:pos="1985"/>
      </w:tabs>
      <w:spacing w:before="40" w:line="240" w:lineRule="auto"/>
      <w:ind w:left="2098" w:hanging="2098"/>
    </w:pPr>
  </w:style>
  <w:style w:type="paragraph" w:customStyle="1" w:styleId="paragraphsub-sub">
    <w:name w:val="paragraph(sub-sub)"/>
    <w:aliases w:val="aaa"/>
    <w:basedOn w:val="OPCParaBase"/>
    <w:rsid w:val="00592076"/>
    <w:pPr>
      <w:tabs>
        <w:tab w:val="right" w:pos="2722"/>
      </w:tabs>
      <w:spacing w:before="40" w:line="240" w:lineRule="auto"/>
      <w:ind w:left="2835" w:hanging="2835"/>
    </w:pPr>
  </w:style>
  <w:style w:type="paragraph" w:customStyle="1" w:styleId="paragraph">
    <w:name w:val="paragraph"/>
    <w:aliases w:val="a"/>
    <w:basedOn w:val="OPCParaBase"/>
    <w:link w:val="paragraphChar"/>
    <w:rsid w:val="00592076"/>
    <w:pPr>
      <w:tabs>
        <w:tab w:val="right" w:pos="1531"/>
      </w:tabs>
      <w:spacing w:before="40" w:line="240" w:lineRule="auto"/>
      <w:ind w:left="1644" w:hanging="1644"/>
    </w:pPr>
  </w:style>
  <w:style w:type="paragraph" w:customStyle="1" w:styleId="ParlAmend">
    <w:name w:val="ParlAmend"/>
    <w:aliases w:val="pp"/>
    <w:basedOn w:val="OPCParaBase"/>
    <w:rsid w:val="00592076"/>
    <w:pPr>
      <w:spacing w:before="240" w:line="240" w:lineRule="atLeast"/>
      <w:ind w:hanging="567"/>
    </w:pPr>
    <w:rPr>
      <w:sz w:val="24"/>
    </w:rPr>
  </w:style>
  <w:style w:type="paragraph" w:customStyle="1" w:styleId="Penalty">
    <w:name w:val="Penalty"/>
    <w:basedOn w:val="OPCParaBase"/>
    <w:rsid w:val="00592076"/>
    <w:pPr>
      <w:tabs>
        <w:tab w:val="left" w:pos="2977"/>
      </w:tabs>
      <w:spacing w:before="180" w:line="240" w:lineRule="auto"/>
      <w:ind w:left="1985" w:hanging="851"/>
    </w:pPr>
  </w:style>
  <w:style w:type="paragraph" w:customStyle="1" w:styleId="Portfolio">
    <w:name w:val="Portfolio"/>
    <w:basedOn w:val="OPCParaBase"/>
    <w:rsid w:val="00592076"/>
    <w:pPr>
      <w:spacing w:line="240" w:lineRule="auto"/>
    </w:pPr>
    <w:rPr>
      <w:i/>
      <w:sz w:val="20"/>
    </w:rPr>
  </w:style>
  <w:style w:type="paragraph" w:customStyle="1" w:styleId="Preamble">
    <w:name w:val="Preamble"/>
    <w:basedOn w:val="OPCParaBase"/>
    <w:next w:val="Normal"/>
    <w:rsid w:val="005920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2076"/>
    <w:pPr>
      <w:spacing w:line="240" w:lineRule="auto"/>
    </w:pPr>
    <w:rPr>
      <w:i/>
      <w:sz w:val="20"/>
    </w:rPr>
  </w:style>
  <w:style w:type="paragraph" w:customStyle="1" w:styleId="Session">
    <w:name w:val="Session"/>
    <w:basedOn w:val="OPCParaBase"/>
    <w:rsid w:val="00592076"/>
    <w:pPr>
      <w:spacing w:line="240" w:lineRule="auto"/>
    </w:pPr>
    <w:rPr>
      <w:sz w:val="28"/>
    </w:rPr>
  </w:style>
  <w:style w:type="paragraph" w:customStyle="1" w:styleId="Sponsor">
    <w:name w:val="Sponsor"/>
    <w:basedOn w:val="OPCParaBase"/>
    <w:rsid w:val="00592076"/>
    <w:pPr>
      <w:spacing w:line="240" w:lineRule="auto"/>
    </w:pPr>
    <w:rPr>
      <w:i/>
    </w:rPr>
  </w:style>
  <w:style w:type="paragraph" w:customStyle="1" w:styleId="Subitem">
    <w:name w:val="Subitem"/>
    <w:aliases w:val="iss"/>
    <w:basedOn w:val="OPCParaBase"/>
    <w:rsid w:val="00592076"/>
    <w:pPr>
      <w:spacing w:before="180" w:line="240" w:lineRule="auto"/>
      <w:ind w:left="709" w:hanging="709"/>
    </w:pPr>
  </w:style>
  <w:style w:type="paragraph" w:customStyle="1" w:styleId="SubitemHead">
    <w:name w:val="SubitemHead"/>
    <w:aliases w:val="issh"/>
    <w:basedOn w:val="OPCParaBase"/>
    <w:rsid w:val="005920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92076"/>
    <w:pPr>
      <w:spacing w:before="40" w:line="240" w:lineRule="auto"/>
      <w:ind w:left="1134"/>
    </w:pPr>
  </w:style>
  <w:style w:type="paragraph" w:customStyle="1" w:styleId="SubsectionHead">
    <w:name w:val="SubsectionHead"/>
    <w:aliases w:val="ssh"/>
    <w:basedOn w:val="OPCParaBase"/>
    <w:next w:val="subsection"/>
    <w:rsid w:val="00592076"/>
    <w:pPr>
      <w:keepNext/>
      <w:keepLines/>
      <w:spacing w:before="240" w:line="240" w:lineRule="auto"/>
      <w:ind w:left="1134"/>
    </w:pPr>
    <w:rPr>
      <w:i/>
    </w:rPr>
  </w:style>
  <w:style w:type="paragraph" w:customStyle="1" w:styleId="Tablea">
    <w:name w:val="Table(a)"/>
    <w:aliases w:val="ta"/>
    <w:basedOn w:val="OPCParaBase"/>
    <w:rsid w:val="00592076"/>
    <w:pPr>
      <w:spacing w:before="60" w:line="240" w:lineRule="auto"/>
      <w:ind w:left="284" w:hanging="284"/>
    </w:pPr>
    <w:rPr>
      <w:sz w:val="20"/>
    </w:rPr>
  </w:style>
  <w:style w:type="paragraph" w:customStyle="1" w:styleId="TableAA">
    <w:name w:val="Table(AA)"/>
    <w:aliases w:val="taaa"/>
    <w:basedOn w:val="OPCParaBase"/>
    <w:rsid w:val="005920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20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92076"/>
    <w:pPr>
      <w:spacing w:before="60" w:line="240" w:lineRule="atLeast"/>
    </w:pPr>
    <w:rPr>
      <w:sz w:val="20"/>
    </w:rPr>
  </w:style>
  <w:style w:type="paragraph" w:customStyle="1" w:styleId="TLPBoxTextnote">
    <w:name w:val="TLPBoxText(note"/>
    <w:aliases w:val="right)"/>
    <w:basedOn w:val="OPCParaBase"/>
    <w:rsid w:val="005920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207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2076"/>
    <w:pPr>
      <w:spacing w:before="122" w:line="198" w:lineRule="exact"/>
      <w:ind w:left="1985" w:hanging="851"/>
      <w:jc w:val="right"/>
    </w:pPr>
    <w:rPr>
      <w:sz w:val="18"/>
    </w:rPr>
  </w:style>
  <w:style w:type="paragraph" w:customStyle="1" w:styleId="TLPTableBullet">
    <w:name w:val="TLPTableBullet"/>
    <w:aliases w:val="ttb"/>
    <w:basedOn w:val="OPCParaBase"/>
    <w:rsid w:val="00592076"/>
    <w:pPr>
      <w:spacing w:line="240" w:lineRule="exact"/>
      <w:ind w:left="284" w:hanging="284"/>
    </w:pPr>
    <w:rPr>
      <w:sz w:val="20"/>
    </w:rPr>
  </w:style>
  <w:style w:type="paragraph" w:styleId="TOC1">
    <w:name w:val="toc 1"/>
    <w:basedOn w:val="OPCParaBase"/>
    <w:next w:val="Normal"/>
    <w:uiPriority w:val="39"/>
    <w:semiHidden/>
    <w:unhideWhenUsed/>
    <w:rsid w:val="0059207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9207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9207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9207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45D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920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920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920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9207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2076"/>
    <w:pPr>
      <w:keepLines/>
      <w:spacing w:before="240" w:after="120" w:line="240" w:lineRule="auto"/>
      <w:ind w:left="794"/>
    </w:pPr>
    <w:rPr>
      <w:b/>
      <w:kern w:val="28"/>
      <w:sz w:val="20"/>
    </w:rPr>
  </w:style>
  <w:style w:type="paragraph" w:customStyle="1" w:styleId="TofSectsHeading">
    <w:name w:val="TofSects(Heading)"/>
    <w:basedOn w:val="OPCParaBase"/>
    <w:rsid w:val="00592076"/>
    <w:pPr>
      <w:spacing w:before="240" w:after="120" w:line="240" w:lineRule="auto"/>
    </w:pPr>
    <w:rPr>
      <w:b/>
      <w:sz w:val="24"/>
    </w:rPr>
  </w:style>
  <w:style w:type="paragraph" w:customStyle="1" w:styleId="TofSectsSection">
    <w:name w:val="TofSects(Section)"/>
    <w:basedOn w:val="OPCParaBase"/>
    <w:rsid w:val="00592076"/>
    <w:pPr>
      <w:keepLines/>
      <w:spacing w:before="40" w:line="240" w:lineRule="auto"/>
      <w:ind w:left="1588" w:hanging="794"/>
    </w:pPr>
    <w:rPr>
      <w:kern w:val="28"/>
      <w:sz w:val="18"/>
    </w:rPr>
  </w:style>
  <w:style w:type="paragraph" w:customStyle="1" w:styleId="TofSectsSubdiv">
    <w:name w:val="TofSects(Subdiv)"/>
    <w:basedOn w:val="OPCParaBase"/>
    <w:rsid w:val="00592076"/>
    <w:pPr>
      <w:keepLines/>
      <w:spacing w:before="80" w:line="240" w:lineRule="auto"/>
      <w:ind w:left="1588" w:hanging="794"/>
    </w:pPr>
    <w:rPr>
      <w:kern w:val="28"/>
    </w:rPr>
  </w:style>
  <w:style w:type="paragraph" w:customStyle="1" w:styleId="WRStyle">
    <w:name w:val="WR Style"/>
    <w:aliases w:val="WR"/>
    <w:basedOn w:val="OPCParaBase"/>
    <w:rsid w:val="00592076"/>
    <w:pPr>
      <w:spacing w:before="240" w:line="240" w:lineRule="auto"/>
      <w:ind w:left="284" w:hanging="284"/>
    </w:pPr>
    <w:rPr>
      <w:b/>
      <w:i/>
      <w:kern w:val="28"/>
      <w:sz w:val="24"/>
    </w:rPr>
  </w:style>
  <w:style w:type="paragraph" w:customStyle="1" w:styleId="notepara">
    <w:name w:val="note(para)"/>
    <w:aliases w:val="na"/>
    <w:basedOn w:val="OPCParaBase"/>
    <w:rsid w:val="00592076"/>
    <w:pPr>
      <w:spacing w:before="40" w:line="198" w:lineRule="exact"/>
      <w:ind w:left="2354" w:hanging="369"/>
    </w:pPr>
    <w:rPr>
      <w:sz w:val="18"/>
    </w:rPr>
  </w:style>
  <w:style w:type="paragraph" w:styleId="Footer">
    <w:name w:val="footer"/>
    <w:link w:val="FooterChar"/>
    <w:rsid w:val="005920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92076"/>
    <w:rPr>
      <w:rFonts w:eastAsia="Times New Roman" w:cs="Times New Roman"/>
      <w:sz w:val="22"/>
      <w:szCs w:val="24"/>
      <w:lang w:eastAsia="en-AU"/>
    </w:rPr>
  </w:style>
  <w:style w:type="character" w:styleId="LineNumber">
    <w:name w:val="line number"/>
    <w:basedOn w:val="OPCCharBase"/>
    <w:uiPriority w:val="99"/>
    <w:semiHidden/>
    <w:unhideWhenUsed/>
    <w:rsid w:val="00592076"/>
    <w:rPr>
      <w:sz w:val="16"/>
    </w:rPr>
  </w:style>
  <w:style w:type="table" w:customStyle="1" w:styleId="CFlag">
    <w:name w:val="CFlag"/>
    <w:basedOn w:val="TableNormal"/>
    <w:uiPriority w:val="99"/>
    <w:rsid w:val="00592076"/>
    <w:rPr>
      <w:rFonts w:eastAsia="Times New Roman" w:cs="Times New Roman"/>
      <w:lang w:eastAsia="en-AU"/>
    </w:rPr>
    <w:tblPr/>
  </w:style>
  <w:style w:type="paragraph" w:customStyle="1" w:styleId="NotesHeading1">
    <w:name w:val="NotesHeading 1"/>
    <w:basedOn w:val="OPCParaBase"/>
    <w:next w:val="Normal"/>
    <w:rsid w:val="00592076"/>
    <w:rPr>
      <w:b/>
      <w:sz w:val="28"/>
      <w:szCs w:val="28"/>
    </w:rPr>
  </w:style>
  <w:style w:type="paragraph" w:customStyle="1" w:styleId="NotesHeading2">
    <w:name w:val="NotesHeading 2"/>
    <w:basedOn w:val="OPCParaBase"/>
    <w:next w:val="Normal"/>
    <w:rsid w:val="00592076"/>
    <w:rPr>
      <w:b/>
      <w:sz w:val="28"/>
      <w:szCs w:val="28"/>
    </w:rPr>
  </w:style>
  <w:style w:type="paragraph" w:customStyle="1" w:styleId="SignCoverPageEnd">
    <w:name w:val="SignCoverPageEnd"/>
    <w:basedOn w:val="OPCParaBase"/>
    <w:next w:val="Normal"/>
    <w:rsid w:val="005920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2076"/>
    <w:pPr>
      <w:pBdr>
        <w:top w:val="single" w:sz="4" w:space="1" w:color="auto"/>
      </w:pBdr>
      <w:spacing w:before="360"/>
      <w:ind w:right="397"/>
      <w:jc w:val="both"/>
    </w:pPr>
  </w:style>
  <w:style w:type="paragraph" w:customStyle="1" w:styleId="Paragraphsub-sub-sub">
    <w:name w:val="Paragraph(sub-sub-sub)"/>
    <w:aliases w:val="aaaa"/>
    <w:basedOn w:val="OPCParaBase"/>
    <w:rsid w:val="005920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920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20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20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207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92076"/>
    <w:pPr>
      <w:spacing w:before="120"/>
    </w:pPr>
  </w:style>
  <w:style w:type="paragraph" w:customStyle="1" w:styleId="TableTextEndNotes">
    <w:name w:val="TableTextEndNotes"/>
    <w:aliases w:val="Tten"/>
    <w:basedOn w:val="Normal"/>
    <w:rsid w:val="00592076"/>
    <w:pPr>
      <w:spacing w:before="60" w:line="240" w:lineRule="auto"/>
    </w:pPr>
    <w:rPr>
      <w:rFonts w:cs="Arial"/>
      <w:sz w:val="20"/>
      <w:szCs w:val="22"/>
    </w:rPr>
  </w:style>
  <w:style w:type="paragraph" w:customStyle="1" w:styleId="TableHeading">
    <w:name w:val="TableHeading"/>
    <w:aliases w:val="th"/>
    <w:basedOn w:val="OPCParaBase"/>
    <w:next w:val="Tabletext"/>
    <w:rsid w:val="00592076"/>
    <w:pPr>
      <w:keepNext/>
      <w:spacing w:before="60" w:line="240" w:lineRule="atLeast"/>
    </w:pPr>
    <w:rPr>
      <w:b/>
      <w:sz w:val="20"/>
    </w:rPr>
  </w:style>
  <w:style w:type="paragraph" w:customStyle="1" w:styleId="NoteToSubpara">
    <w:name w:val="NoteToSubpara"/>
    <w:aliases w:val="nts"/>
    <w:basedOn w:val="OPCParaBase"/>
    <w:rsid w:val="00592076"/>
    <w:pPr>
      <w:spacing w:before="40" w:line="198" w:lineRule="exact"/>
      <w:ind w:left="2835" w:hanging="709"/>
    </w:pPr>
    <w:rPr>
      <w:sz w:val="18"/>
    </w:rPr>
  </w:style>
  <w:style w:type="paragraph" w:customStyle="1" w:styleId="ENoteTableHeading">
    <w:name w:val="ENoteTableHeading"/>
    <w:aliases w:val="enth"/>
    <w:basedOn w:val="OPCParaBase"/>
    <w:rsid w:val="00592076"/>
    <w:pPr>
      <w:keepNext/>
      <w:spacing w:before="60" w:line="240" w:lineRule="atLeast"/>
    </w:pPr>
    <w:rPr>
      <w:rFonts w:ascii="Arial" w:hAnsi="Arial"/>
      <w:b/>
      <w:sz w:val="16"/>
    </w:rPr>
  </w:style>
  <w:style w:type="paragraph" w:customStyle="1" w:styleId="ENoteTTi">
    <w:name w:val="ENoteTTi"/>
    <w:aliases w:val="entti"/>
    <w:basedOn w:val="OPCParaBase"/>
    <w:rsid w:val="00592076"/>
    <w:pPr>
      <w:keepNext/>
      <w:spacing w:before="60" w:line="240" w:lineRule="atLeast"/>
      <w:ind w:left="170"/>
    </w:pPr>
    <w:rPr>
      <w:sz w:val="16"/>
    </w:rPr>
  </w:style>
  <w:style w:type="paragraph" w:customStyle="1" w:styleId="ENotesHeading1">
    <w:name w:val="ENotesHeading 1"/>
    <w:aliases w:val="Enh1"/>
    <w:basedOn w:val="OPCParaBase"/>
    <w:next w:val="Normal"/>
    <w:rsid w:val="00592076"/>
    <w:pPr>
      <w:spacing w:before="120"/>
      <w:outlineLvl w:val="1"/>
    </w:pPr>
    <w:rPr>
      <w:b/>
      <w:sz w:val="28"/>
      <w:szCs w:val="28"/>
    </w:rPr>
  </w:style>
  <w:style w:type="paragraph" w:customStyle="1" w:styleId="ENotesHeading2">
    <w:name w:val="ENotesHeading 2"/>
    <w:aliases w:val="Enh2"/>
    <w:basedOn w:val="OPCParaBase"/>
    <w:next w:val="Normal"/>
    <w:rsid w:val="00592076"/>
    <w:pPr>
      <w:spacing w:before="120" w:after="120"/>
      <w:outlineLvl w:val="2"/>
    </w:pPr>
    <w:rPr>
      <w:b/>
      <w:sz w:val="24"/>
      <w:szCs w:val="28"/>
    </w:rPr>
  </w:style>
  <w:style w:type="paragraph" w:customStyle="1" w:styleId="ENoteTTIndentHeading">
    <w:name w:val="ENoteTTIndentHeading"/>
    <w:aliases w:val="enTTHi"/>
    <w:basedOn w:val="OPCParaBase"/>
    <w:rsid w:val="005920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92076"/>
    <w:pPr>
      <w:spacing w:before="60" w:line="240" w:lineRule="atLeast"/>
    </w:pPr>
    <w:rPr>
      <w:sz w:val="16"/>
    </w:rPr>
  </w:style>
  <w:style w:type="paragraph" w:customStyle="1" w:styleId="MadeunderText">
    <w:name w:val="MadeunderText"/>
    <w:basedOn w:val="OPCParaBase"/>
    <w:next w:val="Normal"/>
    <w:rsid w:val="00592076"/>
    <w:pPr>
      <w:spacing w:before="240"/>
    </w:pPr>
    <w:rPr>
      <w:sz w:val="24"/>
      <w:szCs w:val="24"/>
    </w:rPr>
  </w:style>
  <w:style w:type="paragraph" w:customStyle="1" w:styleId="ENotesHeading3">
    <w:name w:val="ENotesHeading 3"/>
    <w:aliases w:val="Enh3"/>
    <w:basedOn w:val="OPCParaBase"/>
    <w:next w:val="Normal"/>
    <w:rsid w:val="00592076"/>
    <w:pPr>
      <w:keepNext/>
      <w:spacing w:before="120" w:line="240" w:lineRule="auto"/>
      <w:outlineLvl w:val="4"/>
    </w:pPr>
    <w:rPr>
      <w:b/>
      <w:szCs w:val="24"/>
    </w:rPr>
  </w:style>
  <w:style w:type="paragraph" w:customStyle="1" w:styleId="SubPartCASA">
    <w:name w:val="SubPart(CASA)"/>
    <w:aliases w:val="csp"/>
    <w:basedOn w:val="OPCParaBase"/>
    <w:next w:val="ActHead3"/>
    <w:rsid w:val="0059207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92076"/>
  </w:style>
  <w:style w:type="character" w:customStyle="1" w:styleId="CharSubPartNoCASA">
    <w:name w:val="CharSubPartNo(CASA)"/>
    <w:basedOn w:val="OPCCharBase"/>
    <w:uiPriority w:val="1"/>
    <w:rsid w:val="00592076"/>
  </w:style>
  <w:style w:type="paragraph" w:customStyle="1" w:styleId="ENoteTTIndentHeadingSub">
    <w:name w:val="ENoteTTIndentHeadingSub"/>
    <w:aliases w:val="enTTHis"/>
    <w:basedOn w:val="OPCParaBase"/>
    <w:rsid w:val="00592076"/>
    <w:pPr>
      <w:keepNext/>
      <w:spacing w:before="60" w:line="240" w:lineRule="atLeast"/>
      <w:ind w:left="340"/>
    </w:pPr>
    <w:rPr>
      <w:b/>
      <w:sz w:val="16"/>
    </w:rPr>
  </w:style>
  <w:style w:type="paragraph" w:customStyle="1" w:styleId="ENoteTTiSub">
    <w:name w:val="ENoteTTiSub"/>
    <w:aliases w:val="enttis"/>
    <w:basedOn w:val="OPCParaBase"/>
    <w:rsid w:val="00592076"/>
    <w:pPr>
      <w:keepNext/>
      <w:spacing w:before="60" w:line="240" w:lineRule="atLeast"/>
      <w:ind w:left="340"/>
    </w:pPr>
    <w:rPr>
      <w:sz w:val="16"/>
    </w:rPr>
  </w:style>
  <w:style w:type="paragraph" w:customStyle="1" w:styleId="SubDivisionMigration">
    <w:name w:val="SubDivisionMigration"/>
    <w:aliases w:val="sdm"/>
    <w:basedOn w:val="OPCParaBase"/>
    <w:rsid w:val="005920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2076"/>
    <w:pPr>
      <w:keepNext/>
      <w:keepLines/>
      <w:spacing w:before="240" w:line="240" w:lineRule="auto"/>
      <w:ind w:left="1134" w:hanging="1134"/>
    </w:pPr>
    <w:rPr>
      <w:b/>
      <w:sz w:val="28"/>
    </w:rPr>
  </w:style>
  <w:style w:type="table" w:styleId="TableGrid">
    <w:name w:val="Table Grid"/>
    <w:basedOn w:val="TableNormal"/>
    <w:uiPriority w:val="59"/>
    <w:rsid w:val="0059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92076"/>
    <w:pPr>
      <w:spacing w:before="122" w:line="240" w:lineRule="auto"/>
      <w:ind w:left="1985" w:hanging="851"/>
    </w:pPr>
    <w:rPr>
      <w:sz w:val="18"/>
    </w:rPr>
  </w:style>
  <w:style w:type="paragraph" w:customStyle="1" w:styleId="FreeForm">
    <w:name w:val="FreeForm"/>
    <w:rsid w:val="00592076"/>
    <w:rPr>
      <w:rFonts w:ascii="Arial" w:hAnsi="Arial"/>
      <w:sz w:val="22"/>
    </w:rPr>
  </w:style>
  <w:style w:type="paragraph" w:customStyle="1" w:styleId="SOText">
    <w:name w:val="SO Text"/>
    <w:aliases w:val="sot"/>
    <w:link w:val="SOTextChar"/>
    <w:rsid w:val="005920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92076"/>
    <w:rPr>
      <w:sz w:val="22"/>
    </w:rPr>
  </w:style>
  <w:style w:type="paragraph" w:customStyle="1" w:styleId="SOTextNote">
    <w:name w:val="SO TextNote"/>
    <w:aliases w:val="sont"/>
    <w:basedOn w:val="SOText"/>
    <w:qFormat/>
    <w:rsid w:val="00592076"/>
    <w:pPr>
      <w:spacing w:before="122" w:line="198" w:lineRule="exact"/>
      <w:ind w:left="1843" w:hanging="709"/>
    </w:pPr>
    <w:rPr>
      <w:sz w:val="18"/>
    </w:rPr>
  </w:style>
  <w:style w:type="paragraph" w:customStyle="1" w:styleId="SOPara">
    <w:name w:val="SO Para"/>
    <w:aliases w:val="soa"/>
    <w:basedOn w:val="SOText"/>
    <w:link w:val="SOParaChar"/>
    <w:qFormat/>
    <w:rsid w:val="00592076"/>
    <w:pPr>
      <w:tabs>
        <w:tab w:val="right" w:pos="1786"/>
      </w:tabs>
      <w:spacing w:before="40"/>
      <w:ind w:left="2070" w:hanging="936"/>
    </w:pPr>
  </w:style>
  <w:style w:type="character" w:customStyle="1" w:styleId="SOParaChar">
    <w:name w:val="SO Para Char"/>
    <w:aliases w:val="soa Char"/>
    <w:basedOn w:val="DefaultParagraphFont"/>
    <w:link w:val="SOPara"/>
    <w:rsid w:val="00592076"/>
    <w:rPr>
      <w:sz w:val="22"/>
    </w:rPr>
  </w:style>
  <w:style w:type="paragraph" w:customStyle="1" w:styleId="FileName">
    <w:name w:val="FileName"/>
    <w:basedOn w:val="Normal"/>
    <w:rsid w:val="00592076"/>
  </w:style>
  <w:style w:type="paragraph" w:customStyle="1" w:styleId="SOHeadBold">
    <w:name w:val="SO HeadBold"/>
    <w:aliases w:val="sohb"/>
    <w:basedOn w:val="SOText"/>
    <w:next w:val="SOText"/>
    <w:link w:val="SOHeadBoldChar"/>
    <w:qFormat/>
    <w:rsid w:val="00592076"/>
    <w:rPr>
      <w:b/>
    </w:rPr>
  </w:style>
  <w:style w:type="character" w:customStyle="1" w:styleId="SOHeadBoldChar">
    <w:name w:val="SO HeadBold Char"/>
    <w:aliases w:val="sohb Char"/>
    <w:basedOn w:val="DefaultParagraphFont"/>
    <w:link w:val="SOHeadBold"/>
    <w:rsid w:val="00592076"/>
    <w:rPr>
      <w:b/>
      <w:sz w:val="22"/>
    </w:rPr>
  </w:style>
  <w:style w:type="paragraph" w:customStyle="1" w:styleId="SOHeadItalic">
    <w:name w:val="SO HeadItalic"/>
    <w:aliases w:val="sohi"/>
    <w:basedOn w:val="SOText"/>
    <w:next w:val="SOText"/>
    <w:link w:val="SOHeadItalicChar"/>
    <w:qFormat/>
    <w:rsid w:val="00592076"/>
    <w:rPr>
      <w:i/>
    </w:rPr>
  </w:style>
  <w:style w:type="character" w:customStyle="1" w:styleId="SOHeadItalicChar">
    <w:name w:val="SO HeadItalic Char"/>
    <w:aliases w:val="sohi Char"/>
    <w:basedOn w:val="DefaultParagraphFont"/>
    <w:link w:val="SOHeadItalic"/>
    <w:rsid w:val="00592076"/>
    <w:rPr>
      <w:i/>
      <w:sz w:val="22"/>
    </w:rPr>
  </w:style>
  <w:style w:type="paragraph" w:customStyle="1" w:styleId="SOBullet">
    <w:name w:val="SO Bullet"/>
    <w:aliases w:val="sotb"/>
    <w:basedOn w:val="SOText"/>
    <w:link w:val="SOBulletChar"/>
    <w:qFormat/>
    <w:rsid w:val="00592076"/>
    <w:pPr>
      <w:ind w:left="1559" w:hanging="425"/>
    </w:pPr>
  </w:style>
  <w:style w:type="character" w:customStyle="1" w:styleId="SOBulletChar">
    <w:name w:val="SO Bullet Char"/>
    <w:aliases w:val="sotb Char"/>
    <w:basedOn w:val="DefaultParagraphFont"/>
    <w:link w:val="SOBullet"/>
    <w:rsid w:val="00592076"/>
    <w:rPr>
      <w:sz w:val="22"/>
    </w:rPr>
  </w:style>
  <w:style w:type="paragraph" w:customStyle="1" w:styleId="SOBulletNote">
    <w:name w:val="SO BulletNote"/>
    <w:aliases w:val="sonb"/>
    <w:basedOn w:val="SOTextNote"/>
    <w:link w:val="SOBulletNoteChar"/>
    <w:qFormat/>
    <w:rsid w:val="00592076"/>
    <w:pPr>
      <w:tabs>
        <w:tab w:val="left" w:pos="1560"/>
      </w:tabs>
      <w:ind w:left="2268" w:hanging="1134"/>
    </w:pPr>
  </w:style>
  <w:style w:type="character" w:customStyle="1" w:styleId="SOBulletNoteChar">
    <w:name w:val="SO BulletNote Char"/>
    <w:aliases w:val="sonb Char"/>
    <w:basedOn w:val="DefaultParagraphFont"/>
    <w:link w:val="SOBulletNote"/>
    <w:rsid w:val="00592076"/>
    <w:rPr>
      <w:sz w:val="18"/>
    </w:rPr>
  </w:style>
  <w:style w:type="paragraph" w:customStyle="1" w:styleId="SOText2">
    <w:name w:val="SO Text2"/>
    <w:aliases w:val="sot2"/>
    <w:basedOn w:val="Normal"/>
    <w:next w:val="SOText"/>
    <w:link w:val="SOText2Char"/>
    <w:rsid w:val="005920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92076"/>
    <w:rPr>
      <w:sz w:val="22"/>
    </w:rPr>
  </w:style>
  <w:style w:type="paragraph" w:customStyle="1" w:styleId="Transitional">
    <w:name w:val="Transitional"/>
    <w:aliases w:val="tr"/>
    <w:basedOn w:val="ItemHead"/>
    <w:next w:val="Item"/>
    <w:link w:val="TransitionalChar"/>
    <w:rsid w:val="00592076"/>
  </w:style>
  <w:style w:type="character" w:customStyle="1" w:styleId="subsectionChar">
    <w:name w:val="subsection Char"/>
    <w:aliases w:val="ss Char"/>
    <w:basedOn w:val="DefaultParagraphFont"/>
    <w:link w:val="subsection"/>
    <w:locked/>
    <w:rsid w:val="004D321B"/>
    <w:rPr>
      <w:rFonts w:eastAsia="Times New Roman" w:cs="Times New Roman"/>
      <w:sz w:val="22"/>
      <w:lang w:eastAsia="en-AU"/>
    </w:rPr>
  </w:style>
  <w:style w:type="character" w:customStyle="1" w:styleId="paragraphChar">
    <w:name w:val="paragraph Char"/>
    <w:aliases w:val="a Char"/>
    <w:link w:val="paragraph"/>
    <w:rsid w:val="004D321B"/>
    <w:rPr>
      <w:rFonts w:eastAsia="Times New Roman" w:cs="Times New Roman"/>
      <w:sz w:val="22"/>
      <w:lang w:eastAsia="en-AU"/>
    </w:rPr>
  </w:style>
  <w:style w:type="character" w:customStyle="1" w:styleId="subsection2Char">
    <w:name w:val="subsection2 Char"/>
    <w:aliases w:val="ss2 Char"/>
    <w:link w:val="subsection2"/>
    <w:rsid w:val="004D321B"/>
    <w:rPr>
      <w:rFonts w:eastAsia="Times New Roman" w:cs="Times New Roman"/>
      <w:sz w:val="22"/>
      <w:lang w:eastAsia="en-AU"/>
    </w:rPr>
  </w:style>
  <w:style w:type="character" w:customStyle="1" w:styleId="notetextChar">
    <w:name w:val="note(text) Char"/>
    <w:aliases w:val="n Char"/>
    <w:link w:val="notetext"/>
    <w:rsid w:val="004D321B"/>
    <w:rPr>
      <w:rFonts w:eastAsia="Times New Roman" w:cs="Times New Roman"/>
      <w:sz w:val="18"/>
      <w:lang w:eastAsia="en-AU"/>
    </w:rPr>
  </w:style>
  <w:style w:type="character" w:customStyle="1" w:styleId="ActHead5Char">
    <w:name w:val="ActHead 5 Char"/>
    <w:aliases w:val="s Char"/>
    <w:link w:val="ActHead5"/>
    <w:rsid w:val="004D321B"/>
    <w:rPr>
      <w:rFonts w:eastAsia="Times New Roman" w:cs="Times New Roman"/>
      <w:b/>
      <w:kern w:val="28"/>
      <w:sz w:val="24"/>
      <w:lang w:eastAsia="en-AU"/>
    </w:rPr>
  </w:style>
  <w:style w:type="character" w:customStyle="1" w:styleId="DefinitionChar">
    <w:name w:val="Definition Char"/>
    <w:aliases w:val="dd Char"/>
    <w:link w:val="Definition"/>
    <w:rsid w:val="004D321B"/>
    <w:rPr>
      <w:rFonts w:eastAsia="Times New Roman" w:cs="Times New Roman"/>
      <w:sz w:val="22"/>
      <w:lang w:eastAsia="en-AU"/>
    </w:rPr>
  </w:style>
  <w:style w:type="character" w:customStyle="1" w:styleId="ItemChar">
    <w:name w:val="Item Char"/>
    <w:aliases w:val="i Char"/>
    <w:basedOn w:val="DefaultParagraphFont"/>
    <w:link w:val="Item"/>
    <w:locked/>
    <w:rsid w:val="004D321B"/>
    <w:rPr>
      <w:rFonts w:eastAsia="Times New Roman" w:cs="Times New Roman"/>
      <w:sz w:val="22"/>
      <w:lang w:eastAsia="en-AU"/>
    </w:rPr>
  </w:style>
  <w:style w:type="character" w:customStyle="1" w:styleId="ItemHeadChar">
    <w:name w:val="ItemHead Char"/>
    <w:aliases w:val="ih Char"/>
    <w:basedOn w:val="DefaultParagraphFont"/>
    <w:link w:val="ItemHead"/>
    <w:locked/>
    <w:rsid w:val="004D321B"/>
    <w:rPr>
      <w:rFonts w:ascii="Arial" w:eastAsia="Times New Roman" w:hAnsi="Arial" w:cs="Times New Roman"/>
      <w:b/>
      <w:kern w:val="28"/>
      <w:sz w:val="24"/>
      <w:lang w:eastAsia="en-AU"/>
    </w:rPr>
  </w:style>
  <w:style w:type="character" w:customStyle="1" w:styleId="paragraphsubChar">
    <w:name w:val="paragraph(sub) Char"/>
    <w:aliases w:val="aa Char"/>
    <w:basedOn w:val="DefaultParagraphFont"/>
    <w:link w:val="paragraphsub"/>
    <w:rsid w:val="004D321B"/>
    <w:rPr>
      <w:rFonts w:eastAsia="Times New Roman" w:cs="Times New Roman"/>
      <w:sz w:val="22"/>
      <w:lang w:eastAsia="en-AU"/>
    </w:rPr>
  </w:style>
  <w:style w:type="character" w:customStyle="1" w:styleId="TransitionalChar">
    <w:name w:val="Transitional Char"/>
    <w:aliases w:val="tr Char"/>
    <w:basedOn w:val="ItemHeadChar"/>
    <w:link w:val="Transitional"/>
    <w:rsid w:val="004D321B"/>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9C68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C68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68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C682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C682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C682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C682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C68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6821"/>
    <w:rPr>
      <w:rFonts w:asciiTheme="majorHAnsi" w:eastAsiaTheme="majorEastAsia" w:hAnsiTheme="majorHAnsi" w:cstheme="majorBidi"/>
      <w:i/>
      <w:iCs/>
      <w:color w:val="272727" w:themeColor="text1" w:themeTint="D8"/>
      <w:sz w:val="21"/>
      <w:szCs w:val="21"/>
    </w:rPr>
  </w:style>
  <w:style w:type="character" w:customStyle="1" w:styleId="TabletextChar">
    <w:name w:val="Tabletext Char"/>
    <w:aliases w:val="tt Char"/>
    <w:basedOn w:val="DefaultParagraphFont"/>
    <w:link w:val="Tabletext"/>
    <w:rsid w:val="00937AA4"/>
    <w:rPr>
      <w:rFonts w:eastAsia="Times New Roman" w:cs="Times New Roman"/>
      <w:lang w:eastAsia="en-AU"/>
    </w:rPr>
  </w:style>
  <w:style w:type="character" w:styleId="Hyperlink">
    <w:name w:val="Hyperlink"/>
    <w:basedOn w:val="DefaultParagraphFont"/>
    <w:uiPriority w:val="99"/>
    <w:semiHidden/>
    <w:unhideWhenUsed/>
    <w:rsid w:val="00666962"/>
    <w:rPr>
      <w:color w:val="0000FF" w:themeColor="hyperlink"/>
      <w:u w:val="single"/>
    </w:rPr>
  </w:style>
  <w:style w:type="character" w:styleId="FollowedHyperlink">
    <w:name w:val="FollowedHyperlink"/>
    <w:basedOn w:val="DefaultParagraphFont"/>
    <w:uiPriority w:val="99"/>
    <w:semiHidden/>
    <w:unhideWhenUsed/>
    <w:rsid w:val="00666962"/>
    <w:rPr>
      <w:color w:val="0000FF" w:themeColor="hyperlink"/>
      <w:u w:val="single"/>
    </w:rPr>
  </w:style>
  <w:style w:type="paragraph" w:customStyle="1" w:styleId="ShortTP1">
    <w:name w:val="ShortTP1"/>
    <w:basedOn w:val="ShortT"/>
    <w:link w:val="ShortTP1Char"/>
    <w:rsid w:val="00666962"/>
    <w:pPr>
      <w:spacing w:before="800"/>
    </w:pPr>
  </w:style>
  <w:style w:type="character" w:customStyle="1" w:styleId="ShortTP1Char">
    <w:name w:val="ShortTP1 Char"/>
    <w:basedOn w:val="DefaultParagraphFont"/>
    <w:link w:val="ShortTP1"/>
    <w:rsid w:val="00666962"/>
    <w:rPr>
      <w:rFonts w:eastAsia="Times New Roman" w:cs="Times New Roman"/>
      <w:b/>
      <w:sz w:val="40"/>
      <w:lang w:eastAsia="en-AU"/>
    </w:rPr>
  </w:style>
  <w:style w:type="paragraph" w:customStyle="1" w:styleId="ActNoP1">
    <w:name w:val="ActNoP1"/>
    <w:basedOn w:val="Actno"/>
    <w:link w:val="ActNoP1Char"/>
    <w:rsid w:val="00666962"/>
    <w:pPr>
      <w:spacing w:before="800"/>
    </w:pPr>
    <w:rPr>
      <w:sz w:val="28"/>
    </w:rPr>
  </w:style>
  <w:style w:type="character" w:customStyle="1" w:styleId="ActNoP1Char">
    <w:name w:val="ActNoP1 Char"/>
    <w:basedOn w:val="DefaultParagraphFont"/>
    <w:link w:val="ActNoP1"/>
    <w:rsid w:val="00666962"/>
    <w:rPr>
      <w:rFonts w:eastAsia="Times New Roman" w:cs="Times New Roman"/>
      <w:b/>
      <w:sz w:val="28"/>
      <w:lang w:eastAsia="en-AU"/>
    </w:rPr>
  </w:style>
  <w:style w:type="paragraph" w:customStyle="1" w:styleId="AssentBk">
    <w:name w:val="AssentBk"/>
    <w:basedOn w:val="Normal"/>
    <w:rsid w:val="00666962"/>
    <w:pPr>
      <w:spacing w:line="240" w:lineRule="auto"/>
    </w:pPr>
    <w:rPr>
      <w:rFonts w:eastAsia="Times New Roman" w:cs="Times New Roman"/>
      <w:sz w:val="20"/>
      <w:lang w:eastAsia="en-AU"/>
    </w:rPr>
  </w:style>
  <w:style w:type="paragraph" w:customStyle="1" w:styleId="AssentDt">
    <w:name w:val="AssentDt"/>
    <w:basedOn w:val="Normal"/>
    <w:rsid w:val="00145D16"/>
    <w:pPr>
      <w:spacing w:line="240" w:lineRule="auto"/>
    </w:pPr>
    <w:rPr>
      <w:rFonts w:eastAsia="Times New Roman" w:cs="Times New Roman"/>
      <w:sz w:val="20"/>
      <w:lang w:eastAsia="en-AU"/>
    </w:rPr>
  </w:style>
  <w:style w:type="paragraph" w:customStyle="1" w:styleId="2ndRd">
    <w:name w:val="2ndRd"/>
    <w:basedOn w:val="Normal"/>
    <w:rsid w:val="00145D16"/>
    <w:pPr>
      <w:spacing w:line="240" w:lineRule="auto"/>
    </w:pPr>
    <w:rPr>
      <w:rFonts w:eastAsia="Times New Roman" w:cs="Times New Roman"/>
      <w:sz w:val="20"/>
      <w:lang w:eastAsia="en-AU"/>
    </w:rPr>
  </w:style>
  <w:style w:type="paragraph" w:customStyle="1" w:styleId="ScalePlusRef">
    <w:name w:val="ScalePlusRef"/>
    <w:basedOn w:val="Normal"/>
    <w:rsid w:val="00145D1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2815</Words>
  <Characters>13794</Characters>
  <Application>Microsoft Office Word</Application>
  <DocSecurity>0</DocSecurity>
  <PresentationFormat/>
  <Lines>510</Lines>
  <Paragraphs>415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2023-05-03T00:54:00Z</cp:lastPrinted>
  <dcterms:created xsi:type="dcterms:W3CDTF">2023-06-23T05:16:00Z</dcterms:created>
  <dcterms:modified xsi:type="dcterms:W3CDTF">2023-06-23T05:24:00Z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(2023 Measures No. 2) Act 2023</vt:lpwstr>
  </property>
  <property fmtid="{D5CDD505-2E9C-101B-9397-08002B2CF9AE}" pid="3" name="ActNo">
    <vt:lpwstr>No. 28,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OPC8320</vt:lpwstr>
  </property>
  <property fmtid="{D5CDD505-2E9C-101B-9397-08002B2CF9AE}" pid="10" name="MSIP_Label_234ea0fa-41da-4eb0-b95e-07c328641c0b_Enabled">
    <vt:lpwstr>true</vt:lpwstr>
  </property>
  <property fmtid="{D5CDD505-2E9C-101B-9397-08002B2CF9AE}" pid="11" name="MSIP_Label_234ea0fa-41da-4eb0-b95e-07c328641c0b_SetDate">
    <vt:lpwstr>2023-06-19T07:06:17Z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d8aef587-9938-4a88-b095-b26f933870e0</vt:lpwstr>
  </property>
  <property fmtid="{D5CDD505-2E9C-101B-9397-08002B2CF9AE}" pid="16" name="MSIP_Label_234ea0fa-41da-4eb0-b95e-07c328641c0b_ContentBits">
    <vt:lpwstr>0</vt:lpwstr>
  </property>
</Properties>
</file>