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9854735"/>
    <w:p w14:paraId="3C2CBF7A" w14:textId="11D70E35" w:rsidR="004D3F4B" w:rsidRDefault="004D3F4B" w:rsidP="004D3F4B">
      <w:r>
        <w:object w:dxaOrig="2146" w:dyaOrig="1561" w14:anchorId="4E2DC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463169" r:id="rId8"/>
        </w:object>
      </w:r>
    </w:p>
    <w:p w14:paraId="2153FA05" w14:textId="77777777" w:rsidR="004D3F4B" w:rsidRDefault="004D3F4B" w:rsidP="004D3F4B"/>
    <w:p w14:paraId="2B845966" w14:textId="77777777" w:rsidR="004D3F4B" w:rsidRDefault="004D3F4B" w:rsidP="004D3F4B">
      <w:bookmarkStart w:id="1" w:name="_GoBack"/>
      <w:bookmarkEnd w:id="1"/>
    </w:p>
    <w:p w14:paraId="218F8DA8" w14:textId="77777777" w:rsidR="004D3F4B" w:rsidRDefault="004D3F4B" w:rsidP="004D3F4B"/>
    <w:p w14:paraId="2C4D1AF6" w14:textId="77777777" w:rsidR="004D3F4B" w:rsidRDefault="004D3F4B" w:rsidP="004D3F4B"/>
    <w:p w14:paraId="2AB74357" w14:textId="77777777" w:rsidR="004D3F4B" w:rsidRDefault="004D3F4B" w:rsidP="004D3F4B"/>
    <w:p w14:paraId="4E4A82FE" w14:textId="77777777" w:rsidR="004D3F4B" w:rsidRDefault="004D3F4B" w:rsidP="004D3F4B"/>
    <w:p w14:paraId="022B2A5C" w14:textId="3FDCF2EF" w:rsidR="0048364F" w:rsidRPr="00C35060" w:rsidRDefault="004D3F4B" w:rsidP="0048364F">
      <w:pPr>
        <w:pStyle w:val="ShortT"/>
      </w:pPr>
      <w:r>
        <w:t>Treasury Laws Amendment (Refining and Improving Our Tax System) Act 2023</w:t>
      </w:r>
    </w:p>
    <w:bookmarkEnd w:id="0"/>
    <w:p w14:paraId="4D04B648" w14:textId="77777777" w:rsidR="0048364F" w:rsidRPr="00C35060" w:rsidRDefault="0048364F" w:rsidP="0048364F"/>
    <w:p w14:paraId="48D1BE1A" w14:textId="7CCAEF64" w:rsidR="0048364F" w:rsidRPr="00C35060" w:rsidRDefault="00C164CA" w:rsidP="004D3F4B">
      <w:pPr>
        <w:pStyle w:val="Actno"/>
        <w:spacing w:before="400"/>
      </w:pPr>
      <w:r w:rsidRPr="00C35060">
        <w:t>No.</w:t>
      </w:r>
      <w:r w:rsidR="00FD3BA6">
        <w:t xml:space="preserve"> 40</w:t>
      </w:r>
      <w:r w:rsidRPr="00C35060">
        <w:t xml:space="preserve">, </w:t>
      </w:r>
      <w:r w:rsidR="00005D25" w:rsidRPr="00C35060">
        <w:t>2023</w:t>
      </w:r>
    </w:p>
    <w:p w14:paraId="3176C30A" w14:textId="77777777" w:rsidR="0048364F" w:rsidRPr="00C35060" w:rsidRDefault="0048364F" w:rsidP="0048364F"/>
    <w:p w14:paraId="694DC658" w14:textId="77777777" w:rsidR="008B1A99" w:rsidRDefault="008B1A99" w:rsidP="008B1A99">
      <w:pPr>
        <w:rPr>
          <w:lang w:eastAsia="en-AU"/>
        </w:rPr>
      </w:pPr>
    </w:p>
    <w:p w14:paraId="0DF2EF79" w14:textId="451C49F3" w:rsidR="0048364F" w:rsidRPr="00C35060" w:rsidRDefault="0048364F" w:rsidP="0048364F"/>
    <w:p w14:paraId="3BD9B7F2" w14:textId="77777777" w:rsidR="0048364F" w:rsidRPr="00C35060" w:rsidRDefault="0048364F" w:rsidP="0048364F"/>
    <w:p w14:paraId="2A72813A" w14:textId="77777777" w:rsidR="0048364F" w:rsidRPr="00C35060" w:rsidRDefault="0048364F" w:rsidP="0048364F"/>
    <w:p w14:paraId="3437BBF7" w14:textId="77777777" w:rsidR="004D3F4B" w:rsidRDefault="004D3F4B" w:rsidP="004D3F4B">
      <w:pPr>
        <w:pStyle w:val="LongT"/>
      </w:pPr>
      <w:r>
        <w:t>An Act to amend the law relating to taxation, and for related purposes</w:t>
      </w:r>
    </w:p>
    <w:p w14:paraId="3F3617BE" w14:textId="3AD26349" w:rsidR="0048364F" w:rsidRPr="00DF1F24" w:rsidRDefault="0048364F" w:rsidP="0048364F">
      <w:pPr>
        <w:pStyle w:val="Header"/>
        <w:tabs>
          <w:tab w:val="clear" w:pos="4150"/>
          <w:tab w:val="clear" w:pos="8307"/>
        </w:tabs>
      </w:pPr>
      <w:r w:rsidRPr="00DF1F24">
        <w:rPr>
          <w:rStyle w:val="CharAmSchNo"/>
        </w:rPr>
        <w:t xml:space="preserve"> </w:t>
      </w:r>
      <w:r w:rsidRPr="00DF1F24">
        <w:rPr>
          <w:rStyle w:val="CharAmSchText"/>
        </w:rPr>
        <w:t xml:space="preserve"> </w:t>
      </w:r>
    </w:p>
    <w:p w14:paraId="19399FB4" w14:textId="77777777" w:rsidR="0048364F" w:rsidRPr="00DF1F24" w:rsidRDefault="0048364F" w:rsidP="0048364F">
      <w:pPr>
        <w:pStyle w:val="Header"/>
        <w:tabs>
          <w:tab w:val="clear" w:pos="4150"/>
          <w:tab w:val="clear" w:pos="8307"/>
        </w:tabs>
      </w:pPr>
      <w:r w:rsidRPr="00DF1F24">
        <w:rPr>
          <w:rStyle w:val="CharAmPartNo"/>
        </w:rPr>
        <w:t xml:space="preserve"> </w:t>
      </w:r>
      <w:r w:rsidRPr="00DF1F24">
        <w:rPr>
          <w:rStyle w:val="CharAmPartText"/>
        </w:rPr>
        <w:t xml:space="preserve"> </w:t>
      </w:r>
    </w:p>
    <w:p w14:paraId="52B08166" w14:textId="77777777" w:rsidR="0048364F" w:rsidRPr="00C35060" w:rsidRDefault="0048364F" w:rsidP="0048364F">
      <w:pPr>
        <w:sectPr w:rsidR="0048364F" w:rsidRPr="00C35060" w:rsidSect="004D3F4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8610B0F" w14:textId="77777777" w:rsidR="0048364F" w:rsidRPr="00C35060" w:rsidRDefault="0048364F" w:rsidP="0048364F">
      <w:pPr>
        <w:outlineLvl w:val="0"/>
        <w:rPr>
          <w:sz w:val="36"/>
        </w:rPr>
      </w:pPr>
      <w:r w:rsidRPr="00C35060">
        <w:rPr>
          <w:sz w:val="36"/>
        </w:rPr>
        <w:lastRenderedPageBreak/>
        <w:t>Contents</w:t>
      </w:r>
    </w:p>
    <w:p w14:paraId="262147D0" w14:textId="1D83A86D" w:rsidR="00FD3BA6" w:rsidRDefault="00FD3BA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D3BA6">
        <w:rPr>
          <w:noProof/>
        </w:rPr>
        <w:tab/>
      </w:r>
      <w:r w:rsidRPr="00FD3BA6">
        <w:rPr>
          <w:noProof/>
        </w:rPr>
        <w:fldChar w:fldCharType="begin"/>
      </w:r>
      <w:r w:rsidRPr="00FD3BA6">
        <w:rPr>
          <w:noProof/>
        </w:rPr>
        <w:instrText xml:space="preserve"> PAGEREF _Toc138850303 \h </w:instrText>
      </w:r>
      <w:r w:rsidRPr="00FD3BA6">
        <w:rPr>
          <w:noProof/>
        </w:rPr>
      </w:r>
      <w:r w:rsidRPr="00FD3BA6">
        <w:rPr>
          <w:noProof/>
        </w:rPr>
        <w:fldChar w:fldCharType="separate"/>
      </w:r>
      <w:r w:rsidRPr="00FD3BA6">
        <w:rPr>
          <w:noProof/>
        </w:rPr>
        <w:t>1</w:t>
      </w:r>
      <w:r w:rsidRPr="00FD3BA6">
        <w:rPr>
          <w:noProof/>
        </w:rPr>
        <w:fldChar w:fldCharType="end"/>
      </w:r>
    </w:p>
    <w:p w14:paraId="65CCC4C9" w14:textId="7D2A829F" w:rsidR="00FD3BA6" w:rsidRDefault="00FD3BA6">
      <w:pPr>
        <w:pStyle w:val="TOC5"/>
        <w:rPr>
          <w:rFonts w:asciiTheme="minorHAnsi" w:eastAsiaTheme="minorEastAsia" w:hAnsiTheme="minorHAnsi" w:cstheme="minorBidi"/>
          <w:noProof/>
          <w:kern w:val="0"/>
          <w:sz w:val="22"/>
          <w:szCs w:val="22"/>
        </w:rPr>
      </w:pPr>
      <w:r>
        <w:rPr>
          <w:noProof/>
        </w:rPr>
        <w:t>2</w:t>
      </w:r>
      <w:r>
        <w:rPr>
          <w:noProof/>
        </w:rPr>
        <w:tab/>
        <w:t>Commencement</w:t>
      </w:r>
      <w:r w:rsidRPr="00FD3BA6">
        <w:rPr>
          <w:noProof/>
        </w:rPr>
        <w:tab/>
      </w:r>
      <w:r w:rsidRPr="00FD3BA6">
        <w:rPr>
          <w:noProof/>
        </w:rPr>
        <w:fldChar w:fldCharType="begin"/>
      </w:r>
      <w:r w:rsidRPr="00FD3BA6">
        <w:rPr>
          <w:noProof/>
        </w:rPr>
        <w:instrText xml:space="preserve"> PAGEREF _Toc138850304 \h </w:instrText>
      </w:r>
      <w:r w:rsidRPr="00FD3BA6">
        <w:rPr>
          <w:noProof/>
        </w:rPr>
      </w:r>
      <w:r w:rsidRPr="00FD3BA6">
        <w:rPr>
          <w:noProof/>
        </w:rPr>
        <w:fldChar w:fldCharType="separate"/>
      </w:r>
      <w:r w:rsidRPr="00FD3BA6">
        <w:rPr>
          <w:noProof/>
        </w:rPr>
        <w:t>2</w:t>
      </w:r>
      <w:r w:rsidRPr="00FD3BA6">
        <w:rPr>
          <w:noProof/>
        </w:rPr>
        <w:fldChar w:fldCharType="end"/>
      </w:r>
    </w:p>
    <w:p w14:paraId="7BA64522" w14:textId="12DD29E6" w:rsidR="00FD3BA6" w:rsidRDefault="00FD3BA6">
      <w:pPr>
        <w:pStyle w:val="TOC5"/>
        <w:rPr>
          <w:rFonts w:asciiTheme="minorHAnsi" w:eastAsiaTheme="minorEastAsia" w:hAnsiTheme="minorHAnsi" w:cstheme="minorBidi"/>
          <w:noProof/>
          <w:kern w:val="0"/>
          <w:sz w:val="22"/>
          <w:szCs w:val="22"/>
        </w:rPr>
      </w:pPr>
      <w:r>
        <w:rPr>
          <w:noProof/>
        </w:rPr>
        <w:t>3</w:t>
      </w:r>
      <w:r>
        <w:rPr>
          <w:noProof/>
        </w:rPr>
        <w:tab/>
        <w:t>Schedules</w:t>
      </w:r>
      <w:r w:rsidRPr="00FD3BA6">
        <w:rPr>
          <w:noProof/>
        </w:rPr>
        <w:tab/>
      </w:r>
      <w:r w:rsidRPr="00FD3BA6">
        <w:rPr>
          <w:noProof/>
        </w:rPr>
        <w:fldChar w:fldCharType="begin"/>
      </w:r>
      <w:r w:rsidRPr="00FD3BA6">
        <w:rPr>
          <w:noProof/>
        </w:rPr>
        <w:instrText xml:space="preserve"> PAGEREF _Toc138850305 \h </w:instrText>
      </w:r>
      <w:r w:rsidRPr="00FD3BA6">
        <w:rPr>
          <w:noProof/>
        </w:rPr>
      </w:r>
      <w:r w:rsidRPr="00FD3BA6">
        <w:rPr>
          <w:noProof/>
        </w:rPr>
        <w:fldChar w:fldCharType="separate"/>
      </w:r>
      <w:r w:rsidRPr="00FD3BA6">
        <w:rPr>
          <w:noProof/>
        </w:rPr>
        <w:t>3</w:t>
      </w:r>
      <w:r w:rsidRPr="00FD3BA6">
        <w:rPr>
          <w:noProof/>
        </w:rPr>
        <w:fldChar w:fldCharType="end"/>
      </w:r>
    </w:p>
    <w:p w14:paraId="34B71BB1" w14:textId="30D2EE99" w:rsidR="00FD3BA6" w:rsidRDefault="00FD3BA6">
      <w:pPr>
        <w:pStyle w:val="TOC6"/>
        <w:rPr>
          <w:rFonts w:asciiTheme="minorHAnsi" w:eastAsiaTheme="minorEastAsia" w:hAnsiTheme="minorHAnsi" w:cstheme="minorBidi"/>
          <w:b w:val="0"/>
          <w:noProof/>
          <w:kern w:val="0"/>
          <w:sz w:val="22"/>
          <w:szCs w:val="22"/>
        </w:rPr>
      </w:pPr>
      <w:r>
        <w:rPr>
          <w:noProof/>
        </w:rPr>
        <w:t>Schedule 1—Icelandic convention and minor amendments</w:t>
      </w:r>
      <w:r w:rsidRPr="00FD3BA6">
        <w:rPr>
          <w:b w:val="0"/>
          <w:noProof/>
          <w:sz w:val="18"/>
        </w:rPr>
        <w:tab/>
      </w:r>
      <w:r w:rsidRPr="00FD3BA6">
        <w:rPr>
          <w:b w:val="0"/>
          <w:noProof/>
          <w:sz w:val="18"/>
        </w:rPr>
        <w:fldChar w:fldCharType="begin"/>
      </w:r>
      <w:r w:rsidRPr="00FD3BA6">
        <w:rPr>
          <w:b w:val="0"/>
          <w:noProof/>
          <w:sz w:val="18"/>
        </w:rPr>
        <w:instrText xml:space="preserve"> PAGEREF _Toc138850306 \h </w:instrText>
      </w:r>
      <w:r w:rsidRPr="00FD3BA6">
        <w:rPr>
          <w:b w:val="0"/>
          <w:noProof/>
          <w:sz w:val="18"/>
        </w:rPr>
      </w:r>
      <w:r w:rsidRPr="00FD3BA6">
        <w:rPr>
          <w:b w:val="0"/>
          <w:noProof/>
          <w:sz w:val="18"/>
        </w:rPr>
        <w:fldChar w:fldCharType="separate"/>
      </w:r>
      <w:r w:rsidRPr="00FD3BA6">
        <w:rPr>
          <w:b w:val="0"/>
          <w:noProof/>
          <w:sz w:val="18"/>
        </w:rPr>
        <w:t>4</w:t>
      </w:r>
      <w:r w:rsidRPr="00FD3BA6">
        <w:rPr>
          <w:b w:val="0"/>
          <w:noProof/>
          <w:sz w:val="18"/>
        </w:rPr>
        <w:fldChar w:fldCharType="end"/>
      </w:r>
    </w:p>
    <w:p w14:paraId="6FAE3655" w14:textId="5F8A327B" w:rsidR="00FD3BA6" w:rsidRDefault="00FD3BA6">
      <w:pPr>
        <w:pStyle w:val="TOC7"/>
        <w:rPr>
          <w:rFonts w:asciiTheme="minorHAnsi" w:eastAsiaTheme="minorEastAsia" w:hAnsiTheme="minorHAnsi" w:cstheme="minorBidi"/>
          <w:noProof/>
          <w:kern w:val="0"/>
          <w:sz w:val="22"/>
          <w:szCs w:val="22"/>
        </w:rPr>
      </w:pPr>
      <w:r>
        <w:rPr>
          <w:noProof/>
        </w:rPr>
        <w:t>Part 1—Icelandic convention</w:t>
      </w:r>
      <w:r w:rsidRPr="00FD3BA6">
        <w:rPr>
          <w:noProof/>
          <w:sz w:val="18"/>
        </w:rPr>
        <w:tab/>
      </w:r>
      <w:r w:rsidRPr="00FD3BA6">
        <w:rPr>
          <w:noProof/>
          <w:sz w:val="18"/>
        </w:rPr>
        <w:fldChar w:fldCharType="begin"/>
      </w:r>
      <w:r w:rsidRPr="00FD3BA6">
        <w:rPr>
          <w:noProof/>
          <w:sz w:val="18"/>
        </w:rPr>
        <w:instrText xml:space="preserve"> PAGEREF _Toc138850307 \h </w:instrText>
      </w:r>
      <w:r w:rsidRPr="00FD3BA6">
        <w:rPr>
          <w:noProof/>
          <w:sz w:val="18"/>
        </w:rPr>
      </w:r>
      <w:r w:rsidRPr="00FD3BA6">
        <w:rPr>
          <w:noProof/>
          <w:sz w:val="18"/>
        </w:rPr>
        <w:fldChar w:fldCharType="separate"/>
      </w:r>
      <w:r w:rsidRPr="00FD3BA6">
        <w:rPr>
          <w:noProof/>
          <w:sz w:val="18"/>
        </w:rPr>
        <w:t>4</w:t>
      </w:r>
      <w:r w:rsidRPr="00FD3BA6">
        <w:rPr>
          <w:noProof/>
          <w:sz w:val="18"/>
        </w:rPr>
        <w:fldChar w:fldCharType="end"/>
      </w:r>
    </w:p>
    <w:p w14:paraId="09673D57" w14:textId="07F0A032" w:rsidR="00FD3BA6" w:rsidRDefault="00FD3BA6">
      <w:pPr>
        <w:pStyle w:val="TOC9"/>
        <w:rPr>
          <w:rFonts w:asciiTheme="minorHAnsi" w:eastAsiaTheme="minorEastAsia" w:hAnsiTheme="minorHAnsi" w:cstheme="minorBidi"/>
          <w:i w:val="0"/>
          <w:noProof/>
          <w:kern w:val="0"/>
          <w:sz w:val="22"/>
          <w:szCs w:val="22"/>
        </w:rPr>
      </w:pPr>
      <w:r>
        <w:rPr>
          <w:noProof/>
        </w:rPr>
        <w:t>International Tax Agreements Act 1953</w:t>
      </w:r>
      <w:r w:rsidRPr="00FD3BA6">
        <w:rPr>
          <w:i w:val="0"/>
          <w:noProof/>
          <w:sz w:val="18"/>
        </w:rPr>
        <w:tab/>
      </w:r>
      <w:r w:rsidRPr="00FD3BA6">
        <w:rPr>
          <w:i w:val="0"/>
          <w:noProof/>
          <w:sz w:val="18"/>
        </w:rPr>
        <w:fldChar w:fldCharType="begin"/>
      </w:r>
      <w:r w:rsidRPr="00FD3BA6">
        <w:rPr>
          <w:i w:val="0"/>
          <w:noProof/>
          <w:sz w:val="18"/>
        </w:rPr>
        <w:instrText xml:space="preserve"> PAGEREF _Toc138850308 \h </w:instrText>
      </w:r>
      <w:r w:rsidRPr="00FD3BA6">
        <w:rPr>
          <w:i w:val="0"/>
          <w:noProof/>
          <w:sz w:val="18"/>
        </w:rPr>
      </w:r>
      <w:r w:rsidRPr="00FD3BA6">
        <w:rPr>
          <w:i w:val="0"/>
          <w:noProof/>
          <w:sz w:val="18"/>
        </w:rPr>
        <w:fldChar w:fldCharType="separate"/>
      </w:r>
      <w:r w:rsidRPr="00FD3BA6">
        <w:rPr>
          <w:i w:val="0"/>
          <w:noProof/>
          <w:sz w:val="18"/>
        </w:rPr>
        <w:t>4</w:t>
      </w:r>
      <w:r w:rsidRPr="00FD3BA6">
        <w:rPr>
          <w:i w:val="0"/>
          <w:noProof/>
          <w:sz w:val="18"/>
        </w:rPr>
        <w:fldChar w:fldCharType="end"/>
      </w:r>
    </w:p>
    <w:p w14:paraId="58A8D9CB" w14:textId="74E2D1F2" w:rsidR="00FD3BA6" w:rsidRDefault="00FD3BA6">
      <w:pPr>
        <w:pStyle w:val="TOC7"/>
        <w:rPr>
          <w:rFonts w:asciiTheme="minorHAnsi" w:eastAsiaTheme="minorEastAsia" w:hAnsiTheme="minorHAnsi" w:cstheme="minorBidi"/>
          <w:noProof/>
          <w:kern w:val="0"/>
          <w:sz w:val="22"/>
          <w:szCs w:val="22"/>
        </w:rPr>
      </w:pPr>
      <w:r>
        <w:rPr>
          <w:noProof/>
        </w:rPr>
        <w:t>Part 2—Updating of notes</w:t>
      </w:r>
      <w:r w:rsidRPr="00FD3BA6">
        <w:rPr>
          <w:noProof/>
          <w:sz w:val="18"/>
        </w:rPr>
        <w:tab/>
      </w:r>
      <w:r w:rsidRPr="00FD3BA6">
        <w:rPr>
          <w:noProof/>
          <w:sz w:val="18"/>
        </w:rPr>
        <w:fldChar w:fldCharType="begin"/>
      </w:r>
      <w:r w:rsidRPr="00FD3BA6">
        <w:rPr>
          <w:noProof/>
          <w:sz w:val="18"/>
        </w:rPr>
        <w:instrText xml:space="preserve"> PAGEREF _Toc138850309 \h </w:instrText>
      </w:r>
      <w:r w:rsidRPr="00FD3BA6">
        <w:rPr>
          <w:noProof/>
          <w:sz w:val="18"/>
        </w:rPr>
      </w:r>
      <w:r w:rsidRPr="00FD3BA6">
        <w:rPr>
          <w:noProof/>
          <w:sz w:val="18"/>
        </w:rPr>
        <w:fldChar w:fldCharType="separate"/>
      </w:r>
      <w:r w:rsidRPr="00FD3BA6">
        <w:rPr>
          <w:noProof/>
          <w:sz w:val="18"/>
        </w:rPr>
        <w:t>5</w:t>
      </w:r>
      <w:r w:rsidRPr="00FD3BA6">
        <w:rPr>
          <w:noProof/>
          <w:sz w:val="18"/>
        </w:rPr>
        <w:fldChar w:fldCharType="end"/>
      </w:r>
    </w:p>
    <w:p w14:paraId="60B81A82" w14:textId="758D62EE" w:rsidR="00FD3BA6" w:rsidRDefault="00FD3BA6">
      <w:pPr>
        <w:pStyle w:val="TOC9"/>
        <w:rPr>
          <w:rFonts w:asciiTheme="minorHAnsi" w:eastAsiaTheme="minorEastAsia" w:hAnsiTheme="minorHAnsi" w:cstheme="minorBidi"/>
          <w:i w:val="0"/>
          <w:noProof/>
          <w:kern w:val="0"/>
          <w:sz w:val="22"/>
          <w:szCs w:val="22"/>
        </w:rPr>
      </w:pPr>
      <w:r>
        <w:rPr>
          <w:noProof/>
        </w:rPr>
        <w:t>International Tax Agreements Act 1953</w:t>
      </w:r>
      <w:r w:rsidRPr="00FD3BA6">
        <w:rPr>
          <w:i w:val="0"/>
          <w:noProof/>
          <w:sz w:val="18"/>
        </w:rPr>
        <w:tab/>
      </w:r>
      <w:r w:rsidRPr="00FD3BA6">
        <w:rPr>
          <w:i w:val="0"/>
          <w:noProof/>
          <w:sz w:val="18"/>
        </w:rPr>
        <w:fldChar w:fldCharType="begin"/>
      </w:r>
      <w:r w:rsidRPr="00FD3BA6">
        <w:rPr>
          <w:i w:val="0"/>
          <w:noProof/>
          <w:sz w:val="18"/>
        </w:rPr>
        <w:instrText xml:space="preserve"> PAGEREF _Toc138850310 \h </w:instrText>
      </w:r>
      <w:r w:rsidRPr="00FD3BA6">
        <w:rPr>
          <w:i w:val="0"/>
          <w:noProof/>
          <w:sz w:val="18"/>
        </w:rPr>
      </w:r>
      <w:r w:rsidRPr="00FD3BA6">
        <w:rPr>
          <w:i w:val="0"/>
          <w:noProof/>
          <w:sz w:val="18"/>
        </w:rPr>
        <w:fldChar w:fldCharType="separate"/>
      </w:r>
      <w:r w:rsidRPr="00FD3BA6">
        <w:rPr>
          <w:i w:val="0"/>
          <w:noProof/>
          <w:sz w:val="18"/>
        </w:rPr>
        <w:t>5</w:t>
      </w:r>
      <w:r w:rsidRPr="00FD3BA6">
        <w:rPr>
          <w:i w:val="0"/>
          <w:noProof/>
          <w:sz w:val="18"/>
        </w:rPr>
        <w:fldChar w:fldCharType="end"/>
      </w:r>
    </w:p>
    <w:p w14:paraId="11DDDE4C" w14:textId="46E48485" w:rsidR="00FD3BA6" w:rsidRDefault="00FD3BA6">
      <w:pPr>
        <w:pStyle w:val="TOC6"/>
        <w:rPr>
          <w:rFonts w:asciiTheme="minorHAnsi" w:eastAsiaTheme="minorEastAsia" w:hAnsiTheme="minorHAnsi" w:cstheme="minorBidi"/>
          <w:b w:val="0"/>
          <w:noProof/>
          <w:kern w:val="0"/>
          <w:sz w:val="22"/>
          <w:szCs w:val="22"/>
        </w:rPr>
      </w:pPr>
      <w:r>
        <w:rPr>
          <w:noProof/>
        </w:rPr>
        <w:t>Schedule 2—Income tax exemption and franking credit refund for certain subsidiaries of the Future Fund Board</w:t>
      </w:r>
      <w:r w:rsidRPr="00FD3BA6">
        <w:rPr>
          <w:b w:val="0"/>
          <w:noProof/>
          <w:sz w:val="18"/>
        </w:rPr>
        <w:tab/>
      </w:r>
      <w:r w:rsidRPr="00FD3BA6">
        <w:rPr>
          <w:b w:val="0"/>
          <w:noProof/>
          <w:sz w:val="18"/>
        </w:rPr>
        <w:fldChar w:fldCharType="begin"/>
      </w:r>
      <w:r w:rsidRPr="00FD3BA6">
        <w:rPr>
          <w:b w:val="0"/>
          <w:noProof/>
          <w:sz w:val="18"/>
        </w:rPr>
        <w:instrText xml:space="preserve"> PAGEREF _Toc138850311 \h </w:instrText>
      </w:r>
      <w:r w:rsidRPr="00FD3BA6">
        <w:rPr>
          <w:b w:val="0"/>
          <w:noProof/>
          <w:sz w:val="18"/>
        </w:rPr>
      </w:r>
      <w:r w:rsidRPr="00FD3BA6">
        <w:rPr>
          <w:b w:val="0"/>
          <w:noProof/>
          <w:sz w:val="18"/>
        </w:rPr>
        <w:fldChar w:fldCharType="separate"/>
      </w:r>
      <w:r w:rsidRPr="00FD3BA6">
        <w:rPr>
          <w:b w:val="0"/>
          <w:noProof/>
          <w:sz w:val="18"/>
        </w:rPr>
        <w:t>7</w:t>
      </w:r>
      <w:r w:rsidRPr="00FD3BA6">
        <w:rPr>
          <w:b w:val="0"/>
          <w:noProof/>
          <w:sz w:val="18"/>
        </w:rPr>
        <w:fldChar w:fldCharType="end"/>
      </w:r>
    </w:p>
    <w:p w14:paraId="07A5C0C3" w14:textId="3348449A"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_Toc138850312 \h </w:instrText>
      </w:r>
      <w:r w:rsidRPr="00FD3BA6">
        <w:rPr>
          <w:i w:val="0"/>
          <w:noProof/>
          <w:sz w:val="18"/>
        </w:rPr>
      </w:r>
      <w:r w:rsidRPr="00FD3BA6">
        <w:rPr>
          <w:i w:val="0"/>
          <w:noProof/>
          <w:sz w:val="18"/>
        </w:rPr>
        <w:fldChar w:fldCharType="separate"/>
      </w:r>
      <w:r w:rsidRPr="00FD3BA6">
        <w:rPr>
          <w:i w:val="0"/>
          <w:noProof/>
          <w:sz w:val="18"/>
        </w:rPr>
        <w:t>7</w:t>
      </w:r>
      <w:r w:rsidRPr="00FD3BA6">
        <w:rPr>
          <w:i w:val="0"/>
          <w:noProof/>
          <w:sz w:val="18"/>
        </w:rPr>
        <w:fldChar w:fldCharType="end"/>
      </w:r>
    </w:p>
    <w:p w14:paraId="7CE0A053" w14:textId="545A9145" w:rsidR="00FD3BA6" w:rsidRDefault="00FD3BA6">
      <w:pPr>
        <w:pStyle w:val="TOC6"/>
        <w:rPr>
          <w:rFonts w:asciiTheme="minorHAnsi" w:eastAsiaTheme="minorEastAsia" w:hAnsiTheme="minorHAnsi" w:cstheme="minorBidi"/>
          <w:b w:val="0"/>
          <w:noProof/>
          <w:kern w:val="0"/>
          <w:sz w:val="22"/>
          <w:szCs w:val="22"/>
        </w:rPr>
      </w:pPr>
      <w:r>
        <w:rPr>
          <w:noProof/>
        </w:rPr>
        <w:t>Schedule 2A—Periodic investment reports by Future Fund Board</w:t>
      </w:r>
      <w:r w:rsidRPr="00FD3BA6">
        <w:rPr>
          <w:b w:val="0"/>
          <w:noProof/>
          <w:sz w:val="18"/>
        </w:rPr>
        <w:tab/>
      </w:r>
      <w:r w:rsidRPr="00FD3BA6">
        <w:rPr>
          <w:b w:val="0"/>
          <w:noProof/>
          <w:sz w:val="18"/>
        </w:rPr>
        <w:fldChar w:fldCharType="begin"/>
      </w:r>
      <w:r w:rsidRPr="00FD3BA6">
        <w:rPr>
          <w:b w:val="0"/>
          <w:noProof/>
          <w:sz w:val="18"/>
        </w:rPr>
        <w:instrText xml:space="preserve"> PAGEREF _Toc138850313 \h </w:instrText>
      </w:r>
      <w:r w:rsidRPr="00FD3BA6">
        <w:rPr>
          <w:b w:val="0"/>
          <w:noProof/>
          <w:sz w:val="18"/>
        </w:rPr>
      </w:r>
      <w:r w:rsidRPr="00FD3BA6">
        <w:rPr>
          <w:b w:val="0"/>
          <w:noProof/>
          <w:sz w:val="18"/>
        </w:rPr>
        <w:fldChar w:fldCharType="separate"/>
      </w:r>
      <w:r w:rsidRPr="00FD3BA6">
        <w:rPr>
          <w:b w:val="0"/>
          <w:noProof/>
          <w:sz w:val="18"/>
        </w:rPr>
        <w:t>8</w:t>
      </w:r>
      <w:r w:rsidRPr="00FD3BA6">
        <w:rPr>
          <w:b w:val="0"/>
          <w:noProof/>
          <w:sz w:val="18"/>
        </w:rPr>
        <w:fldChar w:fldCharType="end"/>
      </w:r>
    </w:p>
    <w:p w14:paraId="507385CA" w14:textId="3104BD65" w:rsidR="00FD3BA6" w:rsidRDefault="00FD3BA6">
      <w:pPr>
        <w:pStyle w:val="TOC9"/>
        <w:rPr>
          <w:rFonts w:asciiTheme="minorHAnsi" w:eastAsiaTheme="minorEastAsia" w:hAnsiTheme="minorHAnsi" w:cstheme="minorBidi"/>
          <w:i w:val="0"/>
          <w:noProof/>
          <w:kern w:val="0"/>
          <w:sz w:val="22"/>
          <w:szCs w:val="22"/>
        </w:rPr>
      </w:pPr>
      <w:r>
        <w:rPr>
          <w:noProof/>
        </w:rPr>
        <w:t>Future Fund Act 2006</w:t>
      </w:r>
      <w:r w:rsidRPr="00FD3BA6">
        <w:rPr>
          <w:i w:val="0"/>
          <w:noProof/>
          <w:sz w:val="18"/>
        </w:rPr>
        <w:tab/>
      </w:r>
      <w:r w:rsidRPr="00FD3BA6">
        <w:rPr>
          <w:i w:val="0"/>
          <w:noProof/>
          <w:sz w:val="18"/>
        </w:rPr>
        <w:fldChar w:fldCharType="begin"/>
      </w:r>
      <w:r w:rsidRPr="00FD3BA6">
        <w:rPr>
          <w:i w:val="0"/>
          <w:noProof/>
          <w:sz w:val="18"/>
        </w:rPr>
        <w:instrText xml:space="preserve"> PAGEREF _Toc138850314 \h </w:instrText>
      </w:r>
      <w:r w:rsidRPr="00FD3BA6">
        <w:rPr>
          <w:i w:val="0"/>
          <w:noProof/>
          <w:sz w:val="18"/>
        </w:rPr>
      </w:r>
      <w:r w:rsidRPr="00FD3BA6">
        <w:rPr>
          <w:i w:val="0"/>
          <w:noProof/>
          <w:sz w:val="18"/>
        </w:rPr>
        <w:fldChar w:fldCharType="separate"/>
      </w:r>
      <w:r w:rsidRPr="00FD3BA6">
        <w:rPr>
          <w:i w:val="0"/>
          <w:noProof/>
          <w:sz w:val="18"/>
        </w:rPr>
        <w:t>8</w:t>
      </w:r>
      <w:r w:rsidRPr="00FD3BA6">
        <w:rPr>
          <w:i w:val="0"/>
          <w:noProof/>
          <w:sz w:val="18"/>
        </w:rPr>
        <w:fldChar w:fldCharType="end"/>
      </w:r>
    </w:p>
    <w:p w14:paraId="78B1161C" w14:textId="6B50A0AB" w:rsidR="00FD3BA6" w:rsidRDefault="00FD3BA6">
      <w:pPr>
        <w:pStyle w:val="TOC6"/>
        <w:rPr>
          <w:rFonts w:asciiTheme="minorHAnsi" w:eastAsiaTheme="minorEastAsia" w:hAnsiTheme="minorHAnsi" w:cstheme="minorBidi"/>
          <w:b w:val="0"/>
          <w:noProof/>
          <w:kern w:val="0"/>
          <w:sz w:val="22"/>
          <w:szCs w:val="22"/>
        </w:rPr>
      </w:pPr>
      <w:r>
        <w:rPr>
          <w:noProof/>
        </w:rPr>
        <w:t>Schedule 3—DGR registers reform</w:t>
      </w:r>
      <w:r w:rsidRPr="00FD3BA6">
        <w:rPr>
          <w:b w:val="0"/>
          <w:noProof/>
          <w:sz w:val="18"/>
        </w:rPr>
        <w:tab/>
      </w:r>
      <w:r w:rsidRPr="00FD3BA6">
        <w:rPr>
          <w:b w:val="0"/>
          <w:noProof/>
          <w:sz w:val="18"/>
        </w:rPr>
        <w:fldChar w:fldCharType="begin"/>
      </w:r>
      <w:r w:rsidRPr="00FD3BA6">
        <w:rPr>
          <w:b w:val="0"/>
          <w:noProof/>
          <w:sz w:val="18"/>
        </w:rPr>
        <w:instrText xml:space="preserve"> PAGEREF _Toc138850319 \h </w:instrText>
      </w:r>
      <w:r w:rsidRPr="00FD3BA6">
        <w:rPr>
          <w:b w:val="0"/>
          <w:noProof/>
          <w:sz w:val="18"/>
        </w:rPr>
      </w:r>
      <w:r w:rsidRPr="00FD3BA6">
        <w:rPr>
          <w:b w:val="0"/>
          <w:noProof/>
          <w:sz w:val="18"/>
        </w:rPr>
        <w:fldChar w:fldCharType="separate"/>
      </w:r>
      <w:r w:rsidRPr="00FD3BA6">
        <w:rPr>
          <w:b w:val="0"/>
          <w:noProof/>
          <w:sz w:val="18"/>
        </w:rPr>
        <w:t>11</w:t>
      </w:r>
      <w:r w:rsidRPr="00FD3BA6">
        <w:rPr>
          <w:b w:val="0"/>
          <w:noProof/>
          <w:sz w:val="18"/>
        </w:rPr>
        <w:fldChar w:fldCharType="end"/>
      </w:r>
    </w:p>
    <w:p w14:paraId="3CAA2164" w14:textId="46F7C9EF" w:rsidR="00FD3BA6" w:rsidRDefault="00FD3BA6">
      <w:pPr>
        <w:pStyle w:val="TOC7"/>
        <w:rPr>
          <w:rFonts w:asciiTheme="minorHAnsi" w:eastAsiaTheme="minorEastAsia" w:hAnsiTheme="minorHAnsi" w:cstheme="minorBidi"/>
          <w:noProof/>
          <w:kern w:val="0"/>
          <w:sz w:val="22"/>
          <w:szCs w:val="22"/>
        </w:rPr>
      </w:pPr>
      <w:r>
        <w:rPr>
          <w:noProof/>
        </w:rPr>
        <w:t>Part 1—Environmental organisations</w:t>
      </w:r>
      <w:r w:rsidRPr="00FD3BA6">
        <w:rPr>
          <w:noProof/>
          <w:sz w:val="18"/>
        </w:rPr>
        <w:tab/>
      </w:r>
      <w:r w:rsidRPr="00FD3BA6">
        <w:rPr>
          <w:noProof/>
          <w:sz w:val="18"/>
        </w:rPr>
        <w:fldChar w:fldCharType="begin"/>
      </w:r>
      <w:r w:rsidRPr="00FD3BA6">
        <w:rPr>
          <w:noProof/>
          <w:sz w:val="18"/>
        </w:rPr>
        <w:instrText xml:space="preserve"> PAGEREF _Toc138850320 \h </w:instrText>
      </w:r>
      <w:r w:rsidRPr="00FD3BA6">
        <w:rPr>
          <w:noProof/>
          <w:sz w:val="18"/>
        </w:rPr>
      </w:r>
      <w:r w:rsidRPr="00FD3BA6">
        <w:rPr>
          <w:noProof/>
          <w:sz w:val="18"/>
        </w:rPr>
        <w:fldChar w:fldCharType="separate"/>
      </w:r>
      <w:r w:rsidRPr="00FD3BA6">
        <w:rPr>
          <w:noProof/>
          <w:sz w:val="18"/>
        </w:rPr>
        <w:t>11</w:t>
      </w:r>
      <w:r w:rsidRPr="00FD3BA6">
        <w:rPr>
          <w:noProof/>
          <w:sz w:val="18"/>
        </w:rPr>
        <w:fldChar w:fldCharType="end"/>
      </w:r>
    </w:p>
    <w:p w14:paraId="65CFBE7C" w14:textId="2422DF78"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_Toc138850321 \h </w:instrText>
      </w:r>
      <w:r w:rsidRPr="00FD3BA6">
        <w:rPr>
          <w:i w:val="0"/>
          <w:noProof/>
          <w:sz w:val="18"/>
        </w:rPr>
      </w:r>
      <w:r w:rsidRPr="00FD3BA6">
        <w:rPr>
          <w:i w:val="0"/>
          <w:noProof/>
          <w:sz w:val="18"/>
        </w:rPr>
        <w:fldChar w:fldCharType="separate"/>
      </w:r>
      <w:r w:rsidRPr="00FD3BA6">
        <w:rPr>
          <w:i w:val="0"/>
          <w:noProof/>
          <w:sz w:val="18"/>
        </w:rPr>
        <w:t>11</w:t>
      </w:r>
      <w:r w:rsidRPr="00FD3BA6">
        <w:rPr>
          <w:i w:val="0"/>
          <w:noProof/>
          <w:sz w:val="18"/>
        </w:rPr>
        <w:fldChar w:fldCharType="end"/>
      </w:r>
    </w:p>
    <w:p w14:paraId="6DCB8DFC" w14:textId="154D569B" w:rsidR="00FD3BA6" w:rsidRDefault="00FD3BA6">
      <w:pPr>
        <w:pStyle w:val="TOC7"/>
        <w:rPr>
          <w:rFonts w:asciiTheme="minorHAnsi" w:eastAsiaTheme="minorEastAsia" w:hAnsiTheme="minorHAnsi" w:cstheme="minorBidi"/>
          <w:noProof/>
          <w:kern w:val="0"/>
          <w:sz w:val="22"/>
          <w:szCs w:val="22"/>
        </w:rPr>
      </w:pPr>
      <w:r>
        <w:rPr>
          <w:noProof/>
        </w:rPr>
        <w:t>Part 2—Harm prevention charities</w:t>
      </w:r>
      <w:r w:rsidRPr="00FD3BA6">
        <w:rPr>
          <w:noProof/>
          <w:sz w:val="18"/>
        </w:rPr>
        <w:tab/>
      </w:r>
      <w:r w:rsidRPr="00FD3BA6">
        <w:rPr>
          <w:noProof/>
          <w:sz w:val="18"/>
        </w:rPr>
        <w:fldChar w:fldCharType="begin"/>
      </w:r>
      <w:r w:rsidRPr="00FD3BA6">
        <w:rPr>
          <w:noProof/>
          <w:sz w:val="18"/>
        </w:rPr>
        <w:instrText xml:space="preserve"> PAGEREF _Toc138850322 \h </w:instrText>
      </w:r>
      <w:r w:rsidRPr="00FD3BA6">
        <w:rPr>
          <w:noProof/>
          <w:sz w:val="18"/>
        </w:rPr>
      </w:r>
      <w:r w:rsidRPr="00FD3BA6">
        <w:rPr>
          <w:noProof/>
          <w:sz w:val="18"/>
        </w:rPr>
        <w:fldChar w:fldCharType="separate"/>
      </w:r>
      <w:r w:rsidRPr="00FD3BA6">
        <w:rPr>
          <w:noProof/>
          <w:sz w:val="18"/>
        </w:rPr>
        <w:t>15</w:t>
      </w:r>
      <w:r w:rsidRPr="00FD3BA6">
        <w:rPr>
          <w:noProof/>
          <w:sz w:val="18"/>
        </w:rPr>
        <w:fldChar w:fldCharType="end"/>
      </w:r>
    </w:p>
    <w:p w14:paraId="3512EED0" w14:textId="294F838A"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_Toc138850323 \h </w:instrText>
      </w:r>
      <w:r w:rsidRPr="00FD3BA6">
        <w:rPr>
          <w:i w:val="0"/>
          <w:noProof/>
          <w:sz w:val="18"/>
        </w:rPr>
      </w:r>
      <w:r w:rsidRPr="00FD3BA6">
        <w:rPr>
          <w:i w:val="0"/>
          <w:noProof/>
          <w:sz w:val="18"/>
        </w:rPr>
        <w:fldChar w:fldCharType="separate"/>
      </w:r>
      <w:r w:rsidRPr="00FD3BA6">
        <w:rPr>
          <w:i w:val="0"/>
          <w:noProof/>
          <w:sz w:val="18"/>
        </w:rPr>
        <w:t>15</w:t>
      </w:r>
      <w:r w:rsidRPr="00FD3BA6">
        <w:rPr>
          <w:i w:val="0"/>
          <w:noProof/>
          <w:sz w:val="18"/>
        </w:rPr>
        <w:fldChar w:fldCharType="end"/>
      </w:r>
    </w:p>
    <w:p w14:paraId="32607B8D" w14:textId="7908C28A" w:rsidR="00FD3BA6" w:rsidRDefault="00FD3BA6">
      <w:pPr>
        <w:pStyle w:val="TOC7"/>
        <w:rPr>
          <w:rFonts w:asciiTheme="minorHAnsi" w:eastAsiaTheme="minorEastAsia" w:hAnsiTheme="minorHAnsi" w:cstheme="minorBidi"/>
          <w:noProof/>
          <w:kern w:val="0"/>
          <w:sz w:val="22"/>
          <w:szCs w:val="22"/>
        </w:rPr>
      </w:pPr>
      <w:r>
        <w:rPr>
          <w:noProof/>
        </w:rPr>
        <w:t>Part 3—Cultural organisations</w:t>
      </w:r>
      <w:r w:rsidRPr="00FD3BA6">
        <w:rPr>
          <w:noProof/>
          <w:sz w:val="18"/>
        </w:rPr>
        <w:tab/>
      </w:r>
      <w:r w:rsidRPr="00FD3BA6">
        <w:rPr>
          <w:noProof/>
          <w:sz w:val="18"/>
        </w:rPr>
        <w:fldChar w:fldCharType="begin"/>
      </w:r>
      <w:r w:rsidRPr="00FD3BA6">
        <w:rPr>
          <w:noProof/>
          <w:sz w:val="18"/>
        </w:rPr>
        <w:instrText xml:space="preserve"> PAGEREF _Toc138850324 \h </w:instrText>
      </w:r>
      <w:r w:rsidRPr="00FD3BA6">
        <w:rPr>
          <w:noProof/>
          <w:sz w:val="18"/>
        </w:rPr>
      </w:r>
      <w:r w:rsidRPr="00FD3BA6">
        <w:rPr>
          <w:noProof/>
          <w:sz w:val="18"/>
        </w:rPr>
        <w:fldChar w:fldCharType="separate"/>
      </w:r>
      <w:r w:rsidRPr="00FD3BA6">
        <w:rPr>
          <w:noProof/>
          <w:sz w:val="18"/>
        </w:rPr>
        <w:t>18</w:t>
      </w:r>
      <w:r w:rsidRPr="00FD3BA6">
        <w:rPr>
          <w:noProof/>
          <w:sz w:val="18"/>
        </w:rPr>
        <w:fldChar w:fldCharType="end"/>
      </w:r>
    </w:p>
    <w:p w14:paraId="3A70AFD5" w14:textId="0AFF5516"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_Toc138850325 \h </w:instrText>
      </w:r>
      <w:r w:rsidRPr="00FD3BA6">
        <w:rPr>
          <w:i w:val="0"/>
          <w:noProof/>
          <w:sz w:val="18"/>
        </w:rPr>
      </w:r>
      <w:r w:rsidRPr="00FD3BA6">
        <w:rPr>
          <w:i w:val="0"/>
          <w:noProof/>
          <w:sz w:val="18"/>
        </w:rPr>
        <w:fldChar w:fldCharType="separate"/>
      </w:r>
      <w:r w:rsidRPr="00FD3BA6">
        <w:rPr>
          <w:i w:val="0"/>
          <w:noProof/>
          <w:sz w:val="18"/>
        </w:rPr>
        <w:t>18</w:t>
      </w:r>
      <w:r w:rsidRPr="00FD3BA6">
        <w:rPr>
          <w:i w:val="0"/>
          <w:noProof/>
          <w:sz w:val="18"/>
        </w:rPr>
        <w:fldChar w:fldCharType="end"/>
      </w:r>
    </w:p>
    <w:p w14:paraId="10164F88" w14:textId="0DAF4023" w:rsidR="00FD3BA6" w:rsidRDefault="00FD3BA6">
      <w:pPr>
        <w:pStyle w:val="TOC7"/>
        <w:rPr>
          <w:rFonts w:asciiTheme="minorHAnsi" w:eastAsiaTheme="minorEastAsia" w:hAnsiTheme="minorHAnsi" w:cstheme="minorBidi"/>
          <w:noProof/>
          <w:kern w:val="0"/>
          <w:sz w:val="22"/>
          <w:szCs w:val="22"/>
        </w:rPr>
      </w:pPr>
      <w:r>
        <w:rPr>
          <w:noProof/>
        </w:rPr>
        <w:t>Part 4—Overseas aid</w:t>
      </w:r>
      <w:r w:rsidRPr="00FD3BA6">
        <w:rPr>
          <w:noProof/>
          <w:sz w:val="18"/>
        </w:rPr>
        <w:tab/>
      </w:r>
      <w:r w:rsidRPr="00FD3BA6">
        <w:rPr>
          <w:noProof/>
          <w:sz w:val="18"/>
        </w:rPr>
        <w:fldChar w:fldCharType="begin"/>
      </w:r>
      <w:r w:rsidRPr="00FD3BA6">
        <w:rPr>
          <w:noProof/>
          <w:sz w:val="18"/>
        </w:rPr>
        <w:instrText xml:space="preserve"> PAGEREF _Toc138850326 \h </w:instrText>
      </w:r>
      <w:r w:rsidRPr="00FD3BA6">
        <w:rPr>
          <w:noProof/>
          <w:sz w:val="18"/>
        </w:rPr>
      </w:r>
      <w:r w:rsidRPr="00FD3BA6">
        <w:rPr>
          <w:noProof/>
          <w:sz w:val="18"/>
        </w:rPr>
        <w:fldChar w:fldCharType="separate"/>
      </w:r>
      <w:r w:rsidRPr="00FD3BA6">
        <w:rPr>
          <w:noProof/>
          <w:sz w:val="18"/>
        </w:rPr>
        <w:t>21</w:t>
      </w:r>
      <w:r w:rsidRPr="00FD3BA6">
        <w:rPr>
          <w:noProof/>
          <w:sz w:val="18"/>
        </w:rPr>
        <w:fldChar w:fldCharType="end"/>
      </w:r>
    </w:p>
    <w:p w14:paraId="42F5BD04" w14:textId="434F0FB9"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_Toc138850327 \h </w:instrText>
      </w:r>
      <w:r w:rsidRPr="00FD3BA6">
        <w:rPr>
          <w:i w:val="0"/>
          <w:noProof/>
          <w:sz w:val="18"/>
        </w:rPr>
      </w:r>
      <w:r w:rsidRPr="00FD3BA6">
        <w:rPr>
          <w:i w:val="0"/>
          <w:noProof/>
          <w:sz w:val="18"/>
        </w:rPr>
        <w:fldChar w:fldCharType="separate"/>
      </w:r>
      <w:r w:rsidRPr="00FD3BA6">
        <w:rPr>
          <w:i w:val="0"/>
          <w:noProof/>
          <w:sz w:val="18"/>
        </w:rPr>
        <w:t>21</w:t>
      </w:r>
      <w:r w:rsidRPr="00FD3BA6">
        <w:rPr>
          <w:i w:val="0"/>
          <w:noProof/>
          <w:sz w:val="18"/>
        </w:rPr>
        <w:fldChar w:fldCharType="end"/>
      </w:r>
    </w:p>
    <w:p w14:paraId="731C5D2C" w14:textId="48647B4B" w:rsidR="00FD3BA6" w:rsidRDefault="00FD3BA6">
      <w:pPr>
        <w:pStyle w:val="TOC7"/>
        <w:rPr>
          <w:rFonts w:asciiTheme="minorHAnsi" w:eastAsiaTheme="minorEastAsia" w:hAnsiTheme="minorHAnsi" w:cstheme="minorBidi"/>
          <w:noProof/>
          <w:kern w:val="0"/>
          <w:sz w:val="22"/>
          <w:szCs w:val="22"/>
        </w:rPr>
      </w:pPr>
      <w:r>
        <w:rPr>
          <w:noProof/>
        </w:rPr>
        <w:t>Part 5—Miscellaneous</w:t>
      </w:r>
      <w:r w:rsidRPr="00FD3BA6">
        <w:rPr>
          <w:noProof/>
          <w:sz w:val="18"/>
        </w:rPr>
        <w:tab/>
      </w:r>
      <w:r w:rsidRPr="00FD3BA6">
        <w:rPr>
          <w:noProof/>
          <w:sz w:val="18"/>
        </w:rPr>
        <w:fldChar w:fldCharType="begin"/>
      </w:r>
      <w:r w:rsidRPr="00FD3BA6">
        <w:rPr>
          <w:noProof/>
          <w:sz w:val="18"/>
        </w:rPr>
        <w:instrText xml:space="preserve"> PAGEREF _Toc138850329 \h </w:instrText>
      </w:r>
      <w:r w:rsidRPr="00FD3BA6">
        <w:rPr>
          <w:noProof/>
          <w:sz w:val="18"/>
        </w:rPr>
      </w:r>
      <w:r w:rsidRPr="00FD3BA6">
        <w:rPr>
          <w:noProof/>
          <w:sz w:val="18"/>
        </w:rPr>
        <w:fldChar w:fldCharType="separate"/>
      </w:r>
      <w:r w:rsidRPr="00FD3BA6">
        <w:rPr>
          <w:noProof/>
          <w:sz w:val="18"/>
        </w:rPr>
        <w:t>26</w:t>
      </w:r>
      <w:r w:rsidRPr="00FD3BA6">
        <w:rPr>
          <w:noProof/>
          <w:sz w:val="18"/>
        </w:rPr>
        <w:fldChar w:fldCharType="end"/>
      </w:r>
    </w:p>
    <w:p w14:paraId="222F459D" w14:textId="48F92CD8"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_Toc138850330 \h </w:instrText>
      </w:r>
      <w:r w:rsidRPr="00FD3BA6">
        <w:rPr>
          <w:i w:val="0"/>
          <w:noProof/>
          <w:sz w:val="18"/>
        </w:rPr>
      </w:r>
      <w:r w:rsidRPr="00FD3BA6">
        <w:rPr>
          <w:i w:val="0"/>
          <w:noProof/>
          <w:sz w:val="18"/>
        </w:rPr>
        <w:fldChar w:fldCharType="separate"/>
      </w:r>
      <w:r w:rsidRPr="00FD3BA6">
        <w:rPr>
          <w:i w:val="0"/>
          <w:noProof/>
          <w:sz w:val="18"/>
        </w:rPr>
        <w:t>26</w:t>
      </w:r>
      <w:r w:rsidRPr="00FD3BA6">
        <w:rPr>
          <w:i w:val="0"/>
          <w:noProof/>
          <w:sz w:val="18"/>
        </w:rPr>
        <w:fldChar w:fldCharType="end"/>
      </w:r>
    </w:p>
    <w:p w14:paraId="0A8E6FC8" w14:textId="525F8A4C" w:rsidR="00FD3BA6" w:rsidRDefault="00FD3BA6">
      <w:pPr>
        <w:pStyle w:val="TOC6"/>
        <w:rPr>
          <w:rFonts w:asciiTheme="minorHAnsi" w:eastAsiaTheme="minorEastAsia" w:hAnsiTheme="minorHAnsi" w:cstheme="minorBidi"/>
          <w:b w:val="0"/>
          <w:noProof/>
          <w:kern w:val="0"/>
          <w:sz w:val="22"/>
          <w:szCs w:val="22"/>
        </w:rPr>
      </w:pPr>
      <w:r>
        <w:rPr>
          <w:noProof/>
        </w:rPr>
        <w:t>Schedule 4—Aligning excise and customs reporting with other indirect taxes</w:t>
      </w:r>
      <w:r w:rsidRPr="00FD3BA6">
        <w:rPr>
          <w:b w:val="0"/>
          <w:noProof/>
          <w:sz w:val="18"/>
        </w:rPr>
        <w:tab/>
      </w:r>
      <w:r w:rsidRPr="00FD3BA6">
        <w:rPr>
          <w:b w:val="0"/>
          <w:noProof/>
          <w:sz w:val="18"/>
        </w:rPr>
        <w:fldChar w:fldCharType="begin"/>
      </w:r>
      <w:r w:rsidRPr="00FD3BA6">
        <w:rPr>
          <w:b w:val="0"/>
          <w:noProof/>
          <w:sz w:val="18"/>
        </w:rPr>
        <w:instrText xml:space="preserve"> PAGEREF _Toc138850331 \h </w:instrText>
      </w:r>
      <w:r w:rsidRPr="00FD3BA6">
        <w:rPr>
          <w:b w:val="0"/>
          <w:noProof/>
          <w:sz w:val="18"/>
        </w:rPr>
      </w:r>
      <w:r w:rsidRPr="00FD3BA6">
        <w:rPr>
          <w:b w:val="0"/>
          <w:noProof/>
          <w:sz w:val="18"/>
        </w:rPr>
        <w:fldChar w:fldCharType="separate"/>
      </w:r>
      <w:r w:rsidRPr="00FD3BA6">
        <w:rPr>
          <w:b w:val="0"/>
          <w:noProof/>
          <w:sz w:val="18"/>
        </w:rPr>
        <w:t>27</w:t>
      </w:r>
      <w:r w:rsidRPr="00FD3BA6">
        <w:rPr>
          <w:b w:val="0"/>
          <w:noProof/>
          <w:sz w:val="18"/>
        </w:rPr>
        <w:fldChar w:fldCharType="end"/>
      </w:r>
    </w:p>
    <w:p w14:paraId="1562F3AC" w14:textId="08AA7A15" w:rsidR="00FD3BA6" w:rsidRDefault="00FD3BA6">
      <w:pPr>
        <w:pStyle w:val="TOC9"/>
        <w:rPr>
          <w:rFonts w:asciiTheme="minorHAnsi" w:eastAsiaTheme="minorEastAsia" w:hAnsiTheme="minorHAnsi" w:cstheme="minorBidi"/>
          <w:i w:val="0"/>
          <w:noProof/>
          <w:kern w:val="0"/>
          <w:sz w:val="22"/>
          <w:szCs w:val="22"/>
        </w:rPr>
      </w:pPr>
      <w:r>
        <w:rPr>
          <w:noProof/>
        </w:rPr>
        <w:t>Customs Act 1901</w:t>
      </w:r>
      <w:r w:rsidRPr="00FD3BA6">
        <w:rPr>
          <w:i w:val="0"/>
          <w:noProof/>
          <w:sz w:val="18"/>
        </w:rPr>
        <w:tab/>
      </w:r>
      <w:r w:rsidRPr="00FD3BA6">
        <w:rPr>
          <w:i w:val="0"/>
          <w:noProof/>
          <w:sz w:val="18"/>
        </w:rPr>
        <w:fldChar w:fldCharType="begin"/>
      </w:r>
      <w:r w:rsidRPr="00FD3BA6">
        <w:rPr>
          <w:i w:val="0"/>
          <w:noProof/>
          <w:sz w:val="18"/>
        </w:rPr>
        <w:instrText xml:space="preserve"> PAGEREF _Toc138850332 \h </w:instrText>
      </w:r>
      <w:r w:rsidRPr="00FD3BA6">
        <w:rPr>
          <w:i w:val="0"/>
          <w:noProof/>
          <w:sz w:val="18"/>
        </w:rPr>
      </w:r>
      <w:r w:rsidRPr="00FD3BA6">
        <w:rPr>
          <w:i w:val="0"/>
          <w:noProof/>
          <w:sz w:val="18"/>
        </w:rPr>
        <w:fldChar w:fldCharType="separate"/>
      </w:r>
      <w:r w:rsidRPr="00FD3BA6">
        <w:rPr>
          <w:i w:val="0"/>
          <w:noProof/>
          <w:sz w:val="18"/>
        </w:rPr>
        <w:t>27</w:t>
      </w:r>
      <w:r w:rsidRPr="00FD3BA6">
        <w:rPr>
          <w:i w:val="0"/>
          <w:noProof/>
          <w:sz w:val="18"/>
        </w:rPr>
        <w:fldChar w:fldCharType="end"/>
      </w:r>
    </w:p>
    <w:p w14:paraId="102AC0D0" w14:textId="1BABD790" w:rsidR="00FD3BA6" w:rsidRDefault="00FD3BA6">
      <w:pPr>
        <w:pStyle w:val="TOC9"/>
        <w:rPr>
          <w:rFonts w:asciiTheme="minorHAnsi" w:eastAsiaTheme="minorEastAsia" w:hAnsiTheme="minorHAnsi" w:cstheme="minorBidi"/>
          <w:i w:val="0"/>
          <w:noProof/>
          <w:kern w:val="0"/>
          <w:sz w:val="22"/>
          <w:szCs w:val="22"/>
        </w:rPr>
      </w:pPr>
      <w:r>
        <w:rPr>
          <w:noProof/>
        </w:rPr>
        <w:t>Excise Act 1901</w:t>
      </w:r>
      <w:r w:rsidRPr="00FD3BA6">
        <w:rPr>
          <w:i w:val="0"/>
          <w:noProof/>
          <w:sz w:val="18"/>
        </w:rPr>
        <w:tab/>
      </w:r>
      <w:r w:rsidRPr="00FD3BA6">
        <w:rPr>
          <w:i w:val="0"/>
          <w:noProof/>
          <w:sz w:val="18"/>
        </w:rPr>
        <w:fldChar w:fldCharType="begin"/>
      </w:r>
      <w:r w:rsidRPr="00FD3BA6">
        <w:rPr>
          <w:i w:val="0"/>
          <w:noProof/>
          <w:sz w:val="18"/>
        </w:rPr>
        <w:instrText xml:space="preserve"> PAGEREF _Toc138850333 \h </w:instrText>
      </w:r>
      <w:r w:rsidRPr="00FD3BA6">
        <w:rPr>
          <w:i w:val="0"/>
          <w:noProof/>
          <w:sz w:val="18"/>
        </w:rPr>
      </w:r>
      <w:r w:rsidRPr="00FD3BA6">
        <w:rPr>
          <w:i w:val="0"/>
          <w:noProof/>
          <w:sz w:val="18"/>
        </w:rPr>
        <w:fldChar w:fldCharType="separate"/>
      </w:r>
      <w:r w:rsidRPr="00FD3BA6">
        <w:rPr>
          <w:i w:val="0"/>
          <w:noProof/>
          <w:sz w:val="18"/>
        </w:rPr>
        <w:t>28</w:t>
      </w:r>
      <w:r w:rsidRPr="00FD3BA6">
        <w:rPr>
          <w:i w:val="0"/>
          <w:noProof/>
          <w:sz w:val="18"/>
        </w:rPr>
        <w:fldChar w:fldCharType="end"/>
      </w:r>
    </w:p>
    <w:p w14:paraId="5333AF4C" w14:textId="38C7B3DA" w:rsidR="00FD3BA6" w:rsidRDefault="00FD3BA6">
      <w:pPr>
        <w:pStyle w:val="TOC9"/>
        <w:rPr>
          <w:rFonts w:asciiTheme="minorHAnsi" w:eastAsiaTheme="minorEastAsia" w:hAnsiTheme="minorHAnsi" w:cstheme="minorBidi"/>
          <w:i w:val="0"/>
          <w:noProof/>
          <w:kern w:val="0"/>
          <w:sz w:val="22"/>
          <w:szCs w:val="22"/>
        </w:rPr>
      </w:pPr>
      <w:r>
        <w:rPr>
          <w:noProof/>
        </w:rPr>
        <w:t>Income Tax Assessment Act 1997</w:t>
      </w:r>
      <w:r w:rsidRPr="00FD3BA6">
        <w:rPr>
          <w:i w:val="0"/>
          <w:noProof/>
          <w:sz w:val="18"/>
        </w:rPr>
        <w:tab/>
      </w:r>
      <w:r w:rsidRPr="00FD3BA6">
        <w:rPr>
          <w:i w:val="0"/>
          <w:noProof/>
          <w:sz w:val="18"/>
        </w:rPr>
        <w:fldChar w:fldCharType="begin"/>
      </w:r>
      <w:r w:rsidRPr="00FD3BA6">
        <w:rPr>
          <w:i w:val="0"/>
          <w:noProof/>
          <w:sz w:val="18"/>
        </w:rPr>
        <w:instrText xml:space="preserve"> PAGEREF _Toc138850334 \h </w:instrText>
      </w:r>
      <w:r w:rsidRPr="00FD3BA6">
        <w:rPr>
          <w:i w:val="0"/>
          <w:noProof/>
          <w:sz w:val="18"/>
        </w:rPr>
      </w:r>
      <w:r w:rsidRPr="00FD3BA6">
        <w:rPr>
          <w:i w:val="0"/>
          <w:noProof/>
          <w:sz w:val="18"/>
        </w:rPr>
        <w:fldChar w:fldCharType="separate"/>
      </w:r>
      <w:r w:rsidRPr="00FD3BA6">
        <w:rPr>
          <w:i w:val="0"/>
          <w:noProof/>
          <w:sz w:val="18"/>
        </w:rPr>
        <w:t>29</w:t>
      </w:r>
      <w:r w:rsidRPr="00FD3BA6">
        <w:rPr>
          <w:i w:val="0"/>
          <w:noProof/>
          <w:sz w:val="18"/>
        </w:rPr>
        <w:fldChar w:fldCharType="end"/>
      </w:r>
    </w:p>
    <w:p w14:paraId="00D8D83F" w14:textId="739A4DC1" w:rsidR="00FD3BA6" w:rsidRDefault="00FD3BA6">
      <w:pPr>
        <w:pStyle w:val="TOC9"/>
        <w:rPr>
          <w:rFonts w:asciiTheme="minorHAnsi" w:eastAsiaTheme="minorEastAsia" w:hAnsiTheme="minorHAnsi" w:cstheme="minorBidi"/>
          <w:i w:val="0"/>
          <w:noProof/>
          <w:kern w:val="0"/>
          <w:sz w:val="22"/>
          <w:szCs w:val="22"/>
        </w:rPr>
      </w:pPr>
      <w:r>
        <w:rPr>
          <w:noProof/>
        </w:rPr>
        <w:t>Taxation Administration Act 1953</w:t>
      </w:r>
      <w:r w:rsidRPr="00FD3BA6">
        <w:rPr>
          <w:i w:val="0"/>
          <w:noProof/>
          <w:sz w:val="18"/>
        </w:rPr>
        <w:tab/>
      </w:r>
      <w:r w:rsidRPr="00FD3BA6">
        <w:rPr>
          <w:i w:val="0"/>
          <w:noProof/>
          <w:sz w:val="18"/>
        </w:rPr>
        <w:fldChar w:fldCharType="begin"/>
      </w:r>
      <w:r w:rsidRPr="00FD3BA6">
        <w:rPr>
          <w:i w:val="0"/>
          <w:noProof/>
          <w:sz w:val="18"/>
        </w:rPr>
        <w:instrText xml:space="preserve"> PAGEREF _Toc138850335 \h </w:instrText>
      </w:r>
      <w:r w:rsidRPr="00FD3BA6">
        <w:rPr>
          <w:i w:val="0"/>
          <w:noProof/>
          <w:sz w:val="18"/>
        </w:rPr>
      </w:r>
      <w:r w:rsidRPr="00FD3BA6">
        <w:rPr>
          <w:i w:val="0"/>
          <w:noProof/>
          <w:sz w:val="18"/>
        </w:rPr>
        <w:fldChar w:fldCharType="separate"/>
      </w:r>
      <w:r w:rsidRPr="00FD3BA6">
        <w:rPr>
          <w:i w:val="0"/>
          <w:noProof/>
          <w:sz w:val="18"/>
        </w:rPr>
        <w:t>30</w:t>
      </w:r>
      <w:r w:rsidRPr="00FD3BA6">
        <w:rPr>
          <w:i w:val="0"/>
          <w:noProof/>
          <w:sz w:val="18"/>
        </w:rPr>
        <w:fldChar w:fldCharType="end"/>
      </w:r>
    </w:p>
    <w:p w14:paraId="19EC9000" w14:textId="0F754D6D" w:rsidR="00FD3BA6" w:rsidRDefault="00FD3BA6">
      <w:pPr>
        <w:pStyle w:val="TOC6"/>
        <w:rPr>
          <w:rFonts w:asciiTheme="minorHAnsi" w:eastAsiaTheme="minorEastAsia" w:hAnsiTheme="minorHAnsi" w:cstheme="minorBidi"/>
          <w:b w:val="0"/>
          <w:noProof/>
          <w:kern w:val="0"/>
          <w:sz w:val="22"/>
          <w:szCs w:val="22"/>
        </w:rPr>
      </w:pPr>
      <w:r>
        <w:rPr>
          <w:noProof/>
        </w:rPr>
        <w:t>Schedule 5—Small</w:t>
      </w:r>
      <w:r>
        <w:rPr>
          <w:noProof/>
        </w:rPr>
        <w:noBreakHyphen/>
        <w:t>scale repackaging of beer into smaller containers</w:t>
      </w:r>
      <w:r w:rsidRPr="00FD3BA6">
        <w:rPr>
          <w:b w:val="0"/>
          <w:noProof/>
          <w:sz w:val="18"/>
        </w:rPr>
        <w:tab/>
      </w:r>
      <w:r w:rsidRPr="00FD3BA6">
        <w:rPr>
          <w:b w:val="0"/>
          <w:noProof/>
          <w:sz w:val="18"/>
        </w:rPr>
        <w:fldChar w:fldCharType="begin"/>
      </w:r>
      <w:r w:rsidRPr="00FD3BA6">
        <w:rPr>
          <w:b w:val="0"/>
          <w:noProof/>
          <w:sz w:val="18"/>
        </w:rPr>
        <w:instrText xml:space="preserve"> PAGEREF _Toc138850336 \h </w:instrText>
      </w:r>
      <w:r w:rsidRPr="00FD3BA6">
        <w:rPr>
          <w:b w:val="0"/>
          <w:noProof/>
          <w:sz w:val="18"/>
        </w:rPr>
      </w:r>
      <w:r w:rsidRPr="00FD3BA6">
        <w:rPr>
          <w:b w:val="0"/>
          <w:noProof/>
          <w:sz w:val="18"/>
        </w:rPr>
        <w:fldChar w:fldCharType="separate"/>
      </w:r>
      <w:r w:rsidRPr="00FD3BA6">
        <w:rPr>
          <w:b w:val="0"/>
          <w:noProof/>
          <w:sz w:val="18"/>
        </w:rPr>
        <w:t>31</w:t>
      </w:r>
      <w:r w:rsidRPr="00FD3BA6">
        <w:rPr>
          <w:b w:val="0"/>
          <w:noProof/>
          <w:sz w:val="18"/>
        </w:rPr>
        <w:fldChar w:fldCharType="end"/>
      </w:r>
    </w:p>
    <w:p w14:paraId="235D22CD" w14:textId="27B9E47F" w:rsidR="00FD3BA6" w:rsidRDefault="00FD3BA6">
      <w:pPr>
        <w:pStyle w:val="TOC9"/>
        <w:rPr>
          <w:rFonts w:asciiTheme="minorHAnsi" w:eastAsiaTheme="minorEastAsia" w:hAnsiTheme="minorHAnsi" w:cstheme="minorBidi"/>
          <w:i w:val="0"/>
          <w:noProof/>
          <w:kern w:val="0"/>
          <w:sz w:val="22"/>
          <w:szCs w:val="22"/>
        </w:rPr>
      </w:pPr>
      <w:r>
        <w:rPr>
          <w:noProof/>
        </w:rPr>
        <w:t>Excise Act 1901</w:t>
      </w:r>
      <w:r w:rsidRPr="00FD3BA6">
        <w:rPr>
          <w:i w:val="0"/>
          <w:noProof/>
          <w:sz w:val="18"/>
        </w:rPr>
        <w:tab/>
      </w:r>
      <w:r w:rsidRPr="00FD3BA6">
        <w:rPr>
          <w:i w:val="0"/>
          <w:noProof/>
          <w:sz w:val="18"/>
        </w:rPr>
        <w:fldChar w:fldCharType="begin"/>
      </w:r>
      <w:r w:rsidRPr="00FD3BA6">
        <w:rPr>
          <w:i w:val="0"/>
          <w:noProof/>
          <w:sz w:val="18"/>
        </w:rPr>
        <w:instrText xml:space="preserve"> PAGEREF _Toc138850337 \h </w:instrText>
      </w:r>
      <w:r w:rsidRPr="00FD3BA6">
        <w:rPr>
          <w:i w:val="0"/>
          <w:noProof/>
          <w:sz w:val="18"/>
        </w:rPr>
      </w:r>
      <w:r w:rsidRPr="00FD3BA6">
        <w:rPr>
          <w:i w:val="0"/>
          <w:noProof/>
          <w:sz w:val="18"/>
        </w:rPr>
        <w:fldChar w:fldCharType="separate"/>
      </w:r>
      <w:r w:rsidRPr="00FD3BA6">
        <w:rPr>
          <w:i w:val="0"/>
          <w:noProof/>
          <w:sz w:val="18"/>
        </w:rPr>
        <w:t>31</w:t>
      </w:r>
      <w:r w:rsidRPr="00FD3BA6">
        <w:rPr>
          <w:i w:val="0"/>
          <w:noProof/>
          <w:sz w:val="18"/>
        </w:rPr>
        <w:fldChar w:fldCharType="end"/>
      </w:r>
    </w:p>
    <w:p w14:paraId="66121D0F" w14:textId="06D758B9" w:rsidR="00060FF9" w:rsidRPr="00C35060" w:rsidRDefault="00FD3BA6" w:rsidP="0048364F">
      <w:r>
        <w:fldChar w:fldCharType="end"/>
      </w:r>
    </w:p>
    <w:p w14:paraId="5FF1B7DE" w14:textId="77777777" w:rsidR="00FE7F93" w:rsidRPr="00C35060" w:rsidRDefault="00FE7F93" w:rsidP="0048364F">
      <w:pPr>
        <w:sectPr w:rsidR="00FE7F93" w:rsidRPr="00C35060" w:rsidSect="004D3F4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D6ED2EE" w14:textId="77777777" w:rsidR="004D3F4B" w:rsidRDefault="004D3F4B">
      <w:r>
        <w:object w:dxaOrig="2146" w:dyaOrig="1561" w14:anchorId="5BC13082">
          <v:shape id="_x0000_i1027" type="#_x0000_t75" alt="Commonwealth Coat of Arms of Australia" style="width:110.25pt;height:80.25pt" o:ole="" fillcolor="window">
            <v:imagedata r:id="rId7" o:title=""/>
          </v:shape>
          <o:OLEObject Type="Embed" ProgID="Word.Picture.8" ShapeID="_x0000_i1027" DrawAspect="Content" ObjectID="_1749463170" r:id="rId20"/>
        </w:object>
      </w:r>
    </w:p>
    <w:p w14:paraId="3F9EB6EC" w14:textId="77777777" w:rsidR="004D3F4B" w:rsidRDefault="004D3F4B"/>
    <w:p w14:paraId="46DC59FE" w14:textId="77777777" w:rsidR="004D3F4B" w:rsidRDefault="004D3F4B" w:rsidP="000178F8">
      <w:pPr>
        <w:spacing w:line="240" w:lineRule="auto"/>
      </w:pPr>
    </w:p>
    <w:p w14:paraId="0E755273" w14:textId="2FC74036" w:rsidR="004D3F4B" w:rsidRDefault="00FD3BA6" w:rsidP="000178F8">
      <w:pPr>
        <w:pStyle w:val="ShortTP1"/>
      </w:pPr>
      <w:r>
        <w:fldChar w:fldCharType="begin"/>
      </w:r>
      <w:r>
        <w:instrText xml:space="preserve"> STYLEREF ShortT </w:instrText>
      </w:r>
      <w:r>
        <w:fldChar w:fldCharType="separate"/>
      </w:r>
      <w:r>
        <w:rPr>
          <w:noProof/>
        </w:rPr>
        <w:t>Treasury Laws Amendment (Refining and Improving Our Tax System) Act 2023</w:t>
      </w:r>
      <w:r>
        <w:rPr>
          <w:noProof/>
        </w:rPr>
        <w:fldChar w:fldCharType="end"/>
      </w:r>
    </w:p>
    <w:p w14:paraId="45E8ABD7" w14:textId="6BFA5E1F" w:rsidR="004D3F4B" w:rsidRDefault="00FD3BA6" w:rsidP="000178F8">
      <w:pPr>
        <w:pStyle w:val="ActNoP1"/>
      </w:pPr>
      <w:r>
        <w:fldChar w:fldCharType="begin"/>
      </w:r>
      <w:r>
        <w:instrText xml:space="preserve"> STYLEREF Actno </w:instrText>
      </w:r>
      <w:r>
        <w:fldChar w:fldCharType="separate"/>
      </w:r>
      <w:r>
        <w:rPr>
          <w:noProof/>
        </w:rPr>
        <w:t>No. 40, 2023</w:t>
      </w:r>
      <w:r>
        <w:rPr>
          <w:noProof/>
        </w:rPr>
        <w:fldChar w:fldCharType="end"/>
      </w:r>
    </w:p>
    <w:p w14:paraId="0A153B70" w14:textId="77777777" w:rsidR="004D3F4B" w:rsidRPr="009A0728" w:rsidRDefault="004D3F4B" w:rsidP="009A0728">
      <w:pPr>
        <w:pBdr>
          <w:bottom w:val="single" w:sz="6" w:space="0" w:color="auto"/>
        </w:pBdr>
        <w:spacing w:before="400" w:line="240" w:lineRule="auto"/>
        <w:rPr>
          <w:rFonts w:eastAsia="Times New Roman"/>
          <w:b/>
          <w:sz w:val="28"/>
        </w:rPr>
      </w:pPr>
    </w:p>
    <w:p w14:paraId="6B95F37A" w14:textId="77777777" w:rsidR="004D3F4B" w:rsidRPr="009A0728" w:rsidRDefault="004D3F4B" w:rsidP="009A0728">
      <w:pPr>
        <w:spacing w:line="40" w:lineRule="exact"/>
        <w:rPr>
          <w:rFonts w:eastAsia="Calibri"/>
          <w:b/>
          <w:sz w:val="28"/>
        </w:rPr>
      </w:pPr>
    </w:p>
    <w:p w14:paraId="72AA8D92" w14:textId="77777777" w:rsidR="004D3F4B" w:rsidRPr="009A0728" w:rsidRDefault="004D3F4B" w:rsidP="009A0728">
      <w:pPr>
        <w:pBdr>
          <w:top w:val="single" w:sz="12" w:space="0" w:color="auto"/>
        </w:pBdr>
        <w:spacing w:line="240" w:lineRule="auto"/>
        <w:rPr>
          <w:rFonts w:eastAsia="Times New Roman"/>
          <w:b/>
          <w:sz w:val="28"/>
        </w:rPr>
      </w:pPr>
    </w:p>
    <w:p w14:paraId="2A55AC8B" w14:textId="77777777" w:rsidR="004D3F4B" w:rsidRDefault="004D3F4B" w:rsidP="004D3F4B">
      <w:pPr>
        <w:pStyle w:val="Page1"/>
        <w:spacing w:before="400"/>
      </w:pPr>
      <w:r>
        <w:t>An Act to amend the law relating to taxation, and for related purposes</w:t>
      </w:r>
    </w:p>
    <w:p w14:paraId="28F37A76" w14:textId="62C20542" w:rsidR="00FD3BA6" w:rsidRDefault="00FD3BA6" w:rsidP="000C5962">
      <w:pPr>
        <w:pStyle w:val="AssentDt"/>
        <w:spacing w:before="240"/>
        <w:rPr>
          <w:sz w:val="24"/>
        </w:rPr>
      </w:pPr>
      <w:r>
        <w:rPr>
          <w:sz w:val="24"/>
        </w:rPr>
        <w:t>[</w:t>
      </w:r>
      <w:r>
        <w:rPr>
          <w:i/>
          <w:sz w:val="24"/>
        </w:rPr>
        <w:t>Assented to 28 June 2023</w:t>
      </w:r>
      <w:r>
        <w:rPr>
          <w:sz w:val="24"/>
        </w:rPr>
        <w:t>]</w:t>
      </w:r>
    </w:p>
    <w:p w14:paraId="25CABB7D" w14:textId="045E190B" w:rsidR="0048364F" w:rsidRPr="00C35060" w:rsidRDefault="0048364F" w:rsidP="00C35060">
      <w:pPr>
        <w:spacing w:before="240" w:line="240" w:lineRule="auto"/>
        <w:rPr>
          <w:sz w:val="32"/>
        </w:rPr>
      </w:pPr>
      <w:r w:rsidRPr="00C35060">
        <w:rPr>
          <w:sz w:val="32"/>
        </w:rPr>
        <w:t>The Parliament of Australia enacts:</w:t>
      </w:r>
    </w:p>
    <w:p w14:paraId="6D877171" w14:textId="77777777" w:rsidR="0048364F" w:rsidRPr="00C35060" w:rsidRDefault="0048364F" w:rsidP="00C35060">
      <w:pPr>
        <w:pStyle w:val="ActHead5"/>
      </w:pPr>
      <w:bookmarkStart w:id="2" w:name="_Toc138850303"/>
      <w:r w:rsidRPr="00DF1F24">
        <w:rPr>
          <w:rStyle w:val="CharSectno"/>
        </w:rPr>
        <w:t>1</w:t>
      </w:r>
      <w:r w:rsidRPr="00C35060">
        <w:t xml:space="preserve">  Short title</w:t>
      </w:r>
      <w:bookmarkEnd w:id="2"/>
    </w:p>
    <w:p w14:paraId="0017DD63" w14:textId="77777777" w:rsidR="0048364F" w:rsidRPr="00C35060" w:rsidRDefault="0048364F" w:rsidP="00C35060">
      <w:pPr>
        <w:pStyle w:val="subsection"/>
      </w:pPr>
      <w:r w:rsidRPr="00C35060">
        <w:tab/>
      </w:r>
      <w:r w:rsidRPr="00C35060">
        <w:tab/>
        <w:t xml:space="preserve">This Act </w:t>
      </w:r>
      <w:r w:rsidR="00275197" w:rsidRPr="00C35060">
        <w:t xml:space="preserve">is </w:t>
      </w:r>
      <w:r w:rsidRPr="00C35060">
        <w:t xml:space="preserve">the </w:t>
      </w:r>
      <w:bookmarkStart w:id="3" w:name="_Hlk128486624"/>
      <w:r w:rsidR="00064F1E" w:rsidRPr="00C35060">
        <w:rPr>
          <w:i/>
        </w:rPr>
        <w:t>Treasury Laws Amendment (</w:t>
      </w:r>
      <w:r w:rsidR="00B6593E" w:rsidRPr="00C35060">
        <w:rPr>
          <w:i/>
        </w:rPr>
        <w:t>Refining and Improving Our Tax System</w:t>
      </w:r>
      <w:r w:rsidR="00064F1E" w:rsidRPr="00C35060">
        <w:rPr>
          <w:i/>
        </w:rPr>
        <w:t xml:space="preserve">) </w:t>
      </w:r>
      <w:r w:rsidR="00EE3E36" w:rsidRPr="00C35060">
        <w:rPr>
          <w:i/>
        </w:rPr>
        <w:t xml:space="preserve">Act </w:t>
      </w:r>
      <w:r w:rsidR="00005D25" w:rsidRPr="00C35060">
        <w:rPr>
          <w:i/>
        </w:rPr>
        <w:t>2023</w:t>
      </w:r>
      <w:bookmarkEnd w:id="3"/>
      <w:r w:rsidRPr="00C35060">
        <w:t>.</w:t>
      </w:r>
    </w:p>
    <w:p w14:paraId="2E94D0A5" w14:textId="77777777" w:rsidR="0048364F" w:rsidRPr="00C35060" w:rsidRDefault="0048364F" w:rsidP="00C35060">
      <w:pPr>
        <w:pStyle w:val="ActHead5"/>
      </w:pPr>
      <w:bookmarkStart w:id="4" w:name="_Toc138850304"/>
      <w:r w:rsidRPr="00DF1F24">
        <w:rPr>
          <w:rStyle w:val="CharSectno"/>
        </w:rPr>
        <w:t>2</w:t>
      </w:r>
      <w:r w:rsidRPr="00C35060">
        <w:t xml:space="preserve">  Commencement</w:t>
      </w:r>
      <w:bookmarkEnd w:id="4"/>
    </w:p>
    <w:p w14:paraId="1E150DD5" w14:textId="77777777" w:rsidR="0048364F" w:rsidRPr="00C35060" w:rsidRDefault="0048364F" w:rsidP="00C35060">
      <w:pPr>
        <w:pStyle w:val="subsection"/>
      </w:pPr>
      <w:r w:rsidRPr="00C35060">
        <w:tab/>
        <w:t>(1)</w:t>
      </w:r>
      <w:r w:rsidRPr="00C35060">
        <w:tab/>
        <w:t>Each provision of this Act specified in column 1 of the table commences, or is taken to have commenced, in accordance with column 2 of the table. Any other statement in column 2 has effect according to its terms.</w:t>
      </w:r>
    </w:p>
    <w:p w14:paraId="28C054DC" w14:textId="77777777" w:rsidR="0048364F" w:rsidRPr="00C35060" w:rsidRDefault="0048364F" w:rsidP="00C3506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35060" w14:paraId="6E1AAB32" w14:textId="77777777" w:rsidTr="00403C38">
        <w:trPr>
          <w:tblHeader/>
        </w:trPr>
        <w:tc>
          <w:tcPr>
            <w:tcW w:w="7111" w:type="dxa"/>
            <w:gridSpan w:val="3"/>
            <w:tcBorders>
              <w:top w:val="single" w:sz="12" w:space="0" w:color="auto"/>
              <w:bottom w:val="single" w:sz="6" w:space="0" w:color="auto"/>
            </w:tcBorders>
            <w:shd w:val="clear" w:color="auto" w:fill="auto"/>
          </w:tcPr>
          <w:p w14:paraId="75844367" w14:textId="77777777" w:rsidR="0048364F" w:rsidRPr="00C35060" w:rsidRDefault="0048364F" w:rsidP="00C35060">
            <w:pPr>
              <w:pStyle w:val="TableHeading"/>
            </w:pPr>
            <w:r w:rsidRPr="00C35060">
              <w:lastRenderedPageBreak/>
              <w:t>Commencement information</w:t>
            </w:r>
          </w:p>
        </w:tc>
      </w:tr>
      <w:tr w:rsidR="0048364F" w:rsidRPr="00C35060" w14:paraId="4D19408C" w14:textId="77777777" w:rsidTr="00403C38">
        <w:trPr>
          <w:tblHeader/>
        </w:trPr>
        <w:tc>
          <w:tcPr>
            <w:tcW w:w="1701" w:type="dxa"/>
            <w:tcBorders>
              <w:top w:val="single" w:sz="6" w:space="0" w:color="auto"/>
              <w:bottom w:val="single" w:sz="6" w:space="0" w:color="auto"/>
            </w:tcBorders>
            <w:shd w:val="clear" w:color="auto" w:fill="auto"/>
          </w:tcPr>
          <w:p w14:paraId="102682D8" w14:textId="77777777" w:rsidR="0048364F" w:rsidRPr="00C35060" w:rsidRDefault="0048364F" w:rsidP="00C35060">
            <w:pPr>
              <w:pStyle w:val="TableHeading"/>
            </w:pPr>
            <w:r w:rsidRPr="00C35060">
              <w:t>Column 1</w:t>
            </w:r>
          </w:p>
        </w:tc>
        <w:tc>
          <w:tcPr>
            <w:tcW w:w="3828" w:type="dxa"/>
            <w:tcBorders>
              <w:top w:val="single" w:sz="6" w:space="0" w:color="auto"/>
              <w:bottom w:val="single" w:sz="6" w:space="0" w:color="auto"/>
            </w:tcBorders>
            <w:shd w:val="clear" w:color="auto" w:fill="auto"/>
          </w:tcPr>
          <w:p w14:paraId="30765EAE" w14:textId="77777777" w:rsidR="0048364F" w:rsidRPr="00C35060" w:rsidRDefault="0048364F" w:rsidP="00C35060">
            <w:pPr>
              <w:pStyle w:val="TableHeading"/>
            </w:pPr>
            <w:r w:rsidRPr="00C35060">
              <w:t>Column 2</w:t>
            </w:r>
          </w:p>
        </w:tc>
        <w:tc>
          <w:tcPr>
            <w:tcW w:w="1582" w:type="dxa"/>
            <w:tcBorders>
              <w:top w:val="single" w:sz="6" w:space="0" w:color="auto"/>
              <w:bottom w:val="single" w:sz="6" w:space="0" w:color="auto"/>
            </w:tcBorders>
            <w:shd w:val="clear" w:color="auto" w:fill="auto"/>
          </w:tcPr>
          <w:p w14:paraId="481AF441" w14:textId="77777777" w:rsidR="0048364F" w:rsidRPr="00C35060" w:rsidRDefault="0048364F" w:rsidP="00C35060">
            <w:pPr>
              <w:pStyle w:val="TableHeading"/>
            </w:pPr>
            <w:r w:rsidRPr="00C35060">
              <w:t>Column 3</w:t>
            </w:r>
          </w:p>
        </w:tc>
      </w:tr>
      <w:tr w:rsidR="0048364F" w:rsidRPr="00C35060" w14:paraId="0412B97F" w14:textId="77777777" w:rsidTr="00403C38">
        <w:trPr>
          <w:tblHeader/>
        </w:trPr>
        <w:tc>
          <w:tcPr>
            <w:tcW w:w="1701" w:type="dxa"/>
            <w:tcBorders>
              <w:top w:val="single" w:sz="6" w:space="0" w:color="auto"/>
              <w:bottom w:val="single" w:sz="12" w:space="0" w:color="auto"/>
            </w:tcBorders>
            <w:shd w:val="clear" w:color="auto" w:fill="auto"/>
          </w:tcPr>
          <w:p w14:paraId="5CCE1A04" w14:textId="77777777" w:rsidR="0048364F" w:rsidRPr="00C35060" w:rsidRDefault="0048364F" w:rsidP="00C35060">
            <w:pPr>
              <w:pStyle w:val="TableHeading"/>
            </w:pPr>
            <w:r w:rsidRPr="00C35060">
              <w:t>Provisions</w:t>
            </w:r>
          </w:p>
        </w:tc>
        <w:tc>
          <w:tcPr>
            <w:tcW w:w="3828" w:type="dxa"/>
            <w:tcBorders>
              <w:top w:val="single" w:sz="6" w:space="0" w:color="auto"/>
              <w:bottom w:val="single" w:sz="12" w:space="0" w:color="auto"/>
            </w:tcBorders>
            <w:shd w:val="clear" w:color="auto" w:fill="auto"/>
          </w:tcPr>
          <w:p w14:paraId="69C8FF84" w14:textId="77777777" w:rsidR="0048364F" w:rsidRPr="00C35060" w:rsidRDefault="0048364F" w:rsidP="00C35060">
            <w:pPr>
              <w:pStyle w:val="TableHeading"/>
            </w:pPr>
            <w:r w:rsidRPr="00C35060">
              <w:t>Commencement</w:t>
            </w:r>
          </w:p>
        </w:tc>
        <w:tc>
          <w:tcPr>
            <w:tcW w:w="1582" w:type="dxa"/>
            <w:tcBorders>
              <w:top w:val="single" w:sz="6" w:space="0" w:color="auto"/>
              <w:bottom w:val="single" w:sz="12" w:space="0" w:color="auto"/>
            </w:tcBorders>
            <w:shd w:val="clear" w:color="auto" w:fill="auto"/>
          </w:tcPr>
          <w:p w14:paraId="5EFF52A7" w14:textId="77777777" w:rsidR="0048364F" w:rsidRPr="00C35060" w:rsidRDefault="0048364F" w:rsidP="00C35060">
            <w:pPr>
              <w:pStyle w:val="TableHeading"/>
            </w:pPr>
            <w:r w:rsidRPr="00C35060">
              <w:t>Date/Details</w:t>
            </w:r>
          </w:p>
        </w:tc>
      </w:tr>
      <w:tr w:rsidR="0048364F" w:rsidRPr="00C35060" w14:paraId="651412A1" w14:textId="77777777" w:rsidTr="00403C38">
        <w:tc>
          <w:tcPr>
            <w:tcW w:w="1701" w:type="dxa"/>
            <w:tcBorders>
              <w:top w:val="single" w:sz="12" w:space="0" w:color="auto"/>
            </w:tcBorders>
            <w:shd w:val="clear" w:color="auto" w:fill="auto"/>
          </w:tcPr>
          <w:p w14:paraId="5D62F508" w14:textId="77777777" w:rsidR="0048364F" w:rsidRPr="00C35060" w:rsidRDefault="0048364F" w:rsidP="00C35060">
            <w:pPr>
              <w:pStyle w:val="Tabletext"/>
            </w:pPr>
            <w:r w:rsidRPr="00C35060">
              <w:t xml:space="preserve">1.  </w:t>
            </w:r>
            <w:r w:rsidR="00B2793A" w:rsidRPr="00C35060">
              <w:t>Sections 1</w:t>
            </w:r>
            <w:r w:rsidRPr="00C35060">
              <w:t xml:space="preserve"> to 3 and anything in this Act not elsewhere covered by this table</w:t>
            </w:r>
          </w:p>
        </w:tc>
        <w:tc>
          <w:tcPr>
            <w:tcW w:w="3828" w:type="dxa"/>
            <w:tcBorders>
              <w:top w:val="single" w:sz="12" w:space="0" w:color="auto"/>
            </w:tcBorders>
            <w:shd w:val="clear" w:color="auto" w:fill="auto"/>
          </w:tcPr>
          <w:p w14:paraId="385F2114" w14:textId="77777777" w:rsidR="0048364F" w:rsidRPr="00C35060" w:rsidRDefault="0048364F" w:rsidP="00C35060">
            <w:pPr>
              <w:pStyle w:val="Tabletext"/>
            </w:pPr>
            <w:r w:rsidRPr="00C35060">
              <w:t>The day this Act receives the Royal Assent.</w:t>
            </w:r>
          </w:p>
        </w:tc>
        <w:tc>
          <w:tcPr>
            <w:tcW w:w="1582" w:type="dxa"/>
            <w:tcBorders>
              <w:top w:val="single" w:sz="12" w:space="0" w:color="auto"/>
            </w:tcBorders>
            <w:shd w:val="clear" w:color="auto" w:fill="auto"/>
          </w:tcPr>
          <w:p w14:paraId="3484C8B2" w14:textId="5A5DFEBF" w:rsidR="0048364F" w:rsidRPr="00C35060" w:rsidRDefault="00FD3BA6" w:rsidP="00C35060">
            <w:pPr>
              <w:pStyle w:val="Tabletext"/>
            </w:pPr>
            <w:r>
              <w:t>28 June 2023</w:t>
            </w:r>
          </w:p>
        </w:tc>
      </w:tr>
      <w:tr w:rsidR="0048364F" w:rsidRPr="00C35060" w14:paraId="4B6B37BF" w14:textId="77777777" w:rsidTr="00403C38">
        <w:tc>
          <w:tcPr>
            <w:tcW w:w="1701" w:type="dxa"/>
            <w:shd w:val="clear" w:color="auto" w:fill="auto"/>
          </w:tcPr>
          <w:p w14:paraId="4E1B8CA5" w14:textId="77777777" w:rsidR="0048364F" w:rsidRPr="00C35060" w:rsidRDefault="0048364F" w:rsidP="00C35060">
            <w:pPr>
              <w:pStyle w:val="Tabletext"/>
            </w:pPr>
            <w:r w:rsidRPr="00C35060">
              <w:t xml:space="preserve">2.  </w:t>
            </w:r>
            <w:r w:rsidR="00B2793A" w:rsidRPr="00C35060">
              <w:t>Schedule 1</w:t>
            </w:r>
          </w:p>
        </w:tc>
        <w:tc>
          <w:tcPr>
            <w:tcW w:w="3828" w:type="dxa"/>
            <w:shd w:val="clear" w:color="auto" w:fill="auto"/>
          </w:tcPr>
          <w:p w14:paraId="11EF6DD6" w14:textId="77777777" w:rsidR="0048364F" w:rsidRPr="00C35060" w:rsidRDefault="004B2228" w:rsidP="00C35060">
            <w:pPr>
              <w:pStyle w:val="Tabletext"/>
            </w:pPr>
            <w:r w:rsidRPr="00C35060">
              <w:t>The day after this Act receives the Royal Assent.</w:t>
            </w:r>
          </w:p>
        </w:tc>
        <w:tc>
          <w:tcPr>
            <w:tcW w:w="1582" w:type="dxa"/>
            <w:shd w:val="clear" w:color="auto" w:fill="auto"/>
          </w:tcPr>
          <w:p w14:paraId="295560B1" w14:textId="4425615F" w:rsidR="0048364F" w:rsidRPr="00C35060" w:rsidRDefault="00FD3BA6" w:rsidP="00C35060">
            <w:pPr>
              <w:pStyle w:val="Tabletext"/>
            </w:pPr>
            <w:r>
              <w:t>29 June 2023</w:t>
            </w:r>
          </w:p>
        </w:tc>
      </w:tr>
      <w:tr w:rsidR="0048364F" w:rsidRPr="00C35060" w14:paraId="69D6CEA1" w14:textId="77777777" w:rsidTr="00403C38">
        <w:tc>
          <w:tcPr>
            <w:tcW w:w="1701" w:type="dxa"/>
            <w:shd w:val="clear" w:color="auto" w:fill="auto"/>
          </w:tcPr>
          <w:p w14:paraId="6B46853B" w14:textId="77777777" w:rsidR="0048364F" w:rsidRPr="00C35060" w:rsidRDefault="0048364F" w:rsidP="00C35060">
            <w:pPr>
              <w:pStyle w:val="Tabletext"/>
            </w:pPr>
            <w:r w:rsidRPr="00C35060">
              <w:t xml:space="preserve">3.  </w:t>
            </w:r>
            <w:r w:rsidR="00B2793A" w:rsidRPr="00C35060">
              <w:t>Schedule 2</w:t>
            </w:r>
          </w:p>
        </w:tc>
        <w:tc>
          <w:tcPr>
            <w:tcW w:w="3828" w:type="dxa"/>
            <w:shd w:val="clear" w:color="auto" w:fill="auto"/>
          </w:tcPr>
          <w:p w14:paraId="0B722964" w14:textId="77777777" w:rsidR="0048364F" w:rsidRPr="00C35060" w:rsidRDefault="000D206F" w:rsidP="00C35060">
            <w:pPr>
              <w:pStyle w:val="Tabletext"/>
            </w:pPr>
            <w:r w:rsidRPr="00C35060">
              <w:t>The first 1 January, 1 April, 1 July or 1 October to occur after the day this Act receives the Royal Assent.</w:t>
            </w:r>
          </w:p>
        </w:tc>
        <w:tc>
          <w:tcPr>
            <w:tcW w:w="1582" w:type="dxa"/>
            <w:shd w:val="clear" w:color="auto" w:fill="auto"/>
          </w:tcPr>
          <w:p w14:paraId="35AA85AB" w14:textId="27865CCE" w:rsidR="0048364F" w:rsidRPr="00C35060" w:rsidRDefault="00FD3BA6" w:rsidP="00C35060">
            <w:pPr>
              <w:pStyle w:val="Tabletext"/>
            </w:pPr>
            <w:r>
              <w:t>1 July 2023</w:t>
            </w:r>
          </w:p>
        </w:tc>
      </w:tr>
      <w:tr w:rsidR="00403C38" w:rsidRPr="002875A2" w14:paraId="010F9536" w14:textId="77777777" w:rsidTr="00403C38">
        <w:tblPrEx>
          <w:tblBorders>
            <w:top w:val="none" w:sz="0" w:space="0" w:color="auto"/>
            <w:bottom w:val="none" w:sz="0" w:space="0" w:color="auto"/>
            <w:insideH w:val="none" w:sz="0" w:space="0" w:color="auto"/>
          </w:tblBorders>
          <w:tblLook w:val="04A0" w:firstRow="1" w:lastRow="0" w:firstColumn="1" w:lastColumn="0" w:noHBand="0" w:noVBand="1"/>
        </w:tblPrEx>
        <w:tc>
          <w:tcPr>
            <w:tcW w:w="1701" w:type="dxa"/>
            <w:hideMark/>
          </w:tcPr>
          <w:p w14:paraId="209891B0" w14:textId="77777777" w:rsidR="00403C38" w:rsidRPr="002875A2" w:rsidRDefault="00403C38" w:rsidP="00B33824">
            <w:pPr>
              <w:pStyle w:val="Tabletext"/>
              <w:rPr>
                <w:lang w:eastAsia="en-US"/>
              </w:rPr>
            </w:pPr>
            <w:r>
              <w:rPr>
                <w:lang w:eastAsia="en-US"/>
              </w:rPr>
              <w:t>3A</w:t>
            </w:r>
            <w:r w:rsidRPr="002875A2">
              <w:rPr>
                <w:lang w:eastAsia="en-US"/>
              </w:rPr>
              <w:t xml:space="preserve">.  </w:t>
            </w:r>
            <w:r>
              <w:rPr>
                <w:lang w:eastAsia="en-US"/>
              </w:rPr>
              <w:t>Schedule 2A</w:t>
            </w:r>
          </w:p>
        </w:tc>
        <w:tc>
          <w:tcPr>
            <w:tcW w:w="3827" w:type="dxa"/>
            <w:hideMark/>
          </w:tcPr>
          <w:p w14:paraId="1819DC70" w14:textId="77777777" w:rsidR="00403C38" w:rsidRPr="002875A2" w:rsidRDefault="00403C38" w:rsidP="00B33824">
            <w:pPr>
              <w:pStyle w:val="Tabletext"/>
              <w:rPr>
                <w:lang w:eastAsia="en-US"/>
              </w:rPr>
            </w:pPr>
            <w:r>
              <w:rPr>
                <w:lang w:eastAsia="en-US"/>
              </w:rPr>
              <w:t>The day after this Act receives the Royal Assent</w:t>
            </w:r>
            <w:r w:rsidRPr="002875A2">
              <w:rPr>
                <w:lang w:eastAsia="en-US"/>
              </w:rPr>
              <w:t>.</w:t>
            </w:r>
          </w:p>
        </w:tc>
        <w:tc>
          <w:tcPr>
            <w:tcW w:w="1582" w:type="dxa"/>
          </w:tcPr>
          <w:p w14:paraId="332A83D0" w14:textId="033B99CE" w:rsidR="00403C38" w:rsidRPr="002875A2" w:rsidRDefault="00FD3BA6" w:rsidP="00B33824">
            <w:pPr>
              <w:pStyle w:val="Tabletext"/>
              <w:rPr>
                <w:lang w:eastAsia="en-US"/>
              </w:rPr>
            </w:pPr>
            <w:r>
              <w:rPr>
                <w:lang w:eastAsia="en-US"/>
              </w:rPr>
              <w:t>29 June 2023</w:t>
            </w:r>
          </w:p>
        </w:tc>
      </w:tr>
      <w:tr w:rsidR="0048364F" w:rsidRPr="00C35060" w14:paraId="22E7F45C" w14:textId="77777777" w:rsidTr="00403C38">
        <w:tc>
          <w:tcPr>
            <w:tcW w:w="1701" w:type="dxa"/>
            <w:shd w:val="clear" w:color="auto" w:fill="auto"/>
          </w:tcPr>
          <w:p w14:paraId="70C1EAB3" w14:textId="77777777" w:rsidR="0048364F" w:rsidRPr="00C35060" w:rsidRDefault="0048364F" w:rsidP="00C35060">
            <w:pPr>
              <w:pStyle w:val="Tabletext"/>
            </w:pPr>
            <w:r w:rsidRPr="00C35060">
              <w:t xml:space="preserve">4.  </w:t>
            </w:r>
            <w:r w:rsidR="00B2793A" w:rsidRPr="00C35060">
              <w:t>Schedule 3</w:t>
            </w:r>
          </w:p>
        </w:tc>
        <w:tc>
          <w:tcPr>
            <w:tcW w:w="3828" w:type="dxa"/>
            <w:shd w:val="clear" w:color="auto" w:fill="auto"/>
          </w:tcPr>
          <w:p w14:paraId="5A55CAAA" w14:textId="77777777" w:rsidR="0048364F" w:rsidRPr="00C35060" w:rsidRDefault="00EE7009" w:rsidP="00C35060">
            <w:pPr>
              <w:pStyle w:val="Tabletext"/>
            </w:pPr>
            <w:r w:rsidRPr="00C35060">
              <w:t>The first 1 January, 1 April, 1 July or 1 October to occur after the end of the period of 6 months beginning on the day this Act receives the Royal Assent.</w:t>
            </w:r>
          </w:p>
        </w:tc>
        <w:tc>
          <w:tcPr>
            <w:tcW w:w="1582" w:type="dxa"/>
            <w:shd w:val="clear" w:color="auto" w:fill="auto"/>
          </w:tcPr>
          <w:p w14:paraId="284CBC7E" w14:textId="5EEF223E" w:rsidR="0048364F" w:rsidRPr="00C35060" w:rsidRDefault="00FD3BA6" w:rsidP="00C35060">
            <w:pPr>
              <w:pStyle w:val="Tabletext"/>
            </w:pPr>
            <w:r>
              <w:t>1 January 2024</w:t>
            </w:r>
          </w:p>
        </w:tc>
      </w:tr>
      <w:tr w:rsidR="0048364F" w:rsidRPr="00C35060" w14:paraId="4D7A7B0B" w14:textId="77777777" w:rsidTr="00403C38">
        <w:tc>
          <w:tcPr>
            <w:tcW w:w="1701" w:type="dxa"/>
            <w:tcBorders>
              <w:bottom w:val="single" w:sz="12" w:space="0" w:color="auto"/>
            </w:tcBorders>
            <w:shd w:val="clear" w:color="auto" w:fill="auto"/>
          </w:tcPr>
          <w:p w14:paraId="379624F2" w14:textId="77777777" w:rsidR="0048364F" w:rsidRPr="00C35060" w:rsidRDefault="00B10753" w:rsidP="00C35060">
            <w:pPr>
              <w:pStyle w:val="Tabletext"/>
            </w:pPr>
            <w:r w:rsidRPr="00C35060">
              <w:t>5</w:t>
            </w:r>
            <w:r w:rsidR="0048364F" w:rsidRPr="00C35060">
              <w:t>.</w:t>
            </w:r>
            <w:r w:rsidR="00353A76" w:rsidRPr="00C35060">
              <w:t xml:space="preserve">  </w:t>
            </w:r>
            <w:r w:rsidR="00354DAB" w:rsidRPr="00C35060">
              <w:t>Schedules 4</w:t>
            </w:r>
            <w:r w:rsidR="00360ED4" w:rsidRPr="00C35060">
              <w:t xml:space="preserve"> and</w:t>
            </w:r>
            <w:r w:rsidR="00B2793A" w:rsidRPr="00C35060">
              <w:t> 5</w:t>
            </w:r>
          </w:p>
        </w:tc>
        <w:tc>
          <w:tcPr>
            <w:tcW w:w="3828" w:type="dxa"/>
            <w:tcBorders>
              <w:bottom w:val="single" w:sz="12" w:space="0" w:color="auto"/>
            </w:tcBorders>
            <w:shd w:val="clear" w:color="auto" w:fill="auto"/>
          </w:tcPr>
          <w:p w14:paraId="1614223F" w14:textId="77777777" w:rsidR="0048364F" w:rsidRPr="00C35060" w:rsidRDefault="001E1664" w:rsidP="00C35060">
            <w:pPr>
              <w:pStyle w:val="Tabletext"/>
            </w:pPr>
            <w:r w:rsidRPr="00C35060">
              <w:t>1 July 2023.</w:t>
            </w:r>
          </w:p>
        </w:tc>
        <w:tc>
          <w:tcPr>
            <w:tcW w:w="1582" w:type="dxa"/>
            <w:tcBorders>
              <w:bottom w:val="single" w:sz="12" w:space="0" w:color="auto"/>
            </w:tcBorders>
            <w:shd w:val="clear" w:color="auto" w:fill="auto"/>
          </w:tcPr>
          <w:p w14:paraId="1D72858F" w14:textId="77777777" w:rsidR="0048364F" w:rsidRPr="00C35060" w:rsidRDefault="001E1664" w:rsidP="00C35060">
            <w:pPr>
              <w:pStyle w:val="Tabletext"/>
            </w:pPr>
            <w:r w:rsidRPr="00C35060">
              <w:t>1 July 2023</w:t>
            </w:r>
          </w:p>
        </w:tc>
      </w:tr>
    </w:tbl>
    <w:p w14:paraId="6ECF2265" w14:textId="77777777" w:rsidR="0048364F" w:rsidRPr="00C35060" w:rsidRDefault="00201D27" w:rsidP="00C35060">
      <w:pPr>
        <w:pStyle w:val="notetext"/>
      </w:pPr>
      <w:r w:rsidRPr="00C35060">
        <w:t>Note:</w:t>
      </w:r>
      <w:r w:rsidRPr="00C35060">
        <w:tab/>
        <w:t>This table relates only to the provisions of this Act as originally enacted. It will not be amended to deal with any later amendments of this Act.</w:t>
      </w:r>
    </w:p>
    <w:p w14:paraId="1B676EE2" w14:textId="77777777" w:rsidR="0048364F" w:rsidRPr="00C35060" w:rsidRDefault="0048364F" w:rsidP="00C35060">
      <w:pPr>
        <w:pStyle w:val="subsection"/>
      </w:pPr>
      <w:r w:rsidRPr="00C35060">
        <w:tab/>
        <w:t>(2)</w:t>
      </w:r>
      <w:r w:rsidRPr="00C35060">
        <w:tab/>
      </w:r>
      <w:r w:rsidR="00201D27" w:rsidRPr="00C35060">
        <w:t xml:space="preserve">Any information in </w:t>
      </w:r>
      <w:r w:rsidR="00877D48" w:rsidRPr="00C35060">
        <w:t>c</w:t>
      </w:r>
      <w:r w:rsidR="00201D27" w:rsidRPr="00C35060">
        <w:t>olumn 3 of the table is not part of this Act. Information may be inserted in this column, or information in it may be edited, in any published version of this Act.</w:t>
      </w:r>
    </w:p>
    <w:p w14:paraId="6A15A70C" w14:textId="77777777" w:rsidR="0048364F" w:rsidRPr="00C35060" w:rsidRDefault="0048364F" w:rsidP="00C35060">
      <w:pPr>
        <w:pStyle w:val="ActHead5"/>
      </w:pPr>
      <w:bookmarkStart w:id="5" w:name="_Toc138850305"/>
      <w:r w:rsidRPr="00DF1F24">
        <w:rPr>
          <w:rStyle w:val="CharSectno"/>
        </w:rPr>
        <w:t>3</w:t>
      </w:r>
      <w:r w:rsidRPr="00C35060">
        <w:t xml:space="preserve">  Schedules</w:t>
      </w:r>
      <w:bookmarkEnd w:id="5"/>
    </w:p>
    <w:p w14:paraId="5BB6541F" w14:textId="77777777" w:rsidR="0048364F" w:rsidRPr="00C35060" w:rsidRDefault="0048364F" w:rsidP="00C35060">
      <w:pPr>
        <w:pStyle w:val="subsection"/>
      </w:pPr>
      <w:r w:rsidRPr="00C35060">
        <w:tab/>
      </w:r>
      <w:r w:rsidRPr="00C35060">
        <w:tab/>
      </w:r>
      <w:r w:rsidR="00202618" w:rsidRPr="00C35060">
        <w:t>Legislation that is specified in a Schedule to this Act is amended or repealed as set out in the applicable items in the Schedule concerned, and any other item in a Schedule to this Act has effect according to its terms.</w:t>
      </w:r>
    </w:p>
    <w:p w14:paraId="7CC5FE27" w14:textId="77777777" w:rsidR="00064F1E" w:rsidRPr="00C35060" w:rsidRDefault="00B2793A" w:rsidP="00C35060">
      <w:pPr>
        <w:pStyle w:val="ActHead6"/>
        <w:pageBreakBefore/>
      </w:pPr>
      <w:bookmarkStart w:id="6" w:name="_Toc138850306"/>
      <w:r w:rsidRPr="00DF1F24">
        <w:rPr>
          <w:rStyle w:val="CharAmSchNo"/>
        </w:rPr>
        <w:lastRenderedPageBreak/>
        <w:t>Schedule 1</w:t>
      </w:r>
      <w:r w:rsidR="00064F1E" w:rsidRPr="00C35060">
        <w:t>—</w:t>
      </w:r>
      <w:r w:rsidR="00064F1E" w:rsidRPr="00DF1F24">
        <w:rPr>
          <w:rStyle w:val="CharAmSchText"/>
        </w:rPr>
        <w:t>Icelandic convention and minor amendments</w:t>
      </w:r>
      <w:bookmarkEnd w:id="6"/>
    </w:p>
    <w:p w14:paraId="52B416A7" w14:textId="77777777" w:rsidR="000E720A" w:rsidRPr="00C35060" w:rsidRDefault="000E720A" w:rsidP="00C35060">
      <w:pPr>
        <w:pStyle w:val="ActHead7"/>
      </w:pPr>
      <w:bookmarkStart w:id="7" w:name="_Toc138850307"/>
      <w:r w:rsidRPr="00DF1F24">
        <w:rPr>
          <w:rStyle w:val="CharAmPartNo"/>
        </w:rPr>
        <w:t>Part 1</w:t>
      </w:r>
      <w:r w:rsidRPr="00C35060">
        <w:t>—</w:t>
      </w:r>
      <w:r w:rsidRPr="00DF1F24">
        <w:rPr>
          <w:rStyle w:val="CharAmPartText"/>
        </w:rPr>
        <w:t>Icelandic convention</w:t>
      </w:r>
      <w:bookmarkEnd w:id="7"/>
    </w:p>
    <w:p w14:paraId="61D5E181" w14:textId="77777777" w:rsidR="000E720A" w:rsidRPr="00C35060" w:rsidRDefault="000E720A" w:rsidP="00C35060">
      <w:pPr>
        <w:pStyle w:val="ActHead9"/>
        <w:rPr>
          <w:i w:val="0"/>
        </w:rPr>
      </w:pPr>
      <w:bookmarkStart w:id="8" w:name="_Toc138850308"/>
      <w:r w:rsidRPr="00C35060">
        <w:t>International Tax Agreements Act 1953</w:t>
      </w:r>
      <w:bookmarkEnd w:id="8"/>
    </w:p>
    <w:p w14:paraId="6538EDB9" w14:textId="77777777" w:rsidR="000E720A" w:rsidRPr="00C35060" w:rsidRDefault="00C81867" w:rsidP="00C35060">
      <w:pPr>
        <w:pStyle w:val="ItemHead"/>
      </w:pPr>
      <w:r w:rsidRPr="00C35060">
        <w:t>1</w:t>
      </w:r>
      <w:r w:rsidR="000E720A" w:rsidRPr="00C35060">
        <w:t xml:space="preserve">  Subsection 3AAA(1)</w:t>
      </w:r>
    </w:p>
    <w:p w14:paraId="5404C692" w14:textId="77777777" w:rsidR="000E720A" w:rsidRPr="00C35060" w:rsidRDefault="000E720A" w:rsidP="00C35060">
      <w:pPr>
        <w:pStyle w:val="Item"/>
      </w:pPr>
      <w:r w:rsidRPr="00C35060">
        <w:t>Insert:</w:t>
      </w:r>
    </w:p>
    <w:p w14:paraId="5642AC40" w14:textId="77777777" w:rsidR="000E720A" w:rsidRPr="00C35060" w:rsidRDefault="000E720A" w:rsidP="00C35060">
      <w:pPr>
        <w:pStyle w:val="Definition"/>
      </w:pPr>
      <w:r w:rsidRPr="00C35060">
        <w:rPr>
          <w:b/>
          <w:i/>
        </w:rPr>
        <w:t>Icelandic convention</w:t>
      </w:r>
      <w:r w:rsidRPr="00C35060">
        <w:t xml:space="preserve"> means:</w:t>
      </w:r>
    </w:p>
    <w:p w14:paraId="56D6EB97" w14:textId="77777777" w:rsidR="000E720A" w:rsidRPr="00C35060" w:rsidRDefault="000E720A" w:rsidP="00C35060">
      <w:pPr>
        <w:pStyle w:val="paragraph"/>
      </w:pPr>
      <w:r w:rsidRPr="00C35060">
        <w:tab/>
        <w:t>(a)</w:t>
      </w:r>
      <w:r w:rsidRPr="00C35060">
        <w:tab/>
        <w:t>the Convention between Australia and Iceland for the elimination of double taxation with respect to taxes on income and the prevention of tax evasion and avoidance; and</w:t>
      </w:r>
    </w:p>
    <w:p w14:paraId="0E18DF9E" w14:textId="77777777" w:rsidR="000E720A" w:rsidRPr="00C35060" w:rsidRDefault="000E720A" w:rsidP="00C35060">
      <w:pPr>
        <w:pStyle w:val="paragraph"/>
      </w:pPr>
      <w:r w:rsidRPr="00C35060">
        <w:tab/>
        <w:t>(b)</w:t>
      </w:r>
      <w:r w:rsidRPr="00C35060">
        <w:tab/>
        <w:t>the protocol to that convention;</w:t>
      </w:r>
    </w:p>
    <w:p w14:paraId="6B47691E" w14:textId="77777777" w:rsidR="000E720A" w:rsidRPr="00C35060" w:rsidRDefault="000E720A" w:rsidP="00C35060">
      <w:pPr>
        <w:pStyle w:val="subsection2"/>
        <w:rPr>
          <w:shd w:val="clear" w:color="auto" w:fill="FFFFFF"/>
        </w:rPr>
      </w:pPr>
      <w:r w:rsidRPr="00C35060">
        <w:t xml:space="preserve">each done at </w:t>
      </w:r>
      <w:r w:rsidRPr="00C35060">
        <w:rPr>
          <w:shd w:val="clear" w:color="auto" w:fill="FFFFFF"/>
        </w:rPr>
        <w:t>Reykjavik on 12 October 2022.</w:t>
      </w:r>
    </w:p>
    <w:p w14:paraId="2D9890FF" w14:textId="77777777" w:rsidR="000E720A" w:rsidRPr="00C35060" w:rsidRDefault="000E720A" w:rsidP="00C35060">
      <w:pPr>
        <w:pStyle w:val="notetext"/>
      </w:pPr>
      <w:r w:rsidRPr="00C35060">
        <w:t>Note:</w:t>
      </w:r>
      <w:r w:rsidRPr="00C35060">
        <w:tab/>
        <w:t>The text of this convention and protocol could in 2023 be viewed on the Department’s website (http://www.treasury.gov.au).</w:t>
      </w:r>
    </w:p>
    <w:p w14:paraId="50FF4C18" w14:textId="77777777" w:rsidR="000E720A" w:rsidRPr="00C35060" w:rsidRDefault="00C81867" w:rsidP="00C35060">
      <w:pPr>
        <w:pStyle w:val="ItemHead"/>
      </w:pPr>
      <w:r w:rsidRPr="00C35060">
        <w:t>2</w:t>
      </w:r>
      <w:r w:rsidR="000E720A" w:rsidRPr="00C35060">
        <w:t xml:space="preserve">  Subsection 5(1) (after table item relating to Hungarian agreement)</w:t>
      </w:r>
    </w:p>
    <w:p w14:paraId="6D171D2B" w14:textId="77777777" w:rsidR="000E720A" w:rsidRPr="00C35060" w:rsidRDefault="000E720A" w:rsidP="00C35060">
      <w:pPr>
        <w:pStyle w:val="Item"/>
      </w:pPr>
      <w:r w:rsidRPr="00C35060">
        <w:t>Insert:</w:t>
      </w:r>
    </w:p>
    <w:tbl>
      <w:tblPr>
        <w:tblW w:w="0" w:type="auto"/>
        <w:tblInd w:w="1242" w:type="dxa"/>
        <w:tblLayout w:type="fixed"/>
        <w:tblLook w:val="0000" w:firstRow="0" w:lastRow="0" w:firstColumn="0" w:lastColumn="0" w:noHBand="0" w:noVBand="0"/>
      </w:tblPr>
      <w:tblGrid>
        <w:gridCol w:w="3402"/>
        <w:gridCol w:w="2558"/>
      </w:tblGrid>
      <w:tr w:rsidR="000E720A" w:rsidRPr="00C35060" w14:paraId="320133CE" w14:textId="77777777" w:rsidTr="00B10753">
        <w:tc>
          <w:tcPr>
            <w:tcW w:w="3402" w:type="dxa"/>
            <w:shd w:val="clear" w:color="auto" w:fill="auto"/>
          </w:tcPr>
          <w:p w14:paraId="2AC6DC67" w14:textId="77777777" w:rsidR="000E720A" w:rsidRPr="00C35060" w:rsidRDefault="000E720A" w:rsidP="00C35060">
            <w:pPr>
              <w:pStyle w:val="Tabletext"/>
            </w:pPr>
            <w:r w:rsidRPr="00C35060">
              <w:t>Icelandic convention</w:t>
            </w:r>
          </w:p>
        </w:tc>
        <w:tc>
          <w:tcPr>
            <w:tcW w:w="2558" w:type="dxa"/>
            <w:shd w:val="clear" w:color="auto" w:fill="auto"/>
          </w:tcPr>
          <w:p w14:paraId="2A0236E8" w14:textId="77777777" w:rsidR="000E720A" w:rsidRPr="00C35060" w:rsidRDefault="000E720A" w:rsidP="00C35060">
            <w:pPr>
              <w:pStyle w:val="Tabletext"/>
            </w:pPr>
            <w:r w:rsidRPr="00C35060">
              <w:t>nil</w:t>
            </w:r>
          </w:p>
        </w:tc>
      </w:tr>
    </w:tbl>
    <w:p w14:paraId="732D3149" w14:textId="77777777" w:rsidR="000E720A" w:rsidRPr="00C35060" w:rsidRDefault="000E720A" w:rsidP="00C35060">
      <w:pPr>
        <w:pStyle w:val="ActHead7"/>
        <w:pageBreakBefore/>
      </w:pPr>
      <w:bookmarkStart w:id="9" w:name="_Toc138850309"/>
      <w:r w:rsidRPr="00DF1F24">
        <w:rPr>
          <w:rStyle w:val="CharAmPartNo"/>
        </w:rPr>
        <w:t>Part 2</w:t>
      </w:r>
      <w:r w:rsidRPr="00C35060">
        <w:t>—</w:t>
      </w:r>
      <w:r w:rsidRPr="00DF1F24">
        <w:rPr>
          <w:rStyle w:val="CharAmPartText"/>
        </w:rPr>
        <w:t>Updating of notes</w:t>
      </w:r>
      <w:bookmarkEnd w:id="9"/>
    </w:p>
    <w:p w14:paraId="27C8BA5A" w14:textId="77777777" w:rsidR="000E720A" w:rsidRPr="00C35060" w:rsidRDefault="000E720A" w:rsidP="00C35060">
      <w:pPr>
        <w:pStyle w:val="ActHead9"/>
        <w:rPr>
          <w:i w:val="0"/>
        </w:rPr>
      </w:pPr>
      <w:bookmarkStart w:id="10" w:name="_Toc138850310"/>
      <w:r w:rsidRPr="00C35060">
        <w:t>International Tax Agreements Act 1953</w:t>
      </w:r>
      <w:bookmarkEnd w:id="10"/>
    </w:p>
    <w:p w14:paraId="5AA1D9D9" w14:textId="77777777" w:rsidR="000E720A" w:rsidRPr="00C35060" w:rsidRDefault="00C81867" w:rsidP="00C35060">
      <w:pPr>
        <w:pStyle w:val="ItemHead"/>
      </w:pPr>
      <w:r w:rsidRPr="00C35060">
        <w:t>3</w:t>
      </w:r>
      <w:r w:rsidR="000E720A" w:rsidRPr="00C35060">
        <w:t xml:space="preserve">  Subsection 3(1) (note to the definition of </w:t>
      </w:r>
      <w:r w:rsidR="000E720A" w:rsidRPr="00C35060">
        <w:rPr>
          <w:i/>
        </w:rPr>
        <w:t>agreement</w:t>
      </w:r>
      <w:r w:rsidR="000E720A" w:rsidRPr="00C35060">
        <w:t>)</w:t>
      </w:r>
    </w:p>
    <w:p w14:paraId="0E2F3ACB" w14:textId="77777777" w:rsidR="000E720A" w:rsidRPr="00C35060" w:rsidRDefault="000E720A" w:rsidP="00C35060">
      <w:pPr>
        <w:pStyle w:val="Item"/>
      </w:pPr>
      <w:r w:rsidRPr="00C35060">
        <w:t>Omit “2011”, substitute “2023”.</w:t>
      </w:r>
    </w:p>
    <w:p w14:paraId="44EF32DF" w14:textId="77777777" w:rsidR="000E720A" w:rsidRPr="00C35060" w:rsidRDefault="00C81867" w:rsidP="00C35060">
      <w:pPr>
        <w:pStyle w:val="ItemHead"/>
      </w:pPr>
      <w:r w:rsidRPr="00C35060">
        <w:t>4</w:t>
      </w:r>
      <w:r w:rsidR="000E720A" w:rsidRPr="00C35060">
        <w:t xml:space="preserve">  Subsection 3AAA(1) (note to the definition of </w:t>
      </w:r>
      <w:r w:rsidR="000E720A" w:rsidRPr="00C35060">
        <w:rPr>
          <w:i/>
        </w:rPr>
        <w:t>Belgian protocol (No. 2)</w:t>
      </w:r>
      <w:r w:rsidR="000E720A" w:rsidRPr="00C35060">
        <w:t>)</w:t>
      </w:r>
    </w:p>
    <w:p w14:paraId="277F6689" w14:textId="77777777" w:rsidR="000E720A" w:rsidRPr="00C35060" w:rsidRDefault="000E720A" w:rsidP="00C35060">
      <w:pPr>
        <w:pStyle w:val="Item"/>
      </w:pPr>
      <w:r w:rsidRPr="00C35060">
        <w:t>Repeal the note, substitute:</w:t>
      </w:r>
    </w:p>
    <w:p w14:paraId="5D8D6139" w14:textId="77777777" w:rsidR="000E720A" w:rsidRPr="00C35060" w:rsidRDefault="000E720A" w:rsidP="00C35060">
      <w:pPr>
        <w:pStyle w:val="notetext"/>
      </w:pPr>
      <w:r w:rsidRPr="00C35060">
        <w:t>Note:</w:t>
      </w:r>
      <w:r w:rsidRPr="00C35060">
        <w:tab/>
        <w:t>The text of this protocol is set out in Australian Treaty Series 2014 No. 37 ([2014] ATS 37).</w:t>
      </w:r>
    </w:p>
    <w:p w14:paraId="13D79E2D" w14:textId="77777777" w:rsidR="000E720A" w:rsidRPr="00C35060" w:rsidRDefault="00C81867" w:rsidP="00C35060">
      <w:pPr>
        <w:pStyle w:val="ItemHead"/>
      </w:pPr>
      <w:r w:rsidRPr="00C35060">
        <w:t>5</w:t>
      </w:r>
      <w:r w:rsidR="000E720A" w:rsidRPr="00C35060">
        <w:t xml:space="preserve">  Subsection 3AAA(1) (note to the definition of </w:t>
      </w:r>
      <w:r w:rsidR="000E720A" w:rsidRPr="00C35060">
        <w:rPr>
          <w:i/>
        </w:rPr>
        <w:t>Chilean convention</w:t>
      </w:r>
      <w:r w:rsidR="000E720A" w:rsidRPr="00C35060">
        <w:t>)</w:t>
      </w:r>
    </w:p>
    <w:p w14:paraId="51DBEF5A" w14:textId="77777777" w:rsidR="000E720A" w:rsidRPr="00C35060" w:rsidRDefault="000E720A" w:rsidP="00C35060">
      <w:pPr>
        <w:pStyle w:val="Item"/>
      </w:pPr>
      <w:r w:rsidRPr="00C35060">
        <w:t>After “this convention”, insert “and protocol”.</w:t>
      </w:r>
    </w:p>
    <w:p w14:paraId="7D7A22B6" w14:textId="77777777" w:rsidR="000E720A" w:rsidRPr="00C35060" w:rsidRDefault="00C81867" w:rsidP="00C35060">
      <w:pPr>
        <w:pStyle w:val="ItemHead"/>
      </w:pPr>
      <w:r w:rsidRPr="00C35060">
        <w:t>6</w:t>
      </w:r>
      <w:r w:rsidR="000E720A" w:rsidRPr="00C35060">
        <w:t xml:space="preserve">  Subsection 3AAA(1) (note to the definition of </w:t>
      </w:r>
      <w:r w:rsidR="000E720A" w:rsidRPr="00C35060">
        <w:rPr>
          <w:i/>
        </w:rPr>
        <w:t>Cook Islands agreement</w:t>
      </w:r>
      <w:r w:rsidR="000E720A" w:rsidRPr="00C35060">
        <w:t>)</w:t>
      </w:r>
    </w:p>
    <w:p w14:paraId="5192AA36" w14:textId="77777777" w:rsidR="000E720A" w:rsidRPr="00C35060" w:rsidRDefault="000E720A" w:rsidP="00C35060">
      <w:pPr>
        <w:pStyle w:val="Item"/>
      </w:pPr>
      <w:r w:rsidRPr="00C35060">
        <w:t>Repeal the note, substitute:</w:t>
      </w:r>
    </w:p>
    <w:p w14:paraId="0298AA78" w14:textId="77777777" w:rsidR="000E720A" w:rsidRPr="00C35060" w:rsidRDefault="000E720A" w:rsidP="00C35060">
      <w:pPr>
        <w:pStyle w:val="notetext"/>
      </w:pPr>
      <w:r w:rsidRPr="00C35060">
        <w:t>Note:</w:t>
      </w:r>
      <w:r w:rsidRPr="00C35060">
        <w:tab/>
        <w:t>The text of this agreement is set out in Australian Treaty Series 2014 No. 13 ([2014] ATS 13).</w:t>
      </w:r>
    </w:p>
    <w:p w14:paraId="35D070B2" w14:textId="77777777" w:rsidR="000E720A" w:rsidRPr="00C35060" w:rsidRDefault="00C81867" w:rsidP="00C35060">
      <w:pPr>
        <w:pStyle w:val="ItemHead"/>
      </w:pPr>
      <w:r w:rsidRPr="00C35060">
        <w:t>7</w:t>
      </w:r>
      <w:r w:rsidR="000E720A" w:rsidRPr="00C35060">
        <w:t xml:space="preserve">  Subsection 3AAA(1) (at the end of the definition of </w:t>
      </w:r>
      <w:r w:rsidR="000E720A" w:rsidRPr="00C35060">
        <w:rPr>
          <w:i/>
        </w:rPr>
        <w:t>Israeli convention</w:t>
      </w:r>
      <w:r w:rsidR="000E720A" w:rsidRPr="00C35060">
        <w:t>)</w:t>
      </w:r>
    </w:p>
    <w:p w14:paraId="188031DD" w14:textId="77777777" w:rsidR="000E720A" w:rsidRPr="00C35060" w:rsidRDefault="000E720A" w:rsidP="00C35060">
      <w:pPr>
        <w:pStyle w:val="Item"/>
      </w:pPr>
      <w:r w:rsidRPr="00C35060">
        <w:t>Add:</w:t>
      </w:r>
    </w:p>
    <w:p w14:paraId="0905A38F" w14:textId="77777777" w:rsidR="000E720A" w:rsidRPr="00C35060" w:rsidRDefault="000E720A" w:rsidP="00C35060">
      <w:pPr>
        <w:pStyle w:val="notetext"/>
      </w:pPr>
      <w:r w:rsidRPr="00C35060">
        <w:t>Note:</w:t>
      </w:r>
      <w:r w:rsidRPr="00C35060">
        <w:tab/>
        <w:t>The text of this convention and protocol is set out in Australian Treaty Series 2019 No. 20 ([2019] ATS 20).</w:t>
      </w:r>
    </w:p>
    <w:p w14:paraId="3860683C" w14:textId="77777777" w:rsidR="000E720A" w:rsidRPr="00C35060" w:rsidRDefault="00C81867" w:rsidP="00C35060">
      <w:pPr>
        <w:pStyle w:val="ItemHead"/>
      </w:pPr>
      <w:r w:rsidRPr="00C35060">
        <w:t>8</w:t>
      </w:r>
      <w:r w:rsidR="000E720A" w:rsidRPr="00C35060">
        <w:t xml:space="preserve">  Subsection 3AAA(1) (note to the definition of </w:t>
      </w:r>
      <w:r w:rsidR="000E720A" w:rsidRPr="00C35060">
        <w:rPr>
          <w:i/>
        </w:rPr>
        <w:t>Marshall Islands agreement</w:t>
      </w:r>
      <w:r w:rsidR="000E720A" w:rsidRPr="00C35060">
        <w:t>)</w:t>
      </w:r>
    </w:p>
    <w:p w14:paraId="658BA3FB" w14:textId="77777777" w:rsidR="000E720A" w:rsidRPr="00C35060" w:rsidRDefault="000E720A" w:rsidP="00C35060">
      <w:pPr>
        <w:pStyle w:val="Item"/>
      </w:pPr>
      <w:r w:rsidRPr="00C35060">
        <w:t>Omit “2013”, substitute “2023”.</w:t>
      </w:r>
    </w:p>
    <w:p w14:paraId="391EBA63" w14:textId="77777777" w:rsidR="000E720A" w:rsidRPr="00C35060" w:rsidRDefault="00C81867" w:rsidP="00C35060">
      <w:pPr>
        <w:pStyle w:val="ItemHead"/>
      </w:pPr>
      <w:r w:rsidRPr="00C35060">
        <w:t>9</w:t>
      </w:r>
      <w:r w:rsidR="000E720A" w:rsidRPr="00C35060">
        <w:t xml:space="preserve">  Subsection 3AAA(1) (note to the definition of </w:t>
      </w:r>
      <w:r w:rsidR="000E720A" w:rsidRPr="00C35060">
        <w:rPr>
          <w:i/>
        </w:rPr>
        <w:t>Multilateral Convention</w:t>
      </w:r>
      <w:r w:rsidR="000E720A" w:rsidRPr="00C35060">
        <w:t>)</w:t>
      </w:r>
    </w:p>
    <w:p w14:paraId="6AE13883" w14:textId="77777777" w:rsidR="000E720A" w:rsidRPr="00C35060" w:rsidRDefault="000E720A" w:rsidP="00C35060">
      <w:pPr>
        <w:pStyle w:val="Item"/>
      </w:pPr>
      <w:r w:rsidRPr="00C35060">
        <w:t>Repeal the note, substitute:</w:t>
      </w:r>
    </w:p>
    <w:p w14:paraId="5D41DD8B" w14:textId="77777777" w:rsidR="000E720A" w:rsidRPr="00C35060" w:rsidRDefault="000E720A" w:rsidP="00C35060">
      <w:pPr>
        <w:pStyle w:val="notetext"/>
      </w:pPr>
      <w:r w:rsidRPr="00C35060">
        <w:t>Note:</w:t>
      </w:r>
      <w:r w:rsidRPr="00C35060">
        <w:tab/>
        <w:t>The text of this convention is set out in Australian Treaty Series 2019 No. 1 ([2019] ATS 1).</w:t>
      </w:r>
    </w:p>
    <w:p w14:paraId="42DD0353" w14:textId="77777777" w:rsidR="000E720A" w:rsidRPr="00C35060" w:rsidRDefault="00C81867" w:rsidP="00C35060">
      <w:pPr>
        <w:pStyle w:val="ItemHead"/>
      </w:pPr>
      <w:r w:rsidRPr="00C35060">
        <w:t>10</w:t>
      </w:r>
      <w:r w:rsidR="000E720A" w:rsidRPr="00C35060">
        <w:t xml:space="preserve">  Subsection 3AAA(1) (note to the definition of </w:t>
      </w:r>
      <w:r w:rsidR="000E720A" w:rsidRPr="00C35060">
        <w:rPr>
          <w:i/>
        </w:rPr>
        <w:t>Samoan agreement</w:t>
      </w:r>
      <w:r w:rsidR="000E720A" w:rsidRPr="00C35060">
        <w:t>)</w:t>
      </w:r>
    </w:p>
    <w:p w14:paraId="33D55B39" w14:textId="77777777" w:rsidR="000E720A" w:rsidRPr="00C35060" w:rsidRDefault="000E720A" w:rsidP="00C35060">
      <w:pPr>
        <w:pStyle w:val="Item"/>
      </w:pPr>
      <w:r w:rsidRPr="00C35060">
        <w:t>Omit “2011”, substitute “2023”.</w:t>
      </w:r>
    </w:p>
    <w:p w14:paraId="1B196BE8" w14:textId="77777777" w:rsidR="000E720A" w:rsidRPr="00C35060" w:rsidRDefault="00C81867" w:rsidP="00C35060">
      <w:pPr>
        <w:pStyle w:val="ItemHead"/>
      </w:pPr>
      <w:r w:rsidRPr="00C35060">
        <w:t>11</w:t>
      </w:r>
      <w:r w:rsidR="000E720A" w:rsidRPr="00C35060">
        <w:t xml:space="preserve">  Subsection 3AAA(1) (note to the definition of </w:t>
      </w:r>
      <w:r w:rsidR="000E720A" w:rsidRPr="00C35060">
        <w:rPr>
          <w:i/>
        </w:rPr>
        <w:t>Turkish convention</w:t>
      </w:r>
      <w:r w:rsidR="000E720A" w:rsidRPr="00C35060">
        <w:t>)</w:t>
      </w:r>
    </w:p>
    <w:p w14:paraId="394D60B9" w14:textId="77777777" w:rsidR="000E720A" w:rsidRPr="00C35060" w:rsidRDefault="000E720A" w:rsidP="00C35060">
      <w:pPr>
        <w:pStyle w:val="Item"/>
      </w:pPr>
      <w:r w:rsidRPr="00C35060">
        <w:t>After “this convention”, insert “and protocol”.</w:t>
      </w:r>
    </w:p>
    <w:p w14:paraId="688470F2" w14:textId="77777777" w:rsidR="00064F1E" w:rsidRPr="00C35060" w:rsidRDefault="00B2793A" w:rsidP="00C35060">
      <w:pPr>
        <w:pStyle w:val="ActHead6"/>
        <w:pageBreakBefore/>
      </w:pPr>
      <w:bookmarkStart w:id="11" w:name="_Toc138850311"/>
      <w:r w:rsidRPr="00DF1F24">
        <w:rPr>
          <w:rStyle w:val="CharAmSchNo"/>
        </w:rPr>
        <w:t>Schedule 2</w:t>
      </w:r>
      <w:r w:rsidR="00064F1E" w:rsidRPr="00C35060">
        <w:t>—</w:t>
      </w:r>
      <w:r w:rsidR="00064F1E" w:rsidRPr="00DF1F24">
        <w:rPr>
          <w:rStyle w:val="CharAmSchText"/>
        </w:rPr>
        <w:t>Income tax exemption and franking credit refund for certain subsidiaries of the Future Fund Board</w:t>
      </w:r>
      <w:bookmarkEnd w:id="11"/>
    </w:p>
    <w:p w14:paraId="3BEDE8A7" w14:textId="77777777" w:rsidR="00952C87" w:rsidRPr="00DF1F24" w:rsidRDefault="00952C87" w:rsidP="00C35060">
      <w:pPr>
        <w:pStyle w:val="Header"/>
      </w:pPr>
      <w:r w:rsidRPr="00DF1F24">
        <w:rPr>
          <w:rStyle w:val="CharAmPartNo"/>
        </w:rPr>
        <w:t xml:space="preserve"> </w:t>
      </w:r>
      <w:r w:rsidRPr="00DF1F24">
        <w:rPr>
          <w:rStyle w:val="CharAmPartText"/>
        </w:rPr>
        <w:t xml:space="preserve"> </w:t>
      </w:r>
    </w:p>
    <w:p w14:paraId="3103285C" w14:textId="77777777" w:rsidR="00952C87" w:rsidRPr="00C35060" w:rsidRDefault="00952C87" w:rsidP="00C35060">
      <w:pPr>
        <w:pStyle w:val="ActHead9"/>
        <w:rPr>
          <w:i w:val="0"/>
        </w:rPr>
      </w:pPr>
      <w:bookmarkStart w:id="12" w:name="_Toc138850312"/>
      <w:r w:rsidRPr="00C35060">
        <w:t>Income Tax Assessment Act 1997</w:t>
      </w:r>
      <w:bookmarkEnd w:id="12"/>
    </w:p>
    <w:p w14:paraId="61301528" w14:textId="77777777" w:rsidR="00952C87" w:rsidRPr="00C35060" w:rsidRDefault="00C81867" w:rsidP="00C35060">
      <w:pPr>
        <w:pStyle w:val="ItemHead"/>
      </w:pPr>
      <w:r w:rsidRPr="00C35060">
        <w:t>1</w:t>
      </w:r>
      <w:r w:rsidR="00952C87" w:rsidRPr="00C35060">
        <w:t xml:space="preserve">  Section 50</w:t>
      </w:r>
      <w:r w:rsidR="00C35060">
        <w:noBreakHyphen/>
      </w:r>
      <w:r w:rsidR="00952C87" w:rsidRPr="00C35060">
        <w:t>25 (at the end of the table)</w:t>
      </w:r>
    </w:p>
    <w:p w14:paraId="0CA8812B" w14:textId="77777777" w:rsidR="00952C87" w:rsidRPr="00C35060" w:rsidRDefault="00952C87" w:rsidP="00C35060">
      <w:pPr>
        <w:pStyle w:val="Item"/>
      </w:pPr>
      <w:r w:rsidRPr="00C35060">
        <w:t>Add:</w:t>
      </w:r>
    </w:p>
    <w:tbl>
      <w:tblPr>
        <w:tblW w:w="0" w:type="auto"/>
        <w:tblInd w:w="108" w:type="dxa"/>
        <w:tblLayout w:type="fixed"/>
        <w:tblLook w:val="0000" w:firstRow="0" w:lastRow="0" w:firstColumn="0" w:lastColumn="0" w:noHBand="0" w:noVBand="0"/>
      </w:tblPr>
      <w:tblGrid>
        <w:gridCol w:w="868"/>
        <w:gridCol w:w="3037"/>
        <w:gridCol w:w="3183"/>
      </w:tblGrid>
      <w:tr w:rsidR="00952C87" w:rsidRPr="00C35060" w14:paraId="336C1CA2" w14:textId="77777777" w:rsidTr="00B10753">
        <w:trPr>
          <w:cantSplit/>
        </w:trPr>
        <w:tc>
          <w:tcPr>
            <w:tcW w:w="868" w:type="dxa"/>
          </w:tcPr>
          <w:p w14:paraId="376FF5BC" w14:textId="77777777" w:rsidR="00952C87" w:rsidRPr="00C35060" w:rsidRDefault="00952C87" w:rsidP="00C35060">
            <w:pPr>
              <w:spacing w:before="60" w:line="240" w:lineRule="atLeast"/>
              <w:rPr>
                <w:rFonts w:eastAsia="Times New Roman" w:cs="Times New Roman"/>
                <w:sz w:val="20"/>
                <w:lang w:eastAsia="en-AU"/>
              </w:rPr>
            </w:pPr>
            <w:r w:rsidRPr="00C35060">
              <w:rPr>
                <w:rFonts w:eastAsia="Times New Roman" w:cs="Times New Roman"/>
                <w:sz w:val="20"/>
                <w:lang w:eastAsia="en-AU"/>
              </w:rPr>
              <w:t>5.4</w:t>
            </w:r>
          </w:p>
        </w:tc>
        <w:tc>
          <w:tcPr>
            <w:tcW w:w="3037" w:type="dxa"/>
          </w:tcPr>
          <w:p w14:paraId="5D330017" w14:textId="77777777" w:rsidR="00952C87" w:rsidRPr="00C35060" w:rsidRDefault="00952C87" w:rsidP="00C35060">
            <w:pPr>
              <w:pStyle w:val="Tabletext"/>
            </w:pPr>
            <w:r w:rsidRPr="00C35060">
              <w:t xml:space="preserve">a </w:t>
            </w:r>
            <w:r w:rsidR="00C35060" w:rsidRPr="00C35060">
              <w:rPr>
                <w:position w:val="6"/>
                <w:sz w:val="16"/>
              </w:rPr>
              <w:t>*</w:t>
            </w:r>
            <w:r w:rsidRPr="00C35060">
              <w:t xml:space="preserve">100% subsidiary of the </w:t>
            </w:r>
            <w:r w:rsidR="00C35060" w:rsidRPr="00C35060">
              <w:rPr>
                <w:position w:val="6"/>
                <w:sz w:val="16"/>
              </w:rPr>
              <w:t>*</w:t>
            </w:r>
            <w:r w:rsidRPr="00C35060">
              <w:t xml:space="preserve">Future Fund Board that is incorporated under an </w:t>
            </w:r>
            <w:r w:rsidR="00C35060" w:rsidRPr="00C35060">
              <w:rPr>
                <w:position w:val="6"/>
                <w:sz w:val="16"/>
              </w:rPr>
              <w:t>*</w:t>
            </w:r>
            <w:r w:rsidRPr="00C35060">
              <w:t>Australian law</w:t>
            </w:r>
          </w:p>
        </w:tc>
        <w:tc>
          <w:tcPr>
            <w:tcW w:w="3183" w:type="dxa"/>
          </w:tcPr>
          <w:p w14:paraId="0897678C" w14:textId="77777777" w:rsidR="00952C87" w:rsidRPr="00C35060" w:rsidRDefault="00952C87" w:rsidP="00C35060">
            <w:pPr>
              <w:pStyle w:val="Tabletext"/>
            </w:pPr>
            <w:r w:rsidRPr="00C35060">
              <w:t>the 100% subsidiary only undertakes investment activities that the Future Fund Board is able to undertake</w:t>
            </w:r>
          </w:p>
        </w:tc>
      </w:tr>
    </w:tbl>
    <w:p w14:paraId="55934439" w14:textId="77777777" w:rsidR="00952C87" w:rsidRPr="00C35060" w:rsidRDefault="00C81867" w:rsidP="00C35060">
      <w:pPr>
        <w:pStyle w:val="ItemHead"/>
      </w:pPr>
      <w:r w:rsidRPr="00C35060">
        <w:t>2</w:t>
      </w:r>
      <w:r w:rsidR="00952C87" w:rsidRPr="00C35060">
        <w:t xml:space="preserve">  Before subsection 207</w:t>
      </w:r>
      <w:r w:rsidR="00C35060">
        <w:noBreakHyphen/>
      </w:r>
      <w:r w:rsidR="00952C87" w:rsidRPr="00C35060">
        <w:t>115(6)</w:t>
      </w:r>
    </w:p>
    <w:p w14:paraId="0DAD2297" w14:textId="77777777" w:rsidR="00952C87" w:rsidRPr="00C35060" w:rsidRDefault="00952C87" w:rsidP="00C35060">
      <w:pPr>
        <w:pStyle w:val="Item"/>
      </w:pPr>
      <w:r w:rsidRPr="00C35060">
        <w:t>Insert:</w:t>
      </w:r>
    </w:p>
    <w:p w14:paraId="4614B334" w14:textId="77777777" w:rsidR="00952C87" w:rsidRPr="00C35060" w:rsidRDefault="00952C87" w:rsidP="00C35060">
      <w:pPr>
        <w:pStyle w:val="SubsectionHead"/>
      </w:pPr>
      <w:r w:rsidRPr="00C35060">
        <w:t>Income tax exempt subsidiaries of the Future Fund Board</w:t>
      </w:r>
    </w:p>
    <w:p w14:paraId="232B9C26" w14:textId="77777777" w:rsidR="00952C87" w:rsidRPr="00C35060" w:rsidRDefault="00952C87" w:rsidP="00C35060">
      <w:pPr>
        <w:pStyle w:val="subsection"/>
      </w:pPr>
      <w:r w:rsidRPr="00C35060">
        <w:tab/>
        <w:t>(5A)</w:t>
      </w:r>
      <w:r w:rsidRPr="00C35060">
        <w:tab/>
        <w:t xml:space="preserve">An entity is an </w:t>
      </w:r>
      <w:r w:rsidRPr="00C35060">
        <w:rPr>
          <w:b/>
          <w:i/>
        </w:rPr>
        <w:t>exempt institution that is eligible for a refund</w:t>
      </w:r>
      <w:r w:rsidRPr="00C35060">
        <w:t xml:space="preserve"> if it is covered by item 5.4 of the table in section 50</w:t>
      </w:r>
      <w:r w:rsidR="00C35060">
        <w:noBreakHyphen/>
      </w:r>
      <w:r w:rsidRPr="00C35060">
        <w:t>25.</w:t>
      </w:r>
    </w:p>
    <w:p w14:paraId="5B121181" w14:textId="77777777" w:rsidR="00952C87" w:rsidRPr="00C35060" w:rsidRDefault="00C81867" w:rsidP="00C35060">
      <w:pPr>
        <w:pStyle w:val="Transitional"/>
      </w:pPr>
      <w:r w:rsidRPr="00C35060">
        <w:t>3</w:t>
      </w:r>
      <w:r w:rsidR="00952C87" w:rsidRPr="00C35060">
        <w:t xml:space="preserve">  Application of amendments</w:t>
      </w:r>
    </w:p>
    <w:p w14:paraId="5F366870" w14:textId="77777777" w:rsidR="00952C87" w:rsidRDefault="00952C87" w:rsidP="00C35060">
      <w:pPr>
        <w:pStyle w:val="Item"/>
      </w:pPr>
      <w:r w:rsidRPr="00C35060">
        <w:t>The amendments made by this Schedule apply to assessments for the first income year commencing on or after the day this Act receives the Royal Assent and later income years.</w:t>
      </w:r>
    </w:p>
    <w:p w14:paraId="65545A6D" w14:textId="77777777" w:rsidR="00E759F1" w:rsidRDefault="00E759F1" w:rsidP="00E759F1">
      <w:pPr>
        <w:pStyle w:val="ActHead6"/>
        <w:pageBreakBefore/>
        <w:rPr>
          <w:rStyle w:val="CharAmSchText"/>
        </w:rPr>
      </w:pPr>
      <w:bookmarkStart w:id="13" w:name="opcAmSched"/>
      <w:bookmarkStart w:id="14" w:name="opcCurrentFind"/>
      <w:bookmarkStart w:id="15" w:name="_Toc138850313"/>
      <w:r>
        <w:rPr>
          <w:rStyle w:val="CharAmSchNo"/>
        </w:rPr>
        <w:t>Schedule 2</w:t>
      </w:r>
      <w:r w:rsidRPr="007213D9">
        <w:rPr>
          <w:rStyle w:val="CharAmSchNo"/>
        </w:rPr>
        <w:t>A</w:t>
      </w:r>
      <w:r w:rsidRPr="00A96019">
        <w:t>—</w:t>
      </w:r>
      <w:r w:rsidRPr="007213D9">
        <w:rPr>
          <w:rStyle w:val="CharAmSchText"/>
        </w:rPr>
        <w:t>Periodic investment reports</w:t>
      </w:r>
      <w:r>
        <w:rPr>
          <w:rStyle w:val="CharAmSchText"/>
        </w:rPr>
        <w:t xml:space="preserve"> by Future Fund Board</w:t>
      </w:r>
      <w:bookmarkEnd w:id="15"/>
    </w:p>
    <w:bookmarkEnd w:id="13"/>
    <w:bookmarkEnd w:id="14"/>
    <w:p w14:paraId="701DFC69" w14:textId="77777777" w:rsidR="00E759F1" w:rsidRPr="00A96019" w:rsidRDefault="00E759F1" w:rsidP="00E759F1">
      <w:pPr>
        <w:pStyle w:val="Header"/>
      </w:pPr>
      <w:r w:rsidRPr="007213D9">
        <w:rPr>
          <w:rStyle w:val="CharAmPartNo"/>
        </w:rPr>
        <w:t xml:space="preserve"> </w:t>
      </w:r>
      <w:r w:rsidRPr="007213D9">
        <w:rPr>
          <w:rStyle w:val="CharAmPartText"/>
        </w:rPr>
        <w:t xml:space="preserve"> </w:t>
      </w:r>
    </w:p>
    <w:p w14:paraId="496928CD" w14:textId="77777777" w:rsidR="00E759F1" w:rsidRPr="00A96019" w:rsidRDefault="00E759F1" w:rsidP="00E759F1">
      <w:pPr>
        <w:pStyle w:val="ActHead9"/>
        <w:rPr>
          <w:i w:val="0"/>
        </w:rPr>
      </w:pPr>
      <w:bookmarkStart w:id="16" w:name="_Toc138850314"/>
      <w:r w:rsidRPr="00A96019">
        <w:t>Future Fund Act 2006</w:t>
      </w:r>
      <w:bookmarkEnd w:id="16"/>
    </w:p>
    <w:p w14:paraId="624F2699" w14:textId="77777777" w:rsidR="00E759F1" w:rsidRPr="00A96019" w:rsidRDefault="00E759F1" w:rsidP="00E759F1">
      <w:pPr>
        <w:pStyle w:val="ItemHead"/>
      </w:pPr>
      <w:r w:rsidRPr="00A96019">
        <w:t>1  Section 5</w:t>
      </w:r>
    </w:p>
    <w:p w14:paraId="1188AB87" w14:textId="77777777" w:rsidR="00E759F1" w:rsidRPr="00A96019" w:rsidRDefault="00E759F1" w:rsidP="00E759F1">
      <w:pPr>
        <w:pStyle w:val="Item"/>
      </w:pPr>
      <w:r w:rsidRPr="00A96019">
        <w:t>Insert:</w:t>
      </w:r>
    </w:p>
    <w:p w14:paraId="43291BC1" w14:textId="77777777" w:rsidR="00E759F1" w:rsidRPr="00A96019" w:rsidRDefault="00E759F1" w:rsidP="00E759F1">
      <w:pPr>
        <w:pStyle w:val="Definition"/>
      </w:pPr>
      <w:r w:rsidRPr="00A96019">
        <w:rPr>
          <w:b/>
          <w:i/>
        </w:rPr>
        <w:t>reporting rules</w:t>
      </w:r>
      <w:r w:rsidRPr="00A96019">
        <w:t xml:space="preserve"> means rules made under </w:t>
      </w:r>
      <w:r>
        <w:t>section 5</w:t>
      </w:r>
      <w:r w:rsidRPr="00A96019">
        <w:t>5B.</w:t>
      </w:r>
    </w:p>
    <w:p w14:paraId="1B1AA06B" w14:textId="77777777" w:rsidR="00E759F1" w:rsidRPr="00A96019" w:rsidRDefault="00E759F1" w:rsidP="00E759F1">
      <w:pPr>
        <w:pStyle w:val="ItemHead"/>
      </w:pPr>
      <w:r w:rsidRPr="00A96019">
        <w:t>2  After Division 6 of Part 4</w:t>
      </w:r>
    </w:p>
    <w:p w14:paraId="6788F286" w14:textId="77777777" w:rsidR="00E759F1" w:rsidRPr="00A96019" w:rsidRDefault="00E759F1" w:rsidP="00E759F1">
      <w:pPr>
        <w:pStyle w:val="Item"/>
      </w:pPr>
      <w:r w:rsidRPr="00A96019">
        <w:t>Insert:</w:t>
      </w:r>
    </w:p>
    <w:p w14:paraId="0BCCEDBA" w14:textId="77777777" w:rsidR="00E759F1" w:rsidRPr="00A96019" w:rsidRDefault="00E759F1" w:rsidP="00E759F1">
      <w:pPr>
        <w:pStyle w:val="ActHead3"/>
      </w:pPr>
      <w:bookmarkStart w:id="17" w:name="_Toc138850315"/>
      <w:r w:rsidRPr="007213D9">
        <w:rPr>
          <w:rStyle w:val="CharDivNo"/>
        </w:rPr>
        <w:t>Division 6A</w:t>
      </w:r>
      <w:r w:rsidRPr="00A96019">
        <w:t>—</w:t>
      </w:r>
      <w:r w:rsidRPr="007213D9">
        <w:rPr>
          <w:rStyle w:val="CharDivText"/>
        </w:rPr>
        <w:t>Periodic investment reports</w:t>
      </w:r>
      <w:bookmarkEnd w:id="17"/>
    </w:p>
    <w:p w14:paraId="4FC8B363" w14:textId="77777777" w:rsidR="00E759F1" w:rsidRPr="00A96019" w:rsidRDefault="00E759F1" w:rsidP="00E759F1">
      <w:pPr>
        <w:pStyle w:val="ActHead5"/>
      </w:pPr>
      <w:bookmarkStart w:id="18" w:name="_Toc138850316"/>
      <w:r w:rsidRPr="007213D9">
        <w:rPr>
          <w:rStyle w:val="CharSectno"/>
        </w:rPr>
        <w:t>55A</w:t>
      </w:r>
      <w:r w:rsidRPr="00A96019">
        <w:t xml:space="preserve">  Periodic investment reports</w:t>
      </w:r>
      <w:bookmarkEnd w:id="18"/>
    </w:p>
    <w:p w14:paraId="6196CD5B" w14:textId="77777777" w:rsidR="00E759F1" w:rsidRPr="00A96019" w:rsidRDefault="00E759F1" w:rsidP="00E759F1">
      <w:pPr>
        <w:pStyle w:val="subsection"/>
      </w:pPr>
      <w:bookmarkStart w:id="19" w:name="_Hlk86392362"/>
      <w:r w:rsidRPr="00A96019">
        <w:tab/>
        <w:t>(1)</w:t>
      </w:r>
      <w:r w:rsidRPr="00A96019">
        <w:tab/>
        <w:t>The reporting rules may require the Board:</w:t>
      </w:r>
    </w:p>
    <w:p w14:paraId="71510794" w14:textId="77777777" w:rsidR="00E759F1" w:rsidRPr="00A96019" w:rsidRDefault="00E759F1" w:rsidP="00E759F1">
      <w:pPr>
        <w:pStyle w:val="paragraph"/>
      </w:pPr>
      <w:r w:rsidRPr="00A96019">
        <w:tab/>
        <w:t>(a)</w:t>
      </w:r>
      <w:r w:rsidRPr="00A96019">
        <w:tab/>
        <w:t>to prepare a periodic investment report for each reporting day; and</w:t>
      </w:r>
    </w:p>
    <w:p w14:paraId="4C9CABB5" w14:textId="77777777" w:rsidR="00E759F1" w:rsidRPr="00A96019" w:rsidRDefault="00E759F1" w:rsidP="00E759F1">
      <w:pPr>
        <w:pStyle w:val="paragraph"/>
      </w:pPr>
      <w:r w:rsidRPr="00A96019">
        <w:tab/>
        <w:t>(b)</w:t>
      </w:r>
      <w:r w:rsidRPr="00A96019">
        <w:tab/>
        <w:t xml:space="preserve">to make the report available on the internet throughout the period (the </w:t>
      </w:r>
      <w:r w:rsidRPr="00A96019">
        <w:rPr>
          <w:b/>
          <w:i/>
        </w:rPr>
        <w:t>publication period</w:t>
      </w:r>
      <w:r w:rsidRPr="00A96019">
        <w:t>) ascertained in accordance with the reporting rules.</w:t>
      </w:r>
    </w:p>
    <w:p w14:paraId="31740ACF" w14:textId="77777777" w:rsidR="00E759F1" w:rsidRPr="00A96019" w:rsidRDefault="00E759F1" w:rsidP="00E759F1">
      <w:pPr>
        <w:pStyle w:val="subsection"/>
      </w:pPr>
      <w:r w:rsidRPr="00A96019">
        <w:tab/>
        <w:t>(2)</w:t>
      </w:r>
      <w:r w:rsidRPr="00A96019">
        <w:tab/>
        <w:t>The publication period must not begin until at least 90 days have elapsed after the reporting day concerned.</w:t>
      </w:r>
    </w:p>
    <w:p w14:paraId="4BCF68B0" w14:textId="77777777" w:rsidR="00E759F1" w:rsidRPr="00A96019" w:rsidRDefault="00E759F1" w:rsidP="00E759F1">
      <w:pPr>
        <w:pStyle w:val="subsection"/>
      </w:pPr>
      <w:r w:rsidRPr="00A96019">
        <w:tab/>
        <w:t>(3)</w:t>
      </w:r>
      <w:r w:rsidRPr="00A96019">
        <w:tab/>
        <w:t>The reporting rules may empower the Board to make a periodic investment report available on the internet before the start of the publication period concerned.</w:t>
      </w:r>
    </w:p>
    <w:p w14:paraId="6EEFF855" w14:textId="77777777" w:rsidR="00E759F1" w:rsidRPr="00A96019" w:rsidRDefault="00E759F1" w:rsidP="00E759F1">
      <w:pPr>
        <w:pStyle w:val="subsection"/>
      </w:pPr>
      <w:r w:rsidRPr="00A96019">
        <w:tab/>
        <w:t>(4)</w:t>
      </w:r>
      <w:r w:rsidRPr="00A96019">
        <w:tab/>
        <w:t xml:space="preserve">For the purposes of this section, </w:t>
      </w:r>
      <w:r w:rsidRPr="00A96019">
        <w:rPr>
          <w:b/>
          <w:i/>
        </w:rPr>
        <w:t>periodic investment report</w:t>
      </w:r>
      <w:r w:rsidRPr="00A96019">
        <w:t xml:space="preserve"> for a reporting day means a report that:</w:t>
      </w:r>
    </w:p>
    <w:p w14:paraId="0716D143" w14:textId="77777777" w:rsidR="00E759F1" w:rsidRPr="00A96019" w:rsidRDefault="00E759F1" w:rsidP="00E759F1">
      <w:pPr>
        <w:pStyle w:val="paragraph"/>
      </w:pPr>
      <w:r w:rsidRPr="00A96019">
        <w:tab/>
        <w:t>(a)</w:t>
      </w:r>
      <w:r w:rsidRPr="00A96019">
        <w:tab/>
        <w:t>relates to the investments held by or on behalf of the Board (whether under this Act or any other Act) as at the end of the reporting day; and</w:t>
      </w:r>
    </w:p>
    <w:p w14:paraId="1166BEE6" w14:textId="77777777" w:rsidR="00E759F1" w:rsidRPr="00A96019" w:rsidRDefault="00E759F1" w:rsidP="00E759F1">
      <w:pPr>
        <w:pStyle w:val="paragraph"/>
      </w:pPr>
      <w:r w:rsidRPr="00A96019">
        <w:tab/>
        <w:t>(b)</w:t>
      </w:r>
      <w:r w:rsidRPr="00A96019">
        <w:tab/>
        <w:t>sets out such information as is specified in the reporting rules.</w:t>
      </w:r>
    </w:p>
    <w:p w14:paraId="2DB642F1" w14:textId="77777777" w:rsidR="00E759F1" w:rsidRPr="00A96019" w:rsidRDefault="00E759F1" w:rsidP="00E759F1">
      <w:pPr>
        <w:pStyle w:val="subsection"/>
      </w:pPr>
      <w:r w:rsidRPr="00A96019">
        <w:tab/>
        <w:t>(5)</w:t>
      </w:r>
      <w:r w:rsidRPr="00A96019">
        <w:tab/>
        <w:t>If the reporting rules prescribe the way in which information must be set out in a periodic investment report, the information must be set out in a periodic investment report in accordance with the reporting rules.</w:t>
      </w:r>
    </w:p>
    <w:p w14:paraId="4432D2AB" w14:textId="77777777" w:rsidR="00E759F1" w:rsidRPr="00A96019" w:rsidRDefault="00E759F1" w:rsidP="00E759F1">
      <w:pPr>
        <w:pStyle w:val="subsection"/>
      </w:pPr>
      <w:r w:rsidRPr="00A96019">
        <w:tab/>
        <w:t>(6)</w:t>
      </w:r>
      <w:r w:rsidRPr="00A96019">
        <w:tab/>
        <w:t xml:space="preserve">For the purposes of this section, </w:t>
      </w:r>
      <w:r w:rsidRPr="00A96019">
        <w:rPr>
          <w:b/>
          <w:i/>
        </w:rPr>
        <w:t>reporting day</w:t>
      </w:r>
      <w:r w:rsidRPr="00A96019">
        <w:t xml:space="preserve"> means a day ascertained in accordance with the reporting rules.</w:t>
      </w:r>
    </w:p>
    <w:p w14:paraId="6CC8D005" w14:textId="77777777" w:rsidR="00E759F1" w:rsidRPr="00A96019" w:rsidRDefault="00E759F1" w:rsidP="00E759F1">
      <w:pPr>
        <w:pStyle w:val="subsection"/>
      </w:pPr>
      <w:r w:rsidRPr="00A96019">
        <w:tab/>
        <w:t>(7)</w:t>
      </w:r>
      <w:r w:rsidRPr="00A96019">
        <w:tab/>
        <w:t>A reporting day must not occur before the commencement of this section.</w:t>
      </w:r>
    </w:p>
    <w:p w14:paraId="6EE15137" w14:textId="77777777" w:rsidR="00E759F1" w:rsidRPr="00A96019" w:rsidRDefault="00E759F1" w:rsidP="00E759F1">
      <w:pPr>
        <w:pStyle w:val="subsection"/>
      </w:pPr>
      <w:r w:rsidRPr="00A96019">
        <w:tab/>
        <w:t>(8)</w:t>
      </w:r>
      <w:r w:rsidRPr="00A96019">
        <w:tab/>
        <w:t>The period:</w:t>
      </w:r>
    </w:p>
    <w:p w14:paraId="54F59F7E" w14:textId="77777777" w:rsidR="00E759F1" w:rsidRPr="00A96019" w:rsidRDefault="00E759F1" w:rsidP="00E759F1">
      <w:pPr>
        <w:pStyle w:val="paragraph"/>
      </w:pPr>
      <w:r w:rsidRPr="00A96019">
        <w:tab/>
        <w:t>(a)</w:t>
      </w:r>
      <w:r w:rsidRPr="00A96019">
        <w:tab/>
        <w:t>beginning at the start of a reporting day; and</w:t>
      </w:r>
    </w:p>
    <w:p w14:paraId="6DF48FFE" w14:textId="77777777" w:rsidR="00E759F1" w:rsidRPr="00A96019" w:rsidRDefault="00E759F1" w:rsidP="00E759F1">
      <w:pPr>
        <w:pStyle w:val="paragraph"/>
      </w:pPr>
      <w:r w:rsidRPr="00A96019">
        <w:tab/>
        <w:t>(b)</w:t>
      </w:r>
      <w:r w:rsidRPr="00A96019">
        <w:tab/>
        <w:t>ending at the start of the next reporting day;</w:t>
      </w:r>
    </w:p>
    <w:p w14:paraId="5A4500B4" w14:textId="77777777" w:rsidR="00E759F1" w:rsidRPr="00A96019" w:rsidRDefault="00E759F1" w:rsidP="00E759F1">
      <w:pPr>
        <w:pStyle w:val="subsection2"/>
      </w:pPr>
      <w:r w:rsidRPr="00A96019">
        <w:t>must be at least 6 months.</w:t>
      </w:r>
    </w:p>
    <w:p w14:paraId="2438D5EE" w14:textId="77777777" w:rsidR="00E759F1" w:rsidRPr="00A96019" w:rsidRDefault="00E759F1" w:rsidP="00E759F1">
      <w:pPr>
        <w:pStyle w:val="ActHead5"/>
      </w:pPr>
      <w:bookmarkStart w:id="20" w:name="_Toc138850317"/>
      <w:bookmarkEnd w:id="19"/>
      <w:r w:rsidRPr="007213D9">
        <w:rPr>
          <w:rStyle w:val="CharSectno"/>
        </w:rPr>
        <w:t>55B</w:t>
      </w:r>
      <w:r w:rsidRPr="00A96019">
        <w:t xml:space="preserve">  Reporting rules</w:t>
      </w:r>
      <w:bookmarkEnd w:id="20"/>
    </w:p>
    <w:p w14:paraId="3373CB73" w14:textId="77777777" w:rsidR="00E759F1" w:rsidRPr="00A96019" w:rsidRDefault="00E759F1" w:rsidP="00E759F1">
      <w:pPr>
        <w:pStyle w:val="subsection"/>
      </w:pPr>
      <w:r w:rsidRPr="00A96019">
        <w:tab/>
        <w:t>(1)</w:t>
      </w:r>
      <w:r w:rsidRPr="00A96019">
        <w:tab/>
        <w:t>The nominated Minister may, by legislative instrument, make rules (</w:t>
      </w:r>
      <w:r w:rsidRPr="00A96019">
        <w:rPr>
          <w:b/>
          <w:i/>
        </w:rPr>
        <w:t>reporting rules</w:t>
      </w:r>
      <w:r w:rsidRPr="00A96019">
        <w:t xml:space="preserve">) prescribing matters required or permitted by this Division to be </w:t>
      </w:r>
      <w:r w:rsidRPr="00A96019">
        <w:rPr>
          <w:bCs/>
        </w:rPr>
        <w:t xml:space="preserve">prescribed by the </w:t>
      </w:r>
      <w:r w:rsidRPr="00A96019">
        <w:t>reporting rules.</w:t>
      </w:r>
    </w:p>
    <w:p w14:paraId="7C50D942" w14:textId="77777777" w:rsidR="00E759F1" w:rsidRPr="00A96019" w:rsidRDefault="00E759F1" w:rsidP="00E759F1">
      <w:pPr>
        <w:pStyle w:val="subsection"/>
      </w:pPr>
      <w:r w:rsidRPr="00A96019">
        <w:tab/>
        <w:t>(2)</w:t>
      </w:r>
      <w:r w:rsidRPr="00A96019">
        <w:tab/>
        <w:t>The nominated Minister must take all reasonable steps to ensure that the first set of reporting rules are made as soon as practicable after the commencement of this Division.</w:t>
      </w:r>
    </w:p>
    <w:p w14:paraId="44ABBB0D" w14:textId="77777777" w:rsidR="00E759F1" w:rsidRPr="00A96019" w:rsidRDefault="00E759F1" w:rsidP="00E759F1">
      <w:pPr>
        <w:pStyle w:val="subsection"/>
      </w:pPr>
      <w:r w:rsidRPr="00A96019">
        <w:tab/>
        <w:t>(3)</w:t>
      </w:r>
      <w:r w:rsidRPr="00A96019">
        <w:tab/>
        <w:t>If the first set of reporting rules have commenced on a particular day, the nominated Minister must take all reasonable steps to ensure that reporting rules are in force at all times after that day.</w:t>
      </w:r>
    </w:p>
    <w:p w14:paraId="0B33C827" w14:textId="77777777" w:rsidR="00E759F1" w:rsidRPr="00A96019" w:rsidRDefault="00E759F1" w:rsidP="00E759F1">
      <w:pPr>
        <w:pStyle w:val="ActHead5"/>
      </w:pPr>
      <w:bookmarkStart w:id="21" w:name="_Hlk86394336"/>
      <w:bookmarkStart w:id="22" w:name="_Toc138850318"/>
      <w:r w:rsidRPr="007213D9">
        <w:rPr>
          <w:rStyle w:val="CharSectno"/>
        </w:rPr>
        <w:t>55C</w:t>
      </w:r>
      <w:r w:rsidRPr="00A96019">
        <w:t xml:space="preserve">  Board to be consulted on reporting rules</w:t>
      </w:r>
      <w:bookmarkEnd w:id="22"/>
    </w:p>
    <w:p w14:paraId="5C923F42" w14:textId="77777777" w:rsidR="00E759F1" w:rsidRPr="00A96019" w:rsidRDefault="00E759F1" w:rsidP="00E759F1">
      <w:pPr>
        <w:pStyle w:val="subsection"/>
      </w:pPr>
      <w:r w:rsidRPr="00A96019">
        <w:tab/>
        <w:t>(1)</w:t>
      </w:r>
      <w:r w:rsidRPr="00A96019">
        <w:tab/>
        <w:t>Before making or amending reporting rules, the nominated Minister must:</w:t>
      </w:r>
    </w:p>
    <w:p w14:paraId="71919E91" w14:textId="77777777" w:rsidR="00E759F1" w:rsidRPr="00A96019" w:rsidRDefault="00E759F1" w:rsidP="00E759F1">
      <w:pPr>
        <w:pStyle w:val="paragraph"/>
      </w:pPr>
      <w:r w:rsidRPr="00A96019">
        <w:tab/>
        <w:t>(a)</w:t>
      </w:r>
      <w:r w:rsidRPr="00A96019">
        <w:tab/>
        <w:t>send the draft reporting rules or amendments to the Board; and</w:t>
      </w:r>
    </w:p>
    <w:p w14:paraId="7A7D0779" w14:textId="77777777" w:rsidR="00E759F1" w:rsidRPr="00A96019" w:rsidRDefault="00E759F1" w:rsidP="00E759F1">
      <w:pPr>
        <w:pStyle w:val="paragraph"/>
      </w:pPr>
      <w:r w:rsidRPr="00A96019">
        <w:tab/>
        <w:t>(b)</w:t>
      </w:r>
      <w:r w:rsidRPr="00A96019">
        <w:tab/>
        <w:t>invite the Board to make a submission to the nominated Minister on the draft reporting rules or amendments, as the case may be, within a time limit specified by the nominated Minister; and</w:t>
      </w:r>
    </w:p>
    <w:p w14:paraId="2994B541" w14:textId="77777777" w:rsidR="00E759F1" w:rsidRPr="00A96019" w:rsidRDefault="00E759F1" w:rsidP="00E759F1">
      <w:pPr>
        <w:pStyle w:val="paragraph"/>
      </w:pPr>
      <w:r w:rsidRPr="00A96019">
        <w:tab/>
        <w:t>(c)</w:t>
      </w:r>
      <w:r w:rsidRPr="00A96019">
        <w:tab/>
        <w:t>consider any submission that is received from the Board within that time limit.</w:t>
      </w:r>
    </w:p>
    <w:p w14:paraId="48FA41AD" w14:textId="77777777" w:rsidR="00E759F1" w:rsidRPr="00A96019" w:rsidRDefault="00E759F1" w:rsidP="00E759F1">
      <w:pPr>
        <w:pStyle w:val="subsection"/>
      </w:pPr>
      <w:r w:rsidRPr="00A96019">
        <w:tab/>
        <w:t>(2)</w:t>
      </w:r>
      <w:r w:rsidRPr="00A96019">
        <w:tab/>
        <w:t>If:</w:t>
      </w:r>
    </w:p>
    <w:p w14:paraId="43B65321" w14:textId="77777777" w:rsidR="00E759F1" w:rsidRPr="00A96019" w:rsidRDefault="00E759F1" w:rsidP="00E759F1">
      <w:pPr>
        <w:pStyle w:val="paragraph"/>
      </w:pPr>
      <w:r w:rsidRPr="00A96019">
        <w:tab/>
        <w:t>(a)</w:t>
      </w:r>
      <w:r w:rsidRPr="00A96019">
        <w:tab/>
        <w:t>the nominated Minister makes or amends reporting rules; and</w:t>
      </w:r>
    </w:p>
    <w:p w14:paraId="449FE531" w14:textId="77777777" w:rsidR="00E759F1" w:rsidRPr="00A96019" w:rsidRDefault="00E759F1" w:rsidP="00E759F1">
      <w:pPr>
        <w:pStyle w:val="paragraph"/>
      </w:pPr>
      <w:r w:rsidRPr="00A96019">
        <w:tab/>
        <w:t>(b)</w:t>
      </w:r>
      <w:r w:rsidRPr="00A96019">
        <w:tab/>
        <w:t>the Board made a submission to the nominated Minister on a draft of the reporting rules or amendments, as the case may be, within the time limit specified by the nominated Minister;</w:t>
      </w:r>
    </w:p>
    <w:p w14:paraId="4528583A" w14:textId="77777777" w:rsidR="00E759F1" w:rsidRPr="00A96019" w:rsidRDefault="00E759F1" w:rsidP="00E759F1">
      <w:pPr>
        <w:pStyle w:val="subsection2"/>
      </w:pPr>
      <w:r w:rsidRPr="00A96019">
        <w:t>the submission is to be tabled in each House of the Parliament with the reporting rules or amendments, as the case may be.</w:t>
      </w:r>
    </w:p>
    <w:p w14:paraId="37CD713A" w14:textId="77777777" w:rsidR="00E759F1" w:rsidRPr="00A96019" w:rsidRDefault="00E759F1" w:rsidP="00E759F1">
      <w:pPr>
        <w:pStyle w:val="notetext"/>
      </w:pPr>
      <w:r w:rsidRPr="00A96019">
        <w:t>Note:</w:t>
      </w:r>
      <w:r w:rsidRPr="00A96019">
        <w:tab/>
        <w:t xml:space="preserve">For tabling of the reporting rules or amendments, see section 38 of the </w:t>
      </w:r>
      <w:r w:rsidRPr="00A96019">
        <w:rPr>
          <w:i/>
        </w:rPr>
        <w:t>Legislation Act 2003</w:t>
      </w:r>
      <w:r w:rsidRPr="00A96019">
        <w:t>.</w:t>
      </w:r>
    </w:p>
    <w:p w14:paraId="13548F7C" w14:textId="044A87F2" w:rsidR="00E759F1" w:rsidRPr="00E759F1" w:rsidRDefault="00E759F1" w:rsidP="00E759F1">
      <w:pPr>
        <w:pStyle w:val="subsection"/>
      </w:pPr>
      <w:r w:rsidRPr="00A96019">
        <w:tab/>
        <w:t>(3)</w:t>
      </w:r>
      <w:r w:rsidRPr="00A96019">
        <w:tab/>
        <w:t>A time limit specified under this section must be reasonable.</w:t>
      </w:r>
      <w:bookmarkEnd w:id="21"/>
    </w:p>
    <w:p w14:paraId="45518414" w14:textId="77777777" w:rsidR="00064F1E" w:rsidRPr="00C35060" w:rsidRDefault="00B2793A" w:rsidP="00C35060">
      <w:pPr>
        <w:pStyle w:val="ActHead6"/>
        <w:pageBreakBefore/>
      </w:pPr>
      <w:bookmarkStart w:id="23" w:name="_Toc138850319"/>
      <w:r w:rsidRPr="00DF1F24">
        <w:rPr>
          <w:rStyle w:val="CharAmSchNo"/>
        </w:rPr>
        <w:t>Schedule 3</w:t>
      </w:r>
      <w:r w:rsidR="00064F1E" w:rsidRPr="00C35060">
        <w:t>—</w:t>
      </w:r>
      <w:proofErr w:type="spellStart"/>
      <w:r w:rsidR="00064F1E" w:rsidRPr="00DF1F24">
        <w:rPr>
          <w:rStyle w:val="CharAmSchText"/>
        </w:rPr>
        <w:t>DGR</w:t>
      </w:r>
      <w:proofErr w:type="spellEnd"/>
      <w:r w:rsidR="00064F1E" w:rsidRPr="00DF1F24">
        <w:rPr>
          <w:rStyle w:val="CharAmSchText"/>
        </w:rPr>
        <w:t xml:space="preserve"> registers reform</w:t>
      </w:r>
      <w:bookmarkEnd w:id="23"/>
    </w:p>
    <w:p w14:paraId="6344C29D" w14:textId="77777777" w:rsidR="00C3091D" w:rsidRPr="00C35060" w:rsidRDefault="00C3091D" w:rsidP="00C35060">
      <w:pPr>
        <w:pStyle w:val="ActHead7"/>
      </w:pPr>
      <w:bookmarkStart w:id="24" w:name="_Toc138850320"/>
      <w:r w:rsidRPr="00DF1F24">
        <w:rPr>
          <w:rStyle w:val="CharAmPartNo"/>
        </w:rPr>
        <w:t>Part 1</w:t>
      </w:r>
      <w:r w:rsidRPr="00C35060">
        <w:t>—</w:t>
      </w:r>
      <w:r w:rsidRPr="00DF1F24">
        <w:rPr>
          <w:rStyle w:val="CharAmPartText"/>
        </w:rPr>
        <w:t>Environmental organisations</w:t>
      </w:r>
      <w:bookmarkEnd w:id="24"/>
    </w:p>
    <w:p w14:paraId="5FEAE896" w14:textId="77777777" w:rsidR="00C3091D" w:rsidRPr="00C35060" w:rsidRDefault="00C3091D" w:rsidP="00C35060">
      <w:pPr>
        <w:pStyle w:val="ActHead9"/>
      </w:pPr>
      <w:bookmarkStart w:id="25" w:name="_Toc138850321"/>
      <w:r w:rsidRPr="00C35060">
        <w:t>Income Tax Assessment Act 1997</w:t>
      </w:r>
      <w:bookmarkEnd w:id="25"/>
    </w:p>
    <w:p w14:paraId="51E99D61" w14:textId="77777777" w:rsidR="00C3091D" w:rsidRPr="00C35060" w:rsidRDefault="00C81867" w:rsidP="00C35060">
      <w:pPr>
        <w:pStyle w:val="ItemHead"/>
      </w:pPr>
      <w:r w:rsidRPr="00C35060">
        <w:t>1</w:t>
      </w:r>
      <w:r w:rsidR="00C3091D" w:rsidRPr="00C35060">
        <w:t xml:space="preserve">  Subsection 30</w:t>
      </w:r>
      <w:r w:rsidR="00C35060">
        <w:noBreakHyphen/>
      </w:r>
      <w:r w:rsidR="00C3091D" w:rsidRPr="00C35060">
        <w:t>55(1) (table)</w:t>
      </w:r>
    </w:p>
    <w:p w14:paraId="0A4778BE" w14:textId="77777777" w:rsidR="00C3091D" w:rsidRPr="00C35060" w:rsidRDefault="00C3091D" w:rsidP="00C35060">
      <w:pPr>
        <w:pStyle w:val="Item"/>
      </w:pPr>
      <w:r w:rsidRPr="00C35060">
        <w:t>Repeal the table, substitute:</w:t>
      </w:r>
    </w:p>
    <w:tbl>
      <w:tblPr>
        <w:tblW w:w="723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56"/>
        <w:gridCol w:w="2534"/>
        <w:gridCol w:w="2170"/>
        <w:gridCol w:w="1770"/>
      </w:tblGrid>
      <w:tr w:rsidR="00C3091D" w:rsidRPr="00C35060" w14:paraId="761B1419" w14:textId="77777777" w:rsidTr="00D13E02">
        <w:trPr>
          <w:tblHeader/>
        </w:trPr>
        <w:tc>
          <w:tcPr>
            <w:tcW w:w="7230" w:type="dxa"/>
            <w:gridSpan w:val="4"/>
            <w:tcBorders>
              <w:top w:val="single" w:sz="12" w:space="0" w:color="auto"/>
              <w:bottom w:val="single" w:sz="6" w:space="0" w:color="auto"/>
            </w:tcBorders>
            <w:shd w:val="clear" w:color="auto" w:fill="auto"/>
          </w:tcPr>
          <w:p w14:paraId="72EFD714" w14:textId="77777777" w:rsidR="00C3091D" w:rsidRPr="00C35060" w:rsidRDefault="00C3091D" w:rsidP="00C35060">
            <w:pPr>
              <w:pStyle w:val="TableHeading"/>
            </w:pPr>
            <w:r w:rsidRPr="00C35060">
              <w:t>The environment—General</w:t>
            </w:r>
          </w:p>
        </w:tc>
      </w:tr>
      <w:tr w:rsidR="00C3091D" w:rsidRPr="00C35060" w14:paraId="180D5DFF" w14:textId="77777777" w:rsidTr="00D13E02">
        <w:trPr>
          <w:tblHeader/>
        </w:trPr>
        <w:tc>
          <w:tcPr>
            <w:tcW w:w="756" w:type="dxa"/>
            <w:tcBorders>
              <w:top w:val="single" w:sz="6" w:space="0" w:color="auto"/>
              <w:bottom w:val="single" w:sz="12" w:space="0" w:color="auto"/>
            </w:tcBorders>
            <w:shd w:val="clear" w:color="auto" w:fill="auto"/>
          </w:tcPr>
          <w:p w14:paraId="07DEEA69" w14:textId="77777777" w:rsidR="00C3091D" w:rsidRPr="00C35060" w:rsidRDefault="00C3091D" w:rsidP="00C35060">
            <w:pPr>
              <w:pStyle w:val="Tabletext"/>
              <w:keepNext/>
              <w:keepLines/>
              <w:rPr>
                <w:b/>
              </w:rPr>
            </w:pPr>
            <w:r w:rsidRPr="00C35060">
              <w:rPr>
                <w:b/>
              </w:rPr>
              <w:t>Item</w:t>
            </w:r>
          </w:p>
        </w:tc>
        <w:tc>
          <w:tcPr>
            <w:tcW w:w="2534" w:type="dxa"/>
            <w:tcBorders>
              <w:top w:val="single" w:sz="6" w:space="0" w:color="auto"/>
              <w:bottom w:val="single" w:sz="12" w:space="0" w:color="auto"/>
            </w:tcBorders>
            <w:shd w:val="clear" w:color="auto" w:fill="auto"/>
          </w:tcPr>
          <w:p w14:paraId="0DD38435" w14:textId="77777777" w:rsidR="00C3091D" w:rsidRPr="00C35060" w:rsidRDefault="00C3091D" w:rsidP="00C35060">
            <w:pPr>
              <w:pStyle w:val="Tabletext"/>
              <w:keepNext/>
              <w:keepLines/>
              <w:rPr>
                <w:b/>
              </w:rPr>
            </w:pPr>
            <w:r w:rsidRPr="00C35060">
              <w:rPr>
                <w:b/>
              </w:rPr>
              <w:t>Fund, authority or institution</w:t>
            </w:r>
          </w:p>
        </w:tc>
        <w:tc>
          <w:tcPr>
            <w:tcW w:w="2170" w:type="dxa"/>
            <w:tcBorders>
              <w:top w:val="single" w:sz="6" w:space="0" w:color="auto"/>
              <w:bottom w:val="single" w:sz="12" w:space="0" w:color="auto"/>
            </w:tcBorders>
            <w:shd w:val="clear" w:color="auto" w:fill="auto"/>
          </w:tcPr>
          <w:p w14:paraId="0683925D" w14:textId="77777777" w:rsidR="00C3091D" w:rsidRPr="00C35060" w:rsidRDefault="00C3091D" w:rsidP="00C35060">
            <w:pPr>
              <w:pStyle w:val="Tabletext"/>
              <w:keepNext/>
              <w:keepLines/>
              <w:rPr>
                <w:b/>
              </w:rPr>
            </w:pPr>
            <w:r w:rsidRPr="00C35060">
              <w:rPr>
                <w:b/>
              </w:rPr>
              <w:t>Special conditions—fund, authority or institution</w:t>
            </w:r>
          </w:p>
        </w:tc>
        <w:tc>
          <w:tcPr>
            <w:tcW w:w="1770" w:type="dxa"/>
            <w:tcBorders>
              <w:top w:val="single" w:sz="6" w:space="0" w:color="auto"/>
              <w:bottom w:val="single" w:sz="12" w:space="0" w:color="auto"/>
            </w:tcBorders>
            <w:shd w:val="clear" w:color="auto" w:fill="auto"/>
          </w:tcPr>
          <w:p w14:paraId="0092BA9A" w14:textId="77777777" w:rsidR="00C3091D" w:rsidRPr="00C35060" w:rsidRDefault="00C3091D" w:rsidP="00C35060">
            <w:pPr>
              <w:pStyle w:val="Tabletext"/>
              <w:keepNext/>
              <w:keepLines/>
              <w:rPr>
                <w:b/>
              </w:rPr>
            </w:pPr>
            <w:r w:rsidRPr="00C35060">
              <w:rPr>
                <w:b/>
              </w:rPr>
              <w:t>Special conditions—gift</w:t>
            </w:r>
          </w:p>
        </w:tc>
      </w:tr>
      <w:tr w:rsidR="00C3091D" w:rsidRPr="00C35060" w14:paraId="3F86A52A" w14:textId="77777777" w:rsidTr="00D13E02">
        <w:tc>
          <w:tcPr>
            <w:tcW w:w="756" w:type="dxa"/>
            <w:tcBorders>
              <w:top w:val="single" w:sz="12" w:space="0" w:color="auto"/>
              <w:bottom w:val="single" w:sz="12" w:space="0" w:color="auto"/>
            </w:tcBorders>
            <w:shd w:val="clear" w:color="auto" w:fill="auto"/>
          </w:tcPr>
          <w:p w14:paraId="53DBAE05" w14:textId="77777777" w:rsidR="00C3091D" w:rsidRPr="00C35060" w:rsidRDefault="00C3091D" w:rsidP="00C35060">
            <w:pPr>
              <w:pStyle w:val="Tabletext"/>
            </w:pPr>
            <w:r w:rsidRPr="00C35060">
              <w:t>6.1.1</w:t>
            </w:r>
          </w:p>
        </w:tc>
        <w:tc>
          <w:tcPr>
            <w:tcW w:w="2534" w:type="dxa"/>
            <w:tcBorders>
              <w:top w:val="single" w:sz="12" w:space="0" w:color="auto"/>
              <w:bottom w:val="single" w:sz="12" w:space="0" w:color="auto"/>
            </w:tcBorders>
            <w:shd w:val="clear" w:color="auto" w:fill="auto"/>
          </w:tcPr>
          <w:p w14:paraId="2DAFC581" w14:textId="77777777" w:rsidR="00C3091D" w:rsidRPr="00C35060" w:rsidRDefault="00C3091D" w:rsidP="00C35060">
            <w:pPr>
              <w:pStyle w:val="Tabletext"/>
            </w:pPr>
            <w:r w:rsidRPr="00C35060">
              <w:t xml:space="preserve">an institution or </w:t>
            </w:r>
            <w:r w:rsidR="00C35060" w:rsidRPr="00C35060">
              <w:rPr>
                <w:position w:val="6"/>
                <w:sz w:val="16"/>
              </w:rPr>
              <w:t>*</w:t>
            </w:r>
            <w:r w:rsidRPr="00C35060">
              <w:t>Australian government agency whose principal purpose is:</w:t>
            </w:r>
          </w:p>
          <w:p w14:paraId="4B38B330" w14:textId="77777777" w:rsidR="00C3091D" w:rsidRPr="00C35060" w:rsidRDefault="00C3091D" w:rsidP="00C35060">
            <w:pPr>
              <w:pStyle w:val="Tablea"/>
            </w:pPr>
            <w:r w:rsidRPr="00C35060">
              <w:t>(a) the protection and enhancement of the natural environment or of a significant aspect of the natural environment; or</w:t>
            </w:r>
          </w:p>
          <w:p w14:paraId="593F23A9" w14:textId="77777777" w:rsidR="00C3091D" w:rsidRPr="00C35060" w:rsidRDefault="00C3091D" w:rsidP="00C35060">
            <w:pPr>
              <w:pStyle w:val="Tablea"/>
            </w:pPr>
            <w:r w:rsidRPr="00C35060">
              <w:t>(b) the provision of information or education, or the carrying on of research, about the natural environment or a significant aspect of the natural environment</w:t>
            </w:r>
          </w:p>
        </w:tc>
        <w:tc>
          <w:tcPr>
            <w:tcW w:w="2170" w:type="dxa"/>
            <w:tcBorders>
              <w:top w:val="single" w:sz="12" w:space="0" w:color="auto"/>
              <w:bottom w:val="single" w:sz="12" w:space="0" w:color="auto"/>
            </w:tcBorders>
            <w:shd w:val="clear" w:color="auto" w:fill="auto"/>
          </w:tcPr>
          <w:p w14:paraId="6647E176" w14:textId="77777777" w:rsidR="00C3091D" w:rsidRPr="00C35060" w:rsidRDefault="00C3091D" w:rsidP="00C35060">
            <w:pPr>
              <w:pStyle w:val="Tabletext"/>
            </w:pPr>
            <w:r w:rsidRPr="00C35060">
              <w:t>the institution or Australian government agency must:</w:t>
            </w:r>
          </w:p>
          <w:p w14:paraId="6EA14840" w14:textId="77777777" w:rsidR="00C3091D" w:rsidRPr="00C35060" w:rsidRDefault="00C3091D" w:rsidP="00C35060">
            <w:pPr>
              <w:pStyle w:val="Tablea"/>
            </w:pPr>
            <w:r w:rsidRPr="00C35060">
              <w:t xml:space="preserve">(a) if it is not an Australian government agency—be a </w:t>
            </w:r>
            <w:r w:rsidR="00C35060" w:rsidRPr="00C35060">
              <w:rPr>
                <w:position w:val="6"/>
                <w:sz w:val="16"/>
              </w:rPr>
              <w:t>*</w:t>
            </w:r>
            <w:r w:rsidRPr="00C35060">
              <w:t>registered charity; and</w:t>
            </w:r>
          </w:p>
          <w:p w14:paraId="3C5DBE07" w14:textId="77777777" w:rsidR="00C3091D" w:rsidRPr="00C35060" w:rsidRDefault="00C3091D" w:rsidP="00C35060">
            <w:pPr>
              <w:pStyle w:val="Tablea"/>
            </w:pPr>
            <w:r w:rsidRPr="00C35060">
              <w:t>(b) meet the requirements of section 30</w:t>
            </w:r>
            <w:r w:rsidR="00C35060">
              <w:noBreakHyphen/>
            </w:r>
            <w:r w:rsidRPr="00C35060">
              <w:t>130;</w:t>
            </w:r>
            <w:r w:rsidR="00D13E02" w:rsidRPr="00C35060">
              <w:t xml:space="preserve"> and</w:t>
            </w:r>
          </w:p>
          <w:p w14:paraId="734FF944" w14:textId="77777777" w:rsidR="00C3091D" w:rsidRPr="00C35060" w:rsidRDefault="00C3091D" w:rsidP="00C35060">
            <w:pPr>
              <w:pStyle w:val="Tablea"/>
              <w:rPr>
                <w:i/>
              </w:rPr>
            </w:pPr>
            <w:r w:rsidRPr="00C35060">
              <w:t>(c) have a policy of not acting as a mere conduit for the donation of money or property to other organisations, bodies or persons</w:t>
            </w:r>
          </w:p>
        </w:tc>
        <w:tc>
          <w:tcPr>
            <w:tcW w:w="1770" w:type="dxa"/>
            <w:tcBorders>
              <w:top w:val="single" w:sz="12" w:space="0" w:color="auto"/>
              <w:bottom w:val="single" w:sz="12" w:space="0" w:color="auto"/>
            </w:tcBorders>
            <w:shd w:val="clear" w:color="auto" w:fill="auto"/>
          </w:tcPr>
          <w:p w14:paraId="5E1AA707" w14:textId="77777777" w:rsidR="00C3091D" w:rsidRPr="00C35060" w:rsidRDefault="00C3091D" w:rsidP="00C35060">
            <w:pPr>
              <w:pStyle w:val="Tabletext"/>
            </w:pPr>
            <w:r w:rsidRPr="00C35060">
              <w:t>the gift must be received by the gift fund (mentioned in section 30</w:t>
            </w:r>
            <w:r w:rsidR="00C35060">
              <w:noBreakHyphen/>
            </w:r>
            <w:r w:rsidRPr="00C35060">
              <w:t>130) of the institution or Australian government agency</w:t>
            </w:r>
          </w:p>
        </w:tc>
      </w:tr>
    </w:tbl>
    <w:p w14:paraId="2B7B0C22" w14:textId="77777777" w:rsidR="00C3091D" w:rsidRPr="00C35060" w:rsidRDefault="00C81867" w:rsidP="00C35060">
      <w:pPr>
        <w:pStyle w:val="ItemHead"/>
      </w:pPr>
      <w:r w:rsidRPr="00C35060">
        <w:t>2</w:t>
      </w:r>
      <w:r w:rsidR="00C3091D" w:rsidRPr="00C35060">
        <w:t xml:space="preserve">  Section 30</w:t>
      </w:r>
      <w:r w:rsidR="00C35060">
        <w:noBreakHyphen/>
      </w:r>
      <w:r w:rsidR="00C3091D" w:rsidRPr="00C35060">
        <w:t>60</w:t>
      </w:r>
    </w:p>
    <w:p w14:paraId="2A8D3FF5" w14:textId="77777777" w:rsidR="00C3091D" w:rsidRPr="00C35060" w:rsidRDefault="00C3091D" w:rsidP="00C35060">
      <w:pPr>
        <w:pStyle w:val="Item"/>
      </w:pPr>
      <w:r w:rsidRPr="00C35060">
        <w:t>Omit “gift:”, substitute “gift, the institution has a policy of not acting as a mere conduit for the donation of money or property to other entities.”.</w:t>
      </w:r>
    </w:p>
    <w:p w14:paraId="07DB580C" w14:textId="77777777" w:rsidR="00C3091D" w:rsidRPr="00C35060" w:rsidRDefault="00C81867" w:rsidP="00C35060">
      <w:pPr>
        <w:pStyle w:val="ItemHead"/>
      </w:pPr>
      <w:r w:rsidRPr="00C35060">
        <w:t>3</w:t>
      </w:r>
      <w:r w:rsidR="00C3091D" w:rsidRPr="00C35060">
        <w:t xml:space="preserve">  Paragraphs 30</w:t>
      </w:r>
      <w:r w:rsidR="00C35060">
        <w:noBreakHyphen/>
      </w:r>
      <w:r w:rsidR="00C3091D" w:rsidRPr="00C35060">
        <w:t>60(a) and (b)</w:t>
      </w:r>
    </w:p>
    <w:p w14:paraId="04CD8720" w14:textId="77777777" w:rsidR="00C3091D" w:rsidRPr="00C35060" w:rsidRDefault="00C3091D" w:rsidP="00C35060">
      <w:pPr>
        <w:pStyle w:val="Item"/>
      </w:pPr>
      <w:r w:rsidRPr="00C35060">
        <w:t>Repeal the paragraphs.</w:t>
      </w:r>
    </w:p>
    <w:p w14:paraId="5BC58408" w14:textId="77777777" w:rsidR="00C3091D" w:rsidRPr="00C35060" w:rsidRDefault="00C81867" w:rsidP="00C35060">
      <w:pPr>
        <w:pStyle w:val="ItemHead"/>
      </w:pPr>
      <w:r w:rsidRPr="00C35060">
        <w:t>4</w:t>
      </w:r>
      <w:r w:rsidR="00C3091D" w:rsidRPr="00C35060">
        <w:t xml:space="preserve">  Subdivision 30</w:t>
      </w:r>
      <w:r w:rsidR="00C35060">
        <w:noBreakHyphen/>
      </w:r>
      <w:r w:rsidR="00C3091D" w:rsidRPr="00C35060">
        <w:t>E</w:t>
      </w:r>
    </w:p>
    <w:p w14:paraId="43670398" w14:textId="77777777" w:rsidR="00C3091D" w:rsidRPr="00C35060" w:rsidRDefault="00C3091D" w:rsidP="00C35060">
      <w:pPr>
        <w:pStyle w:val="Item"/>
      </w:pPr>
      <w:r w:rsidRPr="00C35060">
        <w:t>Repeal the Subdivision.</w:t>
      </w:r>
    </w:p>
    <w:p w14:paraId="6201AC24" w14:textId="77777777" w:rsidR="00C3091D" w:rsidRPr="00C35060" w:rsidRDefault="00C81867" w:rsidP="00C35060">
      <w:pPr>
        <w:pStyle w:val="ItemHead"/>
      </w:pPr>
      <w:r w:rsidRPr="00C35060">
        <w:t>5</w:t>
      </w:r>
      <w:r w:rsidR="00C3091D" w:rsidRPr="00C35060">
        <w:t xml:space="preserve">  Subsection 30</w:t>
      </w:r>
      <w:r w:rsidR="00C35060">
        <w:noBreakHyphen/>
      </w:r>
      <w:r w:rsidR="00C3091D" w:rsidRPr="00C35060">
        <w:t>315(2) (table item 48)</w:t>
      </w:r>
    </w:p>
    <w:p w14:paraId="7535DDAE" w14:textId="77777777" w:rsidR="00C3091D" w:rsidRPr="00C35060" w:rsidRDefault="00C3091D" w:rsidP="00C35060">
      <w:pPr>
        <w:pStyle w:val="Item"/>
      </w:pPr>
      <w:r w:rsidRPr="00C35060">
        <w:t>Repeal the item.</w:t>
      </w:r>
    </w:p>
    <w:p w14:paraId="2E865F0A" w14:textId="77777777" w:rsidR="00C3091D" w:rsidRPr="00C35060" w:rsidRDefault="00C81867" w:rsidP="00C35060">
      <w:pPr>
        <w:pStyle w:val="ItemHead"/>
      </w:pPr>
      <w:r w:rsidRPr="00C35060">
        <w:t>6</w:t>
      </w:r>
      <w:r w:rsidR="00C3091D" w:rsidRPr="00C35060">
        <w:t xml:space="preserve">  Section 995</w:t>
      </w:r>
      <w:r w:rsidR="00C35060">
        <w:noBreakHyphen/>
      </w:r>
      <w:r w:rsidR="00C3091D" w:rsidRPr="00C35060">
        <w:t xml:space="preserve">1 (definition of </w:t>
      </w:r>
      <w:r w:rsidR="00C3091D" w:rsidRPr="00C35060">
        <w:rPr>
          <w:i/>
        </w:rPr>
        <w:t>environmental organisation</w:t>
      </w:r>
      <w:r w:rsidR="00C3091D" w:rsidRPr="00C35060">
        <w:t>)</w:t>
      </w:r>
    </w:p>
    <w:p w14:paraId="73F8BBCD" w14:textId="77777777" w:rsidR="00C3091D" w:rsidRPr="00C35060" w:rsidRDefault="00C3091D" w:rsidP="00C35060">
      <w:pPr>
        <w:pStyle w:val="Item"/>
      </w:pPr>
      <w:r w:rsidRPr="00C35060">
        <w:t>Repeal the definition.</w:t>
      </w:r>
    </w:p>
    <w:p w14:paraId="28499804" w14:textId="77777777" w:rsidR="00C3091D" w:rsidRPr="00C35060" w:rsidRDefault="00C81867" w:rsidP="00C35060">
      <w:pPr>
        <w:pStyle w:val="Transitional"/>
      </w:pPr>
      <w:r w:rsidRPr="00C35060">
        <w:t>7</w:t>
      </w:r>
      <w:r w:rsidR="00C3091D" w:rsidRPr="00C35060">
        <w:t xml:space="preserve">  Transitional</w:t>
      </w:r>
    </w:p>
    <w:p w14:paraId="2A59A4B3" w14:textId="77777777" w:rsidR="00C3091D" w:rsidRPr="00C35060" w:rsidRDefault="00C3091D" w:rsidP="00C35060">
      <w:pPr>
        <w:pStyle w:val="SubitemHead"/>
      </w:pPr>
      <w:r w:rsidRPr="00C35060">
        <w:t xml:space="preserve">Environmental organisations with </w:t>
      </w:r>
      <w:proofErr w:type="spellStart"/>
      <w:r w:rsidRPr="00C35060">
        <w:t>DGR</w:t>
      </w:r>
      <w:proofErr w:type="spellEnd"/>
      <w:r w:rsidRPr="00C35060">
        <w:t xml:space="preserve"> endorsement</w:t>
      </w:r>
    </w:p>
    <w:p w14:paraId="4C10394C" w14:textId="77777777" w:rsidR="00C3091D" w:rsidRPr="00C35060" w:rsidRDefault="00C3091D" w:rsidP="00C35060">
      <w:pPr>
        <w:pStyle w:val="Subitem"/>
      </w:pPr>
      <w:r w:rsidRPr="00C35060">
        <w:t>(1)</w:t>
      </w:r>
      <w:r w:rsidRPr="00C35060">
        <w:tab/>
        <w:t>Subitem (2) applies if, immediately before the commencement of this Part:</w:t>
      </w:r>
    </w:p>
    <w:p w14:paraId="25730362" w14:textId="77777777" w:rsidR="00C3091D" w:rsidRPr="00C35060" w:rsidRDefault="00C3091D" w:rsidP="00C35060">
      <w:pPr>
        <w:pStyle w:val="paragraph"/>
      </w:pPr>
      <w:r w:rsidRPr="00C35060">
        <w:tab/>
        <w:t>(a)</w:t>
      </w:r>
      <w:r w:rsidRPr="00C35060">
        <w:tab/>
        <w:t>an entity and the public fund it maintains are on the register of environmental organisations mentioned in section 30</w:t>
      </w:r>
      <w:r w:rsidR="00C35060">
        <w:noBreakHyphen/>
      </w:r>
      <w:r w:rsidRPr="00C35060">
        <w:t xml:space="preserve">255 of the </w:t>
      </w:r>
      <w:r w:rsidRPr="00C35060">
        <w:rPr>
          <w:i/>
        </w:rPr>
        <w:t>Income Tax Assessment Act 1997</w:t>
      </w:r>
      <w:r w:rsidRPr="00C35060">
        <w:t>; and</w:t>
      </w:r>
    </w:p>
    <w:p w14:paraId="48559A39" w14:textId="77777777" w:rsidR="00C3091D" w:rsidRPr="00C35060" w:rsidRDefault="00C3091D" w:rsidP="00C35060">
      <w:pPr>
        <w:pStyle w:val="paragraph"/>
      </w:pPr>
      <w:r w:rsidRPr="00C35060">
        <w:tab/>
        <w:t>(b)</w:t>
      </w:r>
      <w:r w:rsidRPr="00C35060">
        <w:tab/>
        <w:t>the entity is endorsed as a deductible gift recipient for the operation of a fund, authority or institution under paragraph 30</w:t>
      </w:r>
      <w:r w:rsidR="00C35060">
        <w:noBreakHyphen/>
      </w:r>
      <w:r w:rsidRPr="00C35060">
        <w:t>120(b) of that Act in respect of the operation of the public fund; and</w:t>
      </w:r>
    </w:p>
    <w:p w14:paraId="170A4B76" w14:textId="77777777" w:rsidR="00C3091D" w:rsidRPr="00C35060" w:rsidRDefault="00C3091D" w:rsidP="00C35060">
      <w:pPr>
        <w:pStyle w:val="paragraph"/>
      </w:pPr>
      <w:r w:rsidRPr="00C35060">
        <w:tab/>
        <w:t>(c)</w:t>
      </w:r>
      <w:r w:rsidRPr="00C35060">
        <w:tab/>
        <w:t xml:space="preserve">the entity has rules (the </w:t>
      </w:r>
      <w:r w:rsidRPr="00C35060">
        <w:rPr>
          <w:b/>
          <w:i/>
        </w:rPr>
        <w:t>winding up provisions</w:t>
      </w:r>
      <w:r w:rsidRPr="00C35060">
        <w:t>) providing that, if the public fund is wound up, any surplus assets of the public fund are to be transferred to another fund that is on the register, as required by subsection 30</w:t>
      </w:r>
      <w:r w:rsidR="00C35060">
        <w:noBreakHyphen/>
      </w:r>
      <w:r w:rsidRPr="00C35060">
        <w:t>270(3) of that Act.</w:t>
      </w:r>
    </w:p>
    <w:p w14:paraId="00FD9DAD" w14:textId="77777777" w:rsidR="00C3091D" w:rsidRPr="00C35060" w:rsidRDefault="00C3091D" w:rsidP="00C35060">
      <w:pPr>
        <w:pStyle w:val="Subitem"/>
      </w:pPr>
      <w:r w:rsidRPr="00C35060">
        <w:t>(2)</w:t>
      </w:r>
      <w:r w:rsidRPr="00C35060">
        <w:tab/>
        <w:t>On and after the commencement of this Part:</w:t>
      </w:r>
    </w:p>
    <w:p w14:paraId="1C96A4FB" w14:textId="77777777" w:rsidR="00C3091D" w:rsidRPr="00C35060" w:rsidRDefault="00C3091D" w:rsidP="00C35060">
      <w:pPr>
        <w:pStyle w:val="paragraph"/>
      </w:pPr>
      <w:r w:rsidRPr="00C35060">
        <w:tab/>
        <w:t>(a)</w:t>
      </w:r>
      <w:r w:rsidRPr="00C35060">
        <w:tab/>
        <w:t>treat the entity as being endorsed as a deductible gift recipient under paragraph 30</w:t>
      </w:r>
      <w:r w:rsidR="00C35060">
        <w:noBreakHyphen/>
      </w:r>
      <w:r w:rsidRPr="00C35060">
        <w:t xml:space="preserve">120(a) of the </w:t>
      </w:r>
      <w:r w:rsidRPr="00C35060">
        <w:rPr>
          <w:i/>
        </w:rPr>
        <w:t>Income Tax Assessment Act 1997</w:t>
      </w:r>
      <w:r w:rsidRPr="00C35060">
        <w:t xml:space="preserve"> based on item 6.1.1 of the table in subsection 30</w:t>
      </w:r>
      <w:r w:rsidR="00C35060">
        <w:noBreakHyphen/>
      </w:r>
      <w:r w:rsidRPr="00C35060">
        <w:t>55(1) of that Act; and</w:t>
      </w:r>
    </w:p>
    <w:p w14:paraId="5A43EE53"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 and</w:t>
      </w:r>
    </w:p>
    <w:p w14:paraId="7B1AD3E2" w14:textId="77777777" w:rsidR="00C3091D" w:rsidRPr="00C35060" w:rsidRDefault="00C3091D" w:rsidP="00C35060">
      <w:pPr>
        <w:pStyle w:val="paragraph"/>
      </w:pPr>
      <w:r w:rsidRPr="00C35060">
        <w:tab/>
        <w:t>(c)</w:t>
      </w:r>
      <w:r w:rsidRPr="00C35060">
        <w:tab/>
        <w:t>treat the winding up provisions as providing that, if the public fund is wound up, any surplus assets of the public fund are to be transferred to a fund, authority or institution gifts to which can be deducted under Division 30 of that Act, unless or until the entity amends the winding up provisions.</w:t>
      </w:r>
    </w:p>
    <w:p w14:paraId="4F3F72A5" w14:textId="77777777" w:rsidR="00C3091D" w:rsidRPr="00C35060" w:rsidRDefault="00C3091D" w:rsidP="00C35060">
      <w:pPr>
        <w:pStyle w:val="SubitemHead"/>
      </w:pPr>
      <w:r w:rsidRPr="00C35060">
        <w:t xml:space="preserve">Environmental organisations seeking </w:t>
      </w:r>
      <w:proofErr w:type="spellStart"/>
      <w:r w:rsidRPr="00C35060">
        <w:t>DGR</w:t>
      </w:r>
      <w:proofErr w:type="spellEnd"/>
      <w:r w:rsidRPr="00C35060">
        <w:t xml:space="preserve"> endorsement</w:t>
      </w:r>
    </w:p>
    <w:p w14:paraId="501E135C" w14:textId="77777777" w:rsidR="00C3091D" w:rsidRPr="00C35060" w:rsidRDefault="00C3091D" w:rsidP="00C35060">
      <w:pPr>
        <w:pStyle w:val="Subitem"/>
      </w:pPr>
      <w:r w:rsidRPr="00C35060">
        <w:t>(3)</w:t>
      </w:r>
      <w:r w:rsidRPr="00C35060">
        <w:tab/>
        <w:t>Subitem (4) applies if, immediately before the commencement of this Part:</w:t>
      </w:r>
    </w:p>
    <w:p w14:paraId="2CD98E15" w14:textId="77777777" w:rsidR="00C3091D" w:rsidRPr="00C35060" w:rsidRDefault="00C3091D" w:rsidP="00C35060">
      <w:pPr>
        <w:pStyle w:val="paragraph"/>
      </w:pPr>
      <w:r w:rsidRPr="00C35060">
        <w:tab/>
        <w:t>(a)</w:t>
      </w:r>
      <w:r w:rsidRPr="00C35060">
        <w:tab/>
        <w:t>an entity and the public fund it maintains are on the register of environmental organisations mentioned in section 30</w:t>
      </w:r>
      <w:r w:rsidR="00C35060">
        <w:noBreakHyphen/>
      </w:r>
      <w:r w:rsidRPr="00C35060">
        <w:t xml:space="preserve">255 of the </w:t>
      </w:r>
      <w:r w:rsidRPr="00C35060">
        <w:rPr>
          <w:i/>
        </w:rPr>
        <w:t>Income Tax Assessment Act 1997</w:t>
      </w:r>
      <w:r w:rsidRPr="00C35060">
        <w:t>; and</w:t>
      </w:r>
    </w:p>
    <w:p w14:paraId="312C976B" w14:textId="77777777" w:rsidR="00C3091D" w:rsidRPr="00C35060" w:rsidRDefault="00C3091D" w:rsidP="00C35060">
      <w:pPr>
        <w:pStyle w:val="paragraph"/>
      </w:pPr>
      <w:r w:rsidRPr="00C35060">
        <w:tab/>
        <w:t>(b)</w:t>
      </w:r>
      <w:r w:rsidRPr="00C35060">
        <w:tab/>
        <w:t>the entity has applied under subsection 426</w:t>
      </w:r>
      <w:r w:rsidR="00C35060">
        <w:noBreakHyphen/>
      </w:r>
      <w:r w:rsidRPr="00C35060">
        <w:t xml:space="preserve">15(1) in Schedule 1 to the </w:t>
      </w:r>
      <w:r w:rsidRPr="00C35060">
        <w:rPr>
          <w:i/>
        </w:rPr>
        <w:t xml:space="preserve">Taxation Administration Act 1953 </w:t>
      </w:r>
      <w:r w:rsidRPr="00C35060">
        <w:t>for endorsement as a deductible gift recipient for the operation of a fund, authority or institution under paragraph 30</w:t>
      </w:r>
      <w:r w:rsidR="00C35060">
        <w:noBreakHyphen/>
      </w:r>
      <w:r w:rsidRPr="00C35060">
        <w:t xml:space="preserve">120(b) of the </w:t>
      </w:r>
      <w:r w:rsidRPr="00C35060">
        <w:rPr>
          <w:i/>
        </w:rPr>
        <w:t>Income Tax Assessment Act 1997</w:t>
      </w:r>
      <w:r w:rsidRPr="00C35060">
        <w:t xml:space="preserve"> in respect of the operation of the public fund; and</w:t>
      </w:r>
    </w:p>
    <w:p w14:paraId="16B9AAE8" w14:textId="77777777" w:rsidR="00C3091D" w:rsidRPr="00C35060" w:rsidRDefault="00C3091D" w:rsidP="00C35060">
      <w:pPr>
        <w:pStyle w:val="paragraph"/>
      </w:pPr>
      <w:r w:rsidRPr="00C35060">
        <w:tab/>
        <w:t>(c)</w:t>
      </w:r>
      <w:r w:rsidRPr="00C35060">
        <w:tab/>
        <w:t>the Commissioner has not given the applicant written notice that the Commissioner endorses or refuses to endorse the applicant.</w:t>
      </w:r>
    </w:p>
    <w:p w14:paraId="6BDE413F" w14:textId="77777777" w:rsidR="00C3091D" w:rsidRPr="00C35060" w:rsidRDefault="00C3091D" w:rsidP="00C35060">
      <w:pPr>
        <w:pStyle w:val="Subitem"/>
      </w:pPr>
      <w:r w:rsidRPr="00C35060">
        <w:t>(4)</w:t>
      </w:r>
      <w:r w:rsidRPr="00C35060">
        <w:tab/>
        <w:t>On and after the commencement of this Part:</w:t>
      </w:r>
    </w:p>
    <w:p w14:paraId="487A0C37" w14:textId="77777777" w:rsidR="00C3091D" w:rsidRPr="00C35060" w:rsidRDefault="00C3091D" w:rsidP="00C35060">
      <w:pPr>
        <w:pStyle w:val="paragraph"/>
      </w:pPr>
      <w:r w:rsidRPr="00C35060">
        <w:tab/>
        <w:t>(a)</w:t>
      </w:r>
      <w:r w:rsidRPr="00C35060">
        <w:tab/>
        <w:t>treat the application as an application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6.1.1 of the table in subsection 30</w:t>
      </w:r>
      <w:r w:rsidR="00C35060">
        <w:noBreakHyphen/>
      </w:r>
      <w:r w:rsidRPr="00C35060">
        <w:t>55(1) of that Act; and</w:t>
      </w:r>
    </w:p>
    <w:p w14:paraId="0D337D6A"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w:t>
      </w:r>
    </w:p>
    <w:p w14:paraId="0B5F0069" w14:textId="77777777" w:rsidR="00C3091D" w:rsidRPr="00C35060" w:rsidRDefault="00C3091D" w:rsidP="00C35060">
      <w:pPr>
        <w:pStyle w:val="SubitemHead"/>
      </w:pPr>
      <w:r w:rsidRPr="00C35060">
        <w:t>Entities seeking entry on the register of environmental organisations</w:t>
      </w:r>
    </w:p>
    <w:p w14:paraId="569F78C3" w14:textId="77777777" w:rsidR="00C3091D" w:rsidRPr="00C35060" w:rsidRDefault="00C3091D" w:rsidP="00C35060">
      <w:pPr>
        <w:pStyle w:val="Subitem"/>
      </w:pPr>
      <w:r w:rsidRPr="00C35060">
        <w:t>(5)</w:t>
      </w:r>
      <w:r w:rsidRPr="00C35060">
        <w:tab/>
        <w:t>Subitem (6) applies if, immediately before the commencement of this Part:</w:t>
      </w:r>
    </w:p>
    <w:p w14:paraId="3EE8A8A8" w14:textId="77777777" w:rsidR="00C3091D" w:rsidRPr="00C35060" w:rsidRDefault="00C3091D" w:rsidP="00C35060">
      <w:pPr>
        <w:pStyle w:val="paragraph"/>
      </w:pPr>
      <w:r w:rsidRPr="00C35060">
        <w:tab/>
        <w:t>(a)</w:t>
      </w:r>
      <w:r w:rsidRPr="00C35060">
        <w:tab/>
        <w:t>an entity has submitted a request (however described) to the department administered by the Environment Minister seeking to be entered on the register of environmental organisations mentioned in section 30</w:t>
      </w:r>
      <w:r w:rsidR="00C35060">
        <w:noBreakHyphen/>
      </w:r>
      <w:r w:rsidRPr="00C35060">
        <w:t xml:space="preserve">255 of the </w:t>
      </w:r>
      <w:r w:rsidRPr="00C35060">
        <w:rPr>
          <w:i/>
        </w:rPr>
        <w:t>Income Tax Assessment Act 1997</w:t>
      </w:r>
      <w:r w:rsidRPr="00C35060">
        <w:t>; and</w:t>
      </w:r>
    </w:p>
    <w:p w14:paraId="7E9B0A5F" w14:textId="77777777" w:rsidR="00C3091D" w:rsidRPr="00C35060" w:rsidRDefault="00C3091D" w:rsidP="00C35060">
      <w:pPr>
        <w:pStyle w:val="paragraph"/>
      </w:pPr>
      <w:r w:rsidRPr="00C35060">
        <w:tab/>
        <w:t>(b)</w:t>
      </w:r>
      <w:r w:rsidRPr="00C35060">
        <w:tab/>
        <w:t>the entity has not been notified by the department of the outcome of the request.</w:t>
      </w:r>
    </w:p>
    <w:p w14:paraId="1CE9DA72" w14:textId="77777777" w:rsidR="00C3091D" w:rsidRPr="00C35060" w:rsidRDefault="00C3091D" w:rsidP="00C35060">
      <w:pPr>
        <w:pStyle w:val="Subitem"/>
      </w:pPr>
      <w:r w:rsidRPr="00C35060">
        <w:t>(6)</w:t>
      </w:r>
      <w:r w:rsidRPr="00C35060">
        <w:tab/>
        <w:t>On and after the commencement of this Part:</w:t>
      </w:r>
    </w:p>
    <w:p w14:paraId="526E0BAC" w14:textId="77777777" w:rsidR="00C3091D" w:rsidRPr="00C35060" w:rsidRDefault="00C3091D" w:rsidP="00C35060">
      <w:pPr>
        <w:pStyle w:val="paragraph"/>
      </w:pPr>
      <w:r w:rsidRPr="00C35060">
        <w:tab/>
        <w:t>(a)</w:t>
      </w:r>
      <w:r w:rsidRPr="00C35060">
        <w:tab/>
        <w:t>treat the request as an application under subsection 426</w:t>
      </w:r>
      <w:r w:rsidR="00C35060">
        <w:noBreakHyphen/>
      </w:r>
      <w:r w:rsidRPr="00C35060">
        <w:t xml:space="preserve">15(1) in Schedule 1 to the </w:t>
      </w:r>
      <w:r w:rsidRPr="00C35060">
        <w:rPr>
          <w:i/>
        </w:rPr>
        <w:t xml:space="preserve">Taxation Administration Act 1953 </w:t>
      </w:r>
      <w:r w:rsidRPr="00C35060">
        <w:t>by the entity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6.1.1 of the table in subsection 30</w:t>
      </w:r>
      <w:r w:rsidR="00C35060">
        <w:noBreakHyphen/>
      </w:r>
      <w:r w:rsidRPr="00C35060">
        <w:t>55(1) of that Act; and</w:t>
      </w:r>
    </w:p>
    <w:p w14:paraId="62C2B187" w14:textId="77777777" w:rsidR="00C3091D" w:rsidRPr="00C35060" w:rsidRDefault="00C3091D" w:rsidP="00C35060">
      <w:pPr>
        <w:pStyle w:val="paragraph"/>
      </w:pPr>
      <w:r w:rsidRPr="00C35060">
        <w:tab/>
        <w:t>(b)</w:t>
      </w:r>
      <w:r w:rsidRPr="00C35060">
        <w:tab/>
        <w:t>treat the application:</w:t>
      </w:r>
    </w:p>
    <w:p w14:paraId="62218565" w14:textId="77777777" w:rsidR="00C3091D" w:rsidRPr="00C35060" w:rsidRDefault="00C3091D" w:rsidP="00C35060">
      <w:pPr>
        <w:pStyle w:val="paragraphsub"/>
      </w:pPr>
      <w:r w:rsidRPr="00C35060">
        <w:tab/>
        <w:t>(</w:t>
      </w:r>
      <w:proofErr w:type="spellStart"/>
      <w:r w:rsidRPr="00C35060">
        <w:t>i</w:t>
      </w:r>
      <w:proofErr w:type="spellEnd"/>
      <w:r w:rsidRPr="00C35060">
        <w:t>)</w:t>
      </w:r>
      <w:r w:rsidRPr="00C35060">
        <w:tab/>
        <w:t>as having been made on the commencement of this Part; and</w:t>
      </w:r>
    </w:p>
    <w:p w14:paraId="3B076F79" w14:textId="77777777" w:rsidR="00C3091D" w:rsidRPr="00C35060" w:rsidRDefault="00C3091D" w:rsidP="00C35060">
      <w:pPr>
        <w:pStyle w:val="paragraphsub"/>
      </w:pPr>
      <w:r w:rsidRPr="00C35060">
        <w:tab/>
        <w:t>(ii)</w:t>
      </w:r>
      <w:r w:rsidRPr="00C35060">
        <w:tab/>
        <w:t>as meeting the requirements set out in subsection 426</w:t>
      </w:r>
      <w:r w:rsidR="00C35060">
        <w:noBreakHyphen/>
      </w:r>
      <w:r w:rsidRPr="00C35060">
        <w:t xml:space="preserve">15(2) in Schedule 1 to the </w:t>
      </w:r>
      <w:r w:rsidRPr="00C35060">
        <w:rPr>
          <w:i/>
        </w:rPr>
        <w:t>Taxation Administration Act 1953</w:t>
      </w:r>
      <w:r w:rsidRPr="00C35060">
        <w:t>.</w:t>
      </w:r>
    </w:p>
    <w:p w14:paraId="274C517F" w14:textId="77777777" w:rsidR="00C3091D" w:rsidRPr="00C35060" w:rsidRDefault="00C3091D" w:rsidP="00C35060">
      <w:pPr>
        <w:pStyle w:val="ActHead7"/>
        <w:pageBreakBefore/>
      </w:pPr>
      <w:bookmarkStart w:id="26" w:name="_Toc138850322"/>
      <w:r w:rsidRPr="00DF1F24">
        <w:rPr>
          <w:rStyle w:val="CharAmPartNo"/>
        </w:rPr>
        <w:t>Part 2</w:t>
      </w:r>
      <w:r w:rsidRPr="00C35060">
        <w:t>—</w:t>
      </w:r>
      <w:r w:rsidRPr="00DF1F24">
        <w:rPr>
          <w:rStyle w:val="CharAmPartText"/>
        </w:rPr>
        <w:t>Harm prevention charities</w:t>
      </w:r>
      <w:bookmarkEnd w:id="26"/>
    </w:p>
    <w:p w14:paraId="35DF3520" w14:textId="77777777" w:rsidR="00C3091D" w:rsidRPr="00C35060" w:rsidRDefault="00C3091D" w:rsidP="00C35060">
      <w:pPr>
        <w:pStyle w:val="ActHead9"/>
      </w:pPr>
      <w:bookmarkStart w:id="27" w:name="_Toc138850323"/>
      <w:r w:rsidRPr="00C35060">
        <w:t>Income Tax Assessment Act 1997</w:t>
      </w:r>
      <w:bookmarkEnd w:id="27"/>
    </w:p>
    <w:p w14:paraId="4F05EB1C" w14:textId="77777777" w:rsidR="00C3091D" w:rsidRPr="00C35060" w:rsidRDefault="00C81867" w:rsidP="00C35060">
      <w:pPr>
        <w:pStyle w:val="ItemHead"/>
      </w:pPr>
      <w:r w:rsidRPr="00C35060">
        <w:t>8</w:t>
      </w:r>
      <w:r w:rsidR="00C3091D" w:rsidRPr="00C35060">
        <w:t xml:space="preserve">  Subsection 30</w:t>
      </w:r>
      <w:r w:rsidR="00C35060">
        <w:noBreakHyphen/>
      </w:r>
      <w:r w:rsidR="00C3091D" w:rsidRPr="00C35060">
        <w:t>45(1) (table item 4.1.4)</w:t>
      </w:r>
    </w:p>
    <w:p w14:paraId="31196CE3" w14:textId="77777777" w:rsidR="00C3091D" w:rsidRPr="00C35060" w:rsidRDefault="00C3091D" w:rsidP="00C35060">
      <w:pPr>
        <w:pStyle w:val="Item"/>
      </w:pPr>
      <w:r w:rsidRPr="00C35060">
        <w:t>Repeal the item, substitute:</w:t>
      </w:r>
    </w:p>
    <w:tbl>
      <w:tblPr>
        <w:tblW w:w="7356" w:type="dxa"/>
        <w:tblInd w:w="-19" w:type="dxa"/>
        <w:tblLayout w:type="fixed"/>
        <w:tblCellMar>
          <w:left w:w="107" w:type="dxa"/>
          <w:right w:w="107" w:type="dxa"/>
        </w:tblCellMar>
        <w:tblLook w:val="0000" w:firstRow="0" w:lastRow="0" w:firstColumn="0" w:lastColumn="0" w:noHBand="0" w:noVBand="0"/>
      </w:tblPr>
      <w:tblGrid>
        <w:gridCol w:w="714"/>
        <w:gridCol w:w="2450"/>
        <w:gridCol w:w="2065"/>
        <w:gridCol w:w="2127"/>
      </w:tblGrid>
      <w:tr w:rsidR="00C3091D" w:rsidRPr="00C35060" w14:paraId="336F0A42" w14:textId="77777777" w:rsidTr="00D13E02">
        <w:tc>
          <w:tcPr>
            <w:tcW w:w="714" w:type="dxa"/>
            <w:shd w:val="clear" w:color="auto" w:fill="auto"/>
          </w:tcPr>
          <w:p w14:paraId="37730088" w14:textId="77777777" w:rsidR="00C3091D" w:rsidRPr="00C35060" w:rsidRDefault="00C3091D" w:rsidP="00C35060">
            <w:pPr>
              <w:pStyle w:val="Tabletext"/>
            </w:pPr>
            <w:r w:rsidRPr="00C35060">
              <w:t>4.1.4</w:t>
            </w:r>
          </w:p>
        </w:tc>
        <w:tc>
          <w:tcPr>
            <w:tcW w:w="2450" w:type="dxa"/>
            <w:shd w:val="clear" w:color="auto" w:fill="auto"/>
          </w:tcPr>
          <w:p w14:paraId="51E8207F" w14:textId="77777777" w:rsidR="00C3091D" w:rsidRPr="00C35060" w:rsidRDefault="00C3091D" w:rsidP="00C35060">
            <w:pPr>
              <w:pStyle w:val="Tabletext"/>
            </w:pPr>
            <w:r w:rsidRPr="00C35060">
              <w:t xml:space="preserve">an institution whose principal activity is the promotion of the prevention or the control of </w:t>
            </w:r>
            <w:r w:rsidR="00C35060" w:rsidRPr="00C35060">
              <w:rPr>
                <w:position w:val="6"/>
                <w:sz w:val="16"/>
              </w:rPr>
              <w:t>*</w:t>
            </w:r>
            <w:r w:rsidRPr="00C35060">
              <w:t>behaviour that is harmful or abusive to human beings</w:t>
            </w:r>
          </w:p>
        </w:tc>
        <w:tc>
          <w:tcPr>
            <w:tcW w:w="2065" w:type="dxa"/>
            <w:shd w:val="clear" w:color="auto" w:fill="auto"/>
          </w:tcPr>
          <w:p w14:paraId="51337FBA" w14:textId="77777777" w:rsidR="00C3091D" w:rsidRPr="00C35060" w:rsidRDefault="00C3091D" w:rsidP="00C35060">
            <w:pPr>
              <w:pStyle w:val="Tabletext"/>
            </w:pPr>
            <w:r w:rsidRPr="00C35060">
              <w:t>the institution must:</w:t>
            </w:r>
          </w:p>
          <w:p w14:paraId="3FB7E95F" w14:textId="77777777" w:rsidR="00C3091D" w:rsidRPr="00C35060" w:rsidRDefault="00C3091D" w:rsidP="00C35060">
            <w:pPr>
              <w:pStyle w:val="Tablea"/>
            </w:pPr>
            <w:r w:rsidRPr="00C35060">
              <w:t xml:space="preserve">(a) be a </w:t>
            </w:r>
            <w:r w:rsidR="00C35060" w:rsidRPr="00C35060">
              <w:rPr>
                <w:position w:val="6"/>
                <w:sz w:val="16"/>
              </w:rPr>
              <w:t>*</w:t>
            </w:r>
            <w:r w:rsidRPr="00C35060">
              <w:t>registered charity; and</w:t>
            </w:r>
          </w:p>
          <w:p w14:paraId="0D80C372" w14:textId="77777777" w:rsidR="00C3091D" w:rsidRPr="00C35060" w:rsidRDefault="00C3091D" w:rsidP="00C35060">
            <w:pPr>
              <w:pStyle w:val="Tablea"/>
            </w:pPr>
            <w:r w:rsidRPr="00C35060">
              <w:t>(b) meet the requirements of section 30</w:t>
            </w:r>
            <w:r w:rsidR="00C35060">
              <w:noBreakHyphen/>
            </w:r>
            <w:r w:rsidRPr="00C35060">
              <w:t>130; and</w:t>
            </w:r>
          </w:p>
          <w:p w14:paraId="1FD6AF67" w14:textId="77777777" w:rsidR="00C3091D" w:rsidRPr="00C35060" w:rsidRDefault="00C3091D" w:rsidP="00C35060">
            <w:pPr>
              <w:pStyle w:val="Tablea"/>
            </w:pPr>
            <w:r w:rsidRPr="00C35060">
              <w:t>(c) have a policy of not acting as a mere conduit for the donation of money or property to other organisations, bodies or persons</w:t>
            </w:r>
          </w:p>
        </w:tc>
        <w:tc>
          <w:tcPr>
            <w:tcW w:w="2127" w:type="dxa"/>
            <w:shd w:val="clear" w:color="auto" w:fill="auto"/>
          </w:tcPr>
          <w:p w14:paraId="0A13C4BC" w14:textId="77777777" w:rsidR="00C3091D" w:rsidRPr="00C35060" w:rsidRDefault="00C3091D" w:rsidP="00C35060">
            <w:pPr>
              <w:pStyle w:val="Tabletext"/>
            </w:pPr>
            <w:r w:rsidRPr="00C35060">
              <w:t>the gift must be received by the institution’s gift fund (mentioned in section 30</w:t>
            </w:r>
            <w:r w:rsidR="00C35060">
              <w:noBreakHyphen/>
            </w:r>
            <w:r w:rsidRPr="00C35060">
              <w:t>130)</w:t>
            </w:r>
          </w:p>
        </w:tc>
      </w:tr>
    </w:tbl>
    <w:p w14:paraId="45E95507" w14:textId="77777777" w:rsidR="00C3091D" w:rsidRPr="00C35060" w:rsidRDefault="00C81867" w:rsidP="00C35060">
      <w:pPr>
        <w:pStyle w:val="ItemHead"/>
      </w:pPr>
      <w:r w:rsidRPr="00C35060">
        <w:t>9</w:t>
      </w:r>
      <w:r w:rsidR="00C3091D" w:rsidRPr="00C35060">
        <w:t xml:space="preserve">  Subdivision 30</w:t>
      </w:r>
      <w:r w:rsidR="00C35060">
        <w:noBreakHyphen/>
      </w:r>
      <w:r w:rsidR="00C3091D" w:rsidRPr="00C35060">
        <w:t>EA</w:t>
      </w:r>
    </w:p>
    <w:p w14:paraId="236FB939" w14:textId="77777777" w:rsidR="00C3091D" w:rsidRPr="00C35060" w:rsidRDefault="00C3091D" w:rsidP="00C35060">
      <w:pPr>
        <w:pStyle w:val="Item"/>
      </w:pPr>
      <w:r w:rsidRPr="00C35060">
        <w:t>Repeal the Subdivision.</w:t>
      </w:r>
    </w:p>
    <w:p w14:paraId="102184B8" w14:textId="77777777" w:rsidR="00C3091D" w:rsidRPr="00C35060" w:rsidRDefault="00C81867" w:rsidP="00C35060">
      <w:pPr>
        <w:pStyle w:val="ItemHead"/>
      </w:pPr>
      <w:r w:rsidRPr="00C35060">
        <w:t>10</w:t>
      </w:r>
      <w:r w:rsidR="00C3091D" w:rsidRPr="00C35060">
        <w:t xml:space="preserve">  Section 995</w:t>
      </w:r>
      <w:r w:rsidR="00C35060">
        <w:noBreakHyphen/>
      </w:r>
      <w:r w:rsidR="00C3091D" w:rsidRPr="00C35060">
        <w:t xml:space="preserve">1 (definition of </w:t>
      </w:r>
      <w:r w:rsidR="00C3091D" w:rsidRPr="00C35060">
        <w:rPr>
          <w:i/>
        </w:rPr>
        <w:t>harm prevention charity</w:t>
      </w:r>
      <w:r w:rsidR="00C3091D" w:rsidRPr="00C35060">
        <w:t>)</w:t>
      </w:r>
    </w:p>
    <w:p w14:paraId="70ED457B" w14:textId="77777777" w:rsidR="00C3091D" w:rsidRPr="00C35060" w:rsidRDefault="00C3091D" w:rsidP="00C35060">
      <w:pPr>
        <w:pStyle w:val="Item"/>
      </w:pPr>
      <w:r w:rsidRPr="00C35060">
        <w:t>Repeal the definition.</w:t>
      </w:r>
    </w:p>
    <w:p w14:paraId="598F7A31" w14:textId="77777777" w:rsidR="00C3091D" w:rsidRPr="00C35060" w:rsidRDefault="00C81867" w:rsidP="00C35060">
      <w:pPr>
        <w:pStyle w:val="Transitional"/>
      </w:pPr>
      <w:r w:rsidRPr="00C35060">
        <w:t>11</w:t>
      </w:r>
      <w:r w:rsidR="00C3091D" w:rsidRPr="00C35060">
        <w:t xml:space="preserve">  Transitional</w:t>
      </w:r>
    </w:p>
    <w:p w14:paraId="704F830A" w14:textId="77777777" w:rsidR="00C3091D" w:rsidRPr="00C35060" w:rsidRDefault="00C3091D" w:rsidP="00C35060">
      <w:pPr>
        <w:pStyle w:val="SubitemHead"/>
      </w:pPr>
      <w:r w:rsidRPr="00C35060">
        <w:t xml:space="preserve">Harm prevention charities with </w:t>
      </w:r>
      <w:proofErr w:type="spellStart"/>
      <w:r w:rsidRPr="00C35060">
        <w:t>DGR</w:t>
      </w:r>
      <w:proofErr w:type="spellEnd"/>
      <w:r w:rsidRPr="00C35060">
        <w:t xml:space="preserve"> endorsement</w:t>
      </w:r>
    </w:p>
    <w:p w14:paraId="3562FD49" w14:textId="77777777" w:rsidR="00C3091D" w:rsidRPr="00C35060" w:rsidRDefault="00C3091D" w:rsidP="00C35060">
      <w:pPr>
        <w:pStyle w:val="Subitem"/>
      </w:pPr>
      <w:r w:rsidRPr="00C35060">
        <w:t>(1)</w:t>
      </w:r>
      <w:r w:rsidRPr="00C35060">
        <w:tab/>
        <w:t>Subitem (2) applies if, immediately before the commencement of this Part:</w:t>
      </w:r>
    </w:p>
    <w:p w14:paraId="319BADAA" w14:textId="77777777" w:rsidR="00C3091D" w:rsidRPr="00C35060" w:rsidRDefault="00C3091D" w:rsidP="00C35060">
      <w:pPr>
        <w:pStyle w:val="paragraph"/>
      </w:pPr>
      <w:r w:rsidRPr="00C35060">
        <w:tab/>
        <w:t>(a)</w:t>
      </w:r>
      <w:r w:rsidRPr="00C35060">
        <w:tab/>
        <w:t>an entity and the public fund it maintains are on the register of harm prevention charities mentioned in section 30</w:t>
      </w:r>
      <w:r w:rsidR="00C35060">
        <w:noBreakHyphen/>
      </w:r>
      <w:r w:rsidRPr="00C35060">
        <w:t xml:space="preserve">287 of the </w:t>
      </w:r>
      <w:r w:rsidRPr="00C35060">
        <w:rPr>
          <w:i/>
        </w:rPr>
        <w:t>Income Tax Assessment Act 1997</w:t>
      </w:r>
      <w:r w:rsidRPr="00C35060">
        <w:t>; and</w:t>
      </w:r>
    </w:p>
    <w:p w14:paraId="3C622BEC" w14:textId="77777777" w:rsidR="00C3091D" w:rsidRPr="00C35060" w:rsidRDefault="00C3091D" w:rsidP="00C35060">
      <w:pPr>
        <w:pStyle w:val="paragraph"/>
      </w:pPr>
      <w:r w:rsidRPr="00C35060">
        <w:tab/>
        <w:t>(b)</w:t>
      </w:r>
      <w:r w:rsidRPr="00C35060">
        <w:tab/>
        <w:t>the entity is endorsed as a deductible gift recipient for the operation of a fund, authority or institution under paragraph 30</w:t>
      </w:r>
      <w:r w:rsidR="00C35060">
        <w:noBreakHyphen/>
      </w:r>
      <w:r w:rsidRPr="00C35060">
        <w:t>120(b) of that Act in respect of the operation of the public fund; and</w:t>
      </w:r>
    </w:p>
    <w:p w14:paraId="1D3BDC6C" w14:textId="77777777" w:rsidR="00C3091D" w:rsidRPr="00C35060" w:rsidRDefault="00C3091D" w:rsidP="00C35060">
      <w:pPr>
        <w:pStyle w:val="paragraph"/>
      </w:pPr>
      <w:r w:rsidRPr="00C35060">
        <w:tab/>
        <w:t>(c)</w:t>
      </w:r>
      <w:r w:rsidRPr="00C35060">
        <w:tab/>
        <w:t xml:space="preserve">the entity has rules (the </w:t>
      </w:r>
      <w:r w:rsidRPr="00C35060">
        <w:rPr>
          <w:b/>
          <w:i/>
        </w:rPr>
        <w:t>winding up provisions</w:t>
      </w:r>
      <w:r w:rsidRPr="00C35060">
        <w:t>) providing that, if the public fund is wound up, any surplus assets of the public fund are to be transferred to another fund that is on the register, as required by subsection 30</w:t>
      </w:r>
      <w:r w:rsidR="00C35060">
        <w:noBreakHyphen/>
      </w:r>
      <w:r w:rsidRPr="00C35060">
        <w:t>289A(2) of that Act.</w:t>
      </w:r>
    </w:p>
    <w:p w14:paraId="1C83CCFD" w14:textId="77777777" w:rsidR="00C3091D" w:rsidRPr="00C35060" w:rsidRDefault="00C3091D" w:rsidP="00C35060">
      <w:pPr>
        <w:pStyle w:val="Subitem"/>
      </w:pPr>
      <w:r w:rsidRPr="00C35060">
        <w:t>(2)</w:t>
      </w:r>
      <w:r w:rsidRPr="00C35060">
        <w:tab/>
        <w:t>On and after the commencement of this Part:</w:t>
      </w:r>
    </w:p>
    <w:p w14:paraId="075BD0C4" w14:textId="77777777" w:rsidR="00C3091D" w:rsidRPr="00C35060" w:rsidRDefault="00C3091D" w:rsidP="00C35060">
      <w:pPr>
        <w:pStyle w:val="paragraph"/>
      </w:pPr>
      <w:r w:rsidRPr="00C35060">
        <w:tab/>
        <w:t>(a)</w:t>
      </w:r>
      <w:r w:rsidRPr="00C35060">
        <w:tab/>
        <w:t>treat the entity as being endorsed as a deductible gift recipient under paragraph 30</w:t>
      </w:r>
      <w:r w:rsidR="00C35060">
        <w:noBreakHyphen/>
      </w:r>
      <w:r w:rsidRPr="00C35060">
        <w:t xml:space="preserve">120(a) of the </w:t>
      </w:r>
      <w:r w:rsidRPr="00C35060">
        <w:rPr>
          <w:i/>
        </w:rPr>
        <w:t>Income Tax Assessment Act 1997</w:t>
      </w:r>
      <w:r w:rsidRPr="00C35060">
        <w:t xml:space="preserve"> based on item 4.1.4 of the table in subsection 30</w:t>
      </w:r>
      <w:r w:rsidR="00C35060">
        <w:noBreakHyphen/>
      </w:r>
      <w:r w:rsidRPr="00C35060">
        <w:t>45(1) of that Act; and</w:t>
      </w:r>
    </w:p>
    <w:p w14:paraId="6864B449"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 and</w:t>
      </w:r>
    </w:p>
    <w:p w14:paraId="7A65407D" w14:textId="77777777" w:rsidR="00C3091D" w:rsidRPr="00C35060" w:rsidRDefault="00C3091D" w:rsidP="00C35060">
      <w:pPr>
        <w:pStyle w:val="paragraph"/>
      </w:pPr>
      <w:r w:rsidRPr="00C35060">
        <w:tab/>
        <w:t>(c)</w:t>
      </w:r>
      <w:r w:rsidRPr="00C35060">
        <w:tab/>
        <w:t>treat the winding up provisions as providing that, if the public fund is wound up, any surplus assets of the public fund are to be transferred to a fund, authority or institution gifts to which can be deducted under Division 30 of that Act, unless or until the entity amends the winding up provisions.</w:t>
      </w:r>
    </w:p>
    <w:p w14:paraId="1967F1CD" w14:textId="77777777" w:rsidR="00C3091D" w:rsidRPr="00C35060" w:rsidRDefault="00C3091D" w:rsidP="00C35060">
      <w:pPr>
        <w:pStyle w:val="SubitemHead"/>
      </w:pPr>
      <w:r w:rsidRPr="00C35060">
        <w:t xml:space="preserve">Harm prevention charities seeking </w:t>
      </w:r>
      <w:proofErr w:type="spellStart"/>
      <w:r w:rsidRPr="00C35060">
        <w:t>DGR</w:t>
      </w:r>
      <w:proofErr w:type="spellEnd"/>
      <w:r w:rsidRPr="00C35060">
        <w:t xml:space="preserve"> endorsement</w:t>
      </w:r>
    </w:p>
    <w:p w14:paraId="43B3F8A6" w14:textId="77777777" w:rsidR="00C3091D" w:rsidRPr="00C35060" w:rsidRDefault="00C3091D" w:rsidP="00C35060">
      <w:pPr>
        <w:pStyle w:val="Subitem"/>
      </w:pPr>
      <w:r w:rsidRPr="00C35060">
        <w:t>(3)</w:t>
      </w:r>
      <w:r w:rsidRPr="00C35060">
        <w:tab/>
        <w:t>Subitem (4) applies if, immediately before the commencement of this Part:</w:t>
      </w:r>
    </w:p>
    <w:p w14:paraId="6A56D477" w14:textId="77777777" w:rsidR="00C3091D" w:rsidRPr="00C35060" w:rsidRDefault="00C3091D" w:rsidP="00C35060">
      <w:pPr>
        <w:pStyle w:val="paragraph"/>
      </w:pPr>
      <w:r w:rsidRPr="00C35060">
        <w:tab/>
        <w:t>(a)</w:t>
      </w:r>
      <w:r w:rsidRPr="00C35060">
        <w:tab/>
        <w:t>an entity and the public fund it maintains are on the register of harm prevention charities mentioned in section 30</w:t>
      </w:r>
      <w:r w:rsidR="00C35060">
        <w:noBreakHyphen/>
      </w:r>
      <w:r w:rsidRPr="00C35060">
        <w:t xml:space="preserve">287 of the </w:t>
      </w:r>
      <w:r w:rsidRPr="00C35060">
        <w:rPr>
          <w:i/>
        </w:rPr>
        <w:t>Income Tax Assessment Act 1997</w:t>
      </w:r>
      <w:r w:rsidRPr="00C35060">
        <w:t>; and</w:t>
      </w:r>
    </w:p>
    <w:p w14:paraId="2021C31B" w14:textId="77777777" w:rsidR="00C3091D" w:rsidRPr="00C35060" w:rsidRDefault="00C3091D" w:rsidP="00C35060">
      <w:pPr>
        <w:pStyle w:val="paragraph"/>
      </w:pPr>
      <w:r w:rsidRPr="00C35060">
        <w:tab/>
        <w:t>(b)</w:t>
      </w:r>
      <w:r w:rsidRPr="00C35060">
        <w:tab/>
        <w:t>the entity has applied under subsection 426</w:t>
      </w:r>
      <w:r w:rsidR="00C35060">
        <w:noBreakHyphen/>
      </w:r>
      <w:r w:rsidRPr="00C35060">
        <w:t xml:space="preserve">15(1) in Schedule 1 to the </w:t>
      </w:r>
      <w:r w:rsidRPr="00C35060">
        <w:rPr>
          <w:i/>
        </w:rPr>
        <w:t xml:space="preserve">Taxation Administration Act 1953 </w:t>
      </w:r>
      <w:r w:rsidRPr="00C35060">
        <w:t>for endorsement as a deductible gift recipient for the operation of a fund, authority or institution under paragraph 30</w:t>
      </w:r>
      <w:r w:rsidR="00C35060">
        <w:noBreakHyphen/>
      </w:r>
      <w:r w:rsidRPr="00C35060">
        <w:t xml:space="preserve">120(b) of the </w:t>
      </w:r>
      <w:r w:rsidRPr="00C35060">
        <w:rPr>
          <w:i/>
        </w:rPr>
        <w:t>Income Tax Assessment Act 1997</w:t>
      </w:r>
      <w:r w:rsidRPr="00C35060">
        <w:t xml:space="preserve"> in respect of the operation of the public fund; and</w:t>
      </w:r>
    </w:p>
    <w:p w14:paraId="4A46AF89" w14:textId="77777777" w:rsidR="00C3091D" w:rsidRPr="00C35060" w:rsidRDefault="00C3091D" w:rsidP="00C35060">
      <w:pPr>
        <w:pStyle w:val="paragraph"/>
      </w:pPr>
      <w:r w:rsidRPr="00C35060">
        <w:tab/>
        <w:t>(c)</w:t>
      </w:r>
      <w:r w:rsidRPr="00C35060">
        <w:tab/>
        <w:t>the Commissioner has not given the applicant written notice that the Commissioner endorses or refuses to endorse the applicant.</w:t>
      </w:r>
    </w:p>
    <w:p w14:paraId="14C8F49D" w14:textId="77777777" w:rsidR="00C3091D" w:rsidRPr="00C35060" w:rsidRDefault="00C3091D" w:rsidP="00C35060">
      <w:pPr>
        <w:pStyle w:val="Subitem"/>
      </w:pPr>
      <w:r w:rsidRPr="00C35060">
        <w:t>(4)</w:t>
      </w:r>
      <w:r w:rsidRPr="00C35060">
        <w:tab/>
        <w:t>On and after the commencement of this Part:</w:t>
      </w:r>
    </w:p>
    <w:p w14:paraId="7C5CD657" w14:textId="77777777" w:rsidR="00C3091D" w:rsidRPr="00C35060" w:rsidRDefault="00C3091D" w:rsidP="00C35060">
      <w:pPr>
        <w:pStyle w:val="paragraph"/>
      </w:pPr>
      <w:r w:rsidRPr="00C35060">
        <w:tab/>
        <w:t>(a)</w:t>
      </w:r>
      <w:r w:rsidRPr="00C35060">
        <w:tab/>
        <w:t>treat the application as an application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4.1.4 of the table in subsection 30</w:t>
      </w:r>
      <w:r w:rsidR="00C35060">
        <w:noBreakHyphen/>
      </w:r>
      <w:r w:rsidRPr="00C35060">
        <w:t>45(1) of that Act; and</w:t>
      </w:r>
    </w:p>
    <w:p w14:paraId="1097C75D"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w:t>
      </w:r>
    </w:p>
    <w:p w14:paraId="29C7E2B9" w14:textId="77777777" w:rsidR="00C3091D" w:rsidRPr="00C35060" w:rsidRDefault="00C3091D" w:rsidP="00C35060">
      <w:pPr>
        <w:pStyle w:val="SubitemHead"/>
      </w:pPr>
      <w:r w:rsidRPr="00C35060">
        <w:t>Entities seeking entry on the register of harm prevention charities</w:t>
      </w:r>
    </w:p>
    <w:p w14:paraId="7451A5ED" w14:textId="77777777" w:rsidR="00C3091D" w:rsidRPr="00C35060" w:rsidRDefault="00C3091D" w:rsidP="00C35060">
      <w:pPr>
        <w:pStyle w:val="Subitem"/>
      </w:pPr>
      <w:r w:rsidRPr="00C35060">
        <w:t>(5)</w:t>
      </w:r>
      <w:r w:rsidRPr="00C35060">
        <w:tab/>
        <w:t>Subitem (6) applies if, immediately before the commencement of this Part:</w:t>
      </w:r>
    </w:p>
    <w:p w14:paraId="7B576350" w14:textId="77777777" w:rsidR="00C3091D" w:rsidRPr="00C35060" w:rsidRDefault="00C3091D" w:rsidP="00C35060">
      <w:pPr>
        <w:pStyle w:val="paragraph"/>
      </w:pPr>
      <w:r w:rsidRPr="00C35060">
        <w:tab/>
        <w:t>(a)</w:t>
      </w:r>
      <w:r w:rsidRPr="00C35060">
        <w:tab/>
        <w:t>an entity has submitted a request (however described) to the department administered by the Families Minister seeking to be entered on the register of harm prevention charities mentioned in section 30</w:t>
      </w:r>
      <w:r w:rsidR="00C35060">
        <w:noBreakHyphen/>
      </w:r>
      <w:r w:rsidRPr="00C35060">
        <w:t xml:space="preserve">287 of the </w:t>
      </w:r>
      <w:r w:rsidRPr="00C35060">
        <w:rPr>
          <w:i/>
        </w:rPr>
        <w:t>Income Tax Assessment Act 1997</w:t>
      </w:r>
      <w:r w:rsidRPr="00C35060">
        <w:t>; and</w:t>
      </w:r>
    </w:p>
    <w:p w14:paraId="6289FBC1" w14:textId="77777777" w:rsidR="00C3091D" w:rsidRPr="00C35060" w:rsidRDefault="00C3091D" w:rsidP="00C35060">
      <w:pPr>
        <w:pStyle w:val="paragraph"/>
      </w:pPr>
      <w:r w:rsidRPr="00C35060">
        <w:tab/>
        <w:t>(b)</w:t>
      </w:r>
      <w:r w:rsidRPr="00C35060">
        <w:tab/>
        <w:t>the entity has not been notified by the department of the outcome of the request.</w:t>
      </w:r>
    </w:p>
    <w:p w14:paraId="628C1984" w14:textId="77777777" w:rsidR="00C3091D" w:rsidRPr="00C35060" w:rsidRDefault="00C3091D" w:rsidP="00C35060">
      <w:pPr>
        <w:pStyle w:val="Subitem"/>
      </w:pPr>
      <w:r w:rsidRPr="00C35060">
        <w:t>(6)</w:t>
      </w:r>
      <w:r w:rsidRPr="00C35060">
        <w:tab/>
        <w:t>On and after the commencement of this Part:</w:t>
      </w:r>
    </w:p>
    <w:p w14:paraId="33BBC734" w14:textId="77777777" w:rsidR="00C3091D" w:rsidRPr="00C35060" w:rsidRDefault="00C3091D" w:rsidP="00C35060">
      <w:pPr>
        <w:pStyle w:val="paragraph"/>
      </w:pPr>
      <w:r w:rsidRPr="00C35060">
        <w:tab/>
        <w:t>(a)</w:t>
      </w:r>
      <w:r w:rsidRPr="00C35060">
        <w:tab/>
        <w:t>treat the request as an application under subsection 426</w:t>
      </w:r>
      <w:r w:rsidR="00C35060">
        <w:noBreakHyphen/>
      </w:r>
      <w:r w:rsidRPr="00C35060">
        <w:t xml:space="preserve">15(1) in Schedule 1 to the </w:t>
      </w:r>
      <w:r w:rsidRPr="00C35060">
        <w:rPr>
          <w:i/>
        </w:rPr>
        <w:t xml:space="preserve">Taxation Administration Act 1953 </w:t>
      </w:r>
      <w:r w:rsidRPr="00C35060">
        <w:t>by the entity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4.1.4 of the table in subsection 30</w:t>
      </w:r>
      <w:r w:rsidR="00C35060">
        <w:noBreakHyphen/>
      </w:r>
      <w:r w:rsidRPr="00C35060">
        <w:t>45(1) of that Act; and</w:t>
      </w:r>
    </w:p>
    <w:p w14:paraId="45D5DF18" w14:textId="77777777" w:rsidR="00C3091D" w:rsidRPr="00C35060" w:rsidRDefault="00C3091D" w:rsidP="00C35060">
      <w:pPr>
        <w:pStyle w:val="paragraph"/>
      </w:pPr>
      <w:r w:rsidRPr="00C35060">
        <w:tab/>
        <w:t>(b)</w:t>
      </w:r>
      <w:r w:rsidRPr="00C35060">
        <w:tab/>
        <w:t>treat the application:</w:t>
      </w:r>
    </w:p>
    <w:p w14:paraId="38DC8751" w14:textId="77777777" w:rsidR="00C3091D" w:rsidRPr="00C35060" w:rsidRDefault="00C3091D" w:rsidP="00C35060">
      <w:pPr>
        <w:pStyle w:val="paragraphsub"/>
      </w:pPr>
      <w:r w:rsidRPr="00C35060">
        <w:tab/>
        <w:t>(</w:t>
      </w:r>
      <w:proofErr w:type="spellStart"/>
      <w:r w:rsidRPr="00C35060">
        <w:t>i</w:t>
      </w:r>
      <w:proofErr w:type="spellEnd"/>
      <w:r w:rsidRPr="00C35060">
        <w:t>)</w:t>
      </w:r>
      <w:r w:rsidRPr="00C35060">
        <w:tab/>
        <w:t>as having been made on the commencement of this Part; and</w:t>
      </w:r>
    </w:p>
    <w:p w14:paraId="7F4001F8" w14:textId="77777777" w:rsidR="00C3091D" w:rsidRPr="00C35060" w:rsidRDefault="00C3091D" w:rsidP="00C35060">
      <w:pPr>
        <w:pStyle w:val="paragraphsub"/>
      </w:pPr>
      <w:r w:rsidRPr="00C35060">
        <w:tab/>
        <w:t>(ii)</w:t>
      </w:r>
      <w:r w:rsidRPr="00C35060">
        <w:tab/>
        <w:t>as meeting the requirements set out in subsection 426</w:t>
      </w:r>
      <w:r w:rsidR="00C35060">
        <w:noBreakHyphen/>
      </w:r>
      <w:r w:rsidRPr="00C35060">
        <w:t xml:space="preserve">15(2) in Schedule 1 to the </w:t>
      </w:r>
      <w:r w:rsidRPr="00C35060">
        <w:rPr>
          <w:i/>
        </w:rPr>
        <w:t>Taxation Administration Act 1953</w:t>
      </w:r>
      <w:r w:rsidRPr="00C35060">
        <w:t>.</w:t>
      </w:r>
    </w:p>
    <w:p w14:paraId="5598753D" w14:textId="77777777" w:rsidR="00C3091D" w:rsidRPr="00C35060" w:rsidRDefault="00C3091D" w:rsidP="00C35060">
      <w:pPr>
        <w:pStyle w:val="ActHead7"/>
        <w:pageBreakBefore/>
      </w:pPr>
      <w:bookmarkStart w:id="28" w:name="_Toc138850324"/>
      <w:r w:rsidRPr="00DF1F24">
        <w:rPr>
          <w:rStyle w:val="CharAmPartNo"/>
        </w:rPr>
        <w:t>Part 3</w:t>
      </w:r>
      <w:r w:rsidRPr="00C35060">
        <w:t>—</w:t>
      </w:r>
      <w:r w:rsidRPr="00DF1F24">
        <w:rPr>
          <w:rStyle w:val="CharAmPartText"/>
        </w:rPr>
        <w:t>Cultural organisations</w:t>
      </w:r>
      <w:bookmarkEnd w:id="28"/>
    </w:p>
    <w:p w14:paraId="54D67F99" w14:textId="77777777" w:rsidR="00C3091D" w:rsidRPr="00C35060" w:rsidRDefault="00C3091D" w:rsidP="00C35060">
      <w:pPr>
        <w:pStyle w:val="ActHead9"/>
      </w:pPr>
      <w:bookmarkStart w:id="29" w:name="_Toc138850325"/>
      <w:r w:rsidRPr="00C35060">
        <w:t>Income Tax Assessment Act 1997</w:t>
      </w:r>
      <w:bookmarkEnd w:id="29"/>
    </w:p>
    <w:p w14:paraId="43E9F3A3" w14:textId="77777777" w:rsidR="00C3091D" w:rsidRPr="00C35060" w:rsidRDefault="00C81867" w:rsidP="00C35060">
      <w:pPr>
        <w:pStyle w:val="ItemHead"/>
      </w:pPr>
      <w:r w:rsidRPr="00C35060">
        <w:t>12</w:t>
      </w:r>
      <w:r w:rsidR="00C3091D" w:rsidRPr="00C35060">
        <w:t xml:space="preserve">  Subsection 30</w:t>
      </w:r>
      <w:r w:rsidR="00C35060">
        <w:noBreakHyphen/>
      </w:r>
      <w:r w:rsidR="00C3091D" w:rsidRPr="00C35060">
        <w:t>100(1) (table item 12.1.1)</w:t>
      </w:r>
    </w:p>
    <w:p w14:paraId="01349301" w14:textId="77777777" w:rsidR="00C3091D" w:rsidRPr="00C35060" w:rsidRDefault="00C3091D" w:rsidP="00C35060">
      <w:pPr>
        <w:pStyle w:val="Item"/>
      </w:pPr>
      <w:r w:rsidRPr="00C35060">
        <w:t>Repeal the item, substitute:</w:t>
      </w:r>
    </w:p>
    <w:tbl>
      <w:tblPr>
        <w:tblW w:w="7230" w:type="dxa"/>
        <w:tblInd w:w="107" w:type="dxa"/>
        <w:tblLayout w:type="fixed"/>
        <w:tblCellMar>
          <w:left w:w="107" w:type="dxa"/>
          <w:right w:w="107" w:type="dxa"/>
        </w:tblCellMar>
        <w:tblLook w:val="0000" w:firstRow="0" w:lastRow="0" w:firstColumn="0" w:lastColumn="0" w:noHBand="0" w:noVBand="0"/>
      </w:tblPr>
      <w:tblGrid>
        <w:gridCol w:w="851"/>
        <w:gridCol w:w="1893"/>
        <w:gridCol w:w="2926"/>
        <w:gridCol w:w="1560"/>
      </w:tblGrid>
      <w:tr w:rsidR="00C3091D" w:rsidRPr="00C35060" w14:paraId="43B3EB3C" w14:textId="77777777" w:rsidTr="00D13E02">
        <w:tc>
          <w:tcPr>
            <w:tcW w:w="851" w:type="dxa"/>
            <w:shd w:val="clear" w:color="auto" w:fill="auto"/>
          </w:tcPr>
          <w:p w14:paraId="58F83839" w14:textId="77777777" w:rsidR="00C3091D" w:rsidRPr="00C35060" w:rsidRDefault="00C3091D" w:rsidP="00C35060">
            <w:pPr>
              <w:pStyle w:val="Tabletext"/>
            </w:pPr>
            <w:r w:rsidRPr="00C35060">
              <w:t>12.1.1</w:t>
            </w:r>
          </w:p>
        </w:tc>
        <w:tc>
          <w:tcPr>
            <w:tcW w:w="1893" w:type="dxa"/>
            <w:shd w:val="clear" w:color="auto" w:fill="auto"/>
          </w:tcPr>
          <w:p w14:paraId="4591B8A7" w14:textId="77777777" w:rsidR="00C3091D" w:rsidRPr="00C35060" w:rsidRDefault="00C3091D" w:rsidP="00C35060">
            <w:pPr>
              <w:pStyle w:val="Tabletext"/>
            </w:pPr>
            <w:r w:rsidRPr="00C35060">
              <w:t xml:space="preserve">an institution or </w:t>
            </w:r>
            <w:r w:rsidR="00C35060" w:rsidRPr="00C35060">
              <w:rPr>
                <w:position w:val="6"/>
                <w:sz w:val="16"/>
              </w:rPr>
              <w:t>*</w:t>
            </w:r>
            <w:r w:rsidRPr="00C35060">
              <w:t xml:space="preserve">Australian government agency whose principal purpose is the promotion of literature, music, a performing art, a visual art, a craft, design, film, video, television, radio, community arts, arts or languages of </w:t>
            </w:r>
            <w:r w:rsidR="00C35060" w:rsidRPr="00C35060">
              <w:rPr>
                <w:position w:val="6"/>
                <w:sz w:val="16"/>
              </w:rPr>
              <w:t>*</w:t>
            </w:r>
            <w:r w:rsidRPr="00C35060">
              <w:t>Indigenous persons or movable cultural heritage</w:t>
            </w:r>
          </w:p>
        </w:tc>
        <w:tc>
          <w:tcPr>
            <w:tcW w:w="2926" w:type="dxa"/>
            <w:shd w:val="clear" w:color="auto" w:fill="auto"/>
          </w:tcPr>
          <w:p w14:paraId="0265AAB9" w14:textId="77777777" w:rsidR="00C3091D" w:rsidRPr="00C35060" w:rsidRDefault="00C3091D" w:rsidP="00C35060">
            <w:pPr>
              <w:pStyle w:val="Tabletext"/>
            </w:pPr>
            <w:r w:rsidRPr="00C35060">
              <w:t>the institution or Australian government agency must:</w:t>
            </w:r>
          </w:p>
          <w:p w14:paraId="11533CB3" w14:textId="77777777" w:rsidR="00C3091D" w:rsidRPr="00C35060" w:rsidRDefault="00C3091D" w:rsidP="00C35060">
            <w:pPr>
              <w:pStyle w:val="Tablea"/>
            </w:pPr>
            <w:r w:rsidRPr="00C35060">
              <w:t xml:space="preserve">(a) if it is not an Australian government agency—be a </w:t>
            </w:r>
            <w:r w:rsidR="00C35060" w:rsidRPr="00C35060">
              <w:rPr>
                <w:position w:val="6"/>
                <w:sz w:val="16"/>
              </w:rPr>
              <w:t>*</w:t>
            </w:r>
            <w:r w:rsidRPr="00C35060">
              <w:t>registered charity; and</w:t>
            </w:r>
          </w:p>
          <w:p w14:paraId="414C4911" w14:textId="77777777" w:rsidR="00C3091D" w:rsidRPr="00C35060" w:rsidRDefault="00C3091D" w:rsidP="00C35060">
            <w:pPr>
              <w:pStyle w:val="Tablea"/>
            </w:pPr>
            <w:r w:rsidRPr="00C35060">
              <w:t>(b) meet the requirements of section 30</w:t>
            </w:r>
            <w:r w:rsidR="00C35060">
              <w:noBreakHyphen/>
            </w:r>
            <w:r w:rsidRPr="00C35060">
              <w:t>130</w:t>
            </w:r>
          </w:p>
        </w:tc>
        <w:tc>
          <w:tcPr>
            <w:tcW w:w="1560" w:type="dxa"/>
            <w:shd w:val="clear" w:color="auto" w:fill="auto"/>
          </w:tcPr>
          <w:p w14:paraId="269BD7D6" w14:textId="77777777" w:rsidR="00C3091D" w:rsidRPr="00C35060" w:rsidRDefault="00C3091D" w:rsidP="00C35060">
            <w:pPr>
              <w:pStyle w:val="Tabletext"/>
            </w:pPr>
            <w:r w:rsidRPr="00C35060">
              <w:t>the gift must be received by the gift fund (mentioned in section 30</w:t>
            </w:r>
            <w:r w:rsidR="00C35060">
              <w:noBreakHyphen/>
            </w:r>
            <w:r w:rsidRPr="00C35060">
              <w:t>130) of the institution or Australian government agency</w:t>
            </w:r>
          </w:p>
        </w:tc>
      </w:tr>
    </w:tbl>
    <w:p w14:paraId="68542301" w14:textId="77777777" w:rsidR="00C3091D" w:rsidRPr="00C35060" w:rsidRDefault="00C81867" w:rsidP="00C35060">
      <w:pPr>
        <w:pStyle w:val="ItemHead"/>
      </w:pPr>
      <w:r w:rsidRPr="00C35060">
        <w:t>13</w:t>
      </w:r>
      <w:r w:rsidR="00C3091D" w:rsidRPr="00C35060">
        <w:t xml:space="preserve">  Subdivision 30</w:t>
      </w:r>
      <w:r w:rsidR="00C35060">
        <w:noBreakHyphen/>
      </w:r>
      <w:r w:rsidR="00C3091D" w:rsidRPr="00C35060">
        <w:t>F</w:t>
      </w:r>
    </w:p>
    <w:p w14:paraId="7ECFBEC4" w14:textId="77777777" w:rsidR="00C3091D" w:rsidRPr="00C35060" w:rsidRDefault="00C3091D" w:rsidP="00C35060">
      <w:pPr>
        <w:pStyle w:val="Item"/>
      </w:pPr>
      <w:r w:rsidRPr="00C35060">
        <w:t>Repeal the Subdivision.</w:t>
      </w:r>
    </w:p>
    <w:p w14:paraId="02D66A81" w14:textId="77777777" w:rsidR="00C3091D" w:rsidRPr="00C35060" w:rsidRDefault="00C81867" w:rsidP="00C35060">
      <w:pPr>
        <w:pStyle w:val="ItemHead"/>
      </w:pPr>
      <w:r w:rsidRPr="00C35060">
        <w:t>14</w:t>
      </w:r>
      <w:r w:rsidR="00C3091D" w:rsidRPr="00C35060">
        <w:t xml:space="preserve">  Subsection 30</w:t>
      </w:r>
      <w:r w:rsidR="00C35060">
        <w:noBreakHyphen/>
      </w:r>
      <w:r w:rsidR="00C3091D" w:rsidRPr="00C35060">
        <w:t>315(2) (table item 43)</w:t>
      </w:r>
    </w:p>
    <w:p w14:paraId="76C08FBB" w14:textId="77777777" w:rsidR="00C3091D" w:rsidRPr="00C35060" w:rsidRDefault="00C3091D" w:rsidP="00C35060">
      <w:pPr>
        <w:pStyle w:val="Item"/>
      </w:pPr>
      <w:r w:rsidRPr="00C35060">
        <w:t>Repeal the item.</w:t>
      </w:r>
    </w:p>
    <w:p w14:paraId="5456F3F8" w14:textId="77777777" w:rsidR="00C3091D" w:rsidRPr="00C35060" w:rsidRDefault="00C81867" w:rsidP="00C35060">
      <w:pPr>
        <w:pStyle w:val="ItemHead"/>
      </w:pPr>
      <w:r w:rsidRPr="00C35060">
        <w:t>15</w:t>
      </w:r>
      <w:r w:rsidR="00C3091D" w:rsidRPr="00C35060">
        <w:t xml:space="preserve">  Section 995</w:t>
      </w:r>
      <w:r w:rsidR="00C35060">
        <w:noBreakHyphen/>
      </w:r>
      <w:r w:rsidR="00C3091D" w:rsidRPr="00C35060">
        <w:t xml:space="preserve">1 (definition of </w:t>
      </w:r>
      <w:r w:rsidR="00C3091D" w:rsidRPr="00C35060">
        <w:rPr>
          <w:i/>
        </w:rPr>
        <w:t>cultural organisation</w:t>
      </w:r>
      <w:r w:rsidR="00C3091D" w:rsidRPr="00C35060">
        <w:t>)</w:t>
      </w:r>
    </w:p>
    <w:p w14:paraId="26DA4564" w14:textId="77777777" w:rsidR="00C3091D" w:rsidRPr="00C35060" w:rsidRDefault="00C3091D" w:rsidP="00C35060">
      <w:pPr>
        <w:pStyle w:val="Item"/>
      </w:pPr>
      <w:r w:rsidRPr="00C35060">
        <w:t>Repeal the definition.</w:t>
      </w:r>
    </w:p>
    <w:p w14:paraId="1EA4CE12" w14:textId="77777777" w:rsidR="00C3091D" w:rsidRPr="00C35060" w:rsidRDefault="00C81867" w:rsidP="00C35060">
      <w:pPr>
        <w:pStyle w:val="Transitional"/>
      </w:pPr>
      <w:r w:rsidRPr="00C35060">
        <w:t>16</w:t>
      </w:r>
      <w:r w:rsidR="00C3091D" w:rsidRPr="00C35060">
        <w:t xml:space="preserve">  Transitional</w:t>
      </w:r>
    </w:p>
    <w:p w14:paraId="3382399E" w14:textId="77777777" w:rsidR="00C3091D" w:rsidRPr="00C35060" w:rsidRDefault="00C3091D" w:rsidP="00C35060">
      <w:pPr>
        <w:pStyle w:val="SubitemHead"/>
      </w:pPr>
      <w:r w:rsidRPr="00C35060">
        <w:t xml:space="preserve">Cultural organisations with </w:t>
      </w:r>
      <w:proofErr w:type="spellStart"/>
      <w:r w:rsidRPr="00C35060">
        <w:t>DGR</w:t>
      </w:r>
      <w:proofErr w:type="spellEnd"/>
      <w:r w:rsidRPr="00C35060">
        <w:t xml:space="preserve"> endorsement</w:t>
      </w:r>
    </w:p>
    <w:p w14:paraId="25E93B44" w14:textId="77777777" w:rsidR="00C3091D" w:rsidRPr="00C35060" w:rsidRDefault="00C3091D" w:rsidP="00C35060">
      <w:pPr>
        <w:pStyle w:val="Subitem"/>
      </w:pPr>
      <w:r w:rsidRPr="00C35060">
        <w:t>(1)</w:t>
      </w:r>
      <w:r w:rsidRPr="00C35060">
        <w:tab/>
        <w:t>Subitem (2) applies if, immediately before the commencement of this Part:</w:t>
      </w:r>
    </w:p>
    <w:p w14:paraId="7F936382" w14:textId="77777777" w:rsidR="00C3091D" w:rsidRPr="00C35060" w:rsidRDefault="00C3091D" w:rsidP="00C35060">
      <w:pPr>
        <w:pStyle w:val="paragraph"/>
      </w:pPr>
      <w:r w:rsidRPr="00C35060">
        <w:tab/>
        <w:t>(a)</w:t>
      </w:r>
      <w:r w:rsidRPr="00C35060">
        <w:tab/>
        <w:t>an entity and the public fund it maintains are on the register of cultural organisations mentioned in section 30</w:t>
      </w:r>
      <w:r w:rsidR="00C35060">
        <w:noBreakHyphen/>
      </w:r>
      <w:r w:rsidRPr="00C35060">
        <w:t xml:space="preserve">295 of the </w:t>
      </w:r>
      <w:r w:rsidRPr="00C35060">
        <w:rPr>
          <w:i/>
        </w:rPr>
        <w:t>Income Tax Assessment Act 1997</w:t>
      </w:r>
      <w:r w:rsidRPr="00C35060">
        <w:t>; and</w:t>
      </w:r>
    </w:p>
    <w:p w14:paraId="545D8130" w14:textId="77777777" w:rsidR="00C3091D" w:rsidRPr="00C35060" w:rsidRDefault="00C3091D" w:rsidP="00C35060">
      <w:pPr>
        <w:pStyle w:val="paragraph"/>
      </w:pPr>
      <w:r w:rsidRPr="00C35060">
        <w:tab/>
        <w:t>(b)</w:t>
      </w:r>
      <w:r w:rsidRPr="00C35060">
        <w:tab/>
        <w:t>the entity is endorsed as a deductible gift recipient for the operation of a fund, authority or institution under paragraph 30</w:t>
      </w:r>
      <w:r w:rsidR="00C35060">
        <w:noBreakHyphen/>
      </w:r>
      <w:r w:rsidRPr="00C35060">
        <w:t>120(b) of that Act in respect of the operation of the public fund.</w:t>
      </w:r>
    </w:p>
    <w:p w14:paraId="2231FE28" w14:textId="77777777" w:rsidR="00C3091D" w:rsidRPr="00C35060" w:rsidRDefault="00C3091D" w:rsidP="00C35060">
      <w:pPr>
        <w:pStyle w:val="Subitem"/>
      </w:pPr>
      <w:r w:rsidRPr="00C35060">
        <w:t>(2)</w:t>
      </w:r>
      <w:r w:rsidRPr="00C35060">
        <w:tab/>
        <w:t>On and after the commencement of this Part:</w:t>
      </w:r>
    </w:p>
    <w:p w14:paraId="72F017B3" w14:textId="77777777" w:rsidR="00C3091D" w:rsidRPr="00C35060" w:rsidRDefault="00C3091D" w:rsidP="00C35060">
      <w:pPr>
        <w:pStyle w:val="paragraph"/>
      </w:pPr>
      <w:r w:rsidRPr="00C35060">
        <w:tab/>
        <w:t>(a)</w:t>
      </w:r>
      <w:r w:rsidRPr="00C35060">
        <w:tab/>
        <w:t>treat the entity as being endorsed as a deductible gift recipient under paragraph 30</w:t>
      </w:r>
      <w:r w:rsidR="00C35060">
        <w:noBreakHyphen/>
      </w:r>
      <w:r w:rsidRPr="00C35060">
        <w:t xml:space="preserve">120(a) of the </w:t>
      </w:r>
      <w:r w:rsidRPr="00C35060">
        <w:rPr>
          <w:i/>
        </w:rPr>
        <w:t>Income Tax Assessment Act 1997</w:t>
      </w:r>
      <w:r w:rsidRPr="00C35060">
        <w:t xml:space="preserve"> based on item 12.1.1 of the table in subsection 30</w:t>
      </w:r>
      <w:r w:rsidR="00C35060">
        <w:noBreakHyphen/>
      </w:r>
      <w:r w:rsidRPr="00C35060">
        <w:t>100(1) of that Act; and</w:t>
      </w:r>
    </w:p>
    <w:p w14:paraId="7FCA1FB1"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w:t>
      </w:r>
    </w:p>
    <w:p w14:paraId="082EB846" w14:textId="77777777" w:rsidR="00C3091D" w:rsidRPr="00C35060" w:rsidRDefault="00C3091D" w:rsidP="00C35060">
      <w:pPr>
        <w:pStyle w:val="SubitemHead"/>
      </w:pPr>
      <w:r w:rsidRPr="00C35060">
        <w:t xml:space="preserve">Cultural organisations seeking </w:t>
      </w:r>
      <w:proofErr w:type="spellStart"/>
      <w:r w:rsidRPr="00C35060">
        <w:t>DGR</w:t>
      </w:r>
      <w:proofErr w:type="spellEnd"/>
      <w:r w:rsidRPr="00C35060">
        <w:t xml:space="preserve"> endorsement</w:t>
      </w:r>
    </w:p>
    <w:p w14:paraId="0360095C" w14:textId="77777777" w:rsidR="00C3091D" w:rsidRPr="00C35060" w:rsidRDefault="00C3091D" w:rsidP="00C35060">
      <w:pPr>
        <w:pStyle w:val="Subitem"/>
      </w:pPr>
      <w:r w:rsidRPr="00C35060">
        <w:t>(3)</w:t>
      </w:r>
      <w:r w:rsidRPr="00C35060">
        <w:tab/>
        <w:t>Subitem (4) applies if, immediately before the commencement of this Part:</w:t>
      </w:r>
    </w:p>
    <w:p w14:paraId="1653BD2E" w14:textId="77777777" w:rsidR="00C3091D" w:rsidRPr="00C35060" w:rsidRDefault="00C3091D" w:rsidP="00C35060">
      <w:pPr>
        <w:pStyle w:val="paragraph"/>
      </w:pPr>
      <w:r w:rsidRPr="00C35060">
        <w:tab/>
        <w:t>(a)</w:t>
      </w:r>
      <w:r w:rsidRPr="00C35060">
        <w:tab/>
        <w:t>an entity and the public fund it maintains are on the register of cultural organisations mentioned in section 30</w:t>
      </w:r>
      <w:r w:rsidR="00C35060">
        <w:noBreakHyphen/>
      </w:r>
      <w:r w:rsidRPr="00C35060">
        <w:t xml:space="preserve">295 of the </w:t>
      </w:r>
      <w:r w:rsidRPr="00C35060">
        <w:rPr>
          <w:i/>
        </w:rPr>
        <w:t>Income Tax Assessment Act 1997</w:t>
      </w:r>
      <w:r w:rsidRPr="00C35060">
        <w:t>; and</w:t>
      </w:r>
    </w:p>
    <w:p w14:paraId="258D4E60" w14:textId="77777777" w:rsidR="00C3091D" w:rsidRPr="00C35060" w:rsidRDefault="00C3091D" w:rsidP="00C35060">
      <w:pPr>
        <w:pStyle w:val="paragraph"/>
      </w:pPr>
      <w:r w:rsidRPr="00C35060">
        <w:tab/>
        <w:t>(b)</w:t>
      </w:r>
      <w:r w:rsidRPr="00C35060">
        <w:tab/>
        <w:t>the entity has applied under subsection 426</w:t>
      </w:r>
      <w:r w:rsidR="00C35060">
        <w:noBreakHyphen/>
      </w:r>
      <w:r w:rsidRPr="00C35060">
        <w:t xml:space="preserve">15(1) in Schedule 1 to the </w:t>
      </w:r>
      <w:r w:rsidRPr="00C35060">
        <w:rPr>
          <w:i/>
        </w:rPr>
        <w:t xml:space="preserve">Taxation Administration Act 1953 </w:t>
      </w:r>
      <w:r w:rsidRPr="00C35060">
        <w:t>for endorsement as a deductible gift recipient for the operation of a fund, authority or institution under paragraph 30</w:t>
      </w:r>
      <w:r w:rsidR="00C35060">
        <w:noBreakHyphen/>
      </w:r>
      <w:r w:rsidRPr="00C35060">
        <w:t xml:space="preserve">120(b) of the </w:t>
      </w:r>
      <w:r w:rsidRPr="00C35060">
        <w:rPr>
          <w:i/>
        </w:rPr>
        <w:t>Income Tax Assessment Act 1997</w:t>
      </w:r>
      <w:r w:rsidRPr="00C35060">
        <w:t xml:space="preserve"> in respect of the operation of the public fund; and</w:t>
      </w:r>
    </w:p>
    <w:p w14:paraId="39048959" w14:textId="77777777" w:rsidR="00C3091D" w:rsidRPr="00C35060" w:rsidRDefault="00C3091D" w:rsidP="00C35060">
      <w:pPr>
        <w:pStyle w:val="paragraph"/>
      </w:pPr>
      <w:r w:rsidRPr="00C35060">
        <w:tab/>
        <w:t>(c)</w:t>
      </w:r>
      <w:r w:rsidRPr="00C35060">
        <w:tab/>
        <w:t>the Commissioner has not given the applicant written notice that the Commissioner endorses or refuses to endorse the applicant.</w:t>
      </w:r>
    </w:p>
    <w:p w14:paraId="7E15F851" w14:textId="77777777" w:rsidR="00C3091D" w:rsidRPr="00C35060" w:rsidRDefault="00C3091D" w:rsidP="00C35060">
      <w:pPr>
        <w:pStyle w:val="Subitem"/>
      </w:pPr>
      <w:r w:rsidRPr="00C35060">
        <w:t>(4)</w:t>
      </w:r>
      <w:r w:rsidRPr="00C35060">
        <w:tab/>
        <w:t>On and after the commencement of this Part:</w:t>
      </w:r>
    </w:p>
    <w:p w14:paraId="2BE4253A" w14:textId="77777777" w:rsidR="00C3091D" w:rsidRPr="00C35060" w:rsidRDefault="00C3091D" w:rsidP="00C35060">
      <w:pPr>
        <w:pStyle w:val="paragraph"/>
      </w:pPr>
      <w:r w:rsidRPr="00C35060">
        <w:tab/>
        <w:t>(a)</w:t>
      </w:r>
      <w:r w:rsidRPr="00C35060">
        <w:tab/>
        <w:t>treat the application as an application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12.1.1 of the table in subsection 30</w:t>
      </w:r>
      <w:r w:rsidR="00C35060">
        <w:noBreakHyphen/>
      </w:r>
      <w:r w:rsidRPr="00C35060">
        <w:t>100(1) of that Act; and</w:t>
      </w:r>
    </w:p>
    <w:p w14:paraId="6A74E7D4"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w:t>
      </w:r>
    </w:p>
    <w:p w14:paraId="21EE8DFA" w14:textId="77777777" w:rsidR="00C3091D" w:rsidRPr="00C35060" w:rsidRDefault="00C3091D" w:rsidP="00C35060">
      <w:pPr>
        <w:pStyle w:val="SubitemHead"/>
      </w:pPr>
      <w:r w:rsidRPr="00C35060">
        <w:t>Entities seeking entry on the register of cultural organisations</w:t>
      </w:r>
    </w:p>
    <w:p w14:paraId="57C9811E" w14:textId="77777777" w:rsidR="00C3091D" w:rsidRPr="00C35060" w:rsidRDefault="00C3091D" w:rsidP="00C35060">
      <w:pPr>
        <w:pStyle w:val="Subitem"/>
      </w:pPr>
      <w:r w:rsidRPr="00C35060">
        <w:t>(5)</w:t>
      </w:r>
      <w:r w:rsidRPr="00C35060">
        <w:tab/>
        <w:t>Subitem (6) applies if, immediately before the commencement of this Part:</w:t>
      </w:r>
    </w:p>
    <w:p w14:paraId="686B38CF" w14:textId="77777777" w:rsidR="00C3091D" w:rsidRPr="00C35060" w:rsidRDefault="00C3091D" w:rsidP="00C35060">
      <w:pPr>
        <w:pStyle w:val="paragraph"/>
      </w:pPr>
      <w:r w:rsidRPr="00C35060">
        <w:tab/>
        <w:t>(a)</w:t>
      </w:r>
      <w:r w:rsidRPr="00C35060">
        <w:tab/>
        <w:t>an entity has submitted a request (however described) to the department administered by the Arts Minister seeking to be entered on the register of cultural organisations mentioned in section 30</w:t>
      </w:r>
      <w:r w:rsidR="00C35060">
        <w:noBreakHyphen/>
      </w:r>
      <w:r w:rsidRPr="00C35060">
        <w:t xml:space="preserve">295 of the </w:t>
      </w:r>
      <w:r w:rsidRPr="00C35060">
        <w:rPr>
          <w:i/>
        </w:rPr>
        <w:t>Income Tax Assessment Act 1997</w:t>
      </w:r>
      <w:r w:rsidRPr="00C35060">
        <w:t>; and</w:t>
      </w:r>
    </w:p>
    <w:p w14:paraId="746F4007" w14:textId="77777777" w:rsidR="00C3091D" w:rsidRPr="00C35060" w:rsidRDefault="00C3091D" w:rsidP="00C35060">
      <w:pPr>
        <w:pStyle w:val="paragraph"/>
      </w:pPr>
      <w:r w:rsidRPr="00C35060">
        <w:tab/>
        <w:t>(b)</w:t>
      </w:r>
      <w:r w:rsidRPr="00C35060">
        <w:tab/>
        <w:t>the entity has not been notified by the department of the outcome of the request.</w:t>
      </w:r>
    </w:p>
    <w:p w14:paraId="6AF83CC9" w14:textId="77777777" w:rsidR="00C3091D" w:rsidRPr="00C35060" w:rsidRDefault="00C3091D" w:rsidP="00C35060">
      <w:pPr>
        <w:pStyle w:val="Subitem"/>
      </w:pPr>
      <w:r w:rsidRPr="00C35060">
        <w:t>(6)</w:t>
      </w:r>
      <w:r w:rsidRPr="00C35060">
        <w:tab/>
        <w:t>On and after the commencement of this Part:</w:t>
      </w:r>
    </w:p>
    <w:p w14:paraId="5040C8C1" w14:textId="77777777" w:rsidR="00C3091D" w:rsidRPr="00C35060" w:rsidRDefault="00C3091D" w:rsidP="00C35060">
      <w:pPr>
        <w:pStyle w:val="paragraph"/>
      </w:pPr>
      <w:r w:rsidRPr="00C35060">
        <w:tab/>
        <w:t>(a)</w:t>
      </w:r>
      <w:r w:rsidRPr="00C35060">
        <w:tab/>
        <w:t>treat the request as an application under subsection 426</w:t>
      </w:r>
      <w:r w:rsidR="00C35060">
        <w:noBreakHyphen/>
      </w:r>
      <w:r w:rsidRPr="00C35060">
        <w:t xml:space="preserve">15(1) in Schedule 1 to the </w:t>
      </w:r>
      <w:r w:rsidRPr="00C35060">
        <w:rPr>
          <w:i/>
        </w:rPr>
        <w:t xml:space="preserve">Taxation Administration Act 1953 </w:t>
      </w:r>
      <w:r w:rsidRPr="00C35060">
        <w:t>by the entity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12.1.1 of the table in subsection 30</w:t>
      </w:r>
      <w:r w:rsidR="00C35060">
        <w:noBreakHyphen/>
      </w:r>
      <w:r w:rsidRPr="00C35060">
        <w:t>100(1) of that Act; and</w:t>
      </w:r>
    </w:p>
    <w:p w14:paraId="606276F1" w14:textId="77777777" w:rsidR="00C3091D" w:rsidRPr="00C35060" w:rsidRDefault="00C3091D" w:rsidP="00C35060">
      <w:pPr>
        <w:pStyle w:val="paragraph"/>
      </w:pPr>
      <w:r w:rsidRPr="00C35060">
        <w:tab/>
        <w:t>(b)</w:t>
      </w:r>
      <w:r w:rsidRPr="00C35060">
        <w:tab/>
        <w:t>treat the application:</w:t>
      </w:r>
    </w:p>
    <w:p w14:paraId="3C79EBCB" w14:textId="77777777" w:rsidR="00C3091D" w:rsidRPr="00C35060" w:rsidRDefault="00C3091D" w:rsidP="00C35060">
      <w:pPr>
        <w:pStyle w:val="paragraphsub"/>
      </w:pPr>
      <w:r w:rsidRPr="00C35060">
        <w:tab/>
        <w:t>(</w:t>
      </w:r>
      <w:proofErr w:type="spellStart"/>
      <w:r w:rsidRPr="00C35060">
        <w:t>i</w:t>
      </w:r>
      <w:proofErr w:type="spellEnd"/>
      <w:r w:rsidRPr="00C35060">
        <w:t>)</w:t>
      </w:r>
      <w:r w:rsidRPr="00C35060">
        <w:tab/>
        <w:t>as having been made on the commencement of this Part; and</w:t>
      </w:r>
    </w:p>
    <w:p w14:paraId="2C57A855" w14:textId="77777777" w:rsidR="00C3091D" w:rsidRPr="00C35060" w:rsidRDefault="00C3091D" w:rsidP="00C35060">
      <w:pPr>
        <w:pStyle w:val="paragraphsub"/>
      </w:pPr>
      <w:r w:rsidRPr="00C35060">
        <w:tab/>
        <w:t>(ii)</w:t>
      </w:r>
      <w:r w:rsidRPr="00C35060">
        <w:tab/>
        <w:t>as meeting the requirements set out in subsection 426</w:t>
      </w:r>
      <w:r w:rsidR="00C35060">
        <w:noBreakHyphen/>
      </w:r>
      <w:r w:rsidRPr="00C35060">
        <w:t xml:space="preserve">15(2) in Schedule 1 to the </w:t>
      </w:r>
      <w:r w:rsidRPr="00C35060">
        <w:rPr>
          <w:i/>
        </w:rPr>
        <w:t>Taxation Administration Act 1953</w:t>
      </w:r>
      <w:r w:rsidRPr="00C35060">
        <w:t>.</w:t>
      </w:r>
    </w:p>
    <w:p w14:paraId="39E199B3" w14:textId="77777777" w:rsidR="00C3091D" w:rsidRPr="00C35060" w:rsidRDefault="00C3091D" w:rsidP="00C35060">
      <w:pPr>
        <w:pStyle w:val="ActHead7"/>
        <w:pageBreakBefore/>
      </w:pPr>
      <w:bookmarkStart w:id="30" w:name="_Toc138850326"/>
      <w:r w:rsidRPr="00DF1F24">
        <w:rPr>
          <w:rStyle w:val="CharAmPartNo"/>
        </w:rPr>
        <w:t>Part 4</w:t>
      </w:r>
      <w:r w:rsidRPr="00C35060">
        <w:t>—</w:t>
      </w:r>
      <w:r w:rsidRPr="00DF1F24">
        <w:rPr>
          <w:rStyle w:val="CharAmPartText"/>
        </w:rPr>
        <w:t>Overseas aid</w:t>
      </w:r>
      <w:bookmarkEnd w:id="30"/>
    </w:p>
    <w:p w14:paraId="1ED2332F" w14:textId="77777777" w:rsidR="00C3091D" w:rsidRPr="00C35060" w:rsidRDefault="00C3091D" w:rsidP="00C35060">
      <w:pPr>
        <w:pStyle w:val="ActHead9"/>
      </w:pPr>
      <w:bookmarkStart w:id="31" w:name="_Toc138850327"/>
      <w:r w:rsidRPr="00C35060">
        <w:t>Income Tax Assessment Act 1997</w:t>
      </w:r>
      <w:bookmarkEnd w:id="31"/>
    </w:p>
    <w:p w14:paraId="01024CAC" w14:textId="77777777" w:rsidR="00C3091D" w:rsidRPr="00C35060" w:rsidRDefault="00C81867" w:rsidP="00C35060">
      <w:pPr>
        <w:pStyle w:val="ItemHead"/>
      </w:pPr>
      <w:r w:rsidRPr="00C35060">
        <w:t>17</w:t>
      </w:r>
      <w:r w:rsidR="00C3091D" w:rsidRPr="00C35060">
        <w:t xml:space="preserve">  Subsection 30</w:t>
      </w:r>
      <w:r w:rsidR="00C35060">
        <w:noBreakHyphen/>
      </w:r>
      <w:r w:rsidR="00C3091D" w:rsidRPr="00C35060">
        <w:t>80(1) (table item 9.1.1)</w:t>
      </w:r>
    </w:p>
    <w:p w14:paraId="5044179C" w14:textId="77777777" w:rsidR="00C3091D" w:rsidRPr="00C35060" w:rsidRDefault="00C3091D" w:rsidP="00C35060">
      <w:pPr>
        <w:pStyle w:val="Item"/>
      </w:pPr>
      <w:r w:rsidRPr="00C35060">
        <w:t>Repeal the item, substitute:</w:t>
      </w:r>
    </w:p>
    <w:tbl>
      <w:tblPr>
        <w:tblW w:w="7328" w:type="dxa"/>
        <w:tblInd w:w="9" w:type="dxa"/>
        <w:tblLayout w:type="fixed"/>
        <w:tblCellMar>
          <w:left w:w="107" w:type="dxa"/>
          <w:right w:w="107" w:type="dxa"/>
        </w:tblCellMar>
        <w:tblLook w:val="0000" w:firstRow="0" w:lastRow="0" w:firstColumn="0" w:lastColumn="0" w:noHBand="0" w:noVBand="0"/>
      </w:tblPr>
      <w:tblGrid>
        <w:gridCol w:w="700"/>
        <w:gridCol w:w="2576"/>
        <w:gridCol w:w="2170"/>
        <w:gridCol w:w="1882"/>
      </w:tblGrid>
      <w:tr w:rsidR="00C3091D" w:rsidRPr="00C35060" w14:paraId="3B67CC03" w14:textId="77777777" w:rsidTr="00D13E02">
        <w:tc>
          <w:tcPr>
            <w:tcW w:w="700" w:type="dxa"/>
            <w:shd w:val="clear" w:color="auto" w:fill="auto"/>
          </w:tcPr>
          <w:p w14:paraId="5F4A8D32" w14:textId="77777777" w:rsidR="00C3091D" w:rsidRPr="00C35060" w:rsidRDefault="00C3091D" w:rsidP="00C35060">
            <w:pPr>
              <w:pStyle w:val="Tabletext"/>
            </w:pPr>
            <w:r w:rsidRPr="00C35060">
              <w:t>9.1.1</w:t>
            </w:r>
          </w:p>
        </w:tc>
        <w:tc>
          <w:tcPr>
            <w:tcW w:w="2576" w:type="dxa"/>
            <w:shd w:val="clear" w:color="auto" w:fill="auto"/>
          </w:tcPr>
          <w:p w14:paraId="4A178E15" w14:textId="77777777" w:rsidR="00C3091D" w:rsidRPr="00C35060" w:rsidRDefault="00C3091D" w:rsidP="00C35060">
            <w:pPr>
              <w:pStyle w:val="Tabletext"/>
            </w:pPr>
            <w:r w:rsidRPr="00C35060">
              <w:t xml:space="preserve">a public fund, institution or </w:t>
            </w:r>
            <w:r w:rsidR="00C35060" w:rsidRPr="00C35060">
              <w:rPr>
                <w:position w:val="6"/>
                <w:sz w:val="16"/>
              </w:rPr>
              <w:t>*</w:t>
            </w:r>
            <w:r w:rsidRPr="00C35060">
              <w:t>Australian government agency whose principal purpose is delivering development or humanitarian assistance activities (or both):</w:t>
            </w:r>
          </w:p>
          <w:p w14:paraId="04B28A15" w14:textId="77777777" w:rsidR="00C3091D" w:rsidRPr="00C35060" w:rsidRDefault="00C3091D" w:rsidP="00C35060">
            <w:pPr>
              <w:pStyle w:val="Tablea"/>
            </w:pPr>
            <w:r w:rsidRPr="00C35060">
              <w:t>(a) in a country covered by section 30</w:t>
            </w:r>
            <w:r w:rsidR="00C35060">
              <w:noBreakHyphen/>
            </w:r>
            <w:r w:rsidRPr="00C35060">
              <w:t>85; and</w:t>
            </w:r>
          </w:p>
          <w:p w14:paraId="506801EC" w14:textId="77777777" w:rsidR="00C3091D" w:rsidRPr="00C35060" w:rsidRDefault="00C3091D" w:rsidP="00C35060">
            <w:pPr>
              <w:pStyle w:val="Tablea"/>
            </w:pPr>
            <w:r w:rsidRPr="00C35060">
              <w:t>(b) in partnership with entities in the country, based on principles of cooperation, mutual respect and shared accountability</w:t>
            </w:r>
          </w:p>
        </w:tc>
        <w:tc>
          <w:tcPr>
            <w:tcW w:w="2170" w:type="dxa"/>
            <w:shd w:val="clear" w:color="auto" w:fill="auto"/>
          </w:tcPr>
          <w:p w14:paraId="411EA0B6" w14:textId="77777777" w:rsidR="00C3091D" w:rsidRPr="00C35060" w:rsidRDefault="00C3091D" w:rsidP="00C35060">
            <w:pPr>
              <w:pStyle w:val="Tabletext"/>
            </w:pPr>
            <w:r w:rsidRPr="00C35060">
              <w:t>the public fund, institution or Australian government agency must:</w:t>
            </w:r>
          </w:p>
          <w:p w14:paraId="4F08481F" w14:textId="77777777" w:rsidR="00C3091D" w:rsidRPr="00C35060" w:rsidRDefault="00C3091D" w:rsidP="00C35060">
            <w:pPr>
              <w:pStyle w:val="Tablea"/>
            </w:pPr>
            <w:r w:rsidRPr="00C35060">
              <w:t xml:space="preserve">(a) if it is a public fund—be operated by a </w:t>
            </w:r>
            <w:r w:rsidR="00C35060" w:rsidRPr="00C35060">
              <w:rPr>
                <w:position w:val="6"/>
                <w:sz w:val="16"/>
              </w:rPr>
              <w:t>*</w:t>
            </w:r>
            <w:r w:rsidRPr="00C35060">
              <w:t>registered charity; and</w:t>
            </w:r>
          </w:p>
          <w:p w14:paraId="0BC3BD95" w14:textId="77777777" w:rsidR="00C3091D" w:rsidRPr="00C35060" w:rsidRDefault="00C3091D" w:rsidP="00C35060">
            <w:pPr>
              <w:pStyle w:val="Tablea"/>
            </w:pPr>
            <w:r w:rsidRPr="00C35060">
              <w:t>(b) if it is an institution—be a registered charity; and</w:t>
            </w:r>
          </w:p>
          <w:p w14:paraId="6F4CBB51" w14:textId="77777777" w:rsidR="00C3091D" w:rsidRPr="00C35060" w:rsidRDefault="00C3091D" w:rsidP="00C35060">
            <w:pPr>
              <w:pStyle w:val="Tablea"/>
            </w:pPr>
            <w:r w:rsidRPr="00C35060">
              <w:t>(c) if it is not a public fund—meet the requirements of section 30</w:t>
            </w:r>
            <w:r w:rsidR="00C35060">
              <w:noBreakHyphen/>
            </w:r>
            <w:r w:rsidRPr="00C35060">
              <w:t>130</w:t>
            </w:r>
          </w:p>
        </w:tc>
        <w:tc>
          <w:tcPr>
            <w:tcW w:w="1882" w:type="dxa"/>
            <w:shd w:val="clear" w:color="auto" w:fill="auto"/>
          </w:tcPr>
          <w:p w14:paraId="6DBB097C" w14:textId="77777777" w:rsidR="00C3091D" w:rsidRPr="00C35060" w:rsidRDefault="00C3091D" w:rsidP="00C35060">
            <w:pPr>
              <w:pStyle w:val="Tabletext"/>
            </w:pPr>
            <w:r w:rsidRPr="00C35060">
              <w:t>if the gift is made to an institution or Australian government agency—the gift must be received by the gift fund (mentioned in section 30</w:t>
            </w:r>
            <w:r w:rsidR="00C35060">
              <w:noBreakHyphen/>
            </w:r>
            <w:r w:rsidRPr="00C35060">
              <w:t>130) of the institution or Australian government agency</w:t>
            </w:r>
          </w:p>
        </w:tc>
      </w:tr>
    </w:tbl>
    <w:p w14:paraId="180A7392" w14:textId="77777777" w:rsidR="00C3091D" w:rsidRPr="00C35060" w:rsidRDefault="00C81867" w:rsidP="00C35060">
      <w:pPr>
        <w:pStyle w:val="ItemHead"/>
      </w:pPr>
      <w:r w:rsidRPr="00C35060">
        <w:t>18</w:t>
      </w:r>
      <w:r w:rsidR="00C3091D" w:rsidRPr="00C35060">
        <w:t xml:space="preserve">  Section 30</w:t>
      </w:r>
      <w:r w:rsidR="00C35060">
        <w:noBreakHyphen/>
      </w:r>
      <w:r w:rsidR="00C3091D" w:rsidRPr="00C35060">
        <w:t>85</w:t>
      </w:r>
    </w:p>
    <w:p w14:paraId="640071C4" w14:textId="77777777" w:rsidR="00C3091D" w:rsidRPr="00C35060" w:rsidRDefault="00C3091D" w:rsidP="00C35060">
      <w:pPr>
        <w:pStyle w:val="Item"/>
      </w:pPr>
      <w:r w:rsidRPr="00C35060">
        <w:t>Repeal the section, substitute:</w:t>
      </w:r>
    </w:p>
    <w:p w14:paraId="00196238" w14:textId="77777777" w:rsidR="00C3091D" w:rsidRPr="00C35060" w:rsidRDefault="00C3091D" w:rsidP="00C35060">
      <w:pPr>
        <w:pStyle w:val="ActHead5"/>
      </w:pPr>
      <w:bookmarkStart w:id="32" w:name="_Toc138850328"/>
      <w:r w:rsidRPr="00DF1F24">
        <w:rPr>
          <w:rStyle w:val="CharSectno"/>
        </w:rPr>
        <w:t>30</w:t>
      </w:r>
      <w:r w:rsidR="00C35060" w:rsidRPr="00DF1F24">
        <w:rPr>
          <w:rStyle w:val="CharSectno"/>
        </w:rPr>
        <w:noBreakHyphen/>
      </w:r>
      <w:r w:rsidRPr="00DF1F24">
        <w:rPr>
          <w:rStyle w:val="CharSectno"/>
        </w:rPr>
        <w:t>85</w:t>
      </w:r>
      <w:r w:rsidRPr="00C35060">
        <w:t xml:space="preserve">  Developing country relief funds</w:t>
      </w:r>
      <w:bookmarkEnd w:id="32"/>
    </w:p>
    <w:p w14:paraId="68D9B50A" w14:textId="77777777" w:rsidR="00C3091D" w:rsidRPr="00C35060" w:rsidRDefault="00C3091D" w:rsidP="00C35060">
      <w:pPr>
        <w:pStyle w:val="subsection"/>
      </w:pPr>
      <w:r w:rsidRPr="00C35060">
        <w:tab/>
        <w:t>(1)</w:t>
      </w:r>
      <w:r w:rsidRPr="00C35060">
        <w:tab/>
        <w:t>For the purposes of item 9.1.1 of the table in subsection 30</w:t>
      </w:r>
      <w:r w:rsidR="00C35060">
        <w:noBreakHyphen/>
      </w:r>
      <w:r w:rsidRPr="00C35060">
        <w:t>80(1), a country is covered by this section if:</w:t>
      </w:r>
    </w:p>
    <w:p w14:paraId="03033168" w14:textId="77777777" w:rsidR="00C3091D" w:rsidRPr="00C35060" w:rsidRDefault="00C3091D" w:rsidP="00C35060">
      <w:pPr>
        <w:pStyle w:val="paragraph"/>
      </w:pPr>
      <w:r w:rsidRPr="00C35060">
        <w:tab/>
        <w:t>(a)</w:t>
      </w:r>
      <w:r w:rsidRPr="00C35060">
        <w:tab/>
        <w:t>it is included in the list of official development assistance recipients published from time to time by the Organisation for Economic Co</w:t>
      </w:r>
      <w:r w:rsidR="00C35060">
        <w:noBreakHyphen/>
      </w:r>
      <w:r w:rsidRPr="00C35060">
        <w:t>operation and Development’s Development Assistance Committee; or</w:t>
      </w:r>
    </w:p>
    <w:p w14:paraId="2C8B0BB2" w14:textId="77777777" w:rsidR="00C3091D" w:rsidRPr="00C35060" w:rsidRDefault="00C3091D" w:rsidP="00C35060">
      <w:pPr>
        <w:pStyle w:val="paragraph"/>
      </w:pPr>
      <w:r w:rsidRPr="00C35060">
        <w:tab/>
        <w:t>(b)</w:t>
      </w:r>
      <w:r w:rsidRPr="00C35060">
        <w:tab/>
        <w:t>it is specified in a declaration under subsection (2)</w:t>
      </w:r>
      <w:r w:rsidR="00A9793E" w:rsidRPr="00C35060">
        <w:t xml:space="preserve"> of this section</w:t>
      </w:r>
      <w:r w:rsidRPr="00C35060">
        <w:t>.</w:t>
      </w:r>
    </w:p>
    <w:p w14:paraId="6D4C65E2" w14:textId="77777777" w:rsidR="00C3091D" w:rsidRPr="00C35060" w:rsidRDefault="00C3091D" w:rsidP="00C35060">
      <w:pPr>
        <w:pStyle w:val="subsection"/>
      </w:pPr>
      <w:r w:rsidRPr="00C35060">
        <w:tab/>
        <w:t>(2)</w:t>
      </w:r>
      <w:r w:rsidRPr="00C35060">
        <w:tab/>
        <w:t xml:space="preserve">For the purposes of paragraph (1)(b), the </w:t>
      </w:r>
      <w:r w:rsidR="00C35060" w:rsidRPr="00C35060">
        <w:rPr>
          <w:position w:val="6"/>
          <w:sz w:val="16"/>
        </w:rPr>
        <w:t>*</w:t>
      </w:r>
      <w:r w:rsidRPr="00C35060">
        <w:t>Foreign Affairs Minister may, by legislative instrument, make a declaration specifying a country as a developing country.</w:t>
      </w:r>
    </w:p>
    <w:p w14:paraId="26ED851E" w14:textId="77777777" w:rsidR="00C3091D" w:rsidRPr="00C35060" w:rsidRDefault="00C81867" w:rsidP="00C35060">
      <w:pPr>
        <w:pStyle w:val="ItemHead"/>
      </w:pPr>
      <w:r w:rsidRPr="00C35060">
        <w:t>19</w:t>
      </w:r>
      <w:r w:rsidR="00C3091D" w:rsidRPr="00C35060">
        <w:t xml:space="preserve">  Subsection 207</w:t>
      </w:r>
      <w:r w:rsidR="00C35060">
        <w:noBreakHyphen/>
      </w:r>
      <w:r w:rsidR="00C3091D" w:rsidRPr="00C35060">
        <w:t>115(5)</w:t>
      </w:r>
    </w:p>
    <w:p w14:paraId="011886AD" w14:textId="77777777" w:rsidR="00C3091D" w:rsidRPr="00C35060" w:rsidRDefault="00C3091D" w:rsidP="00C35060">
      <w:pPr>
        <w:pStyle w:val="Item"/>
      </w:pPr>
      <w:r w:rsidRPr="00C35060">
        <w:t>Repeal the subsection.</w:t>
      </w:r>
    </w:p>
    <w:p w14:paraId="24F345DC" w14:textId="77777777" w:rsidR="00C3091D" w:rsidRPr="00C35060" w:rsidRDefault="00C81867" w:rsidP="00C35060">
      <w:pPr>
        <w:pStyle w:val="Transitional"/>
      </w:pPr>
      <w:r w:rsidRPr="00C35060">
        <w:t>20</w:t>
      </w:r>
      <w:r w:rsidR="00C3091D" w:rsidRPr="00C35060">
        <w:t xml:space="preserve">  Transitional</w:t>
      </w:r>
    </w:p>
    <w:p w14:paraId="23CBC671" w14:textId="77777777" w:rsidR="00C3091D" w:rsidRPr="00C35060" w:rsidRDefault="00C3091D" w:rsidP="00C35060">
      <w:pPr>
        <w:pStyle w:val="SubitemHead"/>
      </w:pPr>
      <w:r w:rsidRPr="00C35060">
        <w:t>Declared developing countries</w:t>
      </w:r>
    </w:p>
    <w:p w14:paraId="5B88A0E6" w14:textId="77777777" w:rsidR="00C3091D" w:rsidRPr="00C35060" w:rsidRDefault="00C3091D" w:rsidP="00C35060">
      <w:pPr>
        <w:pStyle w:val="Subitem"/>
      </w:pPr>
      <w:r w:rsidRPr="00C35060">
        <w:t>(1)</w:t>
      </w:r>
      <w:r w:rsidRPr="00C35060">
        <w:tab/>
        <w:t>Subitem (2) applies if, immediately before the commencement of this Part:</w:t>
      </w:r>
    </w:p>
    <w:p w14:paraId="23917076" w14:textId="77777777" w:rsidR="00C3091D" w:rsidRPr="00C35060" w:rsidRDefault="00C3091D" w:rsidP="00C35060">
      <w:pPr>
        <w:pStyle w:val="paragraph"/>
      </w:pPr>
      <w:r w:rsidRPr="00C35060">
        <w:tab/>
        <w:t>(a)</w:t>
      </w:r>
      <w:r w:rsidRPr="00C35060">
        <w:tab/>
        <w:t>a country is declared by the Foreign Affairs Minister to be a developing country under subparagraph 30</w:t>
      </w:r>
      <w:r w:rsidR="00C35060">
        <w:noBreakHyphen/>
      </w:r>
      <w:r w:rsidRPr="00C35060">
        <w:t xml:space="preserve">85(2)(b)(ii) of the </w:t>
      </w:r>
      <w:r w:rsidRPr="00C35060">
        <w:rPr>
          <w:i/>
        </w:rPr>
        <w:t>Income Tax Assessment Act 1997</w:t>
      </w:r>
      <w:r w:rsidRPr="00C35060">
        <w:t>; and</w:t>
      </w:r>
    </w:p>
    <w:p w14:paraId="1D941305" w14:textId="77777777" w:rsidR="00C3091D" w:rsidRPr="00C35060" w:rsidRDefault="00C3091D" w:rsidP="00C35060">
      <w:pPr>
        <w:pStyle w:val="paragraph"/>
      </w:pPr>
      <w:r w:rsidRPr="00C35060">
        <w:tab/>
        <w:t>(b)</w:t>
      </w:r>
      <w:r w:rsidRPr="00C35060">
        <w:tab/>
        <w:t>that declaration is in force.</w:t>
      </w:r>
    </w:p>
    <w:p w14:paraId="54AA6A7A" w14:textId="77777777" w:rsidR="00C3091D" w:rsidRPr="00C35060" w:rsidRDefault="00C3091D" w:rsidP="00C35060">
      <w:pPr>
        <w:pStyle w:val="Subitem"/>
      </w:pPr>
      <w:r w:rsidRPr="00C35060">
        <w:t>(2)</w:t>
      </w:r>
      <w:r w:rsidRPr="00C35060">
        <w:tab/>
        <w:t>On and after the commencement of this Part, treat the country as being specified as a developing country in a declaration made under subsection 30</w:t>
      </w:r>
      <w:r w:rsidR="00C35060">
        <w:noBreakHyphen/>
      </w:r>
      <w:r w:rsidRPr="00C35060">
        <w:t>85(2) of that Act (as amended by this Part), unless or until the Foreign Affairs Minister makes a declaration under that subsection.</w:t>
      </w:r>
    </w:p>
    <w:p w14:paraId="28C3A4FC" w14:textId="77777777" w:rsidR="00C3091D" w:rsidRPr="00C35060" w:rsidRDefault="00C3091D" w:rsidP="00C35060">
      <w:pPr>
        <w:pStyle w:val="SubitemHead"/>
      </w:pPr>
      <w:r w:rsidRPr="00C35060">
        <w:t xml:space="preserve">Approved organisations with </w:t>
      </w:r>
      <w:proofErr w:type="spellStart"/>
      <w:r w:rsidRPr="00C35060">
        <w:t>DGR</w:t>
      </w:r>
      <w:proofErr w:type="spellEnd"/>
      <w:r w:rsidRPr="00C35060">
        <w:t xml:space="preserve"> endorsement</w:t>
      </w:r>
    </w:p>
    <w:p w14:paraId="749D2924" w14:textId="77777777" w:rsidR="00C3091D" w:rsidRPr="00C35060" w:rsidRDefault="00C3091D" w:rsidP="00C35060">
      <w:pPr>
        <w:pStyle w:val="Subitem"/>
      </w:pPr>
      <w:r w:rsidRPr="00C35060">
        <w:t>(3)</w:t>
      </w:r>
      <w:r w:rsidRPr="00C35060">
        <w:tab/>
        <w:t>Subitem (4) applies if, immediately before the commencement of this Part:</w:t>
      </w:r>
    </w:p>
    <w:p w14:paraId="4C4042DD" w14:textId="77777777" w:rsidR="00C3091D" w:rsidRPr="00C35060" w:rsidRDefault="00C3091D" w:rsidP="00C35060">
      <w:pPr>
        <w:pStyle w:val="paragraph"/>
      </w:pPr>
      <w:r w:rsidRPr="00C35060">
        <w:tab/>
        <w:t>(a)</w:t>
      </w:r>
      <w:r w:rsidRPr="00C35060">
        <w:tab/>
        <w:t>a public fund is declared to be a developing country relief fund under subsection 30</w:t>
      </w:r>
      <w:r w:rsidR="00C35060">
        <w:noBreakHyphen/>
      </w:r>
      <w:r w:rsidRPr="00C35060">
        <w:t xml:space="preserve">85(2) of the </w:t>
      </w:r>
      <w:r w:rsidRPr="00C35060">
        <w:rPr>
          <w:i/>
        </w:rPr>
        <w:t>Income Tax Assessment Act 1997</w:t>
      </w:r>
      <w:r w:rsidRPr="00C35060">
        <w:t>, and that declaration is in force; and</w:t>
      </w:r>
    </w:p>
    <w:p w14:paraId="5851EAA1" w14:textId="77777777" w:rsidR="00C3091D" w:rsidRPr="00C35060" w:rsidRDefault="00C3091D" w:rsidP="00C35060">
      <w:pPr>
        <w:pStyle w:val="paragraph"/>
      </w:pPr>
      <w:r w:rsidRPr="00C35060">
        <w:tab/>
        <w:t>(b)</w:t>
      </w:r>
      <w:r w:rsidRPr="00C35060">
        <w:tab/>
        <w:t>the public fund has been established by an organisation declared by the Foreign Affairs Minister to be an approved organisation under paragraph 30</w:t>
      </w:r>
      <w:r w:rsidR="00C35060">
        <w:noBreakHyphen/>
      </w:r>
      <w:r w:rsidRPr="00C35060">
        <w:t>85(2)(a) of that Act, and that declaration is in force; and</w:t>
      </w:r>
    </w:p>
    <w:p w14:paraId="59A3143A" w14:textId="37AF113C" w:rsidR="00C3091D" w:rsidRPr="00C35060" w:rsidRDefault="00C3091D" w:rsidP="00C35060">
      <w:pPr>
        <w:pStyle w:val="paragraph"/>
      </w:pPr>
      <w:r w:rsidRPr="00C35060">
        <w:tab/>
        <w:t>(c)</w:t>
      </w:r>
      <w:r w:rsidRPr="00C35060">
        <w:tab/>
        <w:t>the organisation is endorsed as a deductible gift recipient for the operation of a fund, authority or institution under paragraph 30</w:t>
      </w:r>
      <w:r w:rsidR="00C35060">
        <w:noBreakHyphen/>
      </w:r>
      <w:r w:rsidRPr="00C35060">
        <w:t>120(b) of that Act in respect of the operation of the public fund</w:t>
      </w:r>
      <w:r w:rsidR="00E759F1">
        <w:t>.</w:t>
      </w:r>
    </w:p>
    <w:p w14:paraId="078D8059" w14:textId="77777777" w:rsidR="004C1F2B" w:rsidRPr="005B0C96" w:rsidRDefault="004C1F2B" w:rsidP="004C1F2B">
      <w:pPr>
        <w:pStyle w:val="Subitem"/>
      </w:pPr>
      <w:r w:rsidRPr="005B0C96">
        <w:t>(4)</w:t>
      </w:r>
      <w:r w:rsidRPr="005B0C96">
        <w:tab/>
        <w:t>On and after the commencement of this Part, treat the public fund as having the principal purpose set out in item 9.1.1 of the table in subsection 30</w:t>
      </w:r>
      <w:r>
        <w:noBreakHyphen/>
      </w:r>
      <w:r w:rsidRPr="005B0C96">
        <w:t xml:space="preserve">80(1) of the </w:t>
      </w:r>
      <w:r w:rsidRPr="005B0C96">
        <w:rPr>
          <w:i/>
        </w:rPr>
        <w:t>Income Tax Assessment Act 1997</w:t>
      </w:r>
      <w:r w:rsidRPr="005B0C96">
        <w:t>, unless or until there is a change to the principal purpose of the public fund.</w:t>
      </w:r>
    </w:p>
    <w:p w14:paraId="17129E14" w14:textId="77777777" w:rsidR="00C3091D" w:rsidRPr="00C35060" w:rsidRDefault="00C3091D" w:rsidP="00C35060">
      <w:pPr>
        <w:pStyle w:val="SubitemHead"/>
      </w:pPr>
      <w:r w:rsidRPr="00C35060">
        <w:t xml:space="preserve">Approved organisations seeking </w:t>
      </w:r>
      <w:proofErr w:type="spellStart"/>
      <w:r w:rsidRPr="00C35060">
        <w:t>DGR</w:t>
      </w:r>
      <w:proofErr w:type="spellEnd"/>
      <w:r w:rsidRPr="00C35060">
        <w:t xml:space="preserve"> endorsement</w:t>
      </w:r>
    </w:p>
    <w:p w14:paraId="40471D76" w14:textId="77777777" w:rsidR="00C3091D" w:rsidRPr="00C35060" w:rsidRDefault="00C3091D" w:rsidP="00C35060">
      <w:pPr>
        <w:pStyle w:val="Subitem"/>
      </w:pPr>
      <w:r w:rsidRPr="00C35060">
        <w:t>(5)</w:t>
      </w:r>
      <w:r w:rsidRPr="00C35060">
        <w:tab/>
        <w:t>Subitem (6) applies if, immediately before the commencement of this Part:</w:t>
      </w:r>
    </w:p>
    <w:p w14:paraId="03421A8D" w14:textId="77777777" w:rsidR="00C3091D" w:rsidRPr="00C35060" w:rsidRDefault="00C3091D" w:rsidP="00C35060">
      <w:pPr>
        <w:pStyle w:val="paragraph"/>
      </w:pPr>
      <w:r w:rsidRPr="00C35060">
        <w:tab/>
        <w:t>(a)</w:t>
      </w:r>
      <w:r w:rsidRPr="00C35060">
        <w:tab/>
        <w:t>a public fund is declared to be a developing country relief fund under subsection 30</w:t>
      </w:r>
      <w:r w:rsidR="00C35060">
        <w:noBreakHyphen/>
      </w:r>
      <w:r w:rsidRPr="00C35060">
        <w:t xml:space="preserve">85(2) of the </w:t>
      </w:r>
      <w:r w:rsidRPr="00C35060">
        <w:rPr>
          <w:i/>
        </w:rPr>
        <w:t>Income Tax Assessment Act 1997</w:t>
      </w:r>
      <w:r w:rsidRPr="00C35060">
        <w:t>, and that declaration is in force; and</w:t>
      </w:r>
    </w:p>
    <w:p w14:paraId="1A014F2B" w14:textId="77777777" w:rsidR="00C3091D" w:rsidRPr="00C35060" w:rsidRDefault="00C3091D" w:rsidP="00C35060">
      <w:pPr>
        <w:pStyle w:val="paragraph"/>
      </w:pPr>
      <w:r w:rsidRPr="00C35060">
        <w:tab/>
        <w:t>(b)</w:t>
      </w:r>
      <w:r w:rsidRPr="00C35060">
        <w:tab/>
        <w:t>the public fund has been established by an organisation declared by the Foreign Affairs Minister to be an approved organisation under paragraph 30</w:t>
      </w:r>
      <w:r w:rsidR="00C35060">
        <w:noBreakHyphen/>
      </w:r>
      <w:r w:rsidRPr="00C35060">
        <w:t>85(2)(a) of that Act, and that declaration is in force; and</w:t>
      </w:r>
    </w:p>
    <w:p w14:paraId="3F46E417" w14:textId="77777777" w:rsidR="00C3091D" w:rsidRPr="00C35060" w:rsidRDefault="00C3091D" w:rsidP="00C35060">
      <w:pPr>
        <w:pStyle w:val="paragraph"/>
      </w:pPr>
      <w:r w:rsidRPr="00C35060">
        <w:tab/>
        <w:t>(c)</w:t>
      </w:r>
      <w:r w:rsidRPr="00C35060">
        <w:tab/>
        <w:t>the organisation has applied under subsection 426</w:t>
      </w:r>
      <w:r w:rsidR="00C35060">
        <w:noBreakHyphen/>
      </w:r>
      <w:r w:rsidRPr="00C35060">
        <w:t xml:space="preserve">15(1) in Schedule 1 to the </w:t>
      </w:r>
      <w:r w:rsidRPr="00C35060">
        <w:rPr>
          <w:i/>
        </w:rPr>
        <w:t xml:space="preserve">Taxation Administration Act 1953 </w:t>
      </w:r>
      <w:r w:rsidRPr="00C35060">
        <w:t>for endorsement as a deductible gift recipient for the operation of a fund, authority or institution under paragraph 30</w:t>
      </w:r>
      <w:r w:rsidR="00C35060">
        <w:noBreakHyphen/>
      </w:r>
      <w:r w:rsidRPr="00C35060">
        <w:t xml:space="preserve">120(b) of the </w:t>
      </w:r>
      <w:r w:rsidRPr="00C35060">
        <w:rPr>
          <w:i/>
        </w:rPr>
        <w:t>Income Tax Assessment Act 1997</w:t>
      </w:r>
      <w:r w:rsidRPr="00C35060">
        <w:t xml:space="preserve"> in respect of the operation of the public fund; and</w:t>
      </w:r>
    </w:p>
    <w:p w14:paraId="1DA90B11" w14:textId="77777777" w:rsidR="00C3091D" w:rsidRPr="00C35060" w:rsidRDefault="00C3091D" w:rsidP="00C35060">
      <w:pPr>
        <w:pStyle w:val="paragraph"/>
      </w:pPr>
      <w:r w:rsidRPr="00C35060">
        <w:tab/>
        <w:t>(</w:t>
      </w:r>
      <w:r w:rsidR="00D13E02" w:rsidRPr="00C35060">
        <w:t>d</w:t>
      </w:r>
      <w:r w:rsidRPr="00C35060">
        <w:t>)</w:t>
      </w:r>
      <w:r w:rsidRPr="00C35060">
        <w:tab/>
        <w:t>the organisation is an institut</w:t>
      </w:r>
      <w:r w:rsidR="00D13E02" w:rsidRPr="00C35060">
        <w:t>ion</w:t>
      </w:r>
      <w:r w:rsidRPr="00C35060">
        <w:t xml:space="preserve"> or Australian government agency that would be covered by item 9.1.1 of the table in subsection 30</w:t>
      </w:r>
      <w:r w:rsidR="00C35060">
        <w:noBreakHyphen/>
      </w:r>
      <w:r w:rsidRPr="00C35060">
        <w:t>80(1) of that Act (assuming the amendments made by this Part had commenced); and</w:t>
      </w:r>
    </w:p>
    <w:p w14:paraId="791A544D" w14:textId="77777777" w:rsidR="00C3091D" w:rsidRPr="00C35060" w:rsidRDefault="00C3091D" w:rsidP="00C35060">
      <w:pPr>
        <w:pStyle w:val="paragraph"/>
      </w:pPr>
      <w:r w:rsidRPr="00C35060">
        <w:tab/>
        <w:t>(</w:t>
      </w:r>
      <w:r w:rsidR="00D13E02" w:rsidRPr="00C35060">
        <w:t>e</w:t>
      </w:r>
      <w:r w:rsidRPr="00C35060">
        <w:t>)</w:t>
      </w:r>
      <w:r w:rsidRPr="00C35060">
        <w:tab/>
        <w:t>the Commissioner has not given the applicant written notice that the Commissioner endorses or refuses to endorse the applicant.</w:t>
      </w:r>
    </w:p>
    <w:p w14:paraId="022118F8" w14:textId="77777777" w:rsidR="00C3091D" w:rsidRPr="00C35060" w:rsidRDefault="00C3091D" w:rsidP="00C35060">
      <w:pPr>
        <w:pStyle w:val="Subitem"/>
      </w:pPr>
      <w:r w:rsidRPr="00C35060">
        <w:t>(6)</w:t>
      </w:r>
      <w:r w:rsidRPr="00C35060">
        <w:tab/>
        <w:t>On and after the commencement of this Part:</w:t>
      </w:r>
    </w:p>
    <w:p w14:paraId="4AC79379" w14:textId="77777777" w:rsidR="00C3091D" w:rsidRPr="00C35060" w:rsidRDefault="00C3091D" w:rsidP="00C35060">
      <w:pPr>
        <w:pStyle w:val="paragraph"/>
      </w:pPr>
      <w:r w:rsidRPr="00C35060">
        <w:tab/>
        <w:t>(a)</w:t>
      </w:r>
      <w:r w:rsidRPr="00C35060">
        <w:tab/>
        <w:t>treat the application as an application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9.1.1 of the table in subsection 30</w:t>
      </w:r>
      <w:r w:rsidR="00C35060">
        <w:noBreakHyphen/>
      </w:r>
      <w:r w:rsidRPr="00C35060">
        <w:t>80(1) of that Act; and</w:t>
      </w:r>
    </w:p>
    <w:p w14:paraId="65715755" w14:textId="77777777" w:rsidR="00C3091D" w:rsidRPr="00C35060" w:rsidRDefault="00C3091D" w:rsidP="00C35060">
      <w:pPr>
        <w:pStyle w:val="paragraph"/>
      </w:pPr>
      <w:r w:rsidRPr="00C35060">
        <w:tab/>
        <w:t>(b)</w:t>
      </w:r>
      <w:r w:rsidRPr="00C35060">
        <w:tab/>
        <w:t>treat the public fund as being the entity’s gift fund mentioned in section 30</w:t>
      </w:r>
      <w:r w:rsidR="00C35060">
        <w:noBreakHyphen/>
      </w:r>
      <w:r w:rsidRPr="00C35060">
        <w:t>130 of that Act, unless or until the entity establishes a replacement gift fund.</w:t>
      </w:r>
    </w:p>
    <w:p w14:paraId="48304892" w14:textId="77777777" w:rsidR="00C3091D" w:rsidRPr="00C35060" w:rsidRDefault="00C3091D" w:rsidP="00C35060">
      <w:pPr>
        <w:pStyle w:val="SubitemHead"/>
      </w:pPr>
      <w:r w:rsidRPr="00C35060">
        <w:t>Approved organisations seeking declaration of a developing country relief fund</w:t>
      </w:r>
    </w:p>
    <w:p w14:paraId="7F5CEA11" w14:textId="77777777" w:rsidR="00C3091D" w:rsidRPr="00C35060" w:rsidRDefault="00C3091D" w:rsidP="00C35060">
      <w:pPr>
        <w:pStyle w:val="Subitem"/>
      </w:pPr>
      <w:r w:rsidRPr="00C35060">
        <w:t>(7)</w:t>
      </w:r>
      <w:r w:rsidRPr="00C35060">
        <w:tab/>
        <w:t>Subitem (8) applies if, immediately before the commencement of this Part:</w:t>
      </w:r>
    </w:p>
    <w:p w14:paraId="2A8C96FF" w14:textId="77777777" w:rsidR="00C3091D" w:rsidRPr="00C35060" w:rsidRDefault="00C3091D" w:rsidP="00C35060">
      <w:pPr>
        <w:pStyle w:val="paragraph"/>
      </w:pPr>
      <w:r w:rsidRPr="00C35060">
        <w:tab/>
        <w:t>(a)</w:t>
      </w:r>
      <w:r w:rsidRPr="00C35060">
        <w:tab/>
        <w:t>an organisation is declared by the Foreign Affairs Minister to be an approved organisation under paragraph 30</w:t>
      </w:r>
      <w:r w:rsidR="00C35060">
        <w:noBreakHyphen/>
      </w:r>
      <w:r w:rsidRPr="00C35060">
        <w:t xml:space="preserve">85(2)(a) of the </w:t>
      </w:r>
      <w:r w:rsidRPr="00C35060">
        <w:rPr>
          <w:i/>
        </w:rPr>
        <w:t>Income Tax Assessment Act 1997</w:t>
      </w:r>
      <w:r w:rsidRPr="00C35060">
        <w:t>, and that declaration is in force; and</w:t>
      </w:r>
    </w:p>
    <w:p w14:paraId="6E89822F" w14:textId="77777777" w:rsidR="00C3091D" w:rsidRPr="00C35060" w:rsidRDefault="00C3091D" w:rsidP="00C35060">
      <w:pPr>
        <w:pStyle w:val="paragraph"/>
      </w:pPr>
      <w:r w:rsidRPr="00C35060">
        <w:tab/>
        <w:t>(b)</w:t>
      </w:r>
      <w:r w:rsidRPr="00C35060">
        <w:tab/>
        <w:t>the organisation has submitted a request (however described) to the Commissioner for a public fund it has established to be declared to be a developing country relief fund under subsection 30</w:t>
      </w:r>
      <w:r w:rsidR="00C35060">
        <w:noBreakHyphen/>
      </w:r>
      <w:r w:rsidRPr="00C35060">
        <w:t>85(2) of that Act; and</w:t>
      </w:r>
    </w:p>
    <w:p w14:paraId="2C544534" w14:textId="77777777" w:rsidR="00C3091D" w:rsidRPr="00C35060" w:rsidRDefault="00C3091D" w:rsidP="00C35060">
      <w:pPr>
        <w:pStyle w:val="paragraph"/>
      </w:pPr>
      <w:r w:rsidRPr="00C35060">
        <w:tab/>
        <w:t>(</w:t>
      </w:r>
      <w:r w:rsidR="00D13E02" w:rsidRPr="00C35060">
        <w:t>c</w:t>
      </w:r>
      <w:r w:rsidRPr="00C35060">
        <w:t>)</w:t>
      </w:r>
      <w:r w:rsidRPr="00C35060">
        <w:tab/>
        <w:t>the organisation is an institut</w:t>
      </w:r>
      <w:r w:rsidR="00D13E02" w:rsidRPr="00C35060">
        <w:t>ion</w:t>
      </w:r>
      <w:r w:rsidRPr="00C35060">
        <w:t xml:space="preserve"> or Australian government agency that would be covered by item 9.1.1 of the table in subsection 30</w:t>
      </w:r>
      <w:r w:rsidR="00C35060">
        <w:noBreakHyphen/>
      </w:r>
      <w:r w:rsidRPr="00C35060">
        <w:t>80(1) of that Act (assuming the amendments made by this Part had commenced); and</w:t>
      </w:r>
    </w:p>
    <w:p w14:paraId="37EFA6BF" w14:textId="77777777" w:rsidR="00C3091D" w:rsidRPr="00C35060" w:rsidRDefault="00C3091D" w:rsidP="00C35060">
      <w:pPr>
        <w:pStyle w:val="paragraph"/>
      </w:pPr>
      <w:r w:rsidRPr="00C35060">
        <w:tab/>
        <w:t>(</w:t>
      </w:r>
      <w:r w:rsidR="00D13E02" w:rsidRPr="00C35060">
        <w:t>d</w:t>
      </w:r>
      <w:r w:rsidRPr="00C35060">
        <w:t>)</w:t>
      </w:r>
      <w:r w:rsidRPr="00C35060">
        <w:tab/>
        <w:t>the organisation has not been notified by the department of the outcome of the request.</w:t>
      </w:r>
    </w:p>
    <w:p w14:paraId="7FDCB278" w14:textId="77777777" w:rsidR="00C3091D" w:rsidRPr="00C35060" w:rsidRDefault="00C3091D" w:rsidP="00C35060">
      <w:pPr>
        <w:pStyle w:val="Subitem"/>
      </w:pPr>
      <w:r w:rsidRPr="00C35060">
        <w:t>(8)</w:t>
      </w:r>
      <w:r w:rsidRPr="00C35060">
        <w:tab/>
        <w:t>On and after the commencement of this Part:</w:t>
      </w:r>
    </w:p>
    <w:p w14:paraId="50B79191" w14:textId="77777777" w:rsidR="00C3091D" w:rsidRPr="00C35060" w:rsidRDefault="00C3091D" w:rsidP="00C35060">
      <w:pPr>
        <w:pStyle w:val="paragraph"/>
      </w:pPr>
      <w:r w:rsidRPr="00C35060">
        <w:tab/>
        <w:t>(a)</w:t>
      </w:r>
      <w:r w:rsidRPr="00C35060">
        <w:tab/>
        <w:t>treat the request as an application under subsection 426</w:t>
      </w:r>
      <w:r w:rsidR="00C35060">
        <w:noBreakHyphen/>
      </w:r>
      <w:r w:rsidRPr="00C35060">
        <w:t xml:space="preserve">15(1) in Schedule 1 to the </w:t>
      </w:r>
      <w:r w:rsidRPr="00C35060">
        <w:rPr>
          <w:i/>
        </w:rPr>
        <w:t xml:space="preserve">Taxation Administration Act 1953 </w:t>
      </w:r>
      <w:r w:rsidRPr="00C35060">
        <w:t>by the entity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9.1.1 of the table in subsection 30</w:t>
      </w:r>
      <w:r w:rsidR="00C35060">
        <w:noBreakHyphen/>
      </w:r>
      <w:r w:rsidRPr="00C35060">
        <w:t>80(1) of that Act; and</w:t>
      </w:r>
    </w:p>
    <w:p w14:paraId="2D5837C7" w14:textId="77777777" w:rsidR="00C3091D" w:rsidRPr="00C35060" w:rsidRDefault="00C3091D" w:rsidP="00C35060">
      <w:pPr>
        <w:pStyle w:val="paragraph"/>
      </w:pPr>
      <w:r w:rsidRPr="00C35060">
        <w:tab/>
        <w:t>(b)</w:t>
      </w:r>
      <w:r w:rsidRPr="00C35060">
        <w:tab/>
        <w:t>treat the application:</w:t>
      </w:r>
    </w:p>
    <w:p w14:paraId="2C608770" w14:textId="77777777" w:rsidR="00C3091D" w:rsidRPr="00C35060" w:rsidRDefault="00C3091D" w:rsidP="00C35060">
      <w:pPr>
        <w:pStyle w:val="paragraphsub"/>
      </w:pPr>
      <w:r w:rsidRPr="00C35060">
        <w:tab/>
        <w:t>(</w:t>
      </w:r>
      <w:proofErr w:type="spellStart"/>
      <w:r w:rsidRPr="00C35060">
        <w:t>i</w:t>
      </w:r>
      <w:proofErr w:type="spellEnd"/>
      <w:r w:rsidRPr="00C35060">
        <w:t>)</w:t>
      </w:r>
      <w:r w:rsidRPr="00C35060">
        <w:tab/>
        <w:t>as having been made on the commencement of this Part; and</w:t>
      </w:r>
    </w:p>
    <w:p w14:paraId="0E38ABBB" w14:textId="77777777" w:rsidR="00C3091D" w:rsidRPr="00C35060" w:rsidRDefault="00C3091D" w:rsidP="00C35060">
      <w:pPr>
        <w:pStyle w:val="paragraphsub"/>
      </w:pPr>
      <w:r w:rsidRPr="00C35060">
        <w:tab/>
        <w:t>(ii)</w:t>
      </w:r>
      <w:r w:rsidRPr="00C35060">
        <w:tab/>
        <w:t>as meeting the requirements set out in subsection 426</w:t>
      </w:r>
      <w:r w:rsidR="00C35060">
        <w:noBreakHyphen/>
      </w:r>
      <w:r w:rsidRPr="00C35060">
        <w:t xml:space="preserve">15(2) in Schedule 1 to the </w:t>
      </w:r>
      <w:r w:rsidRPr="00C35060">
        <w:rPr>
          <w:i/>
        </w:rPr>
        <w:t>Taxation Administration Act 1953</w:t>
      </w:r>
      <w:r w:rsidRPr="00C35060">
        <w:t>.</w:t>
      </w:r>
    </w:p>
    <w:p w14:paraId="2F20E8D2" w14:textId="77777777" w:rsidR="00C3091D" w:rsidRPr="00C35060" w:rsidRDefault="00C3091D" w:rsidP="00C35060">
      <w:pPr>
        <w:pStyle w:val="SubitemHead"/>
      </w:pPr>
      <w:r w:rsidRPr="00C35060">
        <w:t>Organisations seeking to be approved organisations</w:t>
      </w:r>
    </w:p>
    <w:p w14:paraId="1C90897F" w14:textId="77777777" w:rsidR="00C3091D" w:rsidRPr="00C35060" w:rsidRDefault="00C3091D" w:rsidP="00C35060">
      <w:pPr>
        <w:pStyle w:val="Subitem"/>
      </w:pPr>
      <w:r w:rsidRPr="00C35060">
        <w:t>(9)</w:t>
      </w:r>
      <w:r w:rsidRPr="00C35060">
        <w:tab/>
        <w:t>Subitem (10) applies if, immediately before the commencement of this Part:</w:t>
      </w:r>
    </w:p>
    <w:p w14:paraId="6FF7925E" w14:textId="77777777" w:rsidR="00C3091D" w:rsidRPr="00C35060" w:rsidRDefault="00C3091D" w:rsidP="00C35060">
      <w:pPr>
        <w:pStyle w:val="paragraph"/>
      </w:pPr>
      <w:r w:rsidRPr="00C35060">
        <w:tab/>
        <w:t>(a)</w:t>
      </w:r>
      <w:r w:rsidRPr="00C35060">
        <w:tab/>
        <w:t>an entity has submitted a request (however described) to the department administered by the Foreign Affairs Minister seeking to be declared as an approved organisation under paragraph 30</w:t>
      </w:r>
      <w:r w:rsidR="00C35060">
        <w:noBreakHyphen/>
      </w:r>
      <w:r w:rsidRPr="00C35060">
        <w:t xml:space="preserve">85(2)(a) of the </w:t>
      </w:r>
      <w:r w:rsidRPr="00C35060">
        <w:rPr>
          <w:i/>
        </w:rPr>
        <w:t>Income Tax Assessment Act 1997</w:t>
      </w:r>
      <w:r w:rsidRPr="00C35060">
        <w:t>; and</w:t>
      </w:r>
    </w:p>
    <w:p w14:paraId="07B71A0F" w14:textId="77777777" w:rsidR="00C3091D" w:rsidRPr="00C35060" w:rsidRDefault="00C3091D" w:rsidP="00C35060">
      <w:pPr>
        <w:pStyle w:val="paragraph"/>
      </w:pPr>
      <w:r w:rsidRPr="00C35060">
        <w:tab/>
        <w:t>(</w:t>
      </w:r>
      <w:r w:rsidR="00D13E02" w:rsidRPr="00C35060">
        <w:t>b</w:t>
      </w:r>
      <w:r w:rsidRPr="00C35060">
        <w:t>)</w:t>
      </w:r>
      <w:r w:rsidRPr="00C35060">
        <w:tab/>
        <w:t>the organisation is an institut</w:t>
      </w:r>
      <w:r w:rsidR="00D13E02" w:rsidRPr="00C35060">
        <w:t>ion</w:t>
      </w:r>
      <w:r w:rsidRPr="00C35060">
        <w:t xml:space="preserve"> or Australian government agency that would be covered by item 9.1.1 of the table in subsection 30</w:t>
      </w:r>
      <w:r w:rsidR="00C35060">
        <w:noBreakHyphen/>
      </w:r>
      <w:r w:rsidRPr="00C35060">
        <w:t>80(1) of that Act (assuming the amendments made by this Part had commenced); and</w:t>
      </w:r>
    </w:p>
    <w:p w14:paraId="166F794F" w14:textId="77777777" w:rsidR="00C3091D" w:rsidRPr="00C35060" w:rsidRDefault="00C3091D" w:rsidP="00C35060">
      <w:pPr>
        <w:pStyle w:val="paragraph"/>
      </w:pPr>
      <w:r w:rsidRPr="00C35060">
        <w:tab/>
        <w:t>(</w:t>
      </w:r>
      <w:r w:rsidR="00D13E02" w:rsidRPr="00C35060">
        <w:t>c</w:t>
      </w:r>
      <w:r w:rsidRPr="00C35060">
        <w:t>)</w:t>
      </w:r>
      <w:r w:rsidRPr="00C35060">
        <w:tab/>
        <w:t>the entity has not been notified by the department of the outcome of the request.</w:t>
      </w:r>
    </w:p>
    <w:p w14:paraId="4D8D8698" w14:textId="77777777" w:rsidR="00C3091D" w:rsidRPr="00C35060" w:rsidRDefault="00C3091D" w:rsidP="00C35060">
      <w:pPr>
        <w:pStyle w:val="Subitem"/>
      </w:pPr>
      <w:r w:rsidRPr="00C35060">
        <w:t>(10)</w:t>
      </w:r>
      <w:r w:rsidRPr="00C35060">
        <w:tab/>
        <w:t>On and after the commencement of this Part:</w:t>
      </w:r>
    </w:p>
    <w:p w14:paraId="49714637" w14:textId="77777777" w:rsidR="00C3091D" w:rsidRPr="00C35060" w:rsidRDefault="00C3091D" w:rsidP="00C35060">
      <w:pPr>
        <w:pStyle w:val="paragraph"/>
      </w:pPr>
      <w:r w:rsidRPr="00C35060">
        <w:tab/>
        <w:t>(a)</w:t>
      </w:r>
      <w:r w:rsidRPr="00C35060">
        <w:tab/>
        <w:t>treat the request as an application under subsection 426</w:t>
      </w:r>
      <w:r w:rsidR="00C35060">
        <w:noBreakHyphen/>
      </w:r>
      <w:r w:rsidRPr="00C35060">
        <w:t xml:space="preserve">15(1) in Schedule 1 to the </w:t>
      </w:r>
      <w:r w:rsidRPr="00C35060">
        <w:rPr>
          <w:i/>
        </w:rPr>
        <w:t xml:space="preserve">Taxation Administration Act 1953 </w:t>
      </w:r>
      <w:r w:rsidRPr="00C35060">
        <w:t>by the entity for endorsement as a deductible gift recipient under paragraph 30</w:t>
      </w:r>
      <w:r w:rsidR="00C35060">
        <w:noBreakHyphen/>
      </w:r>
      <w:r w:rsidRPr="00C35060">
        <w:t xml:space="preserve">120(a) of the </w:t>
      </w:r>
      <w:r w:rsidRPr="00C35060">
        <w:rPr>
          <w:i/>
        </w:rPr>
        <w:t>Income Tax Assessment Act 1997</w:t>
      </w:r>
      <w:r w:rsidRPr="00C35060">
        <w:t xml:space="preserve"> based on item 9.1.1 of the table in subsection 30</w:t>
      </w:r>
      <w:r w:rsidR="00C35060">
        <w:noBreakHyphen/>
      </w:r>
      <w:r w:rsidRPr="00C35060">
        <w:t>80(1) of that Act; and</w:t>
      </w:r>
    </w:p>
    <w:p w14:paraId="199F9362" w14:textId="77777777" w:rsidR="00C3091D" w:rsidRPr="00C35060" w:rsidRDefault="00C3091D" w:rsidP="00C35060">
      <w:pPr>
        <w:pStyle w:val="paragraph"/>
      </w:pPr>
      <w:r w:rsidRPr="00C35060">
        <w:tab/>
        <w:t>(b)</w:t>
      </w:r>
      <w:r w:rsidRPr="00C35060">
        <w:tab/>
        <w:t>treat the application:</w:t>
      </w:r>
    </w:p>
    <w:p w14:paraId="19E5E38E" w14:textId="77777777" w:rsidR="00C3091D" w:rsidRPr="00C35060" w:rsidRDefault="00C3091D" w:rsidP="00C35060">
      <w:pPr>
        <w:pStyle w:val="paragraphsub"/>
      </w:pPr>
      <w:r w:rsidRPr="00C35060">
        <w:tab/>
        <w:t>(</w:t>
      </w:r>
      <w:proofErr w:type="spellStart"/>
      <w:r w:rsidRPr="00C35060">
        <w:t>i</w:t>
      </w:r>
      <w:proofErr w:type="spellEnd"/>
      <w:r w:rsidRPr="00C35060">
        <w:t>)</w:t>
      </w:r>
      <w:r w:rsidRPr="00C35060">
        <w:tab/>
        <w:t>as having been made on the commencement of this Part; and</w:t>
      </w:r>
    </w:p>
    <w:p w14:paraId="235786F8" w14:textId="77777777" w:rsidR="00C3091D" w:rsidRPr="00C35060" w:rsidRDefault="00C3091D" w:rsidP="00C35060">
      <w:pPr>
        <w:pStyle w:val="paragraphsub"/>
      </w:pPr>
      <w:r w:rsidRPr="00C35060">
        <w:tab/>
        <w:t>(ii)</w:t>
      </w:r>
      <w:r w:rsidRPr="00C35060">
        <w:tab/>
        <w:t>as meeting the requirements set out in subsection 426</w:t>
      </w:r>
      <w:r w:rsidR="00C35060">
        <w:noBreakHyphen/>
      </w:r>
      <w:r w:rsidRPr="00C35060">
        <w:t xml:space="preserve">15(2) in Schedule 1 to the </w:t>
      </w:r>
      <w:r w:rsidRPr="00C35060">
        <w:rPr>
          <w:i/>
        </w:rPr>
        <w:t>Taxation Administration Act 1953</w:t>
      </w:r>
      <w:r w:rsidRPr="00C35060">
        <w:t>.</w:t>
      </w:r>
    </w:p>
    <w:p w14:paraId="6FE19D66" w14:textId="77777777" w:rsidR="00C3091D" w:rsidRPr="00C35060" w:rsidRDefault="00C3091D" w:rsidP="00C35060">
      <w:pPr>
        <w:pStyle w:val="ActHead7"/>
        <w:pageBreakBefore/>
      </w:pPr>
      <w:bookmarkStart w:id="33" w:name="_Toc138850329"/>
      <w:r w:rsidRPr="00DF1F24">
        <w:rPr>
          <w:rStyle w:val="CharAmPartNo"/>
        </w:rPr>
        <w:t>Part 5</w:t>
      </w:r>
      <w:r w:rsidRPr="00C35060">
        <w:t>—</w:t>
      </w:r>
      <w:r w:rsidRPr="00DF1F24">
        <w:rPr>
          <w:rStyle w:val="CharAmPartText"/>
        </w:rPr>
        <w:t>Miscellaneous</w:t>
      </w:r>
      <w:bookmarkEnd w:id="33"/>
    </w:p>
    <w:p w14:paraId="3D6052EF" w14:textId="77777777" w:rsidR="00C3091D" w:rsidRPr="00C35060" w:rsidRDefault="00C3091D" w:rsidP="00C35060">
      <w:pPr>
        <w:pStyle w:val="ActHead9"/>
      </w:pPr>
      <w:bookmarkStart w:id="34" w:name="_Toc138850330"/>
      <w:r w:rsidRPr="00C35060">
        <w:t>Income Tax Assessment Act 1997</w:t>
      </w:r>
      <w:bookmarkEnd w:id="34"/>
    </w:p>
    <w:p w14:paraId="335A5E7C" w14:textId="77777777" w:rsidR="00C3091D" w:rsidRPr="00C35060" w:rsidRDefault="00C81867" w:rsidP="00C35060">
      <w:pPr>
        <w:pStyle w:val="ItemHead"/>
      </w:pPr>
      <w:r w:rsidRPr="00C35060">
        <w:t>21</w:t>
      </w:r>
      <w:r w:rsidR="00C3091D" w:rsidRPr="00C35060">
        <w:t xml:space="preserve">  Subsection 30</w:t>
      </w:r>
      <w:r w:rsidR="00C35060">
        <w:noBreakHyphen/>
      </w:r>
      <w:r w:rsidR="00C3091D" w:rsidRPr="00C35060">
        <w:t>5(5)</w:t>
      </w:r>
    </w:p>
    <w:p w14:paraId="2CE795B6" w14:textId="77777777" w:rsidR="00C3091D" w:rsidRPr="00C35060" w:rsidRDefault="00C3091D" w:rsidP="00C35060">
      <w:pPr>
        <w:pStyle w:val="Item"/>
      </w:pPr>
      <w:r w:rsidRPr="00C35060">
        <w:t>Repeal the subsection.</w:t>
      </w:r>
    </w:p>
    <w:p w14:paraId="4B6738B7" w14:textId="77777777" w:rsidR="00064F1E" w:rsidRPr="00C35060" w:rsidRDefault="00B2793A" w:rsidP="00C35060">
      <w:pPr>
        <w:pStyle w:val="ActHead6"/>
        <w:pageBreakBefore/>
      </w:pPr>
      <w:bookmarkStart w:id="35" w:name="_Toc138850331"/>
      <w:r w:rsidRPr="00DF1F24">
        <w:rPr>
          <w:rStyle w:val="CharAmSchNo"/>
        </w:rPr>
        <w:t>Schedule 4</w:t>
      </w:r>
      <w:r w:rsidR="00064F1E" w:rsidRPr="00C35060">
        <w:t>—</w:t>
      </w:r>
      <w:r w:rsidR="00064F1E" w:rsidRPr="00DF1F24">
        <w:rPr>
          <w:rStyle w:val="CharAmSchText"/>
        </w:rPr>
        <w:t>Aligning excise and customs reporting with other indirect taxes</w:t>
      </w:r>
      <w:bookmarkEnd w:id="35"/>
    </w:p>
    <w:p w14:paraId="51F796E7" w14:textId="77777777" w:rsidR="00B10753" w:rsidRPr="00DF1F24" w:rsidRDefault="00B10753" w:rsidP="00C35060">
      <w:pPr>
        <w:pStyle w:val="Header"/>
      </w:pPr>
      <w:r w:rsidRPr="00DF1F24">
        <w:rPr>
          <w:rStyle w:val="CharAmPartNo"/>
        </w:rPr>
        <w:t xml:space="preserve"> </w:t>
      </w:r>
      <w:r w:rsidRPr="00DF1F24">
        <w:rPr>
          <w:rStyle w:val="CharAmPartText"/>
        </w:rPr>
        <w:t xml:space="preserve"> </w:t>
      </w:r>
    </w:p>
    <w:p w14:paraId="2264EE44" w14:textId="77777777" w:rsidR="00B10753" w:rsidRPr="00C35060" w:rsidRDefault="00B10753" w:rsidP="00C35060">
      <w:pPr>
        <w:pStyle w:val="ActHead9"/>
        <w:rPr>
          <w:i w:val="0"/>
        </w:rPr>
      </w:pPr>
      <w:bookmarkStart w:id="36" w:name="_Toc138850332"/>
      <w:r w:rsidRPr="00C35060">
        <w:t>Customs Act 1901</w:t>
      </w:r>
      <w:bookmarkEnd w:id="36"/>
    </w:p>
    <w:p w14:paraId="15157215" w14:textId="77777777" w:rsidR="00B10753" w:rsidRPr="00C35060" w:rsidRDefault="00C81867" w:rsidP="00C35060">
      <w:pPr>
        <w:pStyle w:val="ItemHead"/>
      </w:pPr>
      <w:r w:rsidRPr="00C35060">
        <w:t>1</w:t>
      </w:r>
      <w:r w:rsidR="00B10753" w:rsidRPr="00C35060">
        <w:t xml:space="preserve">  Subsection 4(1)</w:t>
      </w:r>
    </w:p>
    <w:p w14:paraId="72C65F20" w14:textId="77777777" w:rsidR="00B10753" w:rsidRPr="00C35060" w:rsidRDefault="00B10753" w:rsidP="00C35060">
      <w:pPr>
        <w:pStyle w:val="Item"/>
      </w:pPr>
      <w:r w:rsidRPr="00C35060">
        <w:t>Insert:</w:t>
      </w:r>
    </w:p>
    <w:p w14:paraId="3F3C441D" w14:textId="77777777" w:rsidR="00B10753" w:rsidRPr="00C35060" w:rsidRDefault="00B10753" w:rsidP="00C35060">
      <w:pPr>
        <w:pStyle w:val="Definition"/>
      </w:pPr>
      <w:r w:rsidRPr="00C35060">
        <w:rPr>
          <w:b/>
          <w:i/>
        </w:rPr>
        <w:t>quarter</w:t>
      </w:r>
      <w:r w:rsidRPr="00C35060">
        <w:t xml:space="preserve"> means a period of 3 months ending on 31 March, 30 June, 30 September or 31 December.</w:t>
      </w:r>
    </w:p>
    <w:p w14:paraId="060DDF2F" w14:textId="77777777" w:rsidR="00B10753" w:rsidRPr="00C35060" w:rsidRDefault="00C81867" w:rsidP="00C35060">
      <w:pPr>
        <w:pStyle w:val="ItemHead"/>
      </w:pPr>
      <w:r w:rsidRPr="00C35060">
        <w:t>2</w:t>
      </w:r>
      <w:r w:rsidR="00B10753" w:rsidRPr="00C35060">
        <w:t xml:space="preserve">  At the end of subsection 69(1)</w:t>
      </w:r>
    </w:p>
    <w:p w14:paraId="5D37CEF6" w14:textId="77777777" w:rsidR="00B10753" w:rsidRPr="00C35060" w:rsidRDefault="00B10753" w:rsidP="00C35060">
      <w:pPr>
        <w:pStyle w:val="Item"/>
      </w:pPr>
      <w:r w:rsidRPr="00C35060">
        <w:t>Add:</w:t>
      </w:r>
    </w:p>
    <w:p w14:paraId="410B98BF" w14:textId="77777777" w:rsidR="00B10753" w:rsidRPr="00C35060" w:rsidRDefault="00B10753" w:rsidP="00C35060">
      <w:pPr>
        <w:pStyle w:val="paragraph"/>
      </w:pPr>
      <w:r w:rsidRPr="00C35060">
        <w:tab/>
        <w:t>; or (e)</w:t>
      </w:r>
      <w:r w:rsidRPr="00C35060">
        <w:tab/>
        <w:t>for excise equivalent goods—in respect of a quarter, if the person is an eligible business entity.</w:t>
      </w:r>
    </w:p>
    <w:p w14:paraId="74EFA802" w14:textId="77777777" w:rsidR="00B10753" w:rsidRPr="00C35060" w:rsidRDefault="00C81867" w:rsidP="00C35060">
      <w:pPr>
        <w:pStyle w:val="ItemHead"/>
      </w:pPr>
      <w:r w:rsidRPr="00C35060">
        <w:t>3</w:t>
      </w:r>
      <w:r w:rsidR="00B10753" w:rsidRPr="00C35060">
        <w:t xml:space="preserve">  After subsection 69(7)</w:t>
      </w:r>
    </w:p>
    <w:p w14:paraId="290D3FA7" w14:textId="77777777" w:rsidR="00B10753" w:rsidRPr="00C35060" w:rsidRDefault="00B10753" w:rsidP="00C35060">
      <w:pPr>
        <w:pStyle w:val="Item"/>
      </w:pPr>
      <w:r w:rsidRPr="00C35060">
        <w:t>Insert:</w:t>
      </w:r>
    </w:p>
    <w:p w14:paraId="7C4FA4EF" w14:textId="77777777" w:rsidR="00B10753" w:rsidRPr="00C35060" w:rsidRDefault="00B10753" w:rsidP="00C35060">
      <w:pPr>
        <w:pStyle w:val="subsection"/>
      </w:pPr>
      <w:r w:rsidRPr="00C35060">
        <w:tab/>
        <w:t>(7A)</w:t>
      </w:r>
      <w:r w:rsidRPr="00C35060">
        <w:tab/>
        <w:t>If a permission is to apply in respect of a quarter, the notice must specify the quarter from which permission is given.</w:t>
      </w:r>
    </w:p>
    <w:p w14:paraId="167758AB" w14:textId="77777777" w:rsidR="00B10753" w:rsidRPr="00C35060" w:rsidRDefault="00C81867" w:rsidP="00C35060">
      <w:pPr>
        <w:pStyle w:val="ItemHead"/>
      </w:pPr>
      <w:r w:rsidRPr="00C35060">
        <w:t>4</w:t>
      </w:r>
      <w:r w:rsidR="00B10753" w:rsidRPr="00C35060">
        <w:t xml:space="preserve">  After paragraph 69(8)(d)</w:t>
      </w:r>
    </w:p>
    <w:p w14:paraId="7B9144B3" w14:textId="77777777" w:rsidR="00B10753" w:rsidRPr="00C35060" w:rsidRDefault="00B10753" w:rsidP="00C35060">
      <w:pPr>
        <w:pStyle w:val="Item"/>
      </w:pPr>
      <w:r w:rsidRPr="00C35060">
        <w:t>Insert:</w:t>
      </w:r>
    </w:p>
    <w:p w14:paraId="0F058A28" w14:textId="77777777" w:rsidR="00B10753" w:rsidRPr="00C35060" w:rsidRDefault="00B10753" w:rsidP="00C35060">
      <w:pPr>
        <w:pStyle w:val="paragraph"/>
      </w:pPr>
      <w:r w:rsidRPr="00C35060">
        <w:tab/>
        <w:t>(da)</w:t>
      </w:r>
      <w:r w:rsidRPr="00C35060">
        <w:tab/>
        <w:t>if a person is an eligible business entity and the person’s permission applies in respect of a quarter—the condition that the person give the Collector a return, by way of a document or electronically, on or before:</w:t>
      </w:r>
    </w:p>
    <w:p w14:paraId="6291CF36" w14:textId="77777777" w:rsidR="00B10753" w:rsidRPr="00C35060" w:rsidRDefault="00B10753" w:rsidP="00C35060">
      <w:pPr>
        <w:pStyle w:val="paragraphsub"/>
      </w:pPr>
      <w:r w:rsidRPr="00C35060">
        <w:tab/>
        <w:t>(</w:t>
      </w:r>
      <w:proofErr w:type="spellStart"/>
      <w:r w:rsidRPr="00C35060">
        <w:t>i</w:t>
      </w:r>
      <w:proofErr w:type="spellEnd"/>
      <w:r w:rsidRPr="00C35060">
        <w:t>)</w:t>
      </w:r>
      <w:r w:rsidRPr="00C35060">
        <w:tab/>
        <w:t>for a quarter ending on 31 March, 30 June or 30 September—the 28th day after the end of the quarter; and</w:t>
      </w:r>
    </w:p>
    <w:p w14:paraId="0EC72AAE" w14:textId="77777777" w:rsidR="00B10753" w:rsidRPr="00C35060" w:rsidRDefault="00B10753" w:rsidP="00C35060">
      <w:pPr>
        <w:pStyle w:val="paragraphsub"/>
      </w:pPr>
      <w:r w:rsidRPr="00C35060">
        <w:tab/>
        <w:t>(ii)</w:t>
      </w:r>
      <w:r w:rsidRPr="00C35060">
        <w:tab/>
        <w:t>for a quarter ending on 31 December—the 28th day of the February after the end of the quarter;</w:t>
      </w:r>
    </w:p>
    <w:p w14:paraId="09BD0372" w14:textId="77777777" w:rsidR="00B10753" w:rsidRPr="00C35060" w:rsidRDefault="00B10753" w:rsidP="00C35060">
      <w:pPr>
        <w:pStyle w:val="paragraph"/>
      </w:pPr>
      <w:r w:rsidRPr="00C35060">
        <w:tab/>
      </w:r>
      <w:r w:rsidRPr="00C35060">
        <w:tab/>
        <w:t>providing particulars in accordance with section 71K or 71L in relation to the excise equivalent goods that have, during the quarter, been delivered into home consumption under the permission;</w:t>
      </w:r>
    </w:p>
    <w:p w14:paraId="3339E2AA" w14:textId="77777777" w:rsidR="00B10753" w:rsidRPr="00C35060" w:rsidRDefault="00C81867" w:rsidP="00C35060">
      <w:pPr>
        <w:pStyle w:val="ItemHead"/>
      </w:pPr>
      <w:r w:rsidRPr="00C35060">
        <w:t>5</w:t>
      </w:r>
      <w:r w:rsidR="00B10753" w:rsidRPr="00C35060">
        <w:t xml:space="preserve">  Subsection 69(8) (note)</w:t>
      </w:r>
    </w:p>
    <w:p w14:paraId="4EB95AB7" w14:textId="77777777" w:rsidR="00B10753" w:rsidRPr="00C35060" w:rsidRDefault="00B10753" w:rsidP="00C35060">
      <w:pPr>
        <w:pStyle w:val="Item"/>
      </w:pPr>
      <w:r w:rsidRPr="00C35060">
        <w:t>Omit “and (d)”, substitute “, (d) and (da)”.</w:t>
      </w:r>
    </w:p>
    <w:p w14:paraId="37D9F8D8" w14:textId="77777777" w:rsidR="00B10753" w:rsidRPr="00C35060" w:rsidRDefault="00C81867" w:rsidP="00C35060">
      <w:pPr>
        <w:pStyle w:val="ItemHead"/>
      </w:pPr>
      <w:r w:rsidRPr="00C35060">
        <w:t>6</w:t>
      </w:r>
      <w:r w:rsidR="00B10753" w:rsidRPr="00C35060">
        <w:t xml:space="preserve">  Subsection 69(9)</w:t>
      </w:r>
    </w:p>
    <w:p w14:paraId="402C528E" w14:textId="77777777" w:rsidR="00B10753" w:rsidRPr="00C35060" w:rsidRDefault="00B10753" w:rsidP="00C35060">
      <w:pPr>
        <w:pStyle w:val="Item"/>
      </w:pPr>
      <w:r w:rsidRPr="00C35060">
        <w:t>Omit “and (d)”, substitute “, (d) and (da)”.</w:t>
      </w:r>
    </w:p>
    <w:p w14:paraId="7F67F47D" w14:textId="77777777" w:rsidR="00B10753" w:rsidRPr="00C35060" w:rsidRDefault="00C81867" w:rsidP="00C35060">
      <w:pPr>
        <w:pStyle w:val="ItemHead"/>
      </w:pPr>
      <w:r w:rsidRPr="00C35060">
        <w:t>7</w:t>
      </w:r>
      <w:r w:rsidR="00B10753" w:rsidRPr="00C35060">
        <w:t xml:space="preserve">  Paragraph 69(13)(b)</w:t>
      </w:r>
    </w:p>
    <w:p w14:paraId="521B569F" w14:textId="77777777" w:rsidR="00B10753" w:rsidRPr="00C35060" w:rsidRDefault="00B10753" w:rsidP="00C35060">
      <w:pPr>
        <w:pStyle w:val="Item"/>
      </w:pPr>
      <w:r w:rsidRPr="00C35060">
        <w:t>After “calendar month”, insert “or a quarter”.</w:t>
      </w:r>
    </w:p>
    <w:p w14:paraId="7DD6EB4C" w14:textId="77777777" w:rsidR="00B10753" w:rsidRPr="00C35060" w:rsidRDefault="00B10753" w:rsidP="00C35060">
      <w:pPr>
        <w:pStyle w:val="ActHead9"/>
        <w:rPr>
          <w:i w:val="0"/>
        </w:rPr>
      </w:pPr>
      <w:bookmarkStart w:id="37" w:name="_Toc138850333"/>
      <w:r w:rsidRPr="00C35060">
        <w:t>Excise Act 1901</w:t>
      </w:r>
      <w:bookmarkEnd w:id="37"/>
    </w:p>
    <w:p w14:paraId="390DC523" w14:textId="77777777" w:rsidR="00B10753" w:rsidRPr="00C35060" w:rsidRDefault="00C81867" w:rsidP="00C35060">
      <w:pPr>
        <w:pStyle w:val="ItemHead"/>
      </w:pPr>
      <w:r w:rsidRPr="00C35060">
        <w:t>8</w:t>
      </w:r>
      <w:r w:rsidR="00B10753" w:rsidRPr="00C35060">
        <w:t xml:space="preserve">  Subsection 4(1)</w:t>
      </w:r>
    </w:p>
    <w:p w14:paraId="60509360" w14:textId="77777777" w:rsidR="00B10753" w:rsidRPr="00C35060" w:rsidRDefault="00B10753" w:rsidP="00C35060">
      <w:pPr>
        <w:pStyle w:val="Item"/>
      </w:pPr>
      <w:r w:rsidRPr="00C35060">
        <w:t>Insert:</w:t>
      </w:r>
    </w:p>
    <w:p w14:paraId="0E32A48B" w14:textId="77777777" w:rsidR="00B10753" w:rsidRPr="00C35060" w:rsidRDefault="00B10753" w:rsidP="00C35060">
      <w:pPr>
        <w:pStyle w:val="Definition"/>
      </w:pPr>
      <w:r w:rsidRPr="00C35060">
        <w:rPr>
          <w:b/>
          <w:i/>
        </w:rPr>
        <w:t>quarter</w:t>
      </w:r>
      <w:r w:rsidRPr="00C35060">
        <w:t xml:space="preserve"> means a period of 3 months ending on 31 March, 30 June, 30 September or 31 December.</w:t>
      </w:r>
    </w:p>
    <w:p w14:paraId="47DF13BB" w14:textId="77777777" w:rsidR="00B10753" w:rsidRPr="00C35060" w:rsidRDefault="00C81867" w:rsidP="00C35060">
      <w:pPr>
        <w:pStyle w:val="ItemHead"/>
      </w:pPr>
      <w:r w:rsidRPr="00C35060">
        <w:t>9</w:t>
      </w:r>
      <w:r w:rsidR="00B10753" w:rsidRPr="00C35060">
        <w:t xml:space="preserve">  At the end of subsection 61C(1)</w:t>
      </w:r>
    </w:p>
    <w:p w14:paraId="5404BF5B" w14:textId="77777777" w:rsidR="00B10753" w:rsidRPr="00C35060" w:rsidRDefault="00B10753" w:rsidP="00C35060">
      <w:pPr>
        <w:pStyle w:val="Item"/>
      </w:pPr>
      <w:r w:rsidRPr="00C35060">
        <w:t>Add:</w:t>
      </w:r>
    </w:p>
    <w:p w14:paraId="552DD867" w14:textId="77777777" w:rsidR="00B10753" w:rsidRPr="00C35060" w:rsidRDefault="00B10753" w:rsidP="00C35060">
      <w:pPr>
        <w:pStyle w:val="paragraph"/>
      </w:pPr>
      <w:r w:rsidRPr="00C35060">
        <w:tab/>
        <w:t>; or (c)</w:t>
      </w:r>
      <w:r w:rsidRPr="00C35060">
        <w:tab/>
        <w:t>in respect of a quarter if:</w:t>
      </w:r>
    </w:p>
    <w:p w14:paraId="5AD3D928" w14:textId="77777777" w:rsidR="00B10753" w:rsidRPr="00C35060" w:rsidRDefault="00B10753" w:rsidP="00C35060">
      <w:pPr>
        <w:pStyle w:val="paragraphsub"/>
      </w:pPr>
      <w:r w:rsidRPr="00C35060">
        <w:tab/>
        <w:t>(</w:t>
      </w:r>
      <w:proofErr w:type="spellStart"/>
      <w:r w:rsidRPr="00C35060">
        <w:t>i</w:t>
      </w:r>
      <w:proofErr w:type="spellEnd"/>
      <w:r w:rsidRPr="00C35060">
        <w:t>)</w:t>
      </w:r>
      <w:r w:rsidRPr="00C35060">
        <w:tab/>
        <w:t xml:space="preserve">the goods are classified to item 1, 2, 3, 10, 15, 20 or 21 of the Schedule to the </w:t>
      </w:r>
      <w:r w:rsidRPr="00C35060">
        <w:rPr>
          <w:i/>
        </w:rPr>
        <w:t>Excise Tariff Act 1921</w:t>
      </w:r>
      <w:r w:rsidRPr="00C35060">
        <w:t>; and</w:t>
      </w:r>
    </w:p>
    <w:p w14:paraId="0C3EC966" w14:textId="77777777" w:rsidR="00B10753" w:rsidRPr="00C35060" w:rsidRDefault="00B10753" w:rsidP="00C35060">
      <w:pPr>
        <w:pStyle w:val="paragraphsub"/>
      </w:pPr>
      <w:r w:rsidRPr="00C35060">
        <w:tab/>
        <w:t>(ii)</w:t>
      </w:r>
      <w:r w:rsidRPr="00C35060">
        <w:tab/>
        <w:t>the person is an eligible business entity.</w:t>
      </w:r>
    </w:p>
    <w:p w14:paraId="5FC0F6D0" w14:textId="77777777" w:rsidR="00B10753" w:rsidRPr="00C35060" w:rsidRDefault="00C81867" w:rsidP="00C35060">
      <w:pPr>
        <w:pStyle w:val="ItemHead"/>
      </w:pPr>
      <w:r w:rsidRPr="00C35060">
        <w:t>10</w:t>
      </w:r>
      <w:r w:rsidR="00B10753" w:rsidRPr="00C35060">
        <w:t xml:space="preserve">  After subsection 61C(1E)</w:t>
      </w:r>
    </w:p>
    <w:p w14:paraId="08C98293" w14:textId="77777777" w:rsidR="00B10753" w:rsidRPr="00C35060" w:rsidRDefault="00B10753" w:rsidP="00C35060">
      <w:pPr>
        <w:pStyle w:val="Item"/>
      </w:pPr>
      <w:r w:rsidRPr="00C35060">
        <w:t>Insert:</w:t>
      </w:r>
    </w:p>
    <w:p w14:paraId="35A3024B" w14:textId="77777777" w:rsidR="00B10753" w:rsidRPr="00C35060" w:rsidRDefault="00B10753" w:rsidP="00C35060">
      <w:pPr>
        <w:pStyle w:val="subsection"/>
      </w:pPr>
      <w:r w:rsidRPr="00C35060">
        <w:tab/>
        <w:t>(1F)</w:t>
      </w:r>
      <w:r w:rsidRPr="00C35060">
        <w:tab/>
        <w:t>If a permission is to apply in respect of a quarter, the notice must specify the quarter from which permission is given.</w:t>
      </w:r>
    </w:p>
    <w:p w14:paraId="499BB643" w14:textId="77777777" w:rsidR="00B10753" w:rsidRPr="00C35060" w:rsidRDefault="00C81867" w:rsidP="00C35060">
      <w:pPr>
        <w:pStyle w:val="ItemHead"/>
      </w:pPr>
      <w:r w:rsidRPr="00C35060">
        <w:t>11</w:t>
      </w:r>
      <w:r w:rsidR="00B10753" w:rsidRPr="00C35060">
        <w:t xml:space="preserve">  After paragraph 61C(3)(d)</w:t>
      </w:r>
    </w:p>
    <w:p w14:paraId="75ABF8F6" w14:textId="77777777" w:rsidR="00B10753" w:rsidRPr="00C35060" w:rsidRDefault="00B10753" w:rsidP="00C35060">
      <w:pPr>
        <w:pStyle w:val="Item"/>
      </w:pPr>
      <w:r w:rsidRPr="00C35060">
        <w:t>Insert:</w:t>
      </w:r>
    </w:p>
    <w:p w14:paraId="617AE04A" w14:textId="77777777" w:rsidR="00B10753" w:rsidRPr="00C35060" w:rsidRDefault="00B10753" w:rsidP="00C35060">
      <w:pPr>
        <w:pStyle w:val="paragraph"/>
      </w:pPr>
      <w:r w:rsidRPr="00C35060">
        <w:tab/>
        <w:t>(da)</w:t>
      </w:r>
      <w:r w:rsidRPr="00C35060">
        <w:tab/>
        <w:t>if the person is an eligible business entity and the person’s permission applies in respect of a quarter—the condition that the person give the Collector a return, in an approved form, on or before:</w:t>
      </w:r>
    </w:p>
    <w:p w14:paraId="41FB5884" w14:textId="77777777" w:rsidR="00B10753" w:rsidRPr="00C35060" w:rsidRDefault="00B10753" w:rsidP="00C35060">
      <w:pPr>
        <w:pStyle w:val="paragraphsub"/>
      </w:pPr>
      <w:r w:rsidRPr="00C35060">
        <w:tab/>
        <w:t>(</w:t>
      </w:r>
      <w:proofErr w:type="spellStart"/>
      <w:r w:rsidRPr="00C35060">
        <w:t>i</w:t>
      </w:r>
      <w:proofErr w:type="spellEnd"/>
      <w:r w:rsidRPr="00C35060">
        <w:t>)</w:t>
      </w:r>
      <w:r w:rsidRPr="00C35060">
        <w:tab/>
        <w:t>for a quarter ending on 31 March, 30 June or 30 September—the 28th day after the end of the quarter; and</w:t>
      </w:r>
    </w:p>
    <w:p w14:paraId="627F8D6D" w14:textId="77777777" w:rsidR="00B10753" w:rsidRPr="00C35060" w:rsidRDefault="00B10753" w:rsidP="00C35060">
      <w:pPr>
        <w:pStyle w:val="paragraphsub"/>
      </w:pPr>
      <w:r w:rsidRPr="00C35060">
        <w:tab/>
        <w:t>(ii)</w:t>
      </w:r>
      <w:r w:rsidRPr="00C35060">
        <w:tab/>
        <w:t>for a quarter ending on 31 December—the 28th day of the February after the end of the quarter;</w:t>
      </w:r>
    </w:p>
    <w:p w14:paraId="526187C2" w14:textId="77777777" w:rsidR="00B10753" w:rsidRPr="00C35060" w:rsidRDefault="00B10753" w:rsidP="00C35060">
      <w:pPr>
        <w:pStyle w:val="paragraph"/>
      </w:pPr>
      <w:r w:rsidRPr="00C35060">
        <w:tab/>
      </w:r>
      <w:r w:rsidRPr="00C35060">
        <w:tab/>
        <w:t>providing particulars in relation to the goods that have, during the quarter, been delivered into home consumption under the permission;</w:t>
      </w:r>
    </w:p>
    <w:p w14:paraId="02A1EC4E" w14:textId="77777777" w:rsidR="00B10753" w:rsidRPr="00C35060" w:rsidRDefault="00C81867" w:rsidP="00C35060">
      <w:pPr>
        <w:pStyle w:val="ItemHead"/>
      </w:pPr>
      <w:r w:rsidRPr="00C35060">
        <w:t>12</w:t>
      </w:r>
      <w:r w:rsidR="00B10753" w:rsidRPr="00C35060">
        <w:t xml:space="preserve">  Subsection 61C(3A)</w:t>
      </w:r>
    </w:p>
    <w:p w14:paraId="18F3231C" w14:textId="77777777" w:rsidR="00B10753" w:rsidRPr="00C35060" w:rsidRDefault="00B10753" w:rsidP="00C35060">
      <w:pPr>
        <w:pStyle w:val="Item"/>
      </w:pPr>
      <w:r w:rsidRPr="00C35060">
        <w:t>Omit “and (d)”, substitute “, (d) and (da)”.</w:t>
      </w:r>
    </w:p>
    <w:p w14:paraId="4296BA8C" w14:textId="77777777" w:rsidR="00B10753" w:rsidRPr="00C35060" w:rsidRDefault="00C81867" w:rsidP="00C35060">
      <w:pPr>
        <w:pStyle w:val="ItemHead"/>
      </w:pPr>
      <w:r w:rsidRPr="00C35060">
        <w:t>13</w:t>
      </w:r>
      <w:r w:rsidR="00B10753" w:rsidRPr="00C35060">
        <w:t xml:space="preserve">  Paragraph 61C(8)(b)</w:t>
      </w:r>
    </w:p>
    <w:p w14:paraId="2B7F6161" w14:textId="77777777" w:rsidR="00B10753" w:rsidRPr="00C35060" w:rsidRDefault="00B10753" w:rsidP="00C35060">
      <w:pPr>
        <w:pStyle w:val="Item"/>
      </w:pPr>
      <w:r w:rsidRPr="00C35060">
        <w:t>After “calendar month”, insert “or a quarter”.</w:t>
      </w:r>
    </w:p>
    <w:p w14:paraId="50C79BE1" w14:textId="77777777" w:rsidR="00B10753" w:rsidRPr="00C35060" w:rsidRDefault="00B10753" w:rsidP="00C35060">
      <w:pPr>
        <w:pStyle w:val="ActHead9"/>
        <w:rPr>
          <w:i w:val="0"/>
        </w:rPr>
      </w:pPr>
      <w:bookmarkStart w:id="38" w:name="_Toc138850334"/>
      <w:r w:rsidRPr="00C35060">
        <w:t>Income Tax Assessment Act 1997</w:t>
      </w:r>
      <w:bookmarkEnd w:id="38"/>
    </w:p>
    <w:p w14:paraId="14B3F82F" w14:textId="77777777" w:rsidR="00B10753" w:rsidRPr="00C35060" w:rsidRDefault="00C81867" w:rsidP="00C35060">
      <w:pPr>
        <w:pStyle w:val="ItemHead"/>
      </w:pPr>
      <w:r w:rsidRPr="00C35060">
        <w:t>14</w:t>
      </w:r>
      <w:r w:rsidR="00B10753" w:rsidRPr="00C35060">
        <w:t xml:space="preserve">  Subsection 328</w:t>
      </w:r>
      <w:r w:rsidR="00C35060">
        <w:noBreakHyphen/>
      </w:r>
      <w:r w:rsidR="00B10753" w:rsidRPr="00C35060">
        <w:t>110(1) (notes 1, 2, and 3)</w:t>
      </w:r>
    </w:p>
    <w:p w14:paraId="5744D6B3" w14:textId="77777777" w:rsidR="00B10753" w:rsidRPr="00C35060" w:rsidRDefault="00B10753" w:rsidP="00C35060">
      <w:pPr>
        <w:pStyle w:val="Item"/>
      </w:pPr>
      <w:r w:rsidRPr="00C35060">
        <w:t>Repeal the notes, substitute:</w:t>
      </w:r>
    </w:p>
    <w:p w14:paraId="06ED70A4" w14:textId="77777777" w:rsidR="00B10753" w:rsidRPr="00C35060" w:rsidRDefault="00B10753" w:rsidP="00C35060">
      <w:pPr>
        <w:pStyle w:val="notetext"/>
      </w:pPr>
      <w:r w:rsidRPr="00C35060">
        <w:t>Note 1:</w:t>
      </w:r>
      <w:r w:rsidRPr="00C35060">
        <w:tab/>
        <w:t>The $10 million thresholds in this subsection and in subsections (3) and (4) have been increased to $50 million for certain concessions (for example, see subsection 328</w:t>
      </w:r>
      <w:r w:rsidR="00C35060">
        <w:noBreakHyphen/>
      </w:r>
      <w:r w:rsidRPr="00C35060">
        <w:t>285(2)).</w:t>
      </w:r>
    </w:p>
    <w:p w14:paraId="5E06EE5C" w14:textId="77777777" w:rsidR="00B10753" w:rsidRPr="00C35060" w:rsidRDefault="00B10753" w:rsidP="00C35060">
      <w:pPr>
        <w:pStyle w:val="notetext"/>
      </w:pPr>
      <w:r w:rsidRPr="00C35060">
        <w:t>Note 2:</w:t>
      </w:r>
      <w:r w:rsidRPr="00C35060">
        <w:tab/>
        <w:t>If you are or would (if the $10 million thresholds in this subsection and subsection (3) were increased to $50 million) be a small business entity for an income year, you may apply for permission:</w:t>
      </w:r>
    </w:p>
    <w:p w14:paraId="4AF334C2" w14:textId="77777777" w:rsidR="00B10753" w:rsidRPr="00C35060" w:rsidRDefault="00B10753" w:rsidP="00C35060">
      <w:pPr>
        <w:pStyle w:val="notepara"/>
      </w:pPr>
      <w:r w:rsidRPr="00C35060">
        <w:t>(a)</w:t>
      </w:r>
      <w:r w:rsidRPr="00C35060">
        <w:tab/>
        <w:t xml:space="preserve">under section 61C of the </w:t>
      </w:r>
      <w:r w:rsidRPr="00C35060">
        <w:rPr>
          <w:i/>
        </w:rPr>
        <w:t>Excise Act 1901</w:t>
      </w:r>
      <w:r w:rsidRPr="00C35060">
        <w:t xml:space="preserve"> to deliver goods for home consumption (without entering them for that purpose) in respect of a calendar month or a quarter; or</w:t>
      </w:r>
    </w:p>
    <w:p w14:paraId="6F3BE18C" w14:textId="77777777" w:rsidR="00B10753" w:rsidRPr="00C35060" w:rsidRDefault="00B10753" w:rsidP="00C35060">
      <w:pPr>
        <w:pStyle w:val="notepara"/>
      </w:pPr>
      <w:r w:rsidRPr="00C35060">
        <w:t>(b)</w:t>
      </w:r>
      <w:r w:rsidRPr="00C35060">
        <w:tab/>
        <w:t xml:space="preserve">under section 69 of the </w:t>
      </w:r>
      <w:r w:rsidRPr="00C35060">
        <w:rPr>
          <w:i/>
        </w:rPr>
        <w:t>Customs Act 1901</w:t>
      </w:r>
      <w:r w:rsidRPr="00C35060">
        <w:t xml:space="preserve"> to deliver like customable goods or excise</w:t>
      </w:r>
      <w:r w:rsidR="00C35060">
        <w:noBreakHyphen/>
      </w:r>
      <w:r w:rsidRPr="00C35060">
        <w:t>equivalent goods into home consumption (without entering them for that purpose) in respect of a calendar month or, for excise</w:t>
      </w:r>
      <w:r w:rsidR="00C35060">
        <w:noBreakHyphen/>
      </w:r>
      <w:r w:rsidRPr="00C35060">
        <w:t>equivalent goods, a quarter.</w:t>
      </w:r>
    </w:p>
    <w:p w14:paraId="6748A75A" w14:textId="77777777" w:rsidR="00B10753" w:rsidRPr="00C35060" w:rsidRDefault="00C81867" w:rsidP="00C35060">
      <w:pPr>
        <w:pStyle w:val="ItemHead"/>
      </w:pPr>
      <w:r w:rsidRPr="00C35060">
        <w:t>15</w:t>
      </w:r>
      <w:r w:rsidR="00B10753" w:rsidRPr="00C35060">
        <w:t xml:space="preserve">  Subsection 328</w:t>
      </w:r>
      <w:r w:rsidR="00C35060">
        <w:noBreakHyphen/>
      </w:r>
      <w:r w:rsidR="00B10753" w:rsidRPr="00C35060">
        <w:t>110(4) (paragraph (e) of the note)</w:t>
      </w:r>
    </w:p>
    <w:p w14:paraId="69490C52" w14:textId="77777777" w:rsidR="00B10753" w:rsidRPr="00C35060" w:rsidRDefault="00B10753" w:rsidP="00C35060">
      <w:pPr>
        <w:pStyle w:val="Item"/>
      </w:pPr>
      <w:r w:rsidRPr="00C35060">
        <w:t>After “calendar month”, insert “or a quarter”.</w:t>
      </w:r>
    </w:p>
    <w:p w14:paraId="326AA3D2" w14:textId="77777777" w:rsidR="00B10753" w:rsidRPr="00C35060" w:rsidRDefault="00C81867" w:rsidP="00C35060">
      <w:pPr>
        <w:pStyle w:val="ItemHead"/>
      </w:pPr>
      <w:r w:rsidRPr="00C35060">
        <w:t>16</w:t>
      </w:r>
      <w:r w:rsidR="00B10753" w:rsidRPr="00C35060">
        <w:t xml:space="preserve">  Subsection 328</w:t>
      </w:r>
      <w:r w:rsidR="00C35060">
        <w:noBreakHyphen/>
      </w:r>
      <w:r w:rsidR="00B10753" w:rsidRPr="00C35060">
        <w:t>110(4) (paragraph (f) of the note)</w:t>
      </w:r>
    </w:p>
    <w:p w14:paraId="401B76B2" w14:textId="77777777" w:rsidR="00B10753" w:rsidRPr="00C35060" w:rsidRDefault="00B10753" w:rsidP="00C35060">
      <w:pPr>
        <w:pStyle w:val="Item"/>
      </w:pPr>
      <w:r w:rsidRPr="00C35060">
        <w:t>After “calendar month”, insert “or, for excise</w:t>
      </w:r>
      <w:r w:rsidR="00C35060">
        <w:noBreakHyphen/>
      </w:r>
      <w:r w:rsidRPr="00C35060">
        <w:t>equivalent goods, a quarter”.</w:t>
      </w:r>
    </w:p>
    <w:p w14:paraId="78A56879" w14:textId="77777777" w:rsidR="00B10753" w:rsidRPr="00C35060" w:rsidRDefault="00B10753" w:rsidP="00C35060">
      <w:pPr>
        <w:pStyle w:val="ActHead9"/>
        <w:rPr>
          <w:i w:val="0"/>
        </w:rPr>
      </w:pPr>
      <w:bookmarkStart w:id="39" w:name="_Toc138850335"/>
      <w:r w:rsidRPr="00C35060">
        <w:t>Taxation Administration Act 1953</w:t>
      </w:r>
      <w:bookmarkEnd w:id="39"/>
    </w:p>
    <w:p w14:paraId="7CA5D3AD" w14:textId="77777777" w:rsidR="00B10753" w:rsidRPr="00C35060" w:rsidRDefault="00C81867" w:rsidP="00C35060">
      <w:pPr>
        <w:pStyle w:val="ItemHead"/>
      </w:pPr>
      <w:r w:rsidRPr="00C35060">
        <w:t>17</w:t>
      </w:r>
      <w:r w:rsidR="00B10753" w:rsidRPr="00C35060">
        <w:t xml:space="preserve">  Subsection 155</w:t>
      </w:r>
      <w:r w:rsidR="00C35060">
        <w:noBreakHyphen/>
      </w:r>
      <w:r w:rsidR="00B10753" w:rsidRPr="00C35060">
        <w:t>15(1) in Schedule 1 (table item 3, column 3, paragraph (a))</w:t>
      </w:r>
    </w:p>
    <w:p w14:paraId="00B69F71" w14:textId="77777777" w:rsidR="00B10753" w:rsidRPr="00C35060" w:rsidRDefault="00B10753" w:rsidP="00C35060">
      <w:pPr>
        <w:pStyle w:val="Item"/>
      </w:pPr>
      <w:r w:rsidRPr="00C35060">
        <w:t>Omit “or (c)”, substitute “, (c) or (da)”.</w:t>
      </w:r>
    </w:p>
    <w:p w14:paraId="790F74CF" w14:textId="77777777" w:rsidR="008D3E94" w:rsidRPr="00C35060" w:rsidRDefault="00B2793A" w:rsidP="00C35060">
      <w:pPr>
        <w:pStyle w:val="ActHead6"/>
        <w:pageBreakBefore/>
      </w:pPr>
      <w:bookmarkStart w:id="40" w:name="_Toc138850336"/>
      <w:r w:rsidRPr="00DF1F24">
        <w:rPr>
          <w:rStyle w:val="CharAmSchNo"/>
        </w:rPr>
        <w:t>Schedule 5</w:t>
      </w:r>
      <w:r w:rsidR="00064F1E" w:rsidRPr="00C35060">
        <w:t>—</w:t>
      </w:r>
      <w:r w:rsidR="00064F1E" w:rsidRPr="00DF1F24">
        <w:rPr>
          <w:rStyle w:val="CharAmSchText"/>
        </w:rPr>
        <w:t>Small</w:t>
      </w:r>
      <w:r w:rsidR="00C35060" w:rsidRPr="00DF1F24">
        <w:rPr>
          <w:rStyle w:val="CharAmSchText"/>
        </w:rPr>
        <w:noBreakHyphen/>
      </w:r>
      <w:r w:rsidR="00064F1E" w:rsidRPr="00DF1F24">
        <w:rPr>
          <w:rStyle w:val="CharAmSchText"/>
        </w:rPr>
        <w:t>scale repackaging of beer into smaller containers</w:t>
      </w:r>
      <w:bookmarkEnd w:id="40"/>
    </w:p>
    <w:p w14:paraId="61012355" w14:textId="77777777" w:rsidR="00165EAB" w:rsidRPr="00DF1F24" w:rsidRDefault="00165EAB" w:rsidP="00C35060">
      <w:pPr>
        <w:pStyle w:val="Header"/>
      </w:pPr>
      <w:r w:rsidRPr="00DF1F24">
        <w:rPr>
          <w:rStyle w:val="CharAmPartNo"/>
        </w:rPr>
        <w:t xml:space="preserve"> </w:t>
      </w:r>
      <w:r w:rsidRPr="00DF1F24">
        <w:rPr>
          <w:rStyle w:val="CharAmPartText"/>
        </w:rPr>
        <w:t xml:space="preserve"> </w:t>
      </w:r>
    </w:p>
    <w:p w14:paraId="03B55C1C" w14:textId="77777777" w:rsidR="00165EAB" w:rsidRPr="00C35060" w:rsidRDefault="00165EAB" w:rsidP="00C35060">
      <w:pPr>
        <w:pStyle w:val="ActHead9"/>
        <w:rPr>
          <w:i w:val="0"/>
        </w:rPr>
      </w:pPr>
      <w:bookmarkStart w:id="41" w:name="_Toc138850337"/>
      <w:r w:rsidRPr="00C35060">
        <w:t>Excise Act 1901</w:t>
      </w:r>
      <w:bookmarkEnd w:id="41"/>
    </w:p>
    <w:p w14:paraId="5F9B44AF" w14:textId="77777777" w:rsidR="00165EAB" w:rsidRPr="00C35060" w:rsidRDefault="00C81867" w:rsidP="00C35060">
      <w:pPr>
        <w:pStyle w:val="ItemHead"/>
      </w:pPr>
      <w:r w:rsidRPr="00C35060">
        <w:t>1</w:t>
      </w:r>
      <w:r w:rsidR="00165EAB" w:rsidRPr="00C35060">
        <w:t xml:space="preserve">  Section 77FC</w:t>
      </w:r>
    </w:p>
    <w:p w14:paraId="62A6D559" w14:textId="77777777" w:rsidR="00165EAB" w:rsidRPr="00C35060" w:rsidRDefault="00165EAB" w:rsidP="00C35060">
      <w:pPr>
        <w:pStyle w:val="Item"/>
      </w:pPr>
      <w:r w:rsidRPr="00C35060">
        <w:t>Before “If:”, insert “(1)”.</w:t>
      </w:r>
    </w:p>
    <w:p w14:paraId="3553A720" w14:textId="77777777" w:rsidR="00165EAB" w:rsidRPr="00C35060" w:rsidRDefault="00C81867" w:rsidP="00C35060">
      <w:pPr>
        <w:pStyle w:val="ItemHead"/>
      </w:pPr>
      <w:r w:rsidRPr="00C35060">
        <w:t>2</w:t>
      </w:r>
      <w:r w:rsidR="00165EAB" w:rsidRPr="00C35060">
        <w:t xml:space="preserve">  Section 77FC</w:t>
      </w:r>
    </w:p>
    <w:p w14:paraId="653F50C3" w14:textId="77777777" w:rsidR="00165EAB" w:rsidRPr="00C35060" w:rsidRDefault="00165EAB" w:rsidP="00C35060">
      <w:pPr>
        <w:pStyle w:val="Item"/>
      </w:pPr>
      <w:r w:rsidRPr="00C35060">
        <w:t>After “taken to be the manufacture of beer”, insert “(subject to subsection (2))”.</w:t>
      </w:r>
    </w:p>
    <w:p w14:paraId="490A3663" w14:textId="77777777" w:rsidR="00165EAB" w:rsidRPr="00C35060" w:rsidRDefault="00C81867" w:rsidP="00C35060">
      <w:pPr>
        <w:pStyle w:val="ItemHead"/>
      </w:pPr>
      <w:r w:rsidRPr="00C35060">
        <w:t>3</w:t>
      </w:r>
      <w:r w:rsidR="00165EAB" w:rsidRPr="00C35060">
        <w:t xml:space="preserve">  At the end of section 77FC</w:t>
      </w:r>
    </w:p>
    <w:p w14:paraId="27D53CDF" w14:textId="77777777" w:rsidR="00165EAB" w:rsidRPr="00C35060" w:rsidRDefault="00165EAB" w:rsidP="00C35060">
      <w:pPr>
        <w:pStyle w:val="Item"/>
      </w:pPr>
      <w:r w:rsidRPr="00C35060">
        <w:t>Add:</w:t>
      </w:r>
    </w:p>
    <w:p w14:paraId="3A8D06BC" w14:textId="77777777" w:rsidR="00165EAB" w:rsidRPr="00C35060" w:rsidRDefault="00165EAB" w:rsidP="00C35060">
      <w:pPr>
        <w:pStyle w:val="subsection"/>
      </w:pPr>
      <w:r w:rsidRPr="00C35060">
        <w:tab/>
        <w:t>(2)</w:t>
      </w:r>
      <w:r w:rsidRPr="00C35060">
        <w:tab/>
        <w:t>Subsection (1) does not apply in relation to the repackaging of the first 10,000 litres of beer, at particular premises in a financial year, in relation to which the following conditions are satisfied:</w:t>
      </w:r>
    </w:p>
    <w:p w14:paraId="4F483E53" w14:textId="77777777" w:rsidR="00165EAB" w:rsidRPr="00C35060" w:rsidRDefault="00165EAB" w:rsidP="00C35060">
      <w:pPr>
        <w:pStyle w:val="paragraph"/>
      </w:pPr>
      <w:r w:rsidRPr="00C35060">
        <w:tab/>
        <w:t>(a)</w:t>
      </w:r>
      <w:r w:rsidRPr="00C35060">
        <w:tab/>
        <w:t>the beer is repackaged into exempt beer containers for the purposes of retail sale;</w:t>
      </w:r>
    </w:p>
    <w:p w14:paraId="218BE2CD" w14:textId="77777777" w:rsidR="00165EAB" w:rsidRPr="00C35060" w:rsidRDefault="00165EAB" w:rsidP="00C35060">
      <w:pPr>
        <w:pStyle w:val="paragraph"/>
      </w:pPr>
      <w:r w:rsidRPr="00C35060">
        <w:tab/>
        <w:t>(b)</w:t>
      </w:r>
      <w:r w:rsidRPr="00C35060">
        <w:tab/>
        <w:t>the retail sale occurs immediately after the repackaging of the beer.</w:t>
      </w:r>
    </w:p>
    <w:p w14:paraId="0E88947D" w14:textId="77777777" w:rsidR="00165EAB" w:rsidRPr="00C35060" w:rsidRDefault="00165EAB" w:rsidP="00C35060">
      <w:pPr>
        <w:pStyle w:val="subsection"/>
      </w:pPr>
      <w:r w:rsidRPr="00C35060">
        <w:tab/>
        <w:t>(3)</w:t>
      </w:r>
      <w:r w:rsidRPr="00C35060">
        <w:tab/>
        <w:t xml:space="preserve">For the purposes of subsection (2), an </w:t>
      </w:r>
      <w:r w:rsidRPr="00C35060">
        <w:rPr>
          <w:b/>
          <w:i/>
        </w:rPr>
        <w:t>exempt beer container</w:t>
      </w:r>
      <w:r w:rsidRPr="00C35060">
        <w:t xml:space="preserve"> is a sealed individual container, of no more than 2 litres, that is not pressurised.</w:t>
      </w:r>
    </w:p>
    <w:p w14:paraId="28B533DD" w14:textId="77777777" w:rsidR="00165EAB" w:rsidRPr="00C35060" w:rsidRDefault="00C81867" w:rsidP="00C35060">
      <w:pPr>
        <w:pStyle w:val="Transitional"/>
      </w:pPr>
      <w:r w:rsidRPr="00C35060">
        <w:t>4</w:t>
      </w:r>
      <w:r w:rsidR="00165EAB" w:rsidRPr="00C35060">
        <w:t xml:space="preserve">  Application of amendments—repackaged beer</w:t>
      </w:r>
    </w:p>
    <w:p w14:paraId="4A935E75" w14:textId="77777777" w:rsidR="00165EAB" w:rsidRDefault="00165EAB" w:rsidP="00C35060">
      <w:pPr>
        <w:pStyle w:val="Item"/>
      </w:pPr>
      <w:r w:rsidRPr="00C35060">
        <w:t xml:space="preserve">Subsection 77FC(2) of the </w:t>
      </w:r>
      <w:r w:rsidRPr="00C35060">
        <w:rPr>
          <w:i/>
        </w:rPr>
        <w:t>Excise Act 1901</w:t>
      </w:r>
      <w:r w:rsidRPr="00C35060">
        <w:t>, as inserted by this Schedule, applies in relation to beer that is repackaged on or after the commencement of this item.</w:t>
      </w:r>
    </w:p>
    <w:p w14:paraId="5E528BF5" w14:textId="77777777" w:rsidR="008B1A99" w:rsidRDefault="008B1A99"/>
    <w:p w14:paraId="71A23E70" w14:textId="77777777" w:rsidR="004D3F4B" w:rsidRDefault="004D3F4B" w:rsidP="004D3F4B">
      <w:pPr>
        <w:pBdr>
          <w:bottom w:val="single" w:sz="4" w:space="1" w:color="auto"/>
        </w:pBdr>
        <w:sectPr w:rsidR="004D3F4B" w:rsidSect="004D3F4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21900379" w14:textId="77777777" w:rsidR="00FD3BA6" w:rsidRDefault="00FD3BA6" w:rsidP="000C5962">
      <w:pPr>
        <w:pStyle w:val="2ndRd"/>
        <w:keepNext/>
        <w:spacing w:line="260" w:lineRule="atLeast"/>
        <w:rPr>
          <w:i/>
        </w:rPr>
      </w:pPr>
      <w:r>
        <w:t>[</w:t>
      </w:r>
      <w:r>
        <w:rPr>
          <w:i/>
        </w:rPr>
        <w:t>Minister’s second reading speech made in—</w:t>
      </w:r>
    </w:p>
    <w:p w14:paraId="2CE20742" w14:textId="516EE59C" w:rsidR="00FD3BA6" w:rsidRDefault="00FD3BA6" w:rsidP="000C5962">
      <w:pPr>
        <w:pStyle w:val="2ndRd"/>
        <w:keepNext/>
        <w:spacing w:line="260" w:lineRule="atLeast"/>
        <w:rPr>
          <w:i/>
        </w:rPr>
      </w:pPr>
      <w:r>
        <w:rPr>
          <w:i/>
        </w:rPr>
        <w:t>House of Representatives on 22 March 2023</w:t>
      </w:r>
    </w:p>
    <w:p w14:paraId="763D41B2" w14:textId="5647D108" w:rsidR="00FD3BA6" w:rsidRDefault="00FD3BA6" w:rsidP="000C5962">
      <w:pPr>
        <w:pStyle w:val="2ndRd"/>
        <w:keepNext/>
        <w:spacing w:line="260" w:lineRule="atLeast"/>
        <w:rPr>
          <w:i/>
        </w:rPr>
      </w:pPr>
      <w:r>
        <w:rPr>
          <w:i/>
        </w:rPr>
        <w:t>Senate on 30 March 2023</w:t>
      </w:r>
      <w:r>
        <w:t>]</w:t>
      </w:r>
    </w:p>
    <w:p w14:paraId="270E37E3" w14:textId="18939769" w:rsidR="00FD3BA6" w:rsidRDefault="00FD3BA6" w:rsidP="00FD3BA6">
      <w:pPr>
        <w:framePr w:hSpace="180" w:wrap="around" w:vAnchor="text" w:hAnchor="page" w:x="2596" w:y="9245"/>
      </w:pPr>
      <w:r>
        <w:t>(28/23)</w:t>
      </w:r>
    </w:p>
    <w:p w14:paraId="54A9FE74" w14:textId="77777777" w:rsidR="00FD3BA6" w:rsidRDefault="00FD3BA6"/>
    <w:sectPr w:rsidR="00FD3BA6" w:rsidSect="004D3F4B">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2F07" w14:textId="77777777" w:rsidR="00C81867" w:rsidRDefault="00C81867" w:rsidP="0048364F">
      <w:pPr>
        <w:spacing w:line="240" w:lineRule="auto"/>
      </w:pPr>
      <w:r>
        <w:separator/>
      </w:r>
    </w:p>
  </w:endnote>
  <w:endnote w:type="continuationSeparator" w:id="0">
    <w:p w14:paraId="5BFC3791" w14:textId="77777777" w:rsidR="00C81867" w:rsidRDefault="00C8186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D69F" w14:textId="77777777" w:rsidR="00C81867" w:rsidRPr="005F1388" w:rsidRDefault="00C81867" w:rsidP="00C3506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CB77" w14:textId="68537D5E" w:rsidR="00FD3BA6" w:rsidRDefault="00FD3BA6" w:rsidP="00CD12A5">
    <w:pPr>
      <w:pStyle w:val="ScalePlusRef"/>
    </w:pPr>
    <w:r>
      <w:t>Note: An electronic version of this Act is available on the Federal Register of Legislation (</w:t>
    </w:r>
    <w:hyperlink r:id="rId1" w:history="1">
      <w:r>
        <w:t>https://www.legislation.gov.au/</w:t>
      </w:r>
    </w:hyperlink>
    <w:r>
      <w:t>)</w:t>
    </w:r>
  </w:p>
  <w:p w14:paraId="10F37EC8" w14:textId="77777777" w:rsidR="00FD3BA6" w:rsidRDefault="00FD3BA6" w:rsidP="00CD12A5"/>
  <w:p w14:paraId="1DD4CF06" w14:textId="29B2D40D" w:rsidR="00C81867" w:rsidRDefault="00C81867" w:rsidP="00C35060">
    <w:pPr>
      <w:pStyle w:val="Footer"/>
      <w:spacing w:before="120"/>
    </w:pPr>
  </w:p>
  <w:p w14:paraId="0816CE88" w14:textId="77777777" w:rsidR="00C81867" w:rsidRPr="005F1388" w:rsidRDefault="00C8186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C3D2" w14:textId="77777777" w:rsidR="00C81867" w:rsidRPr="00ED79B6" w:rsidRDefault="00C81867" w:rsidP="00C3506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BEBE" w14:textId="77777777" w:rsidR="00C81867" w:rsidRDefault="00C81867" w:rsidP="00C350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1867" w14:paraId="76A328A7" w14:textId="77777777" w:rsidTr="00E76C5C">
      <w:tc>
        <w:tcPr>
          <w:tcW w:w="646" w:type="dxa"/>
        </w:tcPr>
        <w:p w14:paraId="6E595C28" w14:textId="77777777" w:rsidR="00C81867" w:rsidRDefault="00C81867" w:rsidP="00E76C5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5316244" w14:textId="717EF61C" w:rsidR="00C81867" w:rsidRDefault="00C81867" w:rsidP="00E76C5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3BA6">
            <w:rPr>
              <w:i/>
              <w:sz w:val="18"/>
            </w:rPr>
            <w:t>Treasury Laws Amendment (Refining and Improving Our Tax System) Act 2023</w:t>
          </w:r>
          <w:r w:rsidRPr="00ED79B6">
            <w:rPr>
              <w:i/>
              <w:sz w:val="18"/>
            </w:rPr>
            <w:fldChar w:fldCharType="end"/>
          </w:r>
        </w:p>
      </w:tc>
      <w:tc>
        <w:tcPr>
          <w:tcW w:w="1270" w:type="dxa"/>
        </w:tcPr>
        <w:p w14:paraId="0293AEBD" w14:textId="7D567111" w:rsidR="00C81867" w:rsidRDefault="00C81867" w:rsidP="00E76C5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3BA6">
            <w:rPr>
              <w:i/>
              <w:sz w:val="18"/>
            </w:rPr>
            <w:t>No. 40, 2023</w:t>
          </w:r>
          <w:r w:rsidRPr="00ED79B6">
            <w:rPr>
              <w:i/>
              <w:sz w:val="18"/>
            </w:rPr>
            <w:fldChar w:fldCharType="end"/>
          </w:r>
        </w:p>
      </w:tc>
    </w:tr>
  </w:tbl>
  <w:p w14:paraId="6C5B7E03" w14:textId="77777777" w:rsidR="00C81867" w:rsidRDefault="00C818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A3CF" w14:textId="77777777" w:rsidR="00C81867" w:rsidRDefault="00C81867" w:rsidP="00C350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1867" w14:paraId="07237FB3" w14:textId="77777777" w:rsidTr="00E76C5C">
      <w:tc>
        <w:tcPr>
          <w:tcW w:w="1247" w:type="dxa"/>
        </w:tcPr>
        <w:p w14:paraId="780A0686" w14:textId="18098133" w:rsidR="00C81867" w:rsidRDefault="00C81867" w:rsidP="00E76C5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3BA6">
            <w:rPr>
              <w:i/>
              <w:sz w:val="18"/>
            </w:rPr>
            <w:t>No. 40, 2023</w:t>
          </w:r>
          <w:r w:rsidRPr="00ED79B6">
            <w:rPr>
              <w:i/>
              <w:sz w:val="18"/>
            </w:rPr>
            <w:fldChar w:fldCharType="end"/>
          </w:r>
        </w:p>
      </w:tc>
      <w:tc>
        <w:tcPr>
          <w:tcW w:w="5387" w:type="dxa"/>
        </w:tcPr>
        <w:p w14:paraId="33A94A14" w14:textId="7F4F5CE5" w:rsidR="00C81867" w:rsidRDefault="00C81867" w:rsidP="00E76C5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3BA6">
            <w:rPr>
              <w:i/>
              <w:sz w:val="18"/>
            </w:rPr>
            <w:t>Treasury Laws Amendment (Refining and Improving Our Tax System) Act 2023</w:t>
          </w:r>
          <w:r w:rsidRPr="00ED79B6">
            <w:rPr>
              <w:i/>
              <w:sz w:val="18"/>
            </w:rPr>
            <w:fldChar w:fldCharType="end"/>
          </w:r>
        </w:p>
      </w:tc>
      <w:tc>
        <w:tcPr>
          <w:tcW w:w="669" w:type="dxa"/>
        </w:tcPr>
        <w:p w14:paraId="008B9D70" w14:textId="77777777" w:rsidR="00C81867" w:rsidRDefault="00C81867" w:rsidP="00E76C5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E6975E" w14:textId="77777777" w:rsidR="00C81867" w:rsidRPr="00ED79B6" w:rsidRDefault="00C8186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8F54" w14:textId="77777777" w:rsidR="00C81867" w:rsidRPr="00A961C4" w:rsidRDefault="00C81867" w:rsidP="00C3506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1867" w14:paraId="5B028F8F" w14:textId="77777777" w:rsidTr="00476CE0">
      <w:tc>
        <w:tcPr>
          <w:tcW w:w="646" w:type="dxa"/>
        </w:tcPr>
        <w:p w14:paraId="32307B7C" w14:textId="77777777" w:rsidR="00C81867" w:rsidRDefault="00C81867" w:rsidP="00E76C5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8FE022B" w14:textId="1E24BAE1" w:rsidR="00C81867" w:rsidRDefault="00C81867" w:rsidP="00E76C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3BA6">
            <w:rPr>
              <w:i/>
              <w:sz w:val="18"/>
            </w:rPr>
            <w:t>Treasury Laws Amendment (Refining and Improving Our Tax System) Act 2023</w:t>
          </w:r>
          <w:r w:rsidRPr="007A1328">
            <w:rPr>
              <w:i/>
              <w:sz w:val="18"/>
            </w:rPr>
            <w:fldChar w:fldCharType="end"/>
          </w:r>
        </w:p>
      </w:tc>
      <w:tc>
        <w:tcPr>
          <w:tcW w:w="1270" w:type="dxa"/>
        </w:tcPr>
        <w:p w14:paraId="13A5CEFE" w14:textId="5C0F59F9" w:rsidR="00C81867" w:rsidRDefault="00C81867" w:rsidP="00E76C5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3BA6">
            <w:rPr>
              <w:i/>
              <w:sz w:val="18"/>
            </w:rPr>
            <w:t>No. 40, 2023</w:t>
          </w:r>
          <w:r w:rsidRPr="007A1328">
            <w:rPr>
              <w:i/>
              <w:sz w:val="18"/>
            </w:rPr>
            <w:fldChar w:fldCharType="end"/>
          </w:r>
        </w:p>
      </w:tc>
    </w:tr>
  </w:tbl>
  <w:p w14:paraId="0C4A3E03" w14:textId="77777777" w:rsidR="00C81867" w:rsidRPr="00A961C4" w:rsidRDefault="00C8186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0C7" w14:textId="77777777" w:rsidR="00C81867" w:rsidRPr="00A961C4" w:rsidRDefault="00C81867" w:rsidP="00C350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1867" w14:paraId="5E452C9D" w14:textId="77777777" w:rsidTr="00476CE0">
      <w:tc>
        <w:tcPr>
          <w:tcW w:w="1247" w:type="dxa"/>
        </w:tcPr>
        <w:p w14:paraId="0BDDAA45" w14:textId="5C371FFA" w:rsidR="00C81867" w:rsidRDefault="00C81867" w:rsidP="00E76C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3BA6">
            <w:rPr>
              <w:i/>
              <w:sz w:val="18"/>
            </w:rPr>
            <w:t>No. 40, 2023</w:t>
          </w:r>
          <w:r w:rsidRPr="007A1328">
            <w:rPr>
              <w:i/>
              <w:sz w:val="18"/>
            </w:rPr>
            <w:fldChar w:fldCharType="end"/>
          </w:r>
        </w:p>
      </w:tc>
      <w:tc>
        <w:tcPr>
          <w:tcW w:w="5387" w:type="dxa"/>
        </w:tcPr>
        <w:p w14:paraId="51D9C07A" w14:textId="3411E658" w:rsidR="00C81867" w:rsidRDefault="00C81867" w:rsidP="00E76C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3BA6">
            <w:rPr>
              <w:i/>
              <w:sz w:val="18"/>
            </w:rPr>
            <w:t>Treasury Laws Amendment (Refining and Improving Our Tax System) Act 2023</w:t>
          </w:r>
          <w:r w:rsidRPr="007A1328">
            <w:rPr>
              <w:i/>
              <w:sz w:val="18"/>
            </w:rPr>
            <w:fldChar w:fldCharType="end"/>
          </w:r>
        </w:p>
      </w:tc>
      <w:tc>
        <w:tcPr>
          <w:tcW w:w="669" w:type="dxa"/>
        </w:tcPr>
        <w:p w14:paraId="29B9F6FE" w14:textId="77777777" w:rsidR="00C81867" w:rsidRDefault="00C81867" w:rsidP="00E76C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ECD61AC" w14:textId="77777777" w:rsidR="00C81867" w:rsidRPr="00055B5C" w:rsidRDefault="00C8186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1931" w14:textId="77777777" w:rsidR="00C81867" w:rsidRPr="00A961C4" w:rsidRDefault="00C81867" w:rsidP="00C3506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1867" w14:paraId="14A8A05D" w14:textId="77777777" w:rsidTr="00476CE0">
      <w:tc>
        <w:tcPr>
          <w:tcW w:w="1247" w:type="dxa"/>
        </w:tcPr>
        <w:p w14:paraId="4B802A64" w14:textId="6D4217E1" w:rsidR="00C81867" w:rsidRDefault="00C81867" w:rsidP="00E76C5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3BA6">
            <w:rPr>
              <w:i/>
              <w:sz w:val="18"/>
            </w:rPr>
            <w:t>No. 40, 2023</w:t>
          </w:r>
          <w:r w:rsidRPr="007A1328">
            <w:rPr>
              <w:i/>
              <w:sz w:val="18"/>
            </w:rPr>
            <w:fldChar w:fldCharType="end"/>
          </w:r>
        </w:p>
      </w:tc>
      <w:tc>
        <w:tcPr>
          <w:tcW w:w="5387" w:type="dxa"/>
        </w:tcPr>
        <w:p w14:paraId="0EE72402" w14:textId="0B41C856" w:rsidR="00C81867" w:rsidRDefault="00C81867" w:rsidP="00E76C5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3BA6">
            <w:rPr>
              <w:i/>
              <w:sz w:val="18"/>
            </w:rPr>
            <w:t>Treasury Laws Amendment (Refining and Improving Our Tax System) Act 2023</w:t>
          </w:r>
          <w:r w:rsidRPr="007A1328">
            <w:rPr>
              <w:i/>
              <w:sz w:val="18"/>
            </w:rPr>
            <w:fldChar w:fldCharType="end"/>
          </w:r>
        </w:p>
      </w:tc>
      <w:tc>
        <w:tcPr>
          <w:tcW w:w="669" w:type="dxa"/>
        </w:tcPr>
        <w:p w14:paraId="545D26DC" w14:textId="77777777" w:rsidR="00C81867" w:rsidRDefault="00C81867" w:rsidP="00E76C5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1CCC7B" w14:textId="77777777" w:rsidR="00C81867" w:rsidRPr="00A961C4" w:rsidRDefault="00C8186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A4AB" w14:textId="77777777" w:rsidR="00C81867" w:rsidRDefault="00C81867" w:rsidP="0048364F">
      <w:pPr>
        <w:spacing w:line="240" w:lineRule="auto"/>
      </w:pPr>
      <w:r>
        <w:separator/>
      </w:r>
    </w:p>
  </w:footnote>
  <w:footnote w:type="continuationSeparator" w:id="0">
    <w:p w14:paraId="04F62AF2" w14:textId="77777777" w:rsidR="00C81867" w:rsidRDefault="00C8186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887D" w14:textId="77777777" w:rsidR="00C81867" w:rsidRPr="005F1388" w:rsidRDefault="00C8186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9870" w14:textId="35BF7EFA" w:rsidR="004D3F4B" w:rsidRPr="00A961C4" w:rsidRDefault="004D3F4B" w:rsidP="0048364F">
    <w:pPr>
      <w:rPr>
        <w:b/>
        <w:sz w:val="20"/>
      </w:rPr>
    </w:pPr>
  </w:p>
  <w:p w14:paraId="1E6FDCC7" w14:textId="43D199CA" w:rsidR="004D3F4B" w:rsidRPr="00A961C4" w:rsidRDefault="004D3F4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4757AD6" w14:textId="77777777" w:rsidR="004D3F4B" w:rsidRPr="00A961C4" w:rsidRDefault="004D3F4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7D2A" w14:textId="00C01BB0" w:rsidR="004D3F4B" w:rsidRPr="00A961C4" w:rsidRDefault="004D3F4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D3BA6">
      <w:rPr>
        <w:noProof/>
        <w:sz w:val="20"/>
      </w:rPr>
      <w:t>Small-scale repackaging of beer into smaller containers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FD3BA6">
      <w:rPr>
        <w:b/>
        <w:noProof/>
        <w:sz w:val="20"/>
      </w:rPr>
      <w:t>Schedule 5</w:t>
    </w:r>
    <w:r>
      <w:rPr>
        <w:b/>
        <w:sz w:val="20"/>
      </w:rPr>
      <w:fldChar w:fldCharType="end"/>
    </w:r>
  </w:p>
  <w:p w14:paraId="1E136FAE" w14:textId="25A3D412" w:rsidR="004D3F4B" w:rsidRPr="00A961C4" w:rsidRDefault="004D3F4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6AB01B43" w14:textId="77777777" w:rsidR="004D3F4B" w:rsidRPr="00A961C4" w:rsidRDefault="004D3F4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F2E5" w14:textId="77777777" w:rsidR="004D3F4B" w:rsidRPr="00A961C4" w:rsidRDefault="004D3F4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EF68" w14:textId="77777777" w:rsidR="00C81867" w:rsidRPr="005F1388" w:rsidRDefault="00C8186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9C0C" w14:textId="77777777" w:rsidR="00C81867" w:rsidRPr="005F1388" w:rsidRDefault="00C8186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E8EB" w14:textId="77777777" w:rsidR="00C81867" w:rsidRPr="00ED79B6" w:rsidRDefault="00C8186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0D7" w14:textId="77777777" w:rsidR="00C81867" w:rsidRPr="00ED79B6" w:rsidRDefault="00C8186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02CF" w14:textId="77777777" w:rsidR="00C81867" w:rsidRPr="00ED79B6" w:rsidRDefault="00C8186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4CCA" w14:textId="21DA557E" w:rsidR="00C81867" w:rsidRPr="00A961C4" w:rsidRDefault="00C81867" w:rsidP="0048364F">
    <w:pPr>
      <w:rPr>
        <w:b/>
        <w:sz w:val="20"/>
      </w:rPr>
    </w:pPr>
    <w:r>
      <w:rPr>
        <w:b/>
        <w:sz w:val="20"/>
      </w:rPr>
      <w:fldChar w:fldCharType="begin"/>
    </w:r>
    <w:r>
      <w:rPr>
        <w:b/>
        <w:sz w:val="20"/>
      </w:rPr>
      <w:instrText xml:space="preserve"> STYLEREF CharAmSchNo </w:instrText>
    </w:r>
    <w:r w:rsidR="00FD3BA6">
      <w:rPr>
        <w:b/>
        <w:sz w:val="20"/>
      </w:rPr>
      <w:fldChar w:fldCharType="separate"/>
    </w:r>
    <w:r w:rsidR="00FD3BA6">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D3BA6">
      <w:rPr>
        <w:sz w:val="20"/>
      </w:rPr>
      <w:fldChar w:fldCharType="separate"/>
    </w:r>
    <w:r w:rsidR="00FD3BA6">
      <w:rPr>
        <w:noProof/>
        <w:sz w:val="20"/>
      </w:rPr>
      <w:t>Aligning excise and customs reporting with other indirect taxes</w:t>
    </w:r>
    <w:r>
      <w:rPr>
        <w:sz w:val="20"/>
      </w:rPr>
      <w:fldChar w:fldCharType="end"/>
    </w:r>
  </w:p>
  <w:p w14:paraId="037BA951" w14:textId="4ADC7375" w:rsidR="00C81867" w:rsidRPr="00A961C4" w:rsidRDefault="00C8186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A1B4A4A" w14:textId="77777777" w:rsidR="00C81867" w:rsidRPr="00A961C4" w:rsidRDefault="00C8186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8B40" w14:textId="218B8448" w:rsidR="00C81867" w:rsidRPr="00A961C4" w:rsidRDefault="00C81867" w:rsidP="0048364F">
    <w:pPr>
      <w:jc w:val="right"/>
      <w:rPr>
        <w:sz w:val="20"/>
      </w:rPr>
    </w:pPr>
    <w:r w:rsidRPr="00A961C4">
      <w:rPr>
        <w:sz w:val="20"/>
      </w:rPr>
      <w:fldChar w:fldCharType="begin"/>
    </w:r>
    <w:r w:rsidRPr="00A961C4">
      <w:rPr>
        <w:sz w:val="20"/>
      </w:rPr>
      <w:instrText xml:space="preserve"> STYLEREF CharAmSchText </w:instrText>
    </w:r>
    <w:r w:rsidR="00FD3BA6">
      <w:rPr>
        <w:sz w:val="20"/>
      </w:rPr>
      <w:fldChar w:fldCharType="separate"/>
    </w:r>
    <w:r w:rsidR="00FD3BA6">
      <w:rPr>
        <w:noProof/>
        <w:sz w:val="20"/>
      </w:rPr>
      <w:t>Small-scale repackaging of beer into smaller containers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D3BA6">
      <w:rPr>
        <w:b/>
        <w:sz w:val="20"/>
      </w:rPr>
      <w:fldChar w:fldCharType="separate"/>
    </w:r>
    <w:r w:rsidR="00FD3BA6">
      <w:rPr>
        <w:b/>
        <w:noProof/>
        <w:sz w:val="20"/>
      </w:rPr>
      <w:t>Schedule 5</w:t>
    </w:r>
    <w:r>
      <w:rPr>
        <w:b/>
        <w:sz w:val="20"/>
      </w:rPr>
      <w:fldChar w:fldCharType="end"/>
    </w:r>
  </w:p>
  <w:p w14:paraId="6C23060A" w14:textId="4739571C" w:rsidR="00C81867" w:rsidRPr="00A961C4" w:rsidRDefault="00C8186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ABAE23" w14:textId="77777777" w:rsidR="00C81867" w:rsidRPr="00A961C4" w:rsidRDefault="00C8186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51C0" w14:textId="77777777" w:rsidR="00C81867" w:rsidRPr="00A961C4" w:rsidRDefault="00C8186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6C5C"/>
    <w:rsid w:val="00003981"/>
    <w:rsid w:val="00005D25"/>
    <w:rsid w:val="000113BC"/>
    <w:rsid w:val="000136AF"/>
    <w:rsid w:val="000417C9"/>
    <w:rsid w:val="00055B5C"/>
    <w:rsid w:val="00056391"/>
    <w:rsid w:val="00060FF9"/>
    <w:rsid w:val="000614BF"/>
    <w:rsid w:val="00064F1E"/>
    <w:rsid w:val="000B1246"/>
    <w:rsid w:val="000B1FD2"/>
    <w:rsid w:val="000D05EF"/>
    <w:rsid w:val="000D206F"/>
    <w:rsid w:val="000E720A"/>
    <w:rsid w:val="000F21C1"/>
    <w:rsid w:val="000F316E"/>
    <w:rsid w:val="00101D90"/>
    <w:rsid w:val="0010745C"/>
    <w:rsid w:val="00113BD1"/>
    <w:rsid w:val="00122206"/>
    <w:rsid w:val="001254C3"/>
    <w:rsid w:val="0015646E"/>
    <w:rsid w:val="001643C9"/>
    <w:rsid w:val="00165568"/>
    <w:rsid w:val="00165EAB"/>
    <w:rsid w:val="00166C2F"/>
    <w:rsid w:val="001716C9"/>
    <w:rsid w:val="00173363"/>
    <w:rsid w:val="00173B94"/>
    <w:rsid w:val="001854B4"/>
    <w:rsid w:val="001939E1"/>
    <w:rsid w:val="00195382"/>
    <w:rsid w:val="001A3658"/>
    <w:rsid w:val="001A759A"/>
    <w:rsid w:val="001B633C"/>
    <w:rsid w:val="001B7A5D"/>
    <w:rsid w:val="001C2418"/>
    <w:rsid w:val="001C69C4"/>
    <w:rsid w:val="001C6EE2"/>
    <w:rsid w:val="001E1664"/>
    <w:rsid w:val="001E3590"/>
    <w:rsid w:val="001E7407"/>
    <w:rsid w:val="00201D27"/>
    <w:rsid w:val="00202618"/>
    <w:rsid w:val="0021652F"/>
    <w:rsid w:val="00240749"/>
    <w:rsid w:val="00263820"/>
    <w:rsid w:val="00275197"/>
    <w:rsid w:val="00293B89"/>
    <w:rsid w:val="00293E18"/>
    <w:rsid w:val="00297ECB"/>
    <w:rsid w:val="002B5A30"/>
    <w:rsid w:val="002D043A"/>
    <w:rsid w:val="002D395A"/>
    <w:rsid w:val="002F5A80"/>
    <w:rsid w:val="0030024F"/>
    <w:rsid w:val="003236CD"/>
    <w:rsid w:val="003415D3"/>
    <w:rsid w:val="00350417"/>
    <w:rsid w:val="00352B0F"/>
    <w:rsid w:val="00353A76"/>
    <w:rsid w:val="00354DAB"/>
    <w:rsid w:val="00360ED4"/>
    <w:rsid w:val="00373874"/>
    <w:rsid w:val="00375C6C"/>
    <w:rsid w:val="003805D8"/>
    <w:rsid w:val="003A7B3C"/>
    <w:rsid w:val="003B4E3D"/>
    <w:rsid w:val="003C5F2B"/>
    <w:rsid w:val="003D0BFE"/>
    <w:rsid w:val="003D5700"/>
    <w:rsid w:val="003F21BB"/>
    <w:rsid w:val="00403C38"/>
    <w:rsid w:val="00405579"/>
    <w:rsid w:val="00410B8E"/>
    <w:rsid w:val="004116CD"/>
    <w:rsid w:val="00421FC1"/>
    <w:rsid w:val="004229C7"/>
    <w:rsid w:val="00424CA9"/>
    <w:rsid w:val="00436785"/>
    <w:rsid w:val="00436BD5"/>
    <w:rsid w:val="00437E4B"/>
    <w:rsid w:val="0044291A"/>
    <w:rsid w:val="00476CE0"/>
    <w:rsid w:val="0048196B"/>
    <w:rsid w:val="0048364F"/>
    <w:rsid w:val="00486D05"/>
    <w:rsid w:val="00496F97"/>
    <w:rsid w:val="004B2228"/>
    <w:rsid w:val="004C1F2B"/>
    <w:rsid w:val="004C7C8C"/>
    <w:rsid w:val="004D3F4B"/>
    <w:rsid w:val="004E2A4A"/>
    <w:rsid w:val="004F0D23"/>
    <w:rsid w:val="004F1FAC"/>
    <w:rsid w:val="005110CD"/>
    <w:rsid w:val="00516B8D"/>
    <w:rsid w:val="00537FBC"/>
    <w:rsid w:val="00543469"/>
    <w:rsid w:val="00545D52"/>
    <w:rsid w:val="00551B54"/>
    <w:rsid w:val="00584811"/>
    <w:rsid w:val="00593AA6"/>
    <w:rsid w:val="00594161"/>
    <w:rsid w:val="00594749"/>
    <w:rsid w:val="005A0D92"/>
    <w:rsid w:val="005B4067"/>
    <w:rsid w:val="005C3F41"/>
    <w:rsid w:val="005D616A"/>
    <w:rsid w:val="005E152A"/>
    <w:rsid w:val="005F11B1"/>
    <w:rsid w:val="00600219"/>
    <w:rsid w:val="0060787E"/>
    <w:rsid w:val="006167FD"/>
    <w:rsid w:val="00641DE5"/>
    <w:rsid w:val="00656F0C"/>
    <w:rsid w:val="00677CC2"/>
    <w:rsid w:val="006807F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809D0"/>
    <w:rsid w:val="007B30AA"/>
    <w:rsid w:val="007B7FDC"/>
    <w:rsid w:val="007C2C15"/>
    <w:rsid w:val="007E7D4A"/>
    <w:rsid w:val="007F7FA8"/>
    <w:rsid w:val="008006CC"/>
    <w:rsid w:val="00807F18"/>
    <w:rsid w:val="00831E8D"/>
    <w:rsid w:val="00856A31"/>
    <w:rsid w:val="00857D6B"/>
    <w:rsid w:val="008754D0"/>
    <w:rsid w:val="00876322"/>
    <w:rsid w:val="00877D48"/>
    <w:rsid w:val="00883781"/>
    <w:rsid w:val="00885570"/>
    <w:rsid w:val="00893958"/>
    <w:rsid w:val="008A2E77"/>
    <w:rsid w:val="008B1A99"/>
    <w:rsid w:val="008C6F6F"/>
    <w:rsid w:val="008D0EE0"/>
    <w:rsid w:val="008D3E94"/>
    <w:rsid w:val="008F4F1C"/>
    <w:rsid w:val="008F77C4"/>
    <w:rsid w:val="009103F3"/>
    <w:rsid w:val="00932377"/>
    <w:rsid w:val="00943221"/>
    <w:rsid w:val="00951CCF"/>
    <w:rsid w:val="00952C87"/>
    <w:rsid w:val="00967042"/>
    <w:rsid w:val="0098255A"/>
    <w:rsid w:val="009845BE"/>
    <w:rsid w:val="009969C9"/>
    <w:rsid w:val="009A4039"/>
    <w:rsid w:val="009E186E"/>
    <w:rsid w:val="009F7BD0"/>
    <w:rsid w:val="00A048FF"/>
    <w:rsid w:val="00A10775"/>
    <w:rsid w:val="00A16F0D"/>
    <w:rsid w:val="00A231E2"/>
    <w:rsid w:val="00A33DBC"/>
    <w:rsid w:val="00A36C48"/>
    <w:rsid w:val="00A41E0B"/>
    <w:rsid w:val="00A45970"/>
    <w:rsid w:val="00A55631"/>
    <w:rsid w:val="00A64912"/>
    <w:rsid w:val="00A70A74"/>
    <w:rsid w:val="00A9793E"/>
    <w:rsid w:val="00AA3795"/>
    <w:rsid w:val="00AC1E75"/>
    <w:rsid w:val="00AD5641"/>
    <w:rsid w:val="00AE1088"/>
    <w:rsid w:val="00AF1BA4"/>
    <w:rsid w:val="00AF397F"/>
    <w:rsid w:val="00B032D8"/>
    <w:rsid w:val="00B10753"/>
    <w:rsid w:val="00B2793A"/>
    <w:rsid w:val="00B32BE2"/>
    <w:rsid w:val="00B33B3C"/>
    <w:rsid w:val="00B355C2"/>
    <w:rsid w:val="00B60B11"/>
    <w:rsid w:val="00B6382D"/>
    <w:rsid w:val="00B6593E"/>
    <w:rsid w:val="00BA3FEF"/>
    <w:rsid w:val="00BA5026"/>
    <w:rsid w:val="00BB40BF"/>
    <w:rsid w:val="00BC0CD1"/>
    <w:rsid w:val="00BC5DF8"/>
    <w:rsid w:val="00BE719A"/>
    <w:rsid w:val="00BE720A"/>
    <w:rsid w:val="00BF0461"/>
    <w:rsid w:val="00BF4944"/>
    <w:rsid w:val="00BF56D4"/>
    <w:rsid w:val="00C04409"/>
    <w:rsid w:val="00C067E5"/>
    <w:rsid w:val="00C164CA"/>
    <w:rsid w:val="00C176CF"/>
    <w:rsid w:val="00C23DA0"/>
    <w:rsid w:val="00C24EE9"/>
    <w:rsid w:val="00C3091D"/>
    <w:rsid w:val="00C35060"/>
    <w:rsid w:val="00C42BF8"/>
    <w:rsid w:val="00C45830"/>
    <w:rsid w:val="00C460AE"/>
    <w:rsid w:val="00C50043"/>
    <w:rsid w:val="00C54E84"/>
    <w:rsid w:val="00C750FC"/>
    <w:rsid w:val="00C7573B"/>
    <w:rsid w:val="00C76CF3"/>
    <w:rsid w:val="00C81867"/>
    <w:rsid w:val="00CA0840"/>
    <w:rsid w:val="00CE1E31"/>
    <w:rsid w:val="00CF0BB2"/>
    <w:rsid w:val="00D00EAA"/>
    <w:rsid w:val="00D13441"/>
    <w:rsid w:val="00D13E02"/>
    <w:rsid w:val="00D243A3"/>
    <w:rsid w:val="00D477C3"/>
    <w:rsid w:val="00D52EFE"/>
    <w:rsid w:val="00D5572A"/>
    <w:rsid w:val="00D63EF6"/>
    <w:rsid w:val="00D70DFB"/>
    <w:rsid w:val="00D73029"/>
    <w:rsid w:val="00D7540B"/>
    <w:rsid w:val="00D766DF"/>
    <w:rsid w:val="00DE2002"/>
    <w:rsid w:val="00DF1F24"/>
    <w:rsid w:val="00DF7AE9"/>
    <w:rsid w:val="00E05704"/>
    <w:rsid w:val="00E24D66"/>
    <w:rsid w:val="00E37760"/>
    <w:rsid w:val="00E54292"/>
    <w:rsid w:val="00E74DC7"/>
    <w:rsid w:val="00E759F1"/>
    <w:rsid w:val="00E76C57"/>
    <w:rsid w:val="00E76C5C"/>
    <w:rsid w:val="00E84ECA"/>
    <w:rsid w:val="00E87699"/>
    <w:rsid w:val="00E9347D"/>
    <w:rsid w:val="00E947C6"/>
    <w:rsid w:val="00EB510C"/>
    <w:rsid w:val="00ED15DB"/>
    <w:rsid w:val="00ED492F"/>
    <w:rsid w:val="00EE3E36"/>
    <w:rsid w:val="00EE7009"/>
    <w:rsid w:val="00EF2E3A"/>
    <w:rsid w:val="00F047E2"/>
    <w:rsid w:val="00F078DC"/>
    <w:rsid w:val="00F13E86"/>
    <w:rsid w:val="00F17B00"/>
    <w:rsid w:val="00F677A9"/>
    <w:rsid w:val="00F84CF5"/>
    <w:rsid w:val="00F92D35"/>
    <w:rsid w:val="00FA420B"/>
    <w:rsid w:val="00FD1E13"/>
    <w:rsid w:val="00FD3BA6"/>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F87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5060"/>
    <w:pPr>
      <w:spacing w:line="260" w:lineRule="atLeast"/>
    </w:pPr>
    <w:rPr>
      <w:sz w:val="22"/>
    </w:rPr>
  </w:style>
  <w:style w:type="paragraph" w:styleId="Heading1">
    <w:name w:val="heading 1"/>
    <w:basedOn w:val="Normal"/>
    <w:next w:val="Normal"/>
    <w:link w:val="Heading1Char"/>
    <w:uiPriority w:val="9"/>
    <w:qFormat/>
    <w:rsid w:val="004D3F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3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3F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3F4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3F4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3F4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3F4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3F4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F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5060"/>
  </w:style>
  <w:style w:type="paragraph" w:customStyle="1" w:styleId="OPCParaBase">
    <w:name w:val="OPCParaBase"/>
    <w:qFormat/>
    <w:rsid w:val="00C35060"/>
    <w:pPr>
      <w:spacing w:line="260" w:lineRule="atLeast"/>
    </w:pPr>
    <w:rPr>
      <w:rFonts w:eastAsia="Times New Roman" w:cs="Times New Roman"/>
      <w:sz w:val="22"/>
      <w:lang w:eastAsia="en-AU"/>
    </w:rPr>
  </w:style>
  <w:style w:type="paragraph" w:customStyle="1" w:styleId="ShortT">
    <w:name w:val="ShortT"/>
    <w:basedOn w:val="OPCParaBase"/>
    <w:next w:val="Normal"/>
    <w:qFormat/>
    <w:rsid w:val="00C35060"/>
    <w:pPr>
      <w:spacing w:line="240" w:lineRule="auto"/>
    </w:pPr>
    <w:rPr>
      <w:b/>
      <w:sz w:val="40"/>
    </w:rPr>
  </w:style>
  <w:style w:type="paragraph" w:customStyle="1" w:styleId="ActHead1">
    <w:name w:val="ActHead 1"/>
    <w:aliases w:val="c"/>
    <w:basedOn w:val="OPCParaBase"/>
    <w:next w:val="Normal"/>
    <w:qFormat/>
    <w:rsid w:val="00C350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50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50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50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350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50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50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50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50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5060"/>
  </w:style>
  <w:style w:type="paragraph" w:customStyle="1" w:styleId="Blocks">
    <w:name w:val="Blocks"/>
    <w:aliases w:val="bb"/>
    <w:basedOn w:val="OPCParaBase"/>
    <w:qFormat/>
    <w:rsid w:val="00C35060"/>
    <w:pPr>
      <w:spacing w:line="240" w:lineRule="auto"/>
    </w:pPr>
    <w:rPr>
      <w:sz w:val="24"/>
    </w:rPr>
  </w:style>
  <w:style w:type="paragraph" w:customStyle="1" w:styleId="BoxText">
    <w:name w:val="BoxText"/>
    <w:aliases w:val="bt"/>
    <w:basedOn w:val="OPCParaBase"/>
    <w:qFormat/>
    <w:rsid w:val="00C350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5060"/>
    <w:rPr>
      <w:b/>
    </w:rPr>
  </w:style>
  <w:style w:type="paragraph" w:customStyle="1" w:styleId="BoxHeadItalic">
    <w:name w:val="BoxHeadItalic"/>
    <w:aliases w:val="bhi"/>
    <w:basedOn w:val="BoxText"/>
    <w:next w:val="BoxStep"/>
    <w:qFormat/>
    <w:rsid w:val="00C35060"/>
    <w:rPr>
      <w:i/>
    </w:rPr>
  </w:style>
  <w:style w:type="paragraph" w:customStyle="1" w:styleId="BoxList">
    <w:name w:val="BoxList"/>
    <w:aliases w:val="bl"/>
    <w:basedOn w:val="BoxText"/>
    <w:qFormat/>
    <w:rsid w:val="00C35060"/>
    <w:pPr>
      <w:ind w:left="1559" w:hanging="425"/>
    </w:pPr>
  </w:style>
  <w:style w:type="paragraph" w:customStyle="1" w:styleId="BoxNote">
    <w:name w:val="BoxNote"/>
    <w:aliases w:val="bn"/>
    <w:basedOn w:val="BoxText"/>
    <w:qFormat/>
    <w:rsid w:val="00C35060"/>
    <w:pPr>
      <w:tabs>
        <w:tab w:val="left" w:pos="1985"/>
      </w:tabs>
      <w:spacing w:before="122" w:line="198" w:lineRule="exact"/>
      <w:ind w:left="2948" w:hanging="1814"/>
    </w:pPr>
    <w:rPr>
      <w:sz w:val="18"/>
    </w:rPr>
  </w:style>
  <w:style w:type="paragraph" w:customStyle="1" w:styleId="BoxPara">
    <w:name w:val="BoxPara"/>
    <w:aliases w:val="bp"/>
    <w:basedOn w:val="BoxText"/>
    <w:qFormat/>
    <w:rsid w:val="00C35060"/>
    <w:pPr>
      <w:tabs>
        <w:tab w:val="right" w:pos="2268"/>
      </w:tabs>
      <w:ind w:left="2552" w:hanging="1418"/>
    </w:pPr>
  </w:style>
  <w:style w:type="paragraph" w:customStyle="1" w:styleId="BoxStep">
    <w:name w:val="BoxStep"/>
    <w:aliases w:val="bs"/>
    <w:basedOn w:val="BoxText"/>
    <w:qFormat/>
    <w:rsid w:val="00C35060"/>
    <w:pPr>
      <w:ind w:left="1985" w:hanging="851"/>
    </w:pPr>
  </w:style>
  <w:style w:type="character" w:customStyle="1" w:styleId="CharAmPartNo">
    <w:name w:val="CharAmPartNo"/>
    <w:basedOn w:val="OPCCharBase"/>
    <w:qFormat/>
    <w:rsid w:val="00C35060"/>
  </w:style>
  <w:style w:type="character" w:customStyle="1" w:styleId="CharAmPartText">
    <w:name w:val="CharAmPartText"/>
    <w:basedOn w:val="OPCCharBase"/>
    <w:qFormat/>
    <w:rsid w:val="00C35060"/>
  </w:style>
  <w:style w:type="character" w:customStyle="1" w:styleId="CharAmSchNo">
    <w:name w:val="CharAmSchNo"/>
    <w:basedOn w:val="OPCCharBase"/>
    <w:qFormat/>
    <w:rsid w:val="00C35060"/>
  </w:style>
  <w:style w:type="character" w:customStyle="1" w:styleId="CharAmSchText">
    <w:name w:val="CharAmSchText"/>
    <w:basedOn w:val="OPCCharBase"/>
    <w:qFormat/>
    <w:rsid w:val="00C35060"/>
  </w:style>
  <w:style w:type="character" w:customStyle="1" w:styleId="CharBoldItalic">
    <w:name w:val="CharBoldItalic"/>
    <w:basedOn w:val="OPCCharBase"/>
    <w:uiPriority w:val="1"/>
    <w:qFormat/>
    <w:rsid w:val="00C35060"/>
    <w:rPr>
      <w:b/>
      <w:i/>
    </w:rPr>
  </w:style>
  <w:style w:type="character" w:customStyle="1" w:styleId="CharChapNo">
    <w:name w:val="CharChapNo"/>
    <w:basedOn w:val="OPCCharBase"/>
    <w:uiPriority w:val="1"/>
    <w:qFormat/>
    <w:rsid w:val="00C35060"/>
  </w:style>
  <w:style w:type="character" w:customStyle="1" w:styleId="CharChapText">
    <w:name w:val="CharChapText"/>
    <w:basedOn w:val="OPCCharBase"/>
    <w:uiPriority w:val="1"/>
    <w:qFormat/>
    <w:rsid w:val="00C35060"/>
  </w:style>
  <w:style w:type="character" w:customStyle="1" w:styleId="CharDivNo">
    <w:name w:val="CharDivNo"/>
    <w:basedOn w:val="OPCCharBase"/>
    <w:uiPriority w:val="1"/>
    <w:qFormat/>
    <w:rsid w:val="00C35060"/>
  </w:style>
  <w:style w:type="character" w:customStyle="1" w:styleId="CharDivText">
    <w:name w:val="CharDivText"/>
    <w:basedOn w:val="OPCCharBase"/>
    <w:uiPriority w:val="1"/>
    <w:qFormat/>
    <w:rsid w:val="00C35060"/>
  </w:style>
  <w:style w:type="character" w:customStyle="1" w:styleId="CharItalic">
    <w:name w:val="CharItalic"/>
    <w:basedOn w:val="OPCCharBase"/>
    <w:uiPriority w:val="1"/>
    <w:qFormat/>
    <w:rsid w:val="00C35060"/>
    <w:rPr>
      <w:i/>
    </w:rPr>
  </w:style>
  <w:style w:type="character" w:customStyle="1" w:styleId="CharPartNo">
    <w:name w:val="CharPartNo"/>
    <w:basedOn w:val="OPCCharBase"/>
    <w:uiPriority w:val="1"/>
    <w:qFormat/>
    <w:rsid w:val="00C35060"/>
  </w:style>
  <w:style w:type="character" w:customStyle="1" w:styleId="CharPartText">
    <w:name w:val="CharPartText"/>
    <w:basedOn w:val="OPCCharBase"/>
    <w:uiPriority w:val="1"/>
    <w:qFormat/>
    <w:rsid w:val="00C35060"/>
  </w:style>
  <w:style w:type="character" w:customStyle="1" w:styleId="CharSectno">
    <w:name w:val="CharSectno"/>
    <w:basedOn w:val="OPCCharBase"/>
    <w:qFormat/>
    <w:rsid w:val="00C35060"/>
  </w:style>
  <w:style w:type="character" w:customStyle="1" w:styleId="CharSubdNo">
    <w:name w:val="CharSubdNo"/>
    <w:basedOn w:val="OPCCharBase"/>
    <w:uiPriority w:val="1"/>
    <w:qFormat/>
    <w:rsid w:val="00C35060"/>
  </w:style>
  <w:style w:type="character" w:customStyle="1" w:styleId="CharSubdText">
    <w:name w:val="CharSubdText"/>
    <w:basedOn w:val="OPCCharBase"/>
    <w:uiPriority w:val="1"/>
    <w:qFormat/>
    <w:rsid w:val="00C35060"/>
  </w:style>
  <w:style w:type="paragraph" w:customStyle="1" w:styleId="CTA--">
    <w:name w:val="CTA --"/>
    <w:basedOn w:val="OPCParaBase"/>
    <w:next w:val="Normal"/>
    <w:rsid w:val="00C35060"/>
    <w:pPr>
      <w:spacing w:before="60" w:line="240" w:lineRule="atLeast"/>
      <w:ind w:left="142" w:hanging="142"/>
    </w:pPr>
    <w:rPr>
      <w:sz w:val="20"/>
    </w:rPr>
  </w:style>
  <w:style w:type="paragraph" w:customStyle="1" w:styleId="CTA-">
    <w:name w:val="CTA -"/>
    <w:basedOn w:val="OPCParaBase"/>
    <w:rsid w:val="00C35060"/>
    <w:pPr>
      <w:spacing w:before="60" w:line="240" w:lineRule="atLeast"/>
      <w:ind w:left="85" w:hanging="85"/>
    </w:pPr>
    <w:rPr>
      <w:sz w:val="20"/>
    </w:rPr>
  </w:style>
  <w:style w:type="paragraph" w:customStyle="1" w:styleId="CTA---">
    <w:name w:val="CTA ---"/>
    <w:basedOn w:val="OPCParaBase"/>
    <w:next w:val="Normal"/>
    <w:rsid w:val="00C35060"/>
    <w:pPr>
      <w:spacing w:before="60" w:line="240" w:lineRule="atLeast"/>
      <w:ind w:left="198" w:hanging="198"/>
    </w:pPr>
    <w:rPr>
      <w:sz w:val="20"/>
    </w:rPr>
  </w:style>
  <w:style w:type="paragraph" w:customStyle="1" w:styleId="CTA----">
    <w:name w:val="CTA ----"/>
    <w:basedOn w:val="OPCParaBase"/>
    <w:next w:val="Normal"/>
    <w:rsid w:val="00C35060"/>
    <w:pPr>
      <w:spacing w:before="60" w:line="240" w:lineRule="atLeast"/>
      <w:ind w:left="255" w:hanging="255"/>
    </w:pPr>
    <w:rPr>
      <w:sz w:val="20"/>
    </w:rPr>
  </w:style>
  <w:style w:type="paragraph" w:customStyle="1" w:styleId="CTA1a">
    <w:name w:val="CTA 1(a)"/>
    <w:basedOn w:val="OPCParaBase"/>
    <w:rsid w:val="00C35060"/>
    <w:pPr>
      <w:tabs>
        <w:tab w:val="right" w:pos="414"/>
      </w:tabs>
      <w:spacing w:before="40" w:line="240" w:lineRule="atLeast"/>
      <w:ind w:left="675" w:hanging="675"/>
    </w:pPr>
    <w:rPr>
      <w:sz w:val="20"/>
    </w:rPr>
  </w:style>
  <w:style w:type="paragraph" w:customStyle="1" w:styleId="CTA1ai">
    <w:name w:val="CTA 1(a)(i)"/>
    <w:basedOn w:val="OPCParaBase"/>
    <w:rsid w:val="00C35060"/>
    <w:pPr>
      <w:tabs>
        <w:tab w:val="right" w:pos="1004"/>
      </w:tabs>
      <w:spacing w:before="40" w:line="240" w:lineRule="atLeast"/>
      <w:ind w:left="1253" w:hanging="1253"/>
    </w:pPr>
    <w:rPr>
      <w:sz w:val="20"/>
    </w:rPr>
  </w:style>
  <w:style w:type="paragraph" w:customStyle="1" w:styleId="CTA2a">
    <w:name w:val="CTA 2(a)"/>
    <w:basedOn w:val="OPCParaBase"/>
    <w:rsid w:val="00C35060"/>
    <w:pPr>
      <w:tabs>
        <w:tab w:val="right" w:pos="482"/>
      </w:tabs>
      <w:spacing w:before="40" w:line="240" w:lineRule="atLeast"/>
      <w:ind w:left="748" w:hanging="748"/>
    </w:pPr>
    <w:rPr>
      <w:sz w:val="20"/>
    </w:rPr>
  </w:style>
  <w:style w:type="paragraph" w:customStyle="1" w:styleId="CTA2ai">
    <w:name w:val="CTA 2(a)(i)"/>
    <w:basedOn w:val="OPCParaBase"/>
    <w:rsid w:val="00C35060"/>
    <w:pPr>
      <w:tabs>
        <w:tab w:val="right" w:pos="1089"/>
      </w:tabs>
      <w:spacing w:before="40" w:line="240" w:lineRule="atLeast"/>
      <w:ind w:left="1327" w:hanging="1327"/>
    </w:pPr>
    <w:rPr>
      <w:sz w:val="20"/>
    </w:rPr>
  </w:style>
  <w:style w:type="paragraph" w:customStyle="1" w:styleId="CTA3a">
    <w:name w:val="CTA 3(a)"/>
    <w:basedOn w:val="OPCParaBase"/>
    <w:rsid w:val="00C35060"/>
    <w:pPr>
      <w:tabs>
        <w:tab w:val="right" w:pos="556"/>
      </w:tabs>
      <w:spacing w:before="40" w:line="240" w:lineRule="atLeast"/>
      <w:ind w:left="805" w:hanging="805"/>
    </w:pPr>
    <w:rPr>
      <w:sz w:val="20"/>
    </w:rPr>
  </w:style>
  <w:style w:type="paragraph" w:customStyle="1" w:styleId="CTA3ai">
    <w:name w:val="CTA 3(a)(i)"/>
    <w:basedOn w:val="OPCParaBase"/>
    <w:rsid w:val="00C35060"/>
    <w:pPr>
      <w:tabs>
        <w:tab w:val="right" w:pos="1140"/>
      </w:tabs>
      <w:spacing w:before="40" w:line="240" w:lineRule="atLeast"/>
      <w:ind w:left="1361" w:hanging="1361"/>
    </w:pPr>
    <w:rPr>
      <w:sz w:val="20"/>
    </w:rPr>
  </w:style>
  <w:style w:type="paragraph" w:customStyle="1" w:styleId="CTA4a">
    <w:name w:val="CTA 4(a)"/>
    <w:basedOn w:val="OPCParaBase"/>
    <w:rsid w:val="00C35060"/>
    <w:pPr>
      <w:tabs>
        <w:tab w:val="right" w:pos="624"/>
      </w:tabs>
      <w:spacing w:before="40" w:line="240" w:lineRule="atLeast"/>
      <w:ind w:left="873" w:hanging="873"/>
    </w:pPr>
    <w:rPr>
      <w:sz w:val="20"/>
    </w:rPr>
  </w:style>
  <w:style w:type="paragraph" w:customStyle="1" w:styleId="CTA4ai">
    <w:name w:val="CTA 4(a)(i)"/>
    <w:basedOn w:val="OPCParaBase"/>
    <w:rsid w:val="00C35060"/>
    <w:pPr>
      <w:tabs>
        <w:tab w:val="right" w:pos="1213"/>
      </w:tabs>
      <w:spacing w:before="40" w:line="240" w:lineRule="atLeast"/>
      <w:ind w:left="1452" w:hanging="1452"/>
    </w:pPr>
    <w:rPr>
      <w:sz w:val="20"/>
    </w:rPr>
  </w:style>
  <w:style w:type="paragraph" w:customStyle="1" w:styleId="CTACAPS">
    <w:name w:val="CTA CAPS"/>
    <w:basedOn w:val="OPCParaBase"/>
    <w:rsid w:val="00C35060"/>
    <w:pPr>
      <w:spacing w:before="60" w:line="240" w:lineRule="atLeast"/>
    </w:pPr>
    <w:rPr>
      <w:sz w:val="20"/>
    </w:rPr>
  </w:style>
  <w:style w:type="paragraph" w:customStyle="1" w:styleId="CTAright">
    <w:name w:val="CTA right"/>
    <w:basedOn w:val="OPCParaBase"/>
    <w:rsid w:val="00C35060"/>
    <w:pPr>
      <w:spacing w:before="60" w:line="240" w:lineRule="auto"/>
      <w:jc w:val="right"/>
    </w:pPr>
    <w:rPr>
      <w:sz w:val="20"/>
    </w:rPr>
  </w:style>
  <w:style w:type="paragraph" w:customStyle="1" w:styleId="subsection">
    <w:name w:val="subsection"/>
    <w:aliases w:val="ss"/>
    <w:basedOn w:val="OPCParaBase"/>
    <w:link w:val="subsectionChar"/>
    <w:rsid w:val="00C35060"/>
    <w:pPr>
      <w:tabs>
        <w:tab w:val="right" w:pos="1021"/>
      </w:tabs>
      <w:spacing w:before="180" w:line="240" w:lineRule="auto"/>
      <w:ind w:left="1134" w:hanging="1134"/>
    </w:pPr>
  </w:style>
  <w:style w:type="paragraph" w:customStyle="1" w:styleId="Definition">
    <w:name w:val="Definition"/>
    <w:aliases w:val="dd"/>
    <w:basedOn w:val="OPCParaBase"/>
    <w:rsid w:val="00C35060"/>
    <w:pPr>
      <w:spacing w:before="180" w:line="240" w:lineRule="auto"/>
      <w:ind w:left="1134"/>
    </w:pPr>
  </w:style>
  <w:style w:type="paragraph" w:customStyle="1" w:styleId="ETAsubitem">
    <w:name w:val="ETA(subitem)"/>
    <w:basedOn w:val="OPCParaBase"/>
    <w:rsid w:val="00C35060"/>
    <w:pPr>
      <w:tabs>
        <w:tab w:val="right" w:pos="340"/>
      </w:tabs>
      <w:spacing w:before="60" w:line="240" w:lineRule="auto"/>
      <w:ind w:left="454" w:hanging="454"/>
    </w:pPr>
    <w:rPr>
      <w:sz w:val="20"/>
    </w:rPr>
  </w:style>
  <w:style w:type="paragraph" w:customStyle="1" w:styleId="ETApara">
    <w:name w:val="ETA(para)"/>
    <w:basedOn w:val="OPCParaBase"/>
    <w:rsid w:val="00C35060"/>
    <w:pPr>
      <w:tabs>
        <w:tab w:val="right" w:pos="754"/>
      </w:tabs>
      <w:spacing w:before="60" w:line="240" w:lineRule="auto"/>
      <w:ind w:left="828" w:hanging="828"/>
    </w:pPr>
    <w:rPr>
      <w:sz w:val="20"/>
    </w:rPr>
  </w:style>
  <w:style w:type="paragraph" w:customStyle="1" w:styleId="ETAsubpara">
    <w:name w:val="ETA(subpara)"/>
    <w:basedOn w:val="OPCParaBase"/>
    <w:rsid w:val="00C35060"/>
    <w:pPr>
      <w:tabs>
        <w:tab w:val="right" w:pos="1083"/>
      </w:tabs>
      <w:spacing w:before="60" w:line="240" w:lineRule="auto"/>
      <w:ind w:left="1191" w:hanging="1191"/>
    </w:pPr>
    <w:rPr>
      <w:sz w:val="20"/>
    </w:rPr>
  </w:style>
  <w:style w:type="paragraph" w:customStyle="1" w:styleId="ETAsub-subpara">
    <w:name w:val="ETA(sub-subpara)"/>
    <w:basedOn w:val="OPCParaBase"/>
    <w:rsid w:val="00C35060"/>
    <w:pPr>
      <w:tabs>
        <w:tab w:val="right" w:pos="1412"/>
      </w:tabs>
      <w:spacing w:before="60" w:line="240" w:lineRule="auto"/>
      <w:ind w:left="1525" w:hanging="1525"/>
    </w:pPr>
    <w:rPr>
      <w:sz w:val="20"/>
    </w:rPr>
  </w:style>
  <w:style w:type="paragraph" w:customStyle="1" w:styleId="Formula">
    <w:name w:val="Formula"/>
    <w:basedOn w:val="OPCParaBase"/>
    <w:rsid w:val="00C35060"/>
    <w:pPr>
      <w:spacing w:line="240" w:lineRule="auto"/>
      <w:ind w:left="1134"/>
    </w:pPr>
    <w:rPr>
      <w:sz w:val="20"/>
    </w:rPr>
  </w:style>
  <w:style w:type="paragraph" w:styleId="Header">
    <w:name w:val="header"/>
    <w:basedOn w:val="OPCParaBase"/>
    <w:link w:val="HeaderChar"/>
    <w:unhideWhenUsed/>
    <w:rsid w:val="00C350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5060"/>
    <w:rPr>
      <w:rFonts w:eastAsia="Times New Roman" w:cs="Times New Roman"/>
      <w:sz w:val="16"/>
      <w:lang w:eastAsia="en-AU"/>
    </w:rPr>
  </w:style>
  <w:style w:type="paragraph" w:customStyle="1" w:styleId="House">
    <w:name w:val="House"/>
    <w:basedOn w:val="OPCParaBase"/>
    <w:rsid w:val="00C35060"/>
    <w:pPr>
      <w:spacing w:line="240" w:lineRule="auto"/>
    </w:pPr>
    <w:rPr>
      <w:sz w:val="28"/>
    </w:rPr>
  </w:style>
  <w:style w:type="paragraph" w:customStyle="1" w:styleId="Item">
    <w:name w:val="Item"/>
    <w:aliases w:val="i"/>
    <w:basedOn w:val="OPCParaBase"/>
    <w:next w:val="ItemHead"/>
    <w:rsid w:val="00C35060"/>
    <w:pPr>
      <w:keepLines/>
      <w:spacing w:before="80" w:line="240" w:lineRule="auto"/>
      <w:ind w:left="709"/>
    </w:pPr>
  </w:style>
  <w:style w:type="paragraph" w:customStyle="1" w:styleId="ItemHead">
    <w:name w:val="ItemHead"/>
    <w:aliases w:val="ih"/>
    <w:basedOn w:val="OPCParaBase"/>
    <w:next w:val="Item"/>
    <w:rsid w:val="00C350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5060"/>
    <w:pPr>
      <w:spacing w:line="240" w:lineRule="auto"/>
    </w:pPr>
    <w:rPr>
      <w:b/>
      <w:sz w:val="32"/>
    </w:rPr>
  </w:style>
  <w:style w:type="paragraph" w:customStyle="1" w:styleId="notedraft">
    <w:name w:val="note(draft)"/>
    <w:aliases w:val="nd"/>
    <w:basedOn w:val="OPCParaBase"/>
    <w:rsid w:val="00C35060"/>
    <w:pPr>
      <w:spacing w:before="240" w:line="240" w:lineRule="auto"/>
      <w:ind w:left="284" w:hanging="284"/>
    </w:pPr>
    <w:rPr>
      <w:i/>
      <w:sz w:val="24"/>
    </w:rPr>
  </w:style>
  <w:style w:type="paragraph" w:customStyle="1" w:styleId="notemargin">
    <w:name w:val="note(margin)"/>
    <w:aliases w:val="nm"/>
    <w:basedOn w:val="OPCParaBase"/>
    <w:rsid w:val="00C35060"/>
    <w:pPr>
      <w:tabs>
        <w:tab w:val="left" w:pos="709"/>
      </w:tabs>
      <w:spacing w:before="122" w:line="198" w:lineRule="exact"/>
      <w:ind w:left="709" w:hanging="709"/>
    </w:pPr>
    <w:rPr>
      <w:sz w:val="18"/>
    </w:rPr>
  </w:style>
  <w:style w:type="paragraph" w:customStyle="1" w:styleId="noteToPara">
    <w:name w:val="noteToPara"/>
    <w:aliases w:val="ntp"/>
    <w:basedOn w:val="OPCParaBase"/>
    <w:rsid w:val="00C35060"/>
    <w:pPr>
      <w:spacing w:before="122" w:line="198" w:lineRule="exact"/>
      <w:ind w:left="2353" w:hanging="709"/>
    </w:pPr>
    <w:rPr>
      <w:sz w:val="18"/>
    </w:rPr>
  </w:style>
  <w:style w:type="paragraph" w:customStyle="1" w:styleId="noteParlAmend">
    <w:name w:val="note(ParlAmend)"/>
    <w:aliases w:val="npp"/>
    <w:basedOn w:val="OPCParaBase"/>
    <w:next w:val="ParlAmend"/>
    <w:rsid w:val="00C35060"/>
    <w:pPr>
      <w:spacing w:line="240" w:lineRule="auto"/>
      <w:jc w:val="right"/>
    </w:pPr>
    <w:rPr>
      <w:rFonts w:ascii="Arial" w:hAnsi="Arial"/>
      <w:b/>
      <w:i/>
    </w:rPr>
  </w:style>
  <w:style w:type="paragraph" w:customStyle="1" w:styleId="Page1">
    <w:name w:val="Page1"/>
    <w:basedOn w:val="OPCParaBase"/>
    <w:rsid w:val="00C35060"/>
    <w:pPr>
      <w:spacing w:before="5600" w:line="240" w:lineRule="auto"/>
    </w:pPr>
    <w:rPr>
      <w:b/>
      <w:sz w:val="32"/>
    </w:rPr>
  </w:style>
  <w:style w:type="paragraph" w:customStyle="1" w:styleId="PageBreak">
    <w:name w:val="PageBreak"/>
    <w:aliases w:val="pb"/>
    <w:basedOn w:val="OPCParaBase"/>
    <w:rsid w:val="00C35060"/>
    <w:pPr>
      <w:spacing w:line="240" w:lineRule="auto"/>
    </w:pPr>
    <w:rPr>
      <w:sz w:val="20"/>
    </w:rPr>
  </w:style>
  <w:style w:type="paragraph" w:customStyle="1" w:styleId="paragraphsub">
    <w:name w:val="paragraph(sub)"/>
    <w:aliases w:val="aa"/>
    <w:basedOn w:val="OPCParaBase"/>
    <w:rsid w:val="00C35060"/>
    <w:pPr>
      <w:tabs>
        <w:tab w:val="right" w:pos="1985"/>
      </w:tabs>
      <w:spacing w:before="40" w:line="240" w:lineRule="auto"/>
      <w:ind w:left="2098" w:hanging="2098"/>
    </w:pPr>
  </w:style>
  <w:style w:type="paragraph" w:customStyle="1" w:styleId="paragraphsub-sub">
    <w:name w:val="paragraph(sub-sub)"/>
    <w:aliases w:val="aaa"/>
    <w:basedOn w:val="OPCParaBase"/>
    <w:rsid w:val="00C35060"/>
    <w:pPr>
      <w:tabs>
        <w:tab w:val="right" w:pos="2722"/>
      </w:tabs>
      <w:spacing w:before="40" w:line="240" w:lineRule="auto"/>
      <w:ind w:left="2835" w:hanging="2835"/>
    </w:pPr>
  </w:style>
  <w:style w:type="paragraph" w:customStyle="1" w:styleId="paragraph">
    <w:name w:val="paragraph"/>
    <w:aliases w:val="a"/>
    <w:basedOn w:val="OPCParaBase"/>
    <w:link w:val="paragraphChar"/>
    <w:rsid w:val="00C35060"/>
    <w:pPr>
      <w:tabs>
        <w:tab w:val="right" w:pos="1531"/>
      </w:tabs>
      <w:spacing w:before="40" w:line="240" w:lineRule="auto"/>
      <w:ind w:left="1644" w:hanging="1644"/>
    </w:pPr>
  </w:style>
  <w:style w:type="paragraph" w:customStyle="1" w:styleId="ParlAmend">
    <w:name w:val="ParlAmend"/>
    <w:aliases w:val="pp"/>
    <w:basedOn w:val="OPCParaBase"/>
    <w:rsid w:val="00C35060"/>
    <w:pPr>
      <w:spacing w:before="240" w:line="240" w:lineRule="atLeast"/>
      <w:ind w:hanging="567"/>
    </w:pPr>
    <w:rPr>
      <w:sz w:val="24"/>
    </w:rPr>
  </w:style>
  <w:style w:type="paragraph" w:customStyle="1" w:styleId="Penalty">
    <w:name w:val="Penalty"/>
    <w:basedOn w:val="OPCParaBase"/>
    <w:rsid w:val="00C35060"/>
    <w:pPr>
      <w:tabs>
        <w:tab w:val="left" w:pos="2977"/>
      </w:tabs>
      <w:spacing w:before="180" w:line="240" w:lineRule="auto"/>
      <w:ind w:left="1985" w:hanging="851"/>
    </w:pPr>
  </w:style>
  <w:style w:type="paragraph" w:customStyle="1" w:styleId="Portfolio">
    <w:name w:val="Portfolio"/>
    <w:basedOn w:val="OPCParaBase"/>
    <w:rsid w:val="00C35060"/>
    <w:pPr>
      <w:spacing w:line="240" w:lineRule="auto"/>
    </w:pPr>
    <w:rPr>
      <w:i/>
      <w:sz w:val="20"/>
    </w:rPr>
  </w:style>
  <w:style w:type="paragraph" w:customStyle="1" w:styleId="Preamble">
    <w:name w:val="Preamble"/>
    <w:basedOn w:val="OPCParaBase"/>
    <w:next w:val="Normal"/>
    <w:rsid w:val="00C350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5060"/>
    <w:pPr>
      <w:spacing w:line="240" w:lineRule="auto"/>
    </w:pPr>
    <w:rPr>
      <w:i/>
      <w:sz w:val="20"/>
    </w:rPr>
  </w:style>
  <w:style w:type="paragraph" w:customStyle="1" w:styleId="Session">
    <w:name w:val="Session"/>
    <w:basedOn w:val="OPCParaBase"/>
    <w:rsid w:val="00C35060"/>
    <w:pPr>
      <w:spacing w:line="240" w:lineRule="auto"/>
    </w:pPr>
    <w:rPr>
      <w:sz w:val="28"/>
    </w:rPr>
  </w:style>
  <w:style w:type="paragraph" w:customStyle="1" w:styleId="Sponsor">
    <w:name w:val="Sponsor"/>
    <w:basedOn w:val="OPCParaBase"/>
    <w:rsid w:val="00C35060"/>
    <w:pPr>
      <w:spacing w:line="240" w:lineRule="auto"/>
    </w:pPr>
    <w:rPr>
      <w:i/>
    </w:rPr>
  </w:style>
  <w:style w:type="paragraph" w:customStyle="1" w:styleId="Subitem">
    <w:name w:val="Subitem"/>
    <w:aliases w:val="iss"/>
    <w:basedOn w:val="OPCParaBase"/>
    <w:rsid w:val="00C35060"/>
    <w:pPr>
      <w:spacing w:before="180" w:line="240" w:lineRule="auto"/>
      <w:ind w:left="709" w:hanging="709"/>
    </w:pPr>
  </w:style>
  <w:style w:type="paragraph" w:customStyle="1" w:styleId="SubitemHead">
    <w:name w:val="SubitemHead"/>
    <w:aliases w:val="issh"/>
    <w:basedOn w:val="OPCParaBase"/>
    <w:rsid w:val="00C350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5060"/>
    <w:pPr>
      <w:spacing w:before="40" w:line="240" w:lineRule="auto"/>
      <w:ind w:left="1134"/>
    </w:pPr>
  </w:style>
  <w:style w:type="paragraph" w:customStyle="1" w:styleId="SubsectionHead">
    <w:name w:val="SubsectionHead"/>
    <w:aliases w:val="ssh"/>
    <w:basedOn w:val="OPCParaBase"/>
    <w:next w:val="subsection"/>
    <w:rsid w:val="00C35060"/>
    <w:pPr>
      <w:keepNext/>
      <w:keepLines/>
      <w:spacing w:before="240" w:line="240" w:lineRule="auto"/>
      <w:ind w:left="1134"/>
    </w:pPr>
    <w:rPr>
      <w:i/>
    </w:rPr>
  </w:style>
  <w:style w:type="paragraph" w:customStyle="1" w:styleId="Tablea">
    <w:name w:val="Table(a)"/>
    <w:aliases w:val="ta"/>
    <w:basedOn w:val="OPCParaBase"/>
    <w:rsid w:val="00C35060"/>
    <w:pPr>
      <w:spacing w:before="60" w:line="240" w:lineRule="auto"/>
      <w:ind w:left="284" w:hanging="284"/>
    </w:pPr>
    <w:rPr>
      <w:sz w:val="20"/>
    </w:rPr>
  </w:style>
  <w:style w:type="paragraph" w:customStyle="1" w:styleId="TableAA">
    <w:name w:val="Table(AA)"/>
    <w:aliases w:val="taaa"/>
    <w:basedOn w:val="OPCParaBase"/>
    <w:rsid w:val="00C350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50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35060"/>
    <w:pPr>
      <w:spacing w:before="60" w:line="240" w:lineRule="atLeast"/>
    </w:pPr>
    <w:rPr>
      <w:sz w:val="20"/>
    </w:rPr>
  </w:style>
  <w:style w:type="paragraph" w:customStyle="1" w:styleId="TLPBoxTextnote">
    <w:name w:val="TLPBoxText(note"/>
    <w:aliases w:val="right)"/>
    <w:basedOn w:val="OPCParaBase"/>
    <w:rsid w:val="00C350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50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5060"/>
    <w:pPr>
      <w:spacing w:before="122" w:line="198" w:lineRule="exact"/>
      <w:ind w:left="1985" w:hanging="851"/>
      <w:jc w:val="right"/>
    </w:pPr>
    <w:rPr>
      <w:sz w:val="18"/>
    </w:rPr>
  </w:style>
  <w:style w:type="paragraph" w:customStyle="1" w:styleId="TLPTableBullet">
    <w:name w:val="TLPTableBullet"/>
    <w:aliases w:val="ttb"/>
    <w:basedOn w:val="OPCParaBase"/>
    <w:rsid w:val="00C35060"/>
    <w:pPr>
      <w:spacing w:line="240" w:lineRule="exact"/>
      <w:ind w:left="284" w:hanging="284"/>
    </w:pPr>
    <w:rPr>
      <w:sz w:val="20"/>
    </w:rPr>
  </w:style>
  <w:style w:type="paragraph" w:styleId="TOC1">
    <w:name w:val="toc 1"/>
    <w:basedOn w:val="OPCParaBase"/>
    <w:next w:val="Normal"/>
    <w:uiPriority w:val="39"/>
    <w:semiHidden/>
    <w:unhideWhenUsed/>
    <w:rsid w:val="00C350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350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350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350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350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350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350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350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350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5060"/>
    <w:pPr>
      <w:keepLines/>
      <w:spacing w:before="240" w:after="120" w:line="240" w:lineRule="auto"/>
      <w:ind w:left="794"/>
    </w:pPr>
    <w:rPr>
      <w:b/>
      <w:kern w:val="28"/>
      <w:sz w:val="20"/>
    </w:rPr>
  </w:style>
  <w:style w:type="paragraph" w:customStyle="1" w:styleId="TofSectsHeading">
    <w:name w:val="TofSects(Heading)"/>
    <w:basedOn w:val="OPCParaBase"/>
    <w:rsid w:val="00C35060"/>
    <w:pPr>
      <w:spacing w:before="240" w:after="120" w:line="240" w:lineRule="auto"/>
    </w:pPr>
    <w:rPr>
      <w:b/>
      <w:sz w:val="24"/>
    </w:rPr>
  </w:style>
  <w:style w:type="paragraph" w:customStyle="1" w:styleId="TofSectsSection">
    <w:name w:val="TofSects(Section)"/>
    <w:basedOn w:val="OPCParaBase"/>
    <w:rsid w:val="00C35060"/>
    <w:pPr>
      <w:keepLines/>
      <w:spacing w:before="40" w:line="240" w:lineRule="auto"/>
      <w:ind w:left="1588" w:hanging="794"/>
    </w:pPr>
    <w:rPr>
      <w:kern w:val="28"/>
      <w:sz w:val="18"/>
    </w:rPr>
  </w:style>
  <w:style w:type="paragraph" w:customStyle="1" w:styleId="TofSectsSubdiv">
    <w:name w:val="TofSects(Subdiv)"/>
    <w:basedOn w:val="OPCParaBase"/>
    <w:rsid w:val="00C35060"/>
    <w:pPr>
      <w:keepLines/>
      <w:spacing w:before="80" w:line="240" w:lineRule="auto"/>
      <w:ind w:left="1588" w:hanging="794"/>
    </w:pPr>
    <w:rPr>
      <w:kern w:val="28"/>
    </w:rPr>
  </w:style>
  <w:style w:type="paragraph" w:customStyle="1" w:styleId="WRStyle">
    <w:name w:val="WR Style"/>
    <w:aliases w:val="WR"/>
    <w:basedOn w:val="OPCParaBase"/>
    <w:rsid w:val="00C35060"/>
    <w:pPr>
      <w:spacing w:before="240" w:line="240" w:lineRule="auto"/>
      <w:ind w:left="284" w:hanging="284"/>
    </w:pPr>
    <w:rPr>
      <w:b/>
      <w:i/>
      <w:kern w:val="28"/>
      <w:sz w:val="24"/>
    </w:rPr>
  </w:style>
  <w:style w:type="paragraph" w:customStyle="1" w:styleId="notepara">
    <w:name w:val="note(para)"/>
    <w:aliases w:val="na"/>
    <w:basedOn w:val="OPCParaBase"/>
    <w:rsid w:val="00C35060"/>
    <w:pPr>
      <w:spacing w:before="40" w:line="198" w:lineRule="exact"/>
      <w:ind w:left="2354" w:hanging="369"/>
    </w:pPr>
    <w:rPr>
      <w:sz w:val="18"/>
    </w:rPr>
  </w:style>
  <w:style w:type="paragraph" w:styleId="Footer">
    <w:name w:val="footer"/>
    <w:link w:val="FooterChar"/>
    <w:rsid w:val="00C350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5060"/>
    <w:rPr>
      <w:rFonts w:eastAsia="Times New Roman" w:cs="Times New Roman"/>
      <w:sz w:val="22"/>
      <w:szCs w:val="24"/>
      <w:lang w:eastAsia="en-AU"/>
    </w:rPr>
  </w:style>
  <w:style w:type="character" w:styleId="LineNumber">
    <w:name w:val="line number"/>
    <w:basedOn w:val="OPCCharBase"/>
    <w:uiPriority w:val="99"/>
    <w:semiHidden/>
    <w:unhideWhenUsed/>
    <w:rsid w:val="00C35060"/>
    <w:rPr>
      <w:sz w:val="16"/>
    </w:rPr>
  </w:style>
  <w:style w:type="table" w:customStyle="1" w:styleId="CFlag">
    <w:name w:val="CFlag"/>
    <w:basedOn w:val="TableNormal"/>
    <w:uiPriority w:val="99"/>
    <w:rsid w:val="00C35060"/>
    <w:rPr>
      <w:rFonts w:eastAsia="Times New Roman" w:cs="Times New Roman"/>
      <w:lang w:eastAsia="en-AU"/>
    </w:rPr>
    <w:tblPr/>
  </w:style>
  <w:style w:type="paragraph" w:customStyle="1" w:styleId="NotesHeading1">
    <w:name w:val="NotesHeading 1"/>
    <w:basedOn w:val="OPCParaBase"/>
    <w:next w:val="Normal"/>
    <w:rsid w:val="00C35060"/>
    <w:rPr>
      <w:b/>
      <w:sz w:val="28"/>
      <w:szCs w:val="28"/>
    </w:rPr>
  </w:style>
  <w:style w:type="paragraph" w:customStyle="1" w:styleId="NotesHeading2">
    <w:name w:val="NotesHeading 2"/>
    <w:basedOn w:val="OPCParaBase"/>
    <w:next w:val="Normal"/>
    <w:rsid w:val="00C35060"/>
    <w:rPr>
      <w:b/>
      <w:sz w:val="28"/>
      <w:szCs w:val="28"/>
    </w:rPr>
  </w:style>
  <w:style w:type="paragraph" w:customStyle="1" w:styleId="SignCoverPageEnd">
    <w:name w:val="SignCoverPageEnd"/>
    <w:basedOn w:val="OPCParaBase"/>
    <w:next w:val="Normal"/>
    <w:rsid w:val="00C350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5060"/>
    <w:pPr>
      <w:pBdr>
        <w:top w:val="single" w:sz="4" w:space="1" w:color="auto"/>
      </w:pBdr>
      <w:spacing w:before="360"/>
      <w:ind w:right="397"/>
      <w:jc w:val="both"/>
    </w:pPr>
  </w:style>
  <w:style w:type="paragraph" w:customStyle="1" w:styleId="Paragraphsub-sub-sub">
    <w:name w:val="Paragraph(sub-sub-sub)"/>
    <w:aliases w:val="aaaa"/>
    <w:basedOn w:val="OPCParaBase"/>
    <w:rsid w:val="00C350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50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50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50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50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35060"/>
    <w:pPr>
      <w:spacing w:before="120"/>
    </w:pPr>
  </w:style>
  <w:style w:type="paragraph" w:customStyle="1" w:styleId="TableTextEndNotes">
    <w:name w:val="TableTextEndNotes"/>
    <w:aliases w:val="Tten"/>
    <w:basedOn w:val="Normal"/>
    <w:rsid w:val="00C35060"/>
    <w:pPr>
      <w:spacing w:before="60" w:line="240" w:lineRule="auto"/>
    </w:pPr>
    <w:rPr>
      <w:rFonts w:cs="Arial"/>
      <w:sz w:val="20"/>
      <w:szCs w:val="22"/>
    </w:rPr>
  </w:style>
  <w:style w:type="paragraph" w:customStyle="1" w:styleId="TableHeading">
    <w:name w:val="TableHeading"/>
    <w:aliases w:val="th"/>
    <w:basedOn w:val="OPCParaBase"/>
    <w:next w:val="Tabletext"/>
    <w:rsid w:val="00C35060"/>
    <w:pPr>
      <w:keepNext/>
      <w:spacing w:before="60" w:line="240" w:lineRule="atLeast"/>
    </w:pPr>
    <w:rPr>
      <w:b/>
      <w:sz w:val="20"/>
    </w:rPr>
  </w:style>
  <w:style w:type="paragraph" w:customStyle="1" w:styleId="NoteToSubpara">
    <w:name w:val="NoteToSubpara"/>
    <w:aliases w:val="nts"/>
    <w:basedOn w:val="OPCParaBase"/>
    <w:rsid w:val="00C35060"/>
    <w:pPr>
      <w:spacing w:before="40" w:line="198" w:lineRule="exact"/>
      <w:ind w:left="2835" w:hanging="709"/>
    </w:pPr>
    <w:rPr>
      <w:sz w:val="18"/>
    </w:rPr>
  </w:style>
  <w:style w:type="paragraph" w:customStyle="1" w:styleId="ENoteTableHeading">
    <w:name w:val="ENoteTableHeading"/>
    <w:aliases w:val="enth"/>
    <w:basedOn w:val="OPCParaBase"/>
    <w:rsid w:val="00C35060"/>
    <w:pPr>
      <w:keepNext/>
      <w:spacing w:before="60" w:line="240" w:lineRule="atLeast"/>
    </w:pPr>
    <w:rPr>
      <w:rFonts w:ascii="Arial" w:hAnsi="Arial"/>
      <w:b/>
      <w:sz w:val="16"/>
    </w:rPr>
  </w:style>
  <w:style w:type="paragraph" w:customStyle="1" w:styleId="ENoteTTi">
    <w:name w:val="ENoteTTi"/>
    <w:aliases w:val="entti"/>
    <w:basedOn w:val="OPCParaBase"/>
    <w:rsid w:val="00C35060"/>
    <w:pPr>
      <w:keepNext/>
      <w:spacing w:before="60" w:line="240" w:lineRule="atLeast"/>
      <w:ind w:left="170"/>
    </w:pPr>
    <w:rPr>
      <w:sz w:val="16"/>
    </w:rPr>
  </w:style>
  <w:style w:type="paragraph" w:customStyle="1" w:styleId="ENotesHeading1">
    <w:name w:val="ENotesHeading 1"/>
    <w:aliases w:val="Enh1"/>
    <w:basedOn w:val="OPCParaBase"/>
    <w:next w:val="Normal"/>
    <w:rsid w:val="00C35060"/>
    <w:pPr>
      <w:spacing w:before="120"/>
      <w:outlineLvl w:val="1"/>
    </w:pPr>
    <w:rPr>
      <w:b/>
      <w:sz w:val="28"/>
      <w:szCs w:val="28"/>
    </w:rPr>
  </w:style>
  <w:style w:type="paragraph" w:customStyle="1" w:styleId="ENotesHeading2">
    <w:name w:val="ENotesHeading 2"/>
    <w:aliases w:val="Enh2"/>
    <w:basedOn w:val="OPCParaBase"/>
    <w:next w:val="Normal"/>
    <w:rsid w:val="00C35060"/>
    <w:pPr>
      <w:spacing w:before="120" w:after="120"/>
      <w:outlineLvl w:val="2"/>
    </w:pPr>
    <w:rPr>
      <w:b/>
      <w:sz w:val="24"/>
      <w:szCs w:val="28"/>
    </w:rPr>
  </w:style>
  <w:style w:type="paragraph" w:customStyle="1" w:styleId="ENoteTTIndentHeading">
    <w:name w:val="ENoteTTIndentHeading"/>
    <w:aliases w:val="enTTHi"/>
    <w:basedOn w:val="OPCParaBase"/>
    <w:rsid w:val="00C350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5060"/>
    <w:pPr>
      <w:spacing w:before="60" w:line="240" w:lineRule="atLeast"/>
    </w:pPr>
    <w:rPr>
      <w:sz w:val="16"/>
    </w:rPr>
  </w:style>
  <w:style w:type="paragraph" w:customStyle="1" w:styleId="MadeunderText">
    <w:name w:val="MadeunderText"/>
    <w:basedOn w:val="OPCParaBase"/>
    <w:next w:val="Normal"/>
    <w:rsid w:val="00C35060"/>
    <w:pPr>
      <w:spacing w:before="240"/>
    </w:pPr>
    <w:rPr>
      <w:sz w:val="24"/>
      <w:szCs w:val="24"/>
    </w:rPr>
  </w:style>
  <w:style w:type="paragraph" w:customStyle="1" w:styleId="ENotesHeading3">
    <w:name w:val="ENotesHeading 3"/>
    <w:aliases w:val="Enh3"/>
    <w:basedOn w:val="OPCParaBase"/>
    <w:next w:val="Normal"/>
    <w:rsid w:val="00C35060"/>
    <w:pPr>
      <w:keepNext/>
      <w:spacing w:before="120" w:line="240" w:lineRule="auto"/>
      <w:outlineLvl w:val="4"/>
    </w:pPr>
    <w:rPr>
      <w:b/>
      <w:szCs w:val="24"/>
    </w:rPr>
  </w:style>
  <w:style w:type="paragraph" w:customStyle="1" w:styleId="SubPartCASA">
    <w:name w:val="SubPart(CASA)"/>
    <w:aliases w:val="csp"/>
    <w:basedOn w:val="OPCParaBase"/>
    <w:next w:val="ActHead3"/>
    <w:rsid w:val="00C350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35060"/>
  </w:style>
  <w:style w:type="character" w:customStyle="1" w:styleId="CharSubPartNoCASA">
    <w:name w:val="CharSubPartNo(CASA)"/>
    <w:basedOn w:val="OPCCharBase"/>
    <w:uiPriority w:val="1"/>
    <w:rsid w:val="00C35060"/>
  </w:style>
  <w:style w:type="paragraph" w:customStyle="1" w:styleId="ENoteTTIndentHeadingSub">
    <w:name w:val="ENoteTTIndentHeadingSub"/>
    <w:aliases w:val="enTTHis"/>
    <w:basedOn w:val="OPCParaBase"/>
    <w:rsid w:val="00C35060"/>
    <w:pPr>
      <w:keepNext/>
      <w:spacing w:before="60" w:line="240" w:lineRule="atLeast"/>
      <w:ind w:left="340"/>
    </w:pPr>
    <w:rPr>
      <w:b/>
      <w:sz w:val="16"/>
    </w:rPr>
  </w:style>
  <w:style w:type="paragraph" w:customStyle="1" w:styleId="ENoteTTiSub">
    <w:name w:val="ENoteTTiSub"/>
    <w:aliases w:val="enttis"/>
    <w:basedOn w:val="OPCParaBase"/>
    <w:rsid w:val="00C35060"/>
    <w:pPr>
      <w:keepNext/>
      <w:spacing w:before="60" w:line="240" w:lineRule="atLeast"/>
      <w:ind w:left="340"/>
    </w:pPr>
    <w:rPr>
      <w:sz w:val="16"/>
    </w:rPr>
  </w:style>
  <w:style w:type="paragraph" w:customStyle="1" w:styleId="SubDivisionMigration">
    <w:name w:val="SubDivisionMigration"/>
    <w:aliases w:val="sdm"/>
    <w:basedOn w:val="OPCParaBase"/>
    <w:rsid w:val="00C350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5060"/>
    <w:pPr>
      <w:keepNext/>
      <w:keepLines/>
      <w:spacing w:before="240" w:line="240" w:lineRule="auto"/>
      <w:ind w:left="1134" w:hanging="1134"/>
    </w:pPr>
    <w:rPr>
      <w:b/>
      <w:sz w:val="28"/>
    </w:rPr>
  </w:style>
  <w:style w:type="table" w:styleId="TableGrid">
    <w:name w:val="Table Grid"/>
    <w:basedOn w:val="TableNormal"/>
    <w:uiPriority w:val="59"/>
    <w:rsid w:val="00C35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35060"/>
    <w:pPr>
      <w:spacing w:before="122" w:line="240" w:lineRule="auto"/>
      <w:ind w:left="1985" w:hanging="851"/>
    </w:pPr>
    <w:rPr>
      <w:sz w:val="18"/>
    </w:rPr>
  </w:style>
  <w:style w:type="paragraph" w:customStyle="1" w:styleId="FreeForm">
    <w:name w:val="FreeForm"/>
    <w:rsid w:val="00C35060"/>
    <w:rPr>
      <w:rFonts w:ascii="Arial" w:hAnsi="Arial"/>
      <w:sz w:val="22"/>
    </w:rPr>
  </w:style>
  <w:style w:type="paragraph" w:customStyle="1" w:styleId="SOText">
    <w:name w:val="SO Text"/>
    <w:aliases w:val="sot"/>
    <w:link w:val="SOTextChar"/>
    <w:rsid w:val="00C350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5060"/>
    <w:rPr>
      <w:sz w:val="22"/>
    </w:rPr>
  </w:style>
  <w:style w:type="paragraph" w:customStyle="1" w:styleId="SOTextNote">
    <w:name w:val="SO TextNote"/>
    <w:aliases w:val="sont"/>
    <w:basedOn w:val="SOText"/>
    <w:qFormat/>
    <w:rsid w:val="00C35060"/>
    <w:pPr>
      <w:spacing w:before="122" w:line="198" w:lineRule="exact"/>
      <w:ind w:left="1843" w:hanging="709"/>
    </w:pPr>
    <w:rPr>
      <w:sz w:val="18"/>
    </w:rPr>
  </w:style>
  <w:style w:type="paragraph" w:customStyle="1" w:styleId="SOPara">
    <w:name w:val="SO Para"/>
    <w:aliases w:val="soa"/>
    <w:basedOn w:val="SOText"/>
    <w:link w:val="SOParaChar"/>
    <w:qFormat/>
    <w:rsid w:val="00C35060"/>
    <w:pPr>
      <w:tabs>
        <w:tab w:val="right" w:pos="1786"/>
      </w:tabs>
      <w:spacing w:before="40"/>
      <w:ind w:left="2070" w:hanging="936"/>
    </w:pPr>
  </w:style>
  <w:style w:type="character" w:customStyle="1" w:styleId="SOParaChar">
    <w:name w:val="SO Para Char"/>
    <w:aliases w:val="soa Char"/>
    <w:basedOn w:val="DefaultParagraphFont"/>
    <w:link w:val="SOPara"/>
    <w:rsid w:val="00C35060"/>
    <w:rPr>
      <w:sz w:val="22"/>
    </w:rPr>
  </w:style>
  <w:style w:type="paragraph" w:customStyle="1" w:styleId="FileName">
    <w:name w:val="FileName"/>
    <w:basedOn w:val="Normal"/>
    <w:rsid w:val="00C35060"/>
  </w:style>
  <w:style w:type="paragraph" w:customStyle="1" w:styleId="SOHeadBold">
    <w:name w:val="SO HeadBold"/>
    <w:aliases w:val="sohb"/>
    <w:basedOn w:val="SOText"/>
    <w:next w:val="SOText"/>
    <w:link w:val="SOHeadBoldChar"/>
    <w:qFormat/>
    <w:rsid w:val="00C35060"/>
    <w:rPr>
      <w:b/>
    </w:rPr>
  </w:style>
  <w:style w:type="character" w:customStyle="1" w:styleId="SOHeadBoldChar">
    <w:name w:val="SO HeadBold Char"/>
    <w:aliases w:val="sohb Char"/>
    <w:basedOn w:val="DefaultParagraphFont"/>
    <w:link w:val="SOHeadBold"/>
    <w:rsid w:val="00C35060"/>
    <w:rPr>
      <w:b/>
      <w:sz w:val="22"/>
    </w:rPr>
  </w:style>
  <w:style w:type="paragraph" w:customStyle="1" w:styleId="SOHeadItalic">
    <w:name w:val="SO HeadItalic"/>
    <w:aliases w:val="sohi"/>
    <w:basedOn w:val="SOText"/>
    <w:next w:val="SOText"/>
    <w:link w:val="SOHeadItalicChar"/>
    <w:qFormat/>
    <w:rsid w:val="00C35060"/>
    <w:rPr>
      <w:i/>
    </w:rPr>
  </w:style>
  <w:style w:type="character" w:customStyle="1" w:styleId="SOHeadItalicChar">
    <w:name w:val="SO HeadItalic Char"/>
    <w:aliases w:val="sohi Char"/>
    <w:basedOn w:val="DefaultParagraphFont"/>
    <w:link w:val="SOHeadItalic"/>
    <w:rsid w:val="00C35060"/>
    <w:rPr>
      <w:i/>
      <w:sz w:val="22"/>
    </w:rPr>
  </w:style>
  <w:style w:type="paragraph" w:customStyle="1" w:styleId="SOBullet">
    <w:name w:val="SO Bullet"/>
    <w:aliases w:val="sotb"/>
    <w:basedOn w:val="SOText"/>
    <w:link w:val="SOBulletChar"/>
    <w:qFormat/>
    <w:rsid w:val="00C35060"/>
    <w:pPr>
      <w:ind w:left="1559" w:hanging="425"/>
    </w:pPr>
  </w:style>
  <w:style w:type="character" w:customStyle="1" w:styleId="SOBulletChar">
    <w:name w:val="SO Bullet Char"/>
    <w:aliases w:val="sotb Char"/>
    <w:basedOn w:val="DefaultParagraphFont"/>
    <w:link w:val="SOBullet"/>
    <w:rsid w:val="00C35060"/>
    <w:rPr>
      <w:sz w:val="22"/>
    </w:rPr>
  </w:style>
  <w:style w:type="paragraph" w:customStyle="1" w:styleId="SOBulletNote">
    <w:name w:val="SO BulletNote"/>
    <w:aliases w:val="sonb"/>
    <w:basedOn w:val="SOTextNote"/>
    <w:link w:val="SOBulletNoteChar"/>
    <w:qFormat/>
    <w:rsid w:val="00C35060"/>
    <w:pPr>
      <w:tabs>
        <w:tab w:val="left" w:pos="1560"/>
      </w:tabs>
      <w:ind w:left="2268" w:hanging="1134"/>
    </w:pPr>
  </w:style>
  <w:style w:type="character" w:customStyle="1" w:styleId="SOBulletNoteChar">
    <w:name w:val="SO BulletNote Char"/>
    <w:aliases w:val="sonb Char"/>
    <w:basedOn w:val="DefaultParagraphFont"/>
    <w:link w:val="SOBulletNote"/>
    <w:rsid w:val="00C35060"/>
    <w:rPr>
      <w:sz w:val="18"/>
    </w:rPr>
  </w:style>
  <w:style w:type="paragraph" w:customStyle="1" w:styleId="SOText2">
    <w:name w:val="SO Text2"/>
    <w:aliases w:val="sot2"/>
    <w:basedOn w:val="Normal"/>
    <w:next w:val="SOText"/>
    <w:link w:val="SOText2Char"/>
    <w:rsid w:val="00C350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5060"/>
    <w:rPr>
      <w:sz w:val="22"/>
    </w:rPr>
  </w:style>
  <w:style w:type="paragraph" w:customStyle="1" w:styleId="Transitional">
    <w:name w:val="Transitional"/>
    <w:aliases w:val="tr"/>
    <w:basedOn w:val="ItemHead"/>
    <w:next w:val="Item"/>
    <w:rsid w:val="00C35060"/>
  </w:style>
  <w:style w:type="character" w:customStyle="1" w:styleId="TabletextChar">
    <w:name w:val="Tabletext Char"/>
    <w:aliases w:val="tt Char"/>
    <w:basedOn w:val="DefaultParagraphFont"/>
    <w:link w:val="Tabletext"/>
    <w:rsid w:val="00C3091D"/>
    <w:rPr>
      <w:rFonts w:eastAsia="Times New Roman" w:cs="Times New Roman"/>
      <w:lang w:eastAsia="en-AU"/>
    </w:rPr>
  </w:style>
  <w:style w:type="character" w:customStyle="1" w:styleId="subsectionChar">
    <w:name w:val="subsection Char"/>
    <w:aliases w:val="ss Char"/>
    <w:basedOn w:val="DefaultParagraphFont"/>
    <w:link w:val="subsection"/>
    <w:locked/>
    <w:rsid w:val="00E759F1"/>
    <w:rPr>
      <w:rFonts w:eastAsia="Times New Roman" w:cs="Times New Roman"/>
      <w:sz w:val="22"/>
      <w:lang w:eastAsia="en-AU"/>
    </w:rPr>
  </w:style>
  <w:style w:type="character" w:customStyle="1" w:styleId="paragraphChar">
    <w:name w:val="paragraph Char"/>
    <w:aliases w:val="a Char"/>
    <w:basedOn w:val="DefaultParagraphFont"/>
    <w:link w:val="paragraph"/>
    <w:locked/>
    <w:rsid w:val="00E759F1"/>
    <w:rPr>
      <w:rFonts w:eastAsia="Times New Roman" w:cs="Times New Roman"/>
      <w:sz w:val="22"/>
      <w:lang w:eastAsia="en-AU"/>
    </w:rPr>
  </w:style>
  <w:style w:type="character" w:customStyle="1" w:styleId="Heading1Char">
    <w:name w:val="Heading 1 Char"/>
    <w:basedOn w:val="DefaultParagraphFont"/>
    <w:link w:val="Heading1"/>
    <w:uiPriority w:val="9"/>
    <w:rsid w:val="004D3F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3F4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3F4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3F4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D3F4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D3F4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D3F4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D3F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F4B"/>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4D3F4B"/>
    <w:pPr>
      <w:spacing w:before="800"/>
    </w:pPr>
  </w:style>
  <w:style w:type="character" w:customStyle="1" w:styleId="ShortTP1Char">
    <w:name w:val="ShortTP1 Char"/>
    <w:basedOn w:val="DefaultParagraphFont"/>
    <w:link w:val="ShortTP1"/>
    <w:rsid w:val="004D3F4B"/>
    <w:rPr>
      <w:rFonts w:eastAsia="Times New Roman" w:cs="Times New Roman"/>
      <w:b/>
      <w:sz w:val="40"/>
      <w:lang w:eastAsia="en-AU"/>
    </w:rPr>
  </w:style>
  <w:style w:type="paragraph" w:customStyle="1" w:styleId="ActNoP1">
    <w:name w:val="ActNoP1"/>
    <w:basedOn w:val="Actno"/>
    <w:link w:val="ActNoP1Char"/>
    <w:rsid w:val="004D3F4B"/>
    <w:pPr>
      <w:spacing w:before="800"/>
    </w:pPr>
    <w:rPr>
      <w:sz w:val="28"/>
    </w:rPr>
  </w:style>
  <w:style w:type="character" w:customStyle="1" w:styleId="ActNoP1Char">
    <w:name w:val="ActNoP1 Char"/>
    <w:basedOn w:val="DefaultParagraphFont"/>
    <w:link w:val="ActNoP1"/>
    <w:rsid w:val="004D3F4B"/>
    <w:rPr>
      <w:rFonts w:eastAsia="Times New Roman" w:cs="Times New Roman"/>
      <w:b/>
      <w:sz w:val="28"/>
      <w:lang w:eastAsia="en-AU"/>
    </w:rPr>
  </w:style>
  <w:style w:type="paragraph" w:customStyle="1" w:styleId="AssentBk">
    <w:name w:val="AssentBk"/>
    <w:basedOn w:val="Normal"/>
    <w:rsid w:val="004D3F4B"/>
    <w:pPr>
      <w:spacing w:line="240" w:lineRule="auto"/>
    </w:pPr>
    <w:rPr>
      <w:rFonts w:eastAsia="Times New Roman" w:cs="Times New Roman"/>
      <w:sz w:val="20"/>
      <w:lang w:eastAsia="en-AU"/>
    </w:rPr>
  </w:style>
  <w:style w:type="paragraph" w:customStyle="1" w:styleId="AssentDt">
    <w:name w:val="AssentDt"/>
    <w:basedOn w:val="Normal"/>
    <w:rsid w:val="00FD3BA6"/>
    <w:pPr>
      <w:spacing w:line="240" w:lineRule="auto"/>
    </w:pPr>
    <w:rPr>
      <w:rFonts w:eastAsia="Times New Roman" w:cs="Times New Roman"/>
      <w:sz w:val="20"/>
      <w:lang w:eastAsia="en-AU"/>
    </w:rPr>
  </w:style>
  <w:style w:type="paragraph" w:customStyle="1" w:styleId="2ndRd">
    <w:name w:val="2ndRd"/>
    <w:basedOn w:val="Normal"/>
    <w:rsid w:val="00FD3BA6"/>
    <w:pPr>
      <w:spacing w:line="240" w:lineRule="auto"/>
    </w:pPr>
    <w:rPr>
      <w:rFonts w:eastAsia="Times New Roman" w:cs="Times New Roman"/>
      <w:sz w:val="20"/>
      <w:lang w:eastAsia="en-AU"/>
    </w:rPr>
  </w:style>
  <w:style w:type="paragraph" w:customStyle="1" w:styleId="ScalePlusRef">
    <w:name w:val="ScalePlusRef"/>
    <w:basedOn w:val="Normal"/>
    <w:rsid w:val="00FD3BA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36</Pages>
  <Words>6111</Words>
  <Characters>30926</Characters>
  <Application>Microsoft Office Word</Application>
  <DocSecurity>0</DocSecurity>
  <PresentationFormat/>
  <Lines>618</Lines>
  <Paragraphs>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2023-06-28T03:03:00Z</dcterms:created>
  <dcterms:modified xsi:type="dcterms:W3CDTF">2023-06-28T03:11:00Z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(Refining and Improving Our Tax System) Act 2023</vt:lpwstr>
  </property>
  <property fmtid="{D5CDD505-2E9C-101B-9397-08002B2CF9AE}" pid="3" name="ActNo">
    <vt:lpwstr>No. 40,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2023-06-21T06:07:57Z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b292fc31-bb8a-459d-91b4-c97adf3abcf4</vt:lpwstr>
  </property>
  <property fmtid="{D5CDD505-2E9C-101B-9397-08002B2CF9AE}" pid="18" name="MSIP_Label_234ea0fa-41da-4eb0-b95e-07c328641c0b_ContentBits">
    <vt:lpwstr>0</vt:lpwstr>
  </property>
</Properties>
</file>