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9937416"/>
    <w:p w14:paraId="49EA9DAF" w14:textId="7C592AC5" w:rsidR="009833E5" w:rsidRDefault="009833E5" w:rsidP="009833E5">
      <w:r>
        <w:object w:dxaOrig="2146" w:dyaOrig="1561" w14:anchorId="619A3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15pt;height:78.25pt" o:ole="" fillcolor="window">
            <v:imagedata r:id="rId8" o:title=""/>
          </v:shape>
          <o:OLEObject Type="Embed" ProgID="Word.Picture.8" ShapeID="_x0000_i1025" DrawAspect="Content" ObjectID="_1757922657" r:id="rId9"/>
        </w:object>
      </w:r>
    </w:p>
    <w:p w14:paraId="10DF1C39" w14:textId="77777777" w:rsidR="009833E5" w:rsidRDefault="009833E5" w:rsidP="009833E5"/>
    <w:p w14:paraId="06A3DB55" w14:textId="77777777" w:rsidR="009833E5" w:rsidRDefault="009833E5" w:rsidP="009833E5"/>
    <w:p w14:paraId="1A62D42F" w14:textId="77777777" w:rsidR="009833E5" w:rsidRDefault="009833E5" w:rsidP="009833E5"/>
    <w:p w14:paraId="6117BF52" w14:textId="77777777" w:rsidR="009833E5" w:rsidRDefault="009833E5" w:rsidP="009833E5"/>
    <w:p w14:paraId="0E831834" w14:textId="77777777" w:rsidR="009833E5" w:rsidRDefault="009833E5" w:rsidP="009833E5"/>
    <w:p w14:paraId="62FF7B81" w14:textId="77777777" w:rsidR="009833E5" w:rsidRDefault="009833E5" w:rsidP="009833E5"/>
    <w:p w14:paraId="154A54DE" w14:textId="783E6F34" w:rsidR="00715914" w:rsidRPr="00030589" w:rsidRDefault="009833E5" w:rsidP="00715914">
      <w:pPr>
        <w:pStyle w:val="ShortT"/>
      </w:pPr>
      <w:r>
        <w:t>Inspector</w:t>
      </w:r>
      <w:r>
        <w:noBreakHyphen/>
        <w:t>General of Aged Care (Consequential and Transitional Provisions) Act 2023</w:t>
      </w:r>
    </w:p>
    <w:bookmarkEnd w:id="0"/>
    <w:p w14:paraId="5FA68AA9" w14:textId="77777777" w:rsidR="00715914" w:rsidRPr="00030589" w:rsidRDefault="00715914" w:rsidP="00715914"/>
    <w:p w14:paraId="13225036" w14:textId="74CEF303" w:rsidR="00715914" w:rsidRPr="00030589" w:rsidRDefault="00715914" w:rsidP="009833E5">
      <w:pPr>
        <w:pStyle w:val="Actno"/>
        <w:spacing w:before="400"/>
      </w:pPr>
      <w:r w:rsidRPr="00030589">
        <w:t>No.</w:t>
      </w:r>
      <w:r w:rsidR="00053779">
        <w:t xml:space="preserve"> 56</w:t>
      </w:r>
      <w:r w:rsidR="006C41FA" w:rsidRPr="00030589">
        <w:t xml:space="preserve">, </w:t>
      </w:r>
      <w:r w:rsidR="00154506" w:rsidRPr="00030589">
        <w:t>2023</w:t>
      </w:r>
    </w:p>
    <w:p w14:paraId="266BE0CA" w14:textId="77777777" w:rsidR="00715914" w:rsidRPr="00030589" w:rsidRDefault="00715914" w:rsidP="00715914"/>
    <w:p w14:paraId="21118905" w14:textId="77777777" w:rsidR="00597A88" w:rsidRDefault="00597A88" w:rsidP="00597A88">
      <w:pPr>
        <w:rPr>
          <w:lang w:eastAsia="en-AU"/>
        </w:rPr>
      </w:pPr>
    </w:p>
    <w:p w14:paraId="4D13BA68" w14:textId="4FDE5FE4" w:rsidR="00990ED3" w:rsidRPr="00030589" w:rsidRDefault="00990ED3" w:rsidP="00715914"/>
    <w:p w14:paraId="08E3127C" w14:textId="77777777" w:rsidR="00990ED3" w:rsidRPr="00030589" w:rsidRDefault="00990ED3" w:rsidP="00715914"/>
    <w:p w14:paraId="0A48C557" w14:textId="77777777" w:rsidR="00990ED3" w:rsidRPr="00030589" w:rsidRDefault="00990ED3" w:rsidP="00715914"/>
    <w:p w14:paraId="56C9A08A" w14:textId="77777777" w:rsidR="009833E5" w:rsidRDefault="009833E5" w:rsidP="009833E5">
      <w:pPr>
        <w:pStyle w:val="LongT"/>
      </w:pPr>
      <w:r>
        <w:t xml:space="preserve">An Act to deal with consequential and transitional matters arising from the enactment of the </w:t>
      </w:r>
      <w:r w:rsidRPr="00A53DA1">
        <w:rPr>
          <w:i/>
          <w:iCs/>
        </w:rPr>
        <w:t>Inspector</w:t>
      </w:r>
      <w:r w:rsidRPr="00A53DA1">
        <w:rPr>
          <w:i/>
          <w:iCs/>
        </w:rPr>
        <w:noBreakHyphen/>
      </w:r>
      <w:r w:rsidRPr="009833E5">
        <w:rPr>
          <w:i/>
        </w:rPr>
        <w:t>General of Aged Care Act 2023</w:t>
      </w:r>
      <w:r>
        <w:t>, and for related purposes</w:t>
      </w:r>
    </w:p>
    <w:p w14:paraId="0BFFF955" w14:textId="4593EBCB" w:rsidR="00DD7BD7" w:rsidRPr="009B39BD" w:rsidRDefault="00DD7BD7" w:rsidP="00252CD8">
      <w:pPr>
        <w:pStyle w:val="Header"/>
        <w:tabs>
          <w:tab w:val="clear" w:pos="4150"/>
          <w:tab w:val="clear" w:pos="8307"/>
        </w:tabs>
      </w:pPr>
      <w:r w:rsidRPr="009B39BD">
        <w:rPr>
          <w:rStyle w:val="CharAmSchNo"/>
        </w:rPr>
        <w:t xml:space="preserve"> </w:t>
      </w:r>
      <w:r w:rsidRPr="009B39BD">
        <w:rPr>
          <w:rStyle w:val="CharAmSchText"/>
        </w:rPr>
        <w:t xml:space="preserve"> </w:t>
      </w:r>
    </w:p>
    <w:p w14:paraId="760CE487" w14:textId="77777777" w:rsidR="00DD7BD7" w:rsidRPr="009B39BD" w:rsidRDefault="00DD7BD7" w:rsidP="00252CD8">
      <w:pPr>
        <w:pStyle w:val="Header"/>
        <w:tabs>
          <w:tab w:val="clear" w:pos="4150"/>
          <w:tab w:val="clear" w:pos="8307"/>
        </w:tabs>
      </w:pPr>
      <w:r w:rsidRPr="009B39BD">
        <w:rPr>
          <w:rStyle w:val="CharAmPartNo"/>
        </w:rPr>
        <w:t xml:space="preserve"> </w:t>
      </w:r>
      <w:r w:rsidRPr="009B39BD">
        <w:rPr>
          <w:rStyle w:val="CharAmPartText"/>
        </w:rPr>
        <w:t xml:space="preserve"> </w:t>
      </w:r>
    </w:p>
    <w:p w14:paraId="67A80727" w14:textId="77777777" w:rsidR="00DD7BD7" w:rsidRPr="00030589" w:rsidRDefault="00DD7BD7" w:rsidP="00B16FC0">
      <w:pPr>
        <w:sectPr w:rsidR="00DD7BD7" w:rsidRPr="00030589" w:rsidSect="009833E5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/>
          <w:pgMar w:top="1870" w:right="2409" w:bottom="4534" w:left="2409" w:header="720" w:footer="3401" w:gutter="0"/>
          <w:cols w:space="708"/>
          <w:titlePg/>
          <w:docGrid w:linePitch="360"/>
        </w:sectPr>
      </w:pPr>
    </w:p>
    <w:p w14:paraId="3427439A" w14:textId="77777777" w:rsidR="00715914" w:rsidRPr="00030589" w:rsidRDefault="00715914" w:rsidP="00715914">
      <w:pPr>
        <w:outlineLvl w:val="0"/>
        <w:rPr>
          <w:sz w:val="36"/>
        </w:rPr>
      </w:pPr>
      <w:r w:rsidRPr="00030589">
        <w:rPr>
          <w:sz w:val="36"/>
        </w:rPr>
        <w:lastRenderedPageBreak/>
        <w:t>Contents</w:t>
      </w:r>
    </w:p>
    <w:p w14:paraId="03C37E42" w14:textId="1BFCCD68" w:rsidR="008B3AA7" w:rsidRDefault="008B3A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B3AA7">
        <w:rPr>
          <w:noProof/>
        </w:rPr>
        <w:tab/>
      </w:r>
      <w:r w:rsidRPr="008B3AA7">
        <w:rPr>
          <w:noProof/>
        </w:rPr>
        <w:fldChar w:fldCharType="begin"/>
      </w:r>
      <w:r w:rsidRPr="008B3AA7">
        <w:rPr>
          <w:noProof/>
        </w:rPr>
        <w:instrText xml:space="preserve"> PAGEREF _Toc143182170 \h </w:instrText>
      </w:r>
      <w:r w:rsidRPr="008B3AA7">
        <w:rPr>
          <w:noProof/>
        </w:rPr>
      </w:r>
      <w:r w:rsidRPr="008B3AA7">
        <w:rPr>
          <w:noProof/>
        </w:rPr>
        <w:fldChar w:fldCharType="separate"/>
      </w:r>
      <w:r w:rsidR="005768BA">
        <w:rPr>
          <w:noProof/>
        </w:rPr>
        <w:t>2</w:t>
      </w:r>
      <w:r w:rsidRPr="008B3AA7">
        <w:rPr>
          <w:noProof/>
        </w:rPr>
        <w:fldChar w:fldCharType="end"/>
      </w:r>
    </w:p>
    <w:p w14:paraId="7DCF57E7" w14:textId="396D741A" w:rsidR="008B3AA7" w:rsidRDefault="008B3A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B3AA7">
        <w:rPr>
          <w:noProof/>
        </w:rPr>
        <w:tab/>
      </w:r>
      <w:r w:rsidRPr="008B3AA7">
        <w:rPr>
          <w:noProof/>
        </w:rPr>
        <w:fldChar w:fldCharType="begin"/>
      </w:r>
      <w:r w:rsidRPr="008B3AA7">
        <w:rPr>
          <w:noProof/>
        </w:rPr>
        <w:instrText xml:space="preserve"> PAGEREF _Toc143182171 \h </w:instrText>
      </w:r>
      <w:r w:rsidRPr="008B3AA7">
        <w:rPr>
          <w:noProof/>
        </w:rPr>
      </w:r>
      <w:r w:rsidRPr="008B3AA7">
        <w:rPr>
          <w:noProof/>
        </w:rPr>
        <w:fldChar w:fldCharType="separate"/>
      </w:r>
      <w:r w:rsidR="005768BA">
        <w:rPr>
          <w:noProof/>
        </w:rPr>
        <w:t>2</w:t>
      </w:r>
      <w:r w:rsidRPr="008B3AA7">
        <w:rPr>
          <w:noProof/>
        </w:rPr>
        <w:fldChar w:fldCharType="end"/>
      </w:r>
    </w:p>
    <w:p w14:paraId="166C4663" w14:textId="5EB95214" w:rsidR="008B3AA7" w:rsidRDefault="008B3A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B3AA7">
        <w:rPr>
          <w:noProof/>
        </w:rPr>
        <w:tab/>
      </w:r>
      <w:r w:rsidRPr="008B3AA7">
        <w:rPr>
          <w:noProof/>
        </w:rPr>
        <w:fldChar w:fldCharType="begin"/>
      </w:r>
      <w:r w:rsidRPr="008B3AA7">
        <w:rPr>
          <w:noProof/>
        </w:rPr>
        <w:instrText xml:space="preserve"> PAGEREF _Toc143182172 \h </w:instrText>
      </w:r>
      <w:r w:rsidRPr="008B3AA7">
        <w:rPr>
          <w:noProof/>
        </w:rPr>
      </w:r>
      <w:r w:rsidRPr="008B3AA7">
        <w:rPr>
          <w:noProof/>
        </w:rPr>
        <w:fldChar w:fldCharType="separate"/>
      </w:r>
      <w:r w:rsidR="005768BA">
        <w:rPr>
          <w:noProof/>
        </w:rPr>
        <w:t>2</w:t>
      </w:r>
      <w:r w:rsidRPr="008B3AA7">
        <w:rPr>
          <w:noProof/>
        </w:rPr>
        <w:fldChar w:fldCharType="end"/>
      </w:r>
    </w:p>
    <w:p w14:paraId="52D4F50B" w14:textId="2989EF2E" w:rsidR="008B3AA7" w:rsidRDefault="008B3A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1—Consequential amendments</w:t>
      </w:r>
      <w:r w:rsidRPr="008B3AA7">
        <w:rPr>
          <w:b w:val="0"/>
          <w:noProof/>
          <w:sz w:val="18"/>
        </w:rPr>
        <w:tab/>
      </w:r>
      <w:r w:rsidRPr="008B3AA7">
        <w:rPr>
          <w:b w:val="0"/>
          <w:noProof/>
          <w:sz w:val="18"/>
        </w:rPr>
        <w:fldChar w:fldCharType="begin"/>
      </w:r>
      <w:r w:rsidRPr="008B3AA7">
        <w:rPr>
          <w:b w:val="0"/>
          <w:noProof/>
          <w:sz w:val="18"/>
        </w:rPr>
        <w:instrText xml:space="preserve"> PAGEREF _Toc143182173 \h </w:instrText>
      </w:r>
      <w:r w:rsidRPr="008B3AA7">
        <w:rPr>
          <w:b w:val="0"/>
          <w:noProof/>
          <w:sz w:val="18"/>
        </w:rPr>
      </w:r>
      <w:r w:rsidRPr="008B3AA7">
        <w:rPr>
          <w:b w:val="0"/>
          <w:noProof/>
          <w:sz w:val="18"/>
        </w:rPr>
        <w:fldChar w:fldCharType="separate"/>
      </w:r>
      <w:r w:rsidR="005768BA">
        <w:rPr>
          <w:b w:val="0"/>
          <w:noProof/>
          <w:sz w:val="18"/>
        </w:rPr>
        <w:t>3</w:t>
      </w:r>
      <w:r w:rsidRPr="008B3AA7">
        <w:rPr>
          <w:b w:val="0"/>
          <w:noProof/>
          <w:sz w:val="18"/>
        </w:rPr>
        <w:fldChar w:fldCharType="end"/>
      </w:r>
    </w:p>
    <w:p w14:paraId="4EC97FDC" w14:textId="20DD5B71" w:rsidR="008B3AA7" w:rsidRDefault="008B3A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Act 1997</w:t>
      </w:r>
      <w:r w:rsidRPr="008B3AA7">
        <w:rPr>
          <w:i w:val="0"/>
          <w:noProof/>
          <w:sz w:val="18"/>
        </w:rPr>
        <w:tab/>
      </w:r>
      <w:r w:rsidRPr="008B3AA7">
        <w:rPr>
          <w:i w:val="0"/>
          <w:noProof/>
          <w:sz w:val="18"/>
        </w:rPr>
        <w:fldChar w:fldCharType="begin"/>
      </w:r>
      <w:r w:rsidRPr="008B3AA7">
        <w:rPr>
          <w:i w:val="0"/>
          <w:noProof/>
          <w:sz w:val="18"/>
        </w:rPr>
        <w:instrText xml:space="preserve"> PAGEREF _Toc143182174 \h </w:instrText>
      </w:r>
      <w:r w:rsidRPr="008B3AA7">
        <w:rPr>
          <w:i w:val="0"/>
          <w:noProof/>
          <w:sz w:val="18"/>
        </w:rPr>
      </w:r>
      <w:r w:rsidRPr="008B3AA7">
        <w:rPr>
          <w:i w:val="0"/>
          <w:noProof/>
          <w:sz w:val="18"/>
        </w:rPr>
        <w:fldChar w:fldCharType="separate"/>
      </w:r>
      <w:r w:rsidR="005768BA">
        <w:rPr>
          <w:i w:val="0"/>
          <w:noProof/>
          <w:sz w:val="18"/>
        </w:rPr>
        <w:t>3</w:t>
      </w:r>
      <w:r w:rsidRPr="008B3AA7">
        <w:rPr>
          <w:i w:val="0"/>
          <w:noProof/>
          <w:sz w:val="18"/>
        </w:rPr>
        <w:fldChar w:fldCharType="end"/>
      </w:r>
    </w:p>
    <w:p w14:paraId="233B0519" w14:textId="7EEB8029" w:rsidR="008B3AA7" w:rsidRDefault="008B3A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Quality and Safety Commission Act 2018</w:t>
      </w:r>
      <w:r w:rsidRPr="008B3AA7">
        <w:rPr>
          <w:i w:val="0"/>
          <w:noProof/>
          <w:sz w:val="18"/>
        </w:rPr>
        <w:tab/>
      </w:r>
      <w:r w:rsidRPr="008B3AA7">
        <w:rPr>
          <w:i w:val="0"/>
          <w:noProof/>
          <w:sz w:val="18"/>
        </w:rPr>
        <w:fldChar w:fldCharType="begin"/>
      </w:r>
      <w:r w:rsidRPr="008B3AA7">
        <w:rPr>
          <w:i w:val="0"/>
          <w:noProof/>
          <w:sz w:val="18"/>
        </w:rPr>
        <w:instrText xml:space="preserve"> PAGEREF _Toc143182175 \h </w:instrText>
      </w:r>
      <w:r w:rsidRPr="008B3AA7">
        <w:rPr>
          <w:i w:val="0"/>
          <w:noProof/>
          <w:sz w:val="18"/>
        </w:rPr>
      </w:r>
      <w:r w:rsidRPr="008B3AA7">
        <w:rPr>
          <w:i w:val="0"/>
          <w:noProof/>
          <w:sz w:val="18"/>
        </w:rPr>
        <w:fldChar w:fldCharType="separate"/>
      </w:r>
      <w:r w:rsidR="005768BA">
        <w:rPr>
          <w:i w:val="0"/>
          <w:noProof/>
          <w:sz w:val="18"/>
        </w:rPr>
        <w:t>3</w:t>
      </w:r>
      <w:r w:rsidRPr="008B3AA7">
        <w:rPr>
          <w:i w:val="0"/>
          <w:noProof/>
          <w:sz w:val="18"/>
        </w:rPr>
        <w:fldChar w:fldCharType="end"/>
      </w:r>
    </w:p>
    <w:p w14:paraId="2A3F5252" w14:textId="4DFB959E" w:rsidR="008B3AA7" w:rsidRDefault="008B3A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Anti</w:t>
      </w:r>
      <w:r>
        <w:rPr>
          <w:noProof/>
        </w:rPr>
        <w:noBreakHyphen/>
        <w:t>Corruption Commission Act 2022</w:t>
      </w:r>
      <w:r w:rsidRPr="008B3AA7">
        <w:rPr>
          <w:i w:val="0"/>
          <w:noProof/>
          <w:sz w:val="18"/>
        </w:rPr>
        <w:tab/>
      </w:r>
      <w:r w:rsidRPr="008B3AA7">
        <w:rPr>
          <w:i w:val="0"/>
          <w:noProof/>
          <w:sz w:val="18"/>
        </w:rPr>
        <w:fldChar w:fldCharType="begin"/>
      </w:r>
      <w:r w:rsidRPr="008B3AA7">
        <w:rPr>
          <w:i w:val="0"/>
          <w:noProof/>
          <w:sz w:val="18"/>
        </w:rPr>
        <w:instrText xml:space="preserve"> PAGEREF _Toc143182176 \h </w:instrText>
      </w:r>
      <w:r w:rsidRPr="008B3AA7">
        <w:rPr>
          <w:i w:val="0"/>
          <w:noProof/>
          <w:sz w:val="18"/>
        </w:rPr>
      </w:r>
      <w:r w:rsidRPr="008B3AA7">
        <w:rPr>
          <w:i w:val="0"/>
          <w:noProof/>
          <w:sz w:val="18"/>
        </w:rPr>
        <w:fldChar w:fldCharType="separate"/>
      </w:r>
      <w:r w:rsidR="005768BA">
        <w:rPr>
          <w:i w:val="0"/>
          <w:noProof/>
          <w:sz w:val="18"/>
        </w:rPr>
        <w:t>4</w:t>
      </w:r>
      <w:r w:rsidRPr="008B3AA7">
        <w:rPr>
          <w:i w:val="0"/>
          <w:noProof/>
          <w:sz w:val="18"/>
        </w:rPr>
        <w:fldChar w:fldCharType="end"/>
      </w:r>
    </w:p>
    <w:p w14:paraId="5A45DD25" w14:textId="06C59423" w:rsidR="008B3AA7" w:rsidRDefault="008B3A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2—Application, saving and transitional provisions</w:t>
      </w:r>
      <w:r w:rsidRPr="008B3AA7">
        <w:rPr>
          <w:b w:val="0"/>
          <w:noProof/>
          <w:sz w:val="18"/>
        </w:rPr>
        <w:tab/>
      </w:r>
      <w:r w:rsidRPr="008B3AA7">
        <w:rPr>
          <w:b w:val="0"/>
          <w:noProof/>
          <w:sz w:val="18"/>
        </w:rPr>
        <w:fldChar w:fldCharType="begin"/>
      </w:r>
      <w:r w:rsidRPr="008B3AA7">
        <w:rPr>
          <w:b w:val="0"/>
          <w:noProof/>
          <w:sz w:val="18"/>
        </w:rPr>
        <w:instrText xml:space="preserve"> PAGEREF _Toc143182177 \h </w:instrText>
      </w:r>
      <w:r w:rsidRPr="008B3AA7">
        <w:rPr>
          <w:b w:val="0"/>
          <w:noProof/>
          <w:sz w:val="18"/>
        </w:rPr>
      </w:r>
      <w:r w:rsidRPr="008B3AA7">
        <w:rPr>
          <w:b w:val="0"/>
          <w:noProof/>
          <w:sz w:val="18"/>
        </w:rPr>
        <w:fldChar w:fldCharType="separate"/>
      </w:r>
      <w:r w:rsidR="005768BA">
        <w:rPr>
          <w:b w:val="0"/>
          <w:noProof/>
          <w:sz w:val="18"/>
        </w:rPr>
        <w:t>5</w:t>
      </w:r>
      <w:r w:rsidRPr="008B3AA7">
        <w:rPr>
          <w:b w:val="0"/>
          <w:noProof/>
          <w:sz w:val="18"/>
        </w:rPr>
        <w:fldChar w:fldCharType="end"/>
      </w:r>
    </w:p>
    <w:p w14:paraId="17A4987E" w14:textId="26276E2C" w:rsidR="005D7042" w:rsidRPr="00030589" w:rsidRDefault="008B3AA7" w:rsidP="00715914">
      <w:r>
        <w:fldChar w:fldCharType="end"/>
      </w:r>
    </w:p>
    <w:p w14:paraId="207ACF33" w14:textId="77777777" w:rsidR="002D4D6C" w:rsidRPr="00030589" w:rsidRDefault="002D4D6C" w:rsidP="002D4D6C">
      <w:pPr>
        <w:sectPr w:rsidR="002D4D6C" w:rsidRPr="00030589" w:rsidSect="009833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870" w:right="2409" w:bottom="4534" w:left="2409" w:header="720" w:footer="3401" w:gutter="0"/>
          <w:pgNumType w:fmt="lowerRoman" w:start="1"/>
          <w:cols w:space="708"/>
          <w:docGrid w:linePitch="360"/>
        </w:sectPr>
      </w:pPr>
    </w:p>
    <w:p w14:paraId="263C0DF2" w14:textId="77777777" w:rsidR="009833E5" w:rsidRDefault="009833E5">
      <w:r>
        <w:object w:dxaOrig="2146" w:dyaOrig="1561" w14:anchorId="78927915">
          <v:shape id="_x0000_i1026" type="#_x0000_t75" alt="Commonwealth Coat of Arms of Australia" style="width:110pt;height:80.5pt" o:ole="" fillcolor="window">
            <v:imagedata r:id="rId8" o:title=""/>
          </v:shape>
          <o:OLEObject Type="Embed" ProgID="Word.Picture.8" ShapeID="_x0000_i1026" DrawAspect="Content" ObjectID="_1757922658" r:id="rId21"/>
        </w:object>
      </w:r>
    </w:p>
    <w:p w14:paraId="68EFC55E" w14:textId="77777777" w:rsidR="009833E5" w:rsidRDefault="009833E5"/>
    <w:p w14:paraId="517399CA" w14:textId="77777777" w:rsidR="009833E5" w:rsidRDefault="009833E5" w:rsidP="000178F8">
      <w:pPr>
        <w:spacing w:line="240" w:lineRule="auto"/>
      </w:pPr>
    </w:p>
    <w:p w14:paraId="5ADFB0C6" w14:textId="3585AC00" w:rsidR="009833E5" w:rsidRDefault="0035657C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5768BA">
        <w:rPr>
          <w:noProof/>
        </w:rPr>
        <w:t>Inspector-General of Aged Care (Consequential and Transitional Provisions) Act 2023</w:t>
      </w:r>
      <w:r>
        <w:rPr>
          <w:noProof/>
        </w:rPr>
        <w:fldChar w:fldCharType="end"/>
      </w:r>
    </w:p>
    <w:p w14:paraId="528D8654" w14:textId="5F8B1B75" w:rsidR="009833E5" w:rsidRDefault="0035657C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5768BA">
        <w:rPr>
          <w:noProof/>
        </w:rPr>
        <w:t>No. 56, 2023</w:t>
      </w:r>
      <w:r>
        <w:rPr>
          <w:noProof/>
        </w:rPr>
        <w:fldChar w:fldCharType="end"/>
      </w:r>
    </w:p>
    <w:p w14:paraId="1A671BA9" w14:textId="77777777" w:rsidR="009833E5" w:rsidRPr="009A0728" w:rsidRDefault="009833E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09CDF64" w14:textId="77777777" w:rsidR="009833E5" w:rsidRPr="009A0728" w:rsidRDefault="009833E5" w:rsidP="009A0728">
      <w:pPr>
        <w:spacing w:line="40" w:lineRule="exact"/>
        <w:rPr>
          <w:rFonts w:eastAsia="Calibri"/>
          <w:b/>
          <w:sz w:val="28"/>
        </w:rPr>
      </w:pPr>
    </w:p>
    <w:p w14:paraId="1D32AD43" w14:textId="77777777" w:rsidR="009833E5" w:rsidRPr="009A0728" w:rsidRDefault="009833E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53A3B1B" w14:textId="77777777" w:rsidR="009833E5" w:rsidRDefault="009833E5" w:rsidP="009833E5">
      <w:pPr>
        <w:pStyle w:val="Page1"/>
        <w:spacing w:before="400"/>
      </w:pPr>
      <w:r>
        <w:t xml:space="preserve">An Act to deal with consequential and transitional matters arising from the enactment of the </w:t>
      </w:r>
      <w:r w:rsidRPr="00A53DA1">
        <w:rPr>
          <w:i/>
          <w:iCs/>
        </w:rPr>
        <w:t>Inspector</w:t>
      </w:r>
      <w:r w:rsidRPr="00A53DA1">
        <w:rPr>
          <w:i/>
          <w:iCs/>
        </w:rPr>
        <w:noBreakHyphen/>
      </w:r>
      <w:r w:rsidRPr="009833E5">
        <w:rPr>
          <w:i/>
        </w:rPr>
        <w:t>General of Aged Care Act 2023</w:t>
      </w:r>
      <w:r>
        <w:t>, and for related purposes</w:t>
      </w:r>
    </w:p>
    <w:p w14:paraId="6371D984" w14:textId="3AEEB601" w:rsidR="00053779" w:rsidRDefault="0005377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August 2023</w:t>
      </w:r>
      <w:r>
        <w:rPr>
          <w:sz w:val="24"/>
        </w:rPr>
        <w:t>]</w:t>
      </w:r>
    </w:p>
    <w:p w14:paraId="15AEB549" w14:textId="569D166B" w:rsidR="00715914" w:rsidRPr="00030589" w:rsidRDefault="00715914" w:rsidP="00030589">
      <w:pPr>
        <w:spacing w:before="240" w:line="240" w:lineRule="auto"/>
        <w:outlineLvl w:val="0"/>
        <w:rPr>
          <w:sz w:val="32"/>
        </w:rPr>
      </w:pPr>
      <w:r w:rsidRPr="00030589">
        <w:rPr>
          <w:sz w:val="32"/>
        </w:rPr>
        <w:t>The Parliament of Australia enacts:</w:t>
      </w:r>
    </w:p>
    <w:p w14:paraId="6A6D631F" w14:textId="77777777" w:rsidR="00715914" w:rsidRPr="00030589" w:rsidRDefault="00715914" w:rsidP="00030589">
      <w:pPr>
        <w:pStyle w:val="ActHead5"/>
      </w:pPr>
      <w:bookmarkStart w:id="1" w:name="_Toc143182170"/>
      <w:r w:rsidRPr="009B39BD">
        <w:rPr>
          <w:rStyle w:val="CharSectno"/>
        </w:rPr>
        <w:lastRenderedPageBreak/>
        <w:t>1</w:t>
      </w:r>
      <w:r w:rsidRPr="00030589">
        <w:t xml:space="preserve">  Short title</w:t>
      </w:r>
      <w:bookmarkEnd w:id="1"/>
    </w:p>
    <w:p w14:paraId="01807F8C" w14:textId="77777777" w:rsidR="00715914" w:rsidRPr="00030589" w:rsidRDefault="00715914" w:rsidP="00030589">
      <w:pPr>
        <w:pStyle w:val="subsection"/>
      </w:pPr>
      <w:r w:rsidRPr="00030589">
        <w:tab/>
      </w:r>
      <w:r w:rsidRPr="00030589">
        <w:tab/>
        <w:t xml:space="preserve">This Act </w:t>
      </w:r>
      <w:r w:rsidR="00B20224" w:rsidRPr="00030589">
        <w:t>is</w:t>
      </w:r>
      <w:r w:rsidRPr="00030589">
        <w:t xml:space="preserve"> the </w:t>
      </w:r>
      <w:r w:rsidR="00F26A2B" w:rsidRPr="00030589">
        <w:rPr>
          <w:i/>
        </w:rPr>
        <w:t>Inspector</w:t>
      </w:r>
      <w:r w:rsidR="00030589">
        <w:rPr>
          <w:i/>
        </w:rPr>
        <w:noBreakHyphen/>
      </w:r>
      <w:r w:rsidR="00F26A2B" w:rsidRPr="00030589">
        <w:rPr>
          <w:i/>
        </w:rPr>
        <w:t xml:space="preserve">General of Aged Care (Consequential and Transitional Provisions) </w:t>
      </w:r>
      <w:r w:rsidR="006C41FA" w:rsidRPr="00030589">
        <w:rPr>
          <w:i/>
        </w:rPr>
        <w:t xml:space="preserve">Act </w:t>
      </w:r>
      <w:r w:rsidR="00154506" w:rsidRPr="00030589">
        <w:rPr>
          <w:i/>
        </w:rPr>
        <w:t>2023</w:t>
      </w:r>
      <w:r w:rsidRPr="00030589">
        <w:t>.</w:t>
      </w:r>
    </w:p>
    <w:p w14:paraId="39A9C4D3" w14:textId="77777777" w:rsidR="00715914" w:rsidRPr="00030589" w:rsidRDefault="00715914" w:rsidP="00030589">
      <w:pPr>
        <w:pStyle w:val="ActHead5"/>
      </w:pPr>
      <w:bookmarkStart w:id="2" w:name="_Toc143182171"/>
      <w:r w:rsidRPr="009B39BD">
        <w:rPr>
          <w:rStyle w:val="CharSectno"/>
        </w:rPr>
        <w:t>2</w:t>
      </w:r>
      <w:r w:rsidRPr="00030589">
        <w:t xml:space="preserve">  Commencement</w:t>
      </w:r>
      <w:bookmarkEnd w:id="2"/>
    </w:p>
    <w:p w14:paraId="40F09783" w14:textId="77777777" w:rsidR="00715914" w:rsidRPr="00030589" w:rsidRDefault="00715914" w:rsidP="00030589">
      <w:pPr>
        <w:pStyle w:val="subsection"/>
      </w:pPr>
      <w:r w:rsidRPr="00030589">
        <w:tab/>
        <w:t>(1)</w:t>
      </w:r>
      <w:r w:rsidRPr="0003058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8F15F1E" w14:textId="77777777" w:rsidR="00715914" w:rsidRPr="00030589" w:rsidRDefault="00715914" w:rsidP="0003058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47"/>
        <w:gridCol w:w="3932"/>
        <w:gridCol w:w="1624"/>
      </w:tblGrid>
      <w:tr w:rsidR="00715914" w:rsidRPr="00030589" w14:paraId="021A9A90" w14:textId="77777777" w:rsidTr="00DD7BD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DAFCA2" w14:textId="77777777" w:rsidR="00715914" w:rsidRPr="00030589" w:rsidRDefault="00715914" w:rsidP="00030589">
            <w:pPr>
              <w:pStyle w:val="TableHeading"/>
            </w:pPr>
            <w:r w:rsidRPr="00030589">
              <w:t>Commencement information</w:t>
            </w:r>
          </w:p>
        </w:tc>
      </w:tr>
      <w:tr w:rsidR="00715914" w:rsidRPr="00030589" w14:paraId="599D6333" w14:textId="77777777" w:rsidTr="00DD7BD7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83345" w14:textId="77777777" w:rsidR="00715914" w:rsidRPr="00030589" w:rsidRDefault="00715914" w:rsidP="00030589">
            <w:pPr>
              <w:pStyle w:val="TableHeading"/>
            </w:pPr>
            <w:r w:rsidRPr="00030589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3B74F" w14:textId="77777777" w:rsidR="00715914" w:rsidRPr="00030589" w:rsidRDefault="00715914" w:rsidP="00030589">
            <w:pPr>
              <w:pStyle w:val="TableHeading"/>
            </w:pPr>
            <w:r w:rsidRPr="00030589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C28FE" w14:textId="77777777" w:rsidR="00715914" w:rsidRPr="00030589" w:rsidRDefault="00715914" w:rsidP="00030589">
            <w:pPr>
              <w:pStyle w:val="TableHeading"/>
            </w:pPr>
            <w:r w:rsidRPr="00030589">
              <w:t>Column 3</w:t>
            </w:r>
          </w:p>
        </w:tc>
      </w:tr>
      <w:tr w:rsidR="00715914" w:rsidRPr="00030589" w14:paraId="05E0B906" w14:textId="77777777" w:rsidTr="00DD7BD7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F38DF2" w14:textId="77777777" w:rsidR="00715914" w:rsidRPr="00030589" w:rsidRDefault="00715914" w:rsidP="00030589">
            <w:pPr>
              <w:pStyle w:val="TableHeading"/>
            </w:pPr>
            <w:r w:rsidRPr="00030589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993E66" w14:textId="77777777" w:rsidR="00715914" w:rsidRPr="00030589" w:rsidRDefault="00715914" w:rsidP="00030589">
            <w:pPr>
              <w:pStyle w:val="TableHeading"/>
            </w:pPr>
            <w:r w:rsidRPr="00030589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FBC5D0" w14:textId="77777777" w:rsidR="00715914" w:rsidRPr="00030589" w:rsidRDefault="00715914" w:rsidP="00030589">
            <w:pPr>
              <w:pStyle w:val="TableHeading"/>
            </w:pPr>
            <w:r w:rsidRPr="00030589">
              <w:t>Date/Details</w:t>
            </w:r>
          </w:p>
        </w:tc>
      </w:tr>
      <w:tr w:rsidR="00715914" w:rsidRPr="00030589" w14:paraId="4CED4C60" w14:textId="77777777" w:rsidTr="00DD7BD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26C36B" w14:textId="77777777" w:rsidR="00715914" w:rsidRPr="00030589" w:rsidRDefault="00715914" w:rsidP="00030589">
            <w:pPr>
              <w:pStyle w:val="Tabletext"/>
            </w:pPr>
            <w:r w:rsidRPr="00030589">
              <w:t xml:space="preserve">1.  </w:t>
            </w:r>
            <w:r w:rsidR="002D4D6C" w:rsidRPr="00030589">
              <w:t>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23A819" w14:textId="77777777" w:rsidR="00715914" w:rsidRPr="00030589" w:rsidRDefault="002D4D6C" w:rsidP="00030589">
            <w:pPr>
              <w:pStyle w:val="Tabletext"/>
            </w:pPr>
            <w:r w:rsidRPr="00030589">
              <w:t xml:space="preserve">At the same time as the </w:t>
            </w:r>
            <w:r w:rsidRPr="00030589">
              <w:rPr>
                <w:i/>
              </w:rPr>
              <w:t>Inspector</w:t>
            </w:r>
            <w:r w:rsidR="00030589">
              <w:rPr>
                <w:i/>
              </w:rPr>
              <w:noBreakHyphen/>
            </w:r>
            <w:r w:rsidRPr="00030589">
              <w:rPr>
                <w:i/>
              </w:rPr>
              <w:t>General of Aged Care Act 2023</w:t>
            </w:r>
            <w:r w:rsidRPr="00030589">
              <w:t xml:space="preserve"> commences.</w:t>
            </w:r>
          </w:p>
          <w:p w14:paraId="15F4CB2F" w14:textId="77777777" w:rsidR="002D4D6C" w:rsidRPr="00030589" w:rsidRDefault="002D4D6C" w:rsidP="00030589">
            <w:pPr>
              <w:pStyle w:val="Tabletext"/>
            </w:pPr>
            <w:r w:rsidRPr="00030589">
              <w:t>However, the provisions do not commence at all if that Act does not commence.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23868A" w14:textId="2263228A" w:rsidR="00715914" w:rsidRPr="00030589" w:rsidRDefault="0035657C" w:rsidP="00030589">
            <w:pPr>
              <w:pStyle w:val="Tabletext"/>
            </w:pPr>
            <w:r>
              <w:t>16 October 2023</w:t>
            </w:r>
          </w:p>
        </w:tc>
        <w:bookmarkStart w:id="3" w:name="_GoBack"/>
        <w:bookmarkEnd w:id="3"/>
      </w:tr>
    </w:tbl>
    <w:p w14:paraId="4697DC9C" w14:textId="77777777" w:rsidR="00715914" w:rsidRPr="00030589" w:rsidRDefault="00B80199" w:rsidP="00030589">
      <w:pPr>
        <w:pStyle w:val="notetext"/>
      </w:pPr>
      <w:r w:rsidRPr="00030589">
        <w:t>Note:</w:t>
      </w:r>
      <w:r w:rsidRPr="00030589">
        <w:tab/>
        <w:t>This table relates only to the provisions of this Act as originally enacted. It will not be amended to deal with any later amendments of this Act.</w:t>
      </w:r>
    </w:p>
    <w:p w14:paraId="4AF72F6D" w14:textId="77777777" w:rsidR="00715914" w:rsidRPr="00030589" w:rsidRDefault="00715914" w:rsidP="00030589">
      <w:pPr>
        <w:pStyle w:val="subsection"/>
      </w:pPr>
      <w:r w:rsidRPr="00030589">
        <w:tab/>
        <w:t>(2)</w:t>
      </w:r>
      <w:r w:rsidRPr="00030589">
        <w:tab/>
      </w:r>
      <w:r w:rsidR="00B80199" w:rsidRPr="00030589">
        <w:t xml:space="preserve">Any information in </w:t>
      </w:r>
      <w:r w:rsidR="009532A5" w:rsidRPr="00030589">
        <w:t>c</w:t>
      </w:r>
      <w:r w:rsidR="00B80199" w:rsidRPr="00030589">
        <w:t>olumn 3 of the table is not part of this Act. Information may be inserted in this column, or information in it may be edited, in any published version of this Act.</w:t>
      </w:r>
    </w:p>
    <w:p w14:paraId="07E351E0" w14:textId="77777777" w:rsidR="002D4D6C" w:rsidRPr="00030589" w:rsidRDefault="002D4D6C" w:rsidP="00030589">
      <w:pPr>
        <w:pStyle w:val="ActHead5"/>
      </w:pPr>
      <w:bookmarkStart w:id="4" w:name="_Toc143182172"/>
      <w:r w:rsidRPr="009B39BD">
        <w:rPr>
          <w:rStyle w:val="CharSectno"/>
        </w:rPr>
        <w:t>3</w:t>
      </w:r>
      <w:r w:rsidRPr="00030589">
        <w:t xml:space="preserve">  Schedules</w:t>
      </w:r>
      <w:bookmarkEnd w:id="4"/>
    </w:p>
    <w:p w14:paraId="36C8B9B8" w14:textId="77777777" w:rsidR="002D4D6C" w:rsidRPr="00030589" w:rsidRDefault="002D4D6C" w:rsidP="00030589">
      <w:pPr>
        <w:pStyle w:val="subsection"/>
      </w:pPr>
      <w:r w:rsidRPr="00030589">
        <w:tab/>
      </w:r>
      <w:r w:rsidRPr="00030589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D899C4A" w14:textId="77777777" w:rsidR="002D4D6C" w:rsidRPr="00030589" w:rsidRDefault="008E4D18" w:rsidP="00030589">
      <w:pPr>
        <w:pStyle w:val="ActHead6"/>
        <w:pageBreakBefore/>
      </w:pPr>
      <w:bookmarkStart w:id="5" w:name="_Toc143182173"/>
      <w:r w:rsidRPr="009B39BD">
        <w:rPr>
          <w:rStyle w:val="CharAmSchNo"/>
        </w:rPr>
        <w:lastRenderedPageBreak/>
        <w:t>Schedule 1</w:t>
      </w:r>
      <w:r w:rsidR="002D4D6C" w:rsidRPr="00030589">
        <w:t>—</w:t>
      </w:r>
      <w:r w:rsidR="00800FB0" w:rsidRPr="009B39BD">
        <w:rPr>
          <w:rStyle w:val="CharAmSchText"/>
        </w:rPr>
        <w:t>Consequential a</w:t>
      </w:r>
      <w:r w:rsidR="00246063" w:rsidRPr="009B39BD">
        <w:rPr>
          <w:rStyle w:val="CharAmSchText"/>
        </w:rPr>
        <w:t>mendments</w:t>
      </w:r>
      <w:bookmarkEnd w:id="5"/>
    </w:p>
    <w:p w14:paraId="333D918F" w14:textId="77777777" w:rsidR="002D4D6C" w:rsidRPr="009B39BD" w:rsidRDefault="00246063" w:rsidP="00030589">
      <w:pPr>
        <w:pStyle w:val="Header"/>
      </w:pPr>
      <w:r w:rsidRPr="009B39BD">
        <w:rPr>
          <w:rStyle w:val="CharAmPartNo"/>
        </w:rPr>
        <w:t xml:space="preserve"> </w:t>
      </w:r>
      <w:r w:rsidRPr="009B39BD">
        <w:rPr>
          <w:rStyle w:val="CharAmPartText"/>
        </w:rPr>
        <w:t xml:space="preserve"> </w:t>
      </w:r>
    </w:p>
    <w:p w14:paraId="5C05EA26" w14:textId="77777777" w:rsidR="00246063" w:rsidRPr="00030589" w:rsidRDefault="00045435" w:rsidP="00030589">
      <w:pPr>
        <w:pStyle w:val="ActHead9"/>
      </w:pPr>
      <w:bookmarkStart w:id="6" w:name="_Toc143182174"/>
      <w:r w:rsidRPr="00030589">
        <w:t>Aged Care Act 1997</w:t>
      </w:r>
      <w:bookmarkEnd w:id="6"/>
    </w:p>
    <w:p w14:paraId="69F48D6B" w14:textId="77777777" w:rsidR="00045435" w:rsidRPr="00030589" w:rsidRDefault="00BA4A9A" w:rsidP="00030589">
      <w:pPr>
        <w:pStyle w:val="ItemHead"/>
      </w:pPr>
      <w:r w:rsidRPr="00030589">
        <w:t>1</w:t>
      </w:r>
      <w:r w:rsidR="00045435" w:rsidRPr="00030589">
        <w:t xml:space="preserve">  </w:t>
      </w:r>
      <w:r w:rsidR="008D4339" w:rsidRPr="00030589">
        <w:t xml:space="preserve">After </w:t>
      </w:r>
      <w:r w:rsidR="008E4D18" w:rsidRPr="00030589">
        <w:t>paragraph 8</w:t>
      </w:r>
      <w:r w:rsidR="008D4339" w:rsidRPr="00030589">
        <w:t>6</w:t>
      </w:r>
      <w:r w:rsidR="00030589">
        <w:noBreakHyphen/>
      </w:r>
      <w:r w:rsidR="008D4339" w:rsidRPr="00030589">
        <w:t>3(1)(</w:t>
      </w:r>
      <w:r w:rsidR="007075E3" w:rsidRPr="00030589">
        <w:t>b</w:t>
      </w:r>
      <w:r w:rsidR="008D4339" w:rsidRPr="00030589">
        <w:t>)</w:t>
      </w:r>
    </w:p>
    <w:p w14:paraId="65E22500" w14:textId="77777777" w:rsidR="008D4339" w:rsidRPr="00030589" w:rsidRDefault="008D4339" w:rsidP="00030589">
      <w:pPr>
        <w:pStyle w:val="Item"/>
      </w:pPr>
      <w:r w:rsidRPr="00030589">
        <w:t>Insert:</w:t>
      </w:r>
    </w:p>
    <w:p w14:paraId="2FB256C1" w14:textId="77777777" w:rsidR="008D4339" w:rsidRPr="00030589" w:rsidRDefault="008D4339" w:rsidP="00030589">
      <w:pPr>
        <w:pStyle w:val="paragraph"/>
      </w:pPr>
      <w:r w:rsidRPr="00030589">
        <w:tab/>
        <w:t>(</w:t>
      </w:r>
      <w:r w:rsidR="007075E3" w:rsidRPr="00030589">
        <w:t>b</w:t>
      </w:r>
      <w:r w:rsidR="006E4492" w:rsidRPr="00030589">
        <w:t>aa</w:t>
      </w:r>
      <w:r w:rsidRPr="00030589">
        <w:t>)</w:t>
      </w:r>
      <w:r w:rsidRPr="00030589">
        <w:tab/>
        <w:t xml:space="preserve">to the </w:t>
      </w:r>
      <w:r w:rsidR="00030589" w:rsidRPr="00030589">
        <w:rPr>
          <w:position w:val="6"/>
          <w:sz w:val="16"/>
        </w:rPr>
        <w:t>*</w:t>
      </w:r>
      <w:r w:rsidRPr="00030589">
        <w:t>Inspector</w:t>
      </w:r>
      <w:r w:rsidR="00030589">
        <w:noBreakHyphen/>
      </w:r>
      <w:r w:rsidRPr="00030589">
        <w:t xml:space="preserve">General </w:t>
      </w:r>
      <w:r w:rsidR="007D5F10" w:rsidRPr="00030589">
        <w:t xml:space="preserve">of Aged Care </w:t>
      </w:r>
      <w:r w:rsidR="007075E3" w:rsidRPr="00030589">
        <w:t>to assist in the performance of the functions, or the exercise of the powers, of the Inspector</w:t>
      </w:r>
      <w:r w:rsidR="00030589">
        <w:noBreakHyphen/>
      </w:r>
      <w:r w:rsidR="007075E3" w:rsidRPr="00030589">
        <w:t xml:space="preserve">General </w:t>
      </w:r>
      <w:r w:rsidR="007D5F10" w:rsidRPr="00030589">
        <w:t xml:space="preserve">of Aged Care </w:t>
      </w:r>
      <w:r w:rsidR="007075E3" w:rsidRPr="00030589">
        <w:t xml:space="preserve">under the </w:t>
      </w:r>
      <w:r w:rsidR="007075E3" w:rsidRPr="00030589">
        <w:rPr>
          <w:i/>
        </w:rPr>
        <w:t>Inspector</w:t>
      </w:r>
      <w:r w:rsidR="00030589">
        <w:rPr>
          <w:i/>
        </w:rPr>
        <w:noBreakHyphen/>
      </w:r>
      <w:r w:rsidR="007075E3" w:rsidRPr="00030589">
        <w:rPr>
          <w:i/>
        </w:rPr>
        <w:t>General of Aged Care Act 2023</w:t>
      </w:r>
      <w:r w:rsidR="007075E3" w:rsidRPr="00030589">
        <w:t xml:space="preserve"> or </w:t>
      </w:r>
      <w:r w:rsidR="00456BAD" w:rsidRPr="00030589">
        <w:t>instruments</w:t>
      </w:r>
      <w:r w:rsidR="007075E3" w:rsidRPr="00030589">
        <w:t xml:space="preserve"> made under that Act; and</w:t>
      </w:r>
    </w:p>
    <w:p w14:paraId="67B6F736" w14:textId="77777777" w:rsidR="00246063" w:rsidRPr="00030589" w:rsidRDefault="00BA4A9A" w:rsidP="00030589">
      <w:pPr>
        <w:pStyle w:val="ItemHead"/>
      </w:pPr>
      <w:r w:rsidRPr="00030589">
        <w:t>2</w:t>
      </w:r>
      <w:r w:rsidR="00454477" w:rsidRPr="00030589">
        <w:t xml:space="preserve">  </w:t>
      </w:r>
      <w:r w:rsidR="008E4D18" w:rsidRPr="00030589">
        <w:t>Clause 1</w:t>
      </w:r>
      <w:r w:rsidR="00454477" w:rsidRPr="00030589">
        <w:t xml:space="preserve"> of </w:t>
      </w:r>
      <w:r w:rsidR="008E4D18" w:rsidRPr="00030589">
        <w:t>Schedule 1</w:t>
      </w:r>
    </w:p>
    <w:p w14:paraId="7136CF4C" w14:textId="77777777" w:rsidR="00454477" w:rsidRPr="00030589" w:rsidRDefault="00454477" w:rsidP="00030589">
      <w:pPr>
        <w:pStyle w:val="Item"/>
      </w:pPr>
      <w:r w:rsidRPr="00030589">
        <w:t>Insert:</w:t>
      </w:r>
    </w:p>
    <w:p w14:paraId="5EBB7A0A" w14:textId="77777777" w:rsidR="00454477" w:rsidRPr="00030589" w:rsidRDefault="00552ABC" w:rsidP="00030589">
      <w:pPr>
        <w:pStyle w:val="Definition"/>
      </w:pPr>
      <w:r w:rsidRPr="00030589">
        <w:rPr>
          <w:b/>
          <w:i/>
        </w:rPr>
        <w:t>Inspector</w:t>
      </w:r>
      <w:r w:rsidR="00030589">
        <w:rPr>
          <w:b/>
          <w:i/>
        </w:rPr>
        <w:noBreakHyphen/>
      </w:r>
      <w:r w:rsidRPr="00030589">
        <w:rPr>
          <w:b/>
          <w:i/>
        </w:rPr>
        <w:t>General of Aged Care</w:t>
      </w:r>
      <w:r w:rsidRPr="00030589">
        <w:t xml:space="preserve"> means the Inspector</w:t>
      </w:r>
      <w:r w:rsidR="00030589">
        <w:noBreakHyphen/>
      </w:r>
      <w:r w:rsidRPr="00030589">
        <w:t xml:space="preserve">General of Aged Care referred to in section 9 of the </w:t>
      </w:r>
      <w:r w:rsidRPr="00030589">
        <w:rPr>
          <w:i/>
        </w:rPr>
        <w:t>Inspector</w:t>
      </w:r>
      <w:r w:rsidR="00030589">
        <w:rPr>
          <w:i/>
        </w:rPr>
        <w:noBreakHyphen/>
      </w:r>
      <w:r w:rsidRPr="00030589">
        <w:rPr>
          <w:i/>
        </w:rPr>
        <w:t>General of Aged Care Act 2023</w:t>
      </w:r>
      <w:r w:rsidR="00454477" w:rsidRPr="00030589">
        <w:t>.</w:t>
      </w:r>
    </w:p>
    <w:p w14:paraId="5945ACF8" w14:textId="77777777" w:rsidR="00A06A64" w:rsidRPr="00030589" w:rsidRDefault="00A06A64" w:rsidP="00030589">
      <w:pPr>
        <w:pStyle w:val="ActHead9"/>
      </w:pPr>
      <w:bookmarkStart w:id="7" w:name="_Toc143182175"/>
      <w:r w:rsidRPr="00030589">
        <w:t>Aged Care Quality and Safety Commission Act 2018</w:t>
      </w:r>
      <w:bookmarkEnd w:id="7"/>
    </w:p>
    <w:p w14:paraId="6109900A" w14:textId="77777777" w:rsidR="003E5E6D" w:rsidRPr="00030589" w:rsidRDefault="00BA4A9A" w:rsidP="00030589">
      <w:pPr>
        <w:pStyle w:val="ItemHead"/>
      </w:pPr>
      <w:r w:rsidRPr="00030589">
        <w:t>3</w:t>
      </w:r>
      <w:r w:rsidR="003E5E6D" w:rsidRPr="00030589">
        <w:t xml:space="preserve">  </w:t>
      </w:r>
      <w:r w:rsidR="008E4D18" w:rsidRPr="00030589">
        <w:t>Section 7</w:t>
      </w:r>
    </w:p>
    <w:p w14:paraId="46E7C9B1" w14:textId="77777777" w:rsidR="003E5E6D" w:rsidRPr="00030589" w:rsidRDefault="003E5E6D" w:rsidP="00030589">
      <w:pPr>
        <w:pStyle w:val="Item"/>
      </w:pPr>
      <w:r w:rsidRPr="00030589">
        <w:t>Insert:</w:t>
      </w:r>
    </w:p>
    <w:p w14:paraId="45316105" w14:textId="77777777" w:rsidR="003E5E6D" w:rsidRPr="00030589" w:rsidRDefault="00552ABC" w:rsidP="00030589">
      <w:pPr>
        <w:pStyle w:val="Definition"/>
      </w:pPr>
      <w:r w:rsidRPr="00030589">
        <w:rPr>
          <w:b/>
          <w:i/>
        </w:rPr>
        <w:t>Inspector</w:t>
      </w:r>
      <w:r w:rsidR="00030589">
        <w:rPr>
          <w:b/>
          <w:i/>
        </w:rPr>
        <w:noBreakHyphen/>
      </w:r>
      <w:r w:rsidRPr="00030589">
        <w:rPr>
          <w:b/>
          <w:i/>
        </w:rPr>
        <w:t>General of Aged Care</w:t>
      </w:r>
      <w:r w:rsidRPr="00030589">
        <w:t xml:space="preserve"> means the Inspector</w:t>
      </w:r>
      <w:r w:rsidR="00030589">
        <w:noBreakHyphen/>
      </w:r>
      <w:r w:rsidRPr="00030589">
        <w:t xml:space="preserve">General of Aged Care referred to in section 9 of the </w:t>
      </w:r>
      <w:r w:rsidRPr="00030589">
        <w:rPr>
          <w:i/>
        </w:rPr>
        <w:t>Inspector</w:t>
      </w:r>
      <w:r w:rsidR="00030589">
        <w:rPr>
          <w:i/>
        </w:rPr>
        <w:noBreakHyphen/>
      </w:r>
      <w:r w:rsidRPr="00030589">
        <w:rPr>
          <w:i/>
        </w:rPr>
        <w:t>General of Aged Care Act 2023</w:t>
      </w:r>
      <w:r w:rsidR="003E5E6D" w:rsidRPr="00030589">
        <w:t>.</w:t>
      </w:r>
    </w:p>
    <w:p w14:paraId="1263CEDE" w14:textId="77777777" w:rsidR="00246063" w:rsidRPr="00030589" w:rsidRDefault="00BA4A9A" w:rsidP="00030589">
      <w:pPr>
        <w:pStyle w:val="ItemHead"/>
      </w:pPr>
      <w:r w:rsidRPr="00030589">
        <w:t>4</w:t>
      </w:r>
      <w:r w:rsidR="00A06A64" w:rsidRPr="00030589">
        <w:t xml:space="preserve">  After </w:t>
      </w:r>
      <w:r w:rsidR="008E4D18" w:rsidRPr="00030589">
        <w:t>paragraph 6</w:t>
      </w:r>
      <w:r w:rsidR="00A06A64" w:rsidRPr="00030589">
        <w:t>1(1)(</w:t>
      </w:r>
      <w:r w:rsidR="003E5E6D" w:rsidRPr="00030589">
        <w:t>b</w:t>
      </w:r>
      <w:r w:rsidR="00A06A64" w:rsidRPr="00030589">
        <w:t>)</w:t>
      </w:r>
    </w:p>
    <w:p w14:paraId="1A03CA28" w14:textId="77777777" w:rsidR="00A06A64" w:rsidRPr="00030589" w:rsidRDefault="00A06A64" w:rsidP="00030589">
      <w:pPr>
        <w:pStyle w:val="Item"/>
      </w:pPr>
      <w:r w:rsidRPr="00030589">
        <w:t>Insert:</w:t>
      </w:r>
    </w:p>
    <w:p w14:paraId="1E6F1A27" w14:textId="77777777" w:rsidR="00A06A64" w:rsidRPr="00030589" w:rsidRDefault="00A06A64" w:rsidP="00030589">
      <w:pPr>
        <w:pStyle w:val="paragraph"/>
      </w:pPr>
      <w:r w:rsidRPr="00030589">
        <w:tab/>
        <w:t>(</w:t>
      </w:r>
      <w:r w:rsidR="003E5E6D" w:rsidRPr="00030589">
        <w:t>b</w:t>
      </w:r>
      <w:r w:rsidRPr="00030589">
        <w:t>a)</w:t>
      </w:r>
      <w:r w:rsidRPr="00030589">
        <w:tab/>
        <w:t>to the Inspector</w:t>
      </w:r>
      <w:r w:rsidR="00030589">
        <w:noBreakHyphen/>
      </w:r>
      <w:r w:rsidRPr="00030589">
        <w:t xml:space="preserve">General </w:t>
      </w:r>
      <w:r w:rsidR="007D5F10" w:rsidRPr="00030589">
        <w:t xml:space="preserve">of Aged Care </w:t>
      </w:r>
      <w:r w:rsidRPr="00030589">
        <w:t>to assist in the performance of the functions, or the exercise of the powers, of the Inspector</w:t>
      </w:r>
      <w:r w:rsidR="00030589">
        <w:noBreakHyphen/>
      </w:r>
      <w:r w:rsidRPr="00030589">
        <w:t xml:space="preserve">General </w:t>
      </w:r>
      <w:r w:rsidR="007D5F10" w:rsidRPr="00030589">
        <w:t xml:space="preserve">of Aged Care </w:t>
      </w:r>
      <w:r w:rsidRPr="00030589">
        <w:t xml:space="preserve">under the </w:t>
      </w:r>
      <w:r w:rsidRPr="00030589">
        <w:rPr>
          <w:i/>
        </w:rPr>
        <w:t>Inspector</w:t>
      </w:r>
      <w:r w:rsidR="00030589">
        <w:rPr>
          <w:i/>
        </w:rPr>
        <w:noBreakHyphen/>
      </w:r>
      <w:r w:rsidRPr="00030589">
        <w:rPr>
          <w:i/>
        </w:rPr>
        <w:t>General of Aged Care Act 2023</w:t>
      </w:r>
      <w:r w:rsidRPr="00030589">
        <w:t xml:space="preserve"> or </w:t>
      </w:r>
      <w:r w:rsidR="005D4B23" w:rsidRPr="00030589">
        <w:t>instruments</w:t>
      </w:r>
      <w:r w:rsidRPr="00030589">
        <w:t xml:space="preserve"> made under that Act; </w:t>
      </w:r>
      <w:r w:rsidR="00B2587F" w:rsidRPr="00030589">
        <w:t>or</w:t>
      </w:r>
    </w:p>
    <w:p w14:paraId="274B17CC" w14:textId="77777777" w:rsidR="002817A0" w:rsidRPr="00030589" w:rsidRDefault="002817A0" w:rsidP="00030589">
      <w:pPr>
        <w:pStyle w:val="ActHead9"/>
      </w:pPr>
      <w:bookmarkStart w:id="8" w:name="_Toc143182176"/>
      <w:r w:rsidRPr="00030589">
        <w:lastRenderedPageBreak/>
        <w:t>National Anti</w:t>
      </w:r>
      <w:r w:rsidR="00030589">
        <w:noBreakHyphen/>
      </w:r>
      <w:r w:rsidRPr="00030589">
        <w:t>Corruption Commission Act 2022</w:t>
      </w:r>
      <w:bookmarkEnd w:id="8"/>
    </w:p>
    <w:p w14:paraId="06DCA77B" w14:textId="77777777" w:rsidR="002817A0" w:rsidRPr="00030589" w:rsidRDefault="00BA4A9A" w:rsidP="00030589">
      <w:pPr>
        <w:pStyle w:val="ItemHead"/>
      </w:pPr>
      <w:r w:rsidRPr="00030589">
        <w:t>5</w:t>
      </w:r>
      <w:r w:rsidR="002817A0" w:rsidRPr="00030589">
        <w:t xml:space="preserve">  </w:t>
      </w:r>
      <w:r w:rsidR="008E4D18" w:rsidRPr="00030589">
        <w:t>Section 7</w:t>
      </w:r>
    </w:p>
    <w:p w14:paraId="5A11E044" w14:textId="77777777" w:rsidR="00072718" w:rsidRPr="00030589" w:rsidRDefault="00072718" w:rsidP="00030589">
      <w:pPr>
        <w:pStyle w:val="Item"/>
      </w:pPr>
      <w:r w:rsidRPr="00030589">
        <w:t>Insert:</w:t>
      </w:r>
    </w:p>
    <w:p w14:paraId="7AD56E96" w14:textId="77777777" w:rsidR="00072718" w:rsidRPr="00030589" w:rsidRDefault="00072718" w:rsidP="00030589">
      <w:pPr>
        <w:pStyle w:val="Definition"/>
      </w:pPr>
      <w:r w:rsidRPr="00030589">
        <w:rPr>
          <w:b/>
          <w:i/>
        </w:rPr>
        <w:t>Inspector</w:t>
      </w:r>
      <w:r w:rsidR="00030589">
        <w:rPr>
          <w:b/>
          <w:i/>
        </w:rPr>
        <w:noBreakHyphen/>
      </w:r>
      <w:r w:rsidRPr="00030589">
        <w:rPr>
          <w:b/>
          <w:i/>
        </w:rPr>
        <w:t>General of Aged Care</w:t>
      </w:r>
      <w:r w:rsidRPr="00030589">
        <w:t xml:space="preserve"> </w:t>
      </w:r>
      <w:r w:rsidR="008F7BC9" w:rsidRPr="00030589">
        <w:t>means the Inspector</w:t>
      </w:r>
      <w:r w:rsidR="00030589">
        <w:noBreakHyphen/>
      </w:r>
      <w:r w:rsidR="008F7BC9" w:rsidRPr="00030589">
        <w:t>General of Aged Care referred to in section </w:t>
      </w:r>
      <w:r w:rsidR="00574102" w:rsidRPr="00030589">
        <w:t>9</w:t>
      </w:r>
      <w:r w:rsidR="008F7BC9" w:rsidRPr="00030589">
        <w:t xml:space="preserve"> of the </w:t>
      </w:r>
      <w:r w:rsidR="008F7BC9" w:rsidRPr="00030589">
        <w:rPr>
          <w:i/>
        </w:rPr>
        <w:t>Inspector</w:t>
      </w:r>
      <w:r w:rsidR="00030589">
        <w:rPr>
          <w:i/>
        </w:rPr>
        <w:noBreakHyphen/>
      </w:r>
      <w:r w:rsidR="008F7BC9" w:rsidRPr="00030589">
        <w:rPr>
          <w:i/>
        </w:rPr>
        <w:t>General of Aged Care Act 2023</w:t>
      </w:r>
      <w:r w:rsidR="008F7BC9" w:rsidRPr="00030589">
        <w:t>.</w:t>
      </w:r>
    </w:p>
    <w:p w14:paraId="6900612F" w14:textId="77777777" w:rsidR="002E3464" w:rsidRPr="00030589" w:rsidRDefault="00BA4A9A" w:rsidP="00030589">
      <w:pPr>
        <w:pStyle w:val="ItemHead"/>
      </w:pPr>
      <w:r w:rsidRPr="00030589">
        <w:t>6</w:t>
      </w:r>
      <w:r w:rsidR="002E3464" w:rsidRPr="00030589">
        <w:t xml:space="preserve">  After </w:t>
      </w:r>
      <w:r w:rsidR="008E4D18" w:rsidRPr="00030589">
        <w:t>paragraph 1</w:t>
      </w:r>
      <w:r w:rsidR="002E3464" w:rsidRPr="00030589">
        <w:t>5(</w:t>
      </w:r>
      <w:r w:rsidR="00BD6575" w:rsidRPr="00030589">
        <w:t>p</w:t>
      </w:r>
      <w:r w:rsidR="002E3464" w:rsidRPr="00030589">
        <w:t>)</w:t>
      </w:r>
    </w:p>
    <w:p w14:paraId="4E9D291B" w14:textId="77777777" w:rsidR="002E3464" w:rsidRPr="00030589" w:rsidRDefault="002E3464" w:rsidP="00030589">
      <w:pPr>
        <w:pStyle w:val="Item"/>
      </w:pPr>
      <w:r w:rsidRPr="00030589">
        <w:t>Insert:</w:t>
      </w:r>
    </w:p>
    <w:p w14:paraId="7E3ED343" w14:textId="77777777" w:rsidR="002E3464" w:rsidRPr="00030589" w:rsidRDefault="002E3464" w:rsidP="00030589">
      <w:pPr>
        <w:pStyle w:val="paragraph"/>
      </w:pPr>
      <w:r w:rsidRPr="00030589">
        <w:tab/>
        <w:t>(</w:t>
      </w:r>
      <w:r w:rsidR="00BD6575" w:rsidRPr="00030589">
        <w:t>p</w:t>
      </w:r>
      <w:r w:rsidRPr="00030589">
        <w:t>a)</w:t>
      </w:r>
      <w:r w:rsidRPr="00030589">
        <w:tab/>
        <w:t>the Inspector</w:t>
      </w:r>
      <w:r w:rsidR="00030589">
        <w:noBreakHyphen/>
      </w:r>
      <w:r w:rsidRPr="00030589">
        <w:t>General of Aged Care;</w:t>
      </w:r>
    </w:p>
    <w:p w14:paraId="4B3BA51B" w14:textId="77777777" w:rsidR="002D4D6C" w:rsidRPr="00030589" w:rsidRDefault="008E4D18" w:rsidP="00030589">
      <w:pPr>
        <w:pStyle w:val="ActHead6"/>
        <w:pageBreakBefore/>
      </w:pPr>
      <w:bookmarkStart w:id="9" w:name="_Toc143182177"/>
      <w:r w:rsidRPr="009B39BD">
        <w:rPr>
          <w:rStyle w:val="CharAmSchNo"/>
        </w:rPr>
        <w:lastRenderedPageBreak/>
        <w:t>Schedule 2</w:t>
      </w:r>
      <w:r w:rsidR="00246063" w:rsidRPr="00030589">
        <w:t>—</w:t>
      </w:r>
      <w:r w:rsidR="005A2387" w:rsidRPr="009B39BD">
        <w:rPr>
          <w:rStyle w:val="CharAmSchText"/>
        </w:rPr>
        <w:t>Application, s</w:t>
      </w:r>
      <w:r w:rsidR="00B96759" w:rsidRPr="009B39BD">
        <w:rPr>
          <w:rStyle w:val="CharAmSchText"/>
        </w:rPr>
        <w:t>aving and</w:t>
      </w:r>
      <w:r w:rsidR="00246063" w:rsidRPr="009B39BD">
        <w:rPr>
          <w:rStyle w:val="CharAmSchText"/>
        </w:rPr>
        <w:t xml:space="preserve"> transitional provisions</w:t>
      </w:r>
      <w:bookmarkEnd w:id="9"/>
    </w:p>
    <w:p w14:paraId="4A39C8B6" w14:textId="77777777" w:rsidR="00246063" w:rsidRPr="009B39BD" w:rsidRDefault="00246063" w:rsidP="00030589">
      <w:pPr>
        <w:pStyle w:val="Header"/>
      </w:pPr>
      <w:r w:rsidRPr="009B39BD">
        <w:rPr>
          <w:rStyle w:val="CharAmPartNo"/>
        </w:rPr>
        <w:t xml:space="preserve"> </w:t>
      </w:r>
      <w:r w:rsidRPr="009B39BD">
        <w:rPr>
          <w:rStyle w:val="CharAmPartText"/>
        </w:rPr>
        <w:t xml:space="preserve"> </w:t>
      </w:r>
    </w:p>
    <w:p w14:paraId="25D5C808" w14:textId="77777777" w:rsidR="00246063" w:rsidRPr="00030589" w:rsidRDefault="00142992" w:rsidP="00030589">
      <w:pPr>
        <w:pStyle w:val="Transitional"/>
      </w:pPr>
      <w:r w:rsidRPr="00030589">
        <w:t>1</w:t>
      </w:r>
      <w:r w:rsidR="00CA34B6" w:rsidRPr="00030589">
        <w:t xml:space="preserve">  Definitions</w:t>
      </w:r>
    </w:p>
    <w:p w14:paraId="1567B38D" w14:textId="77777777" w:rsidR="00CA34B6" w:rsidRPr="00030589" w:rsidRDefault="00CA34B6" w:rsidP="00030589">
      <w:pPr>
        <w:pStyle w:val="Item"/>
      </w:pPr>
      <w:r w:rsidRPr="00030589">
        <w:t>In this Schedule:</w:t>
      </w:r>
    </w:p>
    <w:p w14:paraId="465FD721" w14:textId="77777777" w:rsidR="00560057" w:rsidRPr="00030589" w:rsidRDefault="00560057" w:rsidP="00030589">
      <w:pPr>
        <w:pStyle w:val="Item"/>
      </w:pPr>
      <w:r w:rsidRPr="00030589">
        <w:rPr>
          <w:b/>
          <w:i/>
        </w:rPr>
        <w:t>IGAC Act</w:t>
      </w:r>
      <w:r w:rsidRPr="00030589">
        <w:t xml:space="preserve"> means the </w:t>
      </w:r>
      <w:r w:rsidRPr="00030589">
        <w:rPr>
          <w:i/>
        </w:rPr>
        <w:t>Inspector</w:t>
      </w:r>
      <w:r w:rsidR="00030589">
        <w:rPr>
          <w:i/>
        </w:rPr>
        <w:noBreakHyphen/>
      </w:r>
      <w:r w:rsidRPr="00030589">
        <w:rPr>
          <w:i/>
        </w:rPr>
        <w:t>General of Aged Care Act 2023</w:t>
      </w:r>
      <w:r w:rsidRPr="00030589">
        <w:t>.</w:t>
      </w:r>
    </w:p>
    <w:p w14:paraId="65CCDB96" w14:textId="77777777" w:rsidR="00AE27B1" w:rsidRPr="00030589" w:rsidRDefault="00AE27B1" w:rsidP="00030589">
      <w:pPr>
        <w:pStyle w:val="Item"/>
      </w:pPr>
      <w:r w:rsidRPr="00030589">
        <w:rPr>
          <w:b/>
          <w:i/>
        </w:rPr>
        <w:t>Inspector</w:t>
      </w:r>
      <w:r w:rsidR="00030589">
        <w:rPr>
          <w:b/>
          <w:i/>
        </w:rPr>
        <w:noBreakHyphen/>
      </w:r>
      <w:r w:rsidRPr="00030589">
        <w:rPr>
          <w:b/>
          <w:i/>
        </w:rPr>
        <w:t>General</w:t>
      </w:r>
      <w:r w:rsidRPr="00030589">
        <w:t xml:space="preserve"> has the same meaning as in the </w:t>
      </w:r>
      <w:r w:rsidR="00F17008" w:rsidRPr="00030589">
        <w:t>IGAC Act</w:t>
      </w:r>
      <w:r w:rsidRPr="00030589">
        <w:t>.</w:t>
      </w:r>
    </w:p>
    <w:p w14:paraId="7F10F815" w14:textId="77777777" w:rsidR="00073209" w:rsidRPr="00030589" w:rsidRDefault="00073209" w:rsidP="00030589">
      <w:pPr>
        <w:pStyle w:val="Item"/>
      </w:pPr>
      <w:r w:rsidRPr="00030589">
        <w:rPr>
          <w:b/>
          <w:i/>
        </w:rPr>
        <w:t>interim Inspector</w:t>
      </w:r>
      <w:r w:rsidR="00030589">
        <w:rPr>
          <w:b/>
          <w:i/>
        </w:rPr>
        <w:noBreakHyphen/>
      </w:r>
      <w:r w:rsidRPr="00030589">
        <w:rPr>
          <w:b/>
          <w:i/>
        </w:rPr>
        <w:t>General</w:t>
      </w:r>
      <w:r w:rsidRPr="00030589">
        <w:t xml:space="preserve"> means </w:t>
      </w:r>
      <w:r w:rsidR="004B625D" w:rsidRPr="00030589">
        <w:t xml:space="preserve">an </w:t>
      </w:r>
      <w:r w:rsidR="00D605AA" w:rsidRPr="00030589">
        <w:t>Inspector</w:t>
      </w:r>
      <w:r w:rsidR="00030589">
        <w:noBreakHyphen/>
      </w:r>
      <w:r w:rsidR="00D605AA" w:rsidRPr="00030589">
        <w:t>General</w:t>
      </w:r>
      <w:r w:rsidR="004B625D" w:rsidRPr="00030589">
        <w:t xml:space="preserve"> of Aged Care</w:t>
      </w:r>
      <w:r w:rsidR="00D605AA" w:rsidRPr="00030589">
        <w:t xml:space="preserve"> </w:t>
      </w:r>
      <w:r w:rsidR="004B625D" w:rsidRPr="00030589">
        <w:t xml:space="preserve">appointed by the </w:t>
      </w:r>
      <w:r w:rsidR="00CD7BE4" w:rsidRPr="00030589">
        <w:t>Secretary</w:t>
      </w:r>
      <w:r w:rsidR="00A4516F" w:rsidRPr="00030589">
        <w:t xml:space="preserve"> on an interim basis</w:t>
      </w:r>
      <w:r w:rsidR="004B625D" w:rsidRPr="00030589">
        <w:t xml:space="preserve"> </w:t>
      </w:r>
      <w:r w:rsidR="00D605AA" w:rsidRPr="00030589">
        <w:t>before the transition time.</w:t>
      </w:r>
    </w:p>
    <w:p w14:paraId="490A41BA" w14:textId="77777777" w:rsidR="001C3069" w:rsidRPr="00030589" w:rsidRDefault="001C3069" w:rsidP="00030589">
      <w:pPr>
        <w:pStyle w:val="Item"/>
      </w:pPr>
      <w:r w:rsidRPr="00030589">
        <w:rPr>
          <w:b/>
          <w:i/>
        </w:rPr>
        <w:t>transition time</w:t>
      </w:r>
      <w:r w:rsidRPr="00030589">
        <w:t xml:space="preserve"> means the commencement of the</w:t>
      </w:r>
      <w:r w:rsidR="00F17008" w:rsidRPr="00030589">
        <w:t xml:space="preserve"> IGAC Act</w:t>
      </w:r>
      <w:r w:rsidRPr="00030589">
        <w:t>.</w:t>
      </w:r>
    </w:p>
    <w:p w14:paraId="29885F67" w14:textId="77777777" w:rsidR="0097702E" w:rsidRPr="00030589" w:rsidRDefault="00142992" w:rsidP="00030589">
      <w:pPr>
        <w:pStyle w:val="Transitional"/>
      </w:pPr>
      <w:r w:rsidRPr="00030589">
        <w:t>2</w:t>
      </w:r>
      <w:r w:rsidR="0097702E" w:rsidRPr="00030589">
        <w:t xml:space="preserve">  Transfer of records</w:t>
      </w:r>
    </w:p>
    <w:p w14:paraId="6FC0BC4B" w14:textId="77777777" w:rsidR="0097702E" w:rsidRPr="00030589" w:rsidRDefault="0097702E" w:rsidP="00030589">
      <w:pPr>
        <w:pStyle w:val="Subitem"/>
      </w:pPr>
      <w:r w:rsidRPr="00030589">
        <w:t>(1)</w:t>
      </w:r>
      <w:r w:rsidR="00095082" w:rsidRPr="00030589">
        <w:tab/>
      </w:r>
      <w:r w:rsidRPr="00030589">
        <w:t xml:space="preserve">This item applies to any records or documents that were in the possession of the following immediately before the </w:t>
      </w:r>
      <w:r w:rsidR="003A4673" w:rsidRPr="00030589">
        <w:t>transition time</w:t>
      </w:r>
      <w:r w:rsidRPr="00030589">
        <w:t>:</w:t>
      </w:r>
    </w:p>
    <w:p w14:paraId="50048D32" w14:textId="77777777" w:rsidR="0097702E" w:rsidRPr="00030589" w:rsidRDefault="0097702E" w:rsidP="00030589">
      <w:pPr>
        <w:pStyle w:val="paragraph"/>
      </w:pPr>
      <w:r w:rsidRPr="00030589">
        <w:tab/>
        <w:t>(a)</w:t>
      </w:r>
      <w:r w:rsidRPr="00030589">
        <w:tab/>
        <w:t>the interim Inspector</w:t>
      </w:r>
      <w:r w:rsidR="00030589">
        <w:noBreakHyphen/>
      </w:r>
      <w:r w:rsidRPr="00030589">
        <w:t>General;</w:t>
      </w:r>
    </w:p>
    <w:p w14:paraId="59A98C0E" w14:textId="77777777" w:rsidR="0097702E" w:rsidRPr="00030589" w:rsidRDefault="0097702E" w:rsidP="00030589">
      <w:pPr>
        <w:pStyle w:val="paragraph"/>
      </w:pPr>
      <w:r w:rsidRPr="00030589">
        <w:tab/>
        <w:t>(b)</w:t>
      </w:r>
      <w:r w:rsidRPr="00030589">
        <w:tab/>
      </w:r>
      <w:r w:rsidR="00D64A42" w:rsidRPr="00030589">
        <w:t>an APS employee of the Department who, before that time, was assisting the interim Inspector</w:t>
      </w:r>
      <w:r w:rsidR="00030589">
        <w:noBreakHyphen/>
      </w:r>
      <w:r w:rsidR="00D64A42" w:rsidRPr="00030589">
        <w:t>General</w:t>
      </w:r>
      <w:r w:rsidRPr="00030589">
        <w:t>.</w:t>
      </w:r>
    </w:p>
    <w:p w14:paraId="586EED92" w14:textId="77777777" w:rsidR="0097702E" w:rsidRPr="00030589" w:rsidRDefault="007A103C" w:rsidP="00030589">
      <w:pPr>
        <w:pStyle w:val="Subitem"/>
      </w:pPr>
      <w:r w:rsidRPr="00030589">
        <w:t>(2)</w:t>
      </w:r>
      <w:r w:rsidRPr="00030589">
        <w:tab/>
      </w:r>
      <w:r w:rsidR="0097702E" w:rsidRPr="00030589">
        <w:t xml:space="preserve">The records and documents are to be transferred to the </w:t>
      </w:r>
      <w:r w:rsidRPr="00030589">
        <w:t>Inspector</w:t>
      </w:r>
      <w:r w:rsidR="00030589">
        <w:noBreakHyphen/>
      </w:r>
      <w:r w:rsidRPr="00030589">
        <w:t>General</w:t>
      </w:r>
      <w:r w:rsidR="0097702E" w:rsidRPr="00030589">
        <w:t xml:space="preserve"> after </w:t>
      </w:r>
      <w:r w:rsidR="003A4673" w:rsidRPr="00030589">
        <w:t>the transition time</w:t>
      </w:r>
      <w:r w:rsidR="0097702E" w:rsidRPr="00030589">
        <w:t>.</w:t>
      </w:r>
    </w:p>
    <w:p w14:paraId="329CD6E0" w14:textId="77777777" w:rsidR="0097702E" w:rsidRPr="00030589" w:rsidRDefault="0097702E" w:rsidP="00030589">
      <w:pPr>
        <w:pStyle w:val="notemargin"/>
      </w:pPr>
      <w:r w:rsidRPr="00030589">
        <w:t>Note</w:t>
      </w:r>
      <w:r w:rsidR="00987B80" w:rsidRPr="00030589">
        <w:t>:</w:t>
      </w:r>
      <w:r w:rsidR="00987B80" w:rsidRPr="00030589">
        <w:tab/>
      </w:r>
      <w:r w:rsidRPr="00030589">
        <w:t xml:space="preserve">The records and documents are Commonwealth records for the purposes of the </w:t>
      </w:r>
      <w:r w:rsidRPr="00030589">
        <w:rPr>
          <w:i/>
        </w:rPr>
        <w:t>Archives Act 1983</w:t>
      </w:r>
      <w:r w:rsidRPr="00030589">
        <w:t>.</w:t>
      </w:r>
    </w:p>
    <w:p w14:paraId="45EC2B3D" w14:textId="77777777" w:rsidR="004860AE" w:rsidRPr="00030589" w:rsidRDefault="004F09EC" w:rsidP="00030589">
      <w:pPr>
        <w:pStyle w:val="Transitional"/>
      </w:pPr>
      <w:r w:rsidRPr="00030589">
        <w:t>3</w:t>
      </w:r>
      <w:r w:rsidR="004860AE" w:rsidRPr="00030589">
        <w:t xml:space="preserve">  Review may relate to matters occurring before or after </w:t>
      </w:r>
      <w:r w:rsidR="00114893" w:rsidRPr="00030589">
        <w:t>transition time</w:t>
      </w:r>
    </w:p>
    <w:p w14:paraId="1043912A" w14:textId="77777777" w:rsidR="004860AE" w:rsidRPr="00030589" w:rsidRDefault="004860AE" w:rsidP="00030589">
      <w:pPr>
        <w:pStyle w:val="Item"/>
      </w:pPr>
      <w:r w:rsidRPr="00030589">
        <w:t>The Inspector</w:t>
      </w:r>
      <w:r w:rsidR="00030589">
        <w:noBreakHyphen/>
      </w:r>
      <w:r w:rsidRPr="00030589">
        <w:t xml:space="preserve">General may conduct a review under section 17 of the IGAC Act for the purpose </w:t>
      </w:r>
      <w:r w:rsidR="00CF196A" w:rsidRPr="00030589">
        <w:t>of performing a function referred to in paragraphs 10(1)(a) to (d)</w:t>
      </w:r>
      <w:r w:rsidRPr="00030589">
        <w:t xml:space="preserve"> of </w:t>
      </w:r>
      <w:r w:rsidR="00C31AD2" w:rsidRPr="00030589">
        <w:t>that</w:t>
      </w:r>
      <w:r w:rsidRPr="00030589">
        <w:t xml:space="preserve"> Act in relation to the performance of functions</w:t>
      </w:r>
      <w:r w:rsidR="00E108BE" w:rsidRPr="00030589">
        <w:t>, duties</w:t>
      </w:r>
      <w:r w:rsidRPr="00030589">
        <w:t xml:space="preserve"> or obligations</w:t>
      </w:r>
      <w:r w:rsidR="00004E83" w:rsidRPr="00030589">
        <w:t>,</w:t>
      </w:r>
      <w:r w:rsidRPr="00030589">
        <w:t xml:space="preserve"> exercise of powers</w:t>
      </w:r>
      <w:r w:rsidR="00522685" w:rsidRPr="00030589">
        <w:t xml:space="preserve"> or rights,</w:t>
      </w:r>
      <w:r w:rsidR="00004E83" w:rsidRPr="00030589">
        <w:t xml:space="preserve"> establishment of systems</w:t>
      </w:r>
      <w:r w:rsidRPr="00030589">
        <w:t xml:space="preserve"> </w:t>
      </w:r>
      <w:r w:rsidR="00522685" w:rsidRPr="00030589">
        <w:t>or implementation of recommendation</w:t>
      </w:r>
      <w:r w:rsidR="006362B0" w:rsidRPr="00030589">
        <w:t>s</w:t>
      </w:r>
      <w:r w:rsidR="00522685" w:rsidRPr="00030589">
        <w:t xml:space="preserve"> </w:t>
      </w:r>
      <w:r w:rsidRPr="00030589">
        <w:t>referred to in those paragraphs before</w:t>
      </w:r>
      <w:r w:rsidR="00750693" w:rsidRPr="00030589">
        <w:t xml:space="preserve"> </w:t>
      </w:r>
      <w:r w:rsidRPr="00030589">
        <w:t xml:space="preserve">or after the </w:t>
      </w:r>
      <w:r w:rsidR="00750693" w:rsidRPr="00030589">
        <w:t>transition time</w:t>
      </w:r>
      <w:r w:rsidRPr="00030589">
        <w:t>.</w:t>
      </w:r>
    </w:p>
    <w:p w14:paraId="0B24AF1C" w14:textId="77777777" w:rsidR="00F24152" w:rsidRPr="00030589" w:rsidRDefault="004F09EC" w:rsidP="00030589">
      <w:pPr>
        <w:pStyle w:val="Transitional"/>
      </w:pPr>
      <w:r w:rsidRPr="00030589">
        <w:t>4</w:t>
      </w:r>
      <w:r w:rsidR="00F24152" w:rsidRPr="00030589">
        <w:t xml:space="preserve">  </w:t>
      </w:r>
      <w:r w:rsidR="00FD4F09" w:rsidRPr="00030589">
        <w:t>Rules</w:t>
      </w:r>
    </w:p>
    <w:p w14:paraId="195E7727" w14:textId="77777777" w:rsidR="00C33519" w:rsidRPr="00030589" w:rsidRDefault="00C33519" w:rsidP="00030589">
      <w:pPr>
        <w:pStyle w:val="Subitem"/>
      </w:pPr>
      <w:r w:rsidRPr="00030589">
        <w:t>(1)</w:t>
      </w:r>
      <w:r w:rsidRPr="00030589">
        <w:tab/>
        <w:t xml:space="preserve">The Minister may, by legislative instrument, make </w:t>
      </w:r>
      <w:r w:rsidR="007C088B" w:rsidRPr="00030589">
        <w:t>rules</w:t>
      </w:r>
      <w:r w:rsidRPr="00030589">
        <w:t xml:space="preserve"> prescribing matters:</w:t>
      </w:r>
    </w:p>
    <w:p w14:paraId="580DCC90" w14:textId="77777777" w:rsidR="00C33519" w:rsidRPr="00030589" w:rsidRDefault="00C33519" w:rsidP="00030589">
      <w:pPr>
        <w:pStyle w:val="paragraph"/>
      </w:pPr>
      <w:r w:rsidRPr="00030589">
        <w:lastRenderedPageBreak/>
        <w:tab/>
        <w:t>(a)</w:t>
      </w:r>
      <w:r w:rsidRPr="00030589">
        <w:tab/>
        <w:t xml:space="preserve">required or permitted by this </w:t>
      </w:r>
      <w:r w:rsidR="007C088B" w:rsidRPr="00030589">
        <w:t>Act</w:t>
      </w:r>
      <w:r w:rsidRPr="00030589">
        <w:t xml:space="preserve"> to be </w:t>
      </w:r>
      <w:r w:rsidRPr="00030589">
        <w:rPr>
          <w:bCs/>
        </w:rPr>
        <w:t xml:space="preserve">prescribed by the </w:t>
      </w:r>
      <w:r w:rsidR="007C088B" w:rsidRPr="00030589">
        <w:t>rules</w:t>
      </w:r>
      <w:r w:rsidRPr="00030589">
        <w:t>; or</w:t>
      </w:r>
    </w:p>
    <w:p w14:paraId="246D8F66" w14:textId="77777777" w:rsidR="00C33519" w:rsidRPr="00030589" w:rsidRDefault="00C33519" w:rsidP="00030589">
      <w:pPr>
        <w:pStyle w:val="paragraph"/>
      </w:pPr>
      <w:r w:rsidRPr="00030589">
        <w:tab/>
        <w:t>(b)</w:t>
      </w:r>
      <w:r w:rsidRPr="00030589">
        <w:tab/>
        <w:t xml:space="preserve">necessary or convenient to be </w:t>
      </w:r>
      <w:r w:rsidRPr="00030589">
        <w:rPr>
          <w:bCs/>
        </w:rPr>
        <w:t>prescribed</w:t>
      </w:r>
      <w:r w:rsidRPr="00030589">
        <w:t xml:space="preserve"> for carrying out or giving effect to this </w:t>
      </w:r>
      <w:r w:rsidR="007C088B" w:rsidRPr="00030589">
        <w:t>Act</w:t>
      </w:r>
      <w:r w:rsidRPr="00030589">
        <w:t>.</w:t>
      </w:r>
    </w:p>
    <w:p w14:paraId="1A2302CA" w14:textId="77777777" w:rsidR="00B561B7" w:rsidRPr="00030589" w:rsidRDefault="00B561B7" w:rsidP="00030589">
      <w:pPr>
        <w:pStyle w:val="Subitem"/>
        <w:rPr>
          <w:rFonts w:eastAsia="Calibri"/>
        </w:rPr>
      </w:pPr>
      <w:r w:rsidRPr="00030589">
        <w:t>(2)</w:t>
      </w:r>
      <w:r w:rsidRPr="00030589">
        <w:tab/>
      </w:r>
      <w:r w:rsidRPr="00030589">
        <w:rPr>
          <w:rFonts w:eastAsia="Calibri"/>
        </w:rPr>
        <w:t xml:space="preserve">Without limiting subitem (1), the </w:t>
      </w:r>
      <w:r w:rsidRPr="00030589">
        <w:rPr>
          <w:rFonts w:eastAsia="Calibri"/>
          <w:bCs/>
        </w:rPr>
        <w:t xml:space="preserve">rules </w:t>
      </w:r>
      <w:r w:rsidRPr="00030589">
        <w:rPr>
          <w:rFonts w:eastAsia="Calibri"/>
        </w:rPr>
        <w:t>may prescribe matters of a transitional nature (including prescribing any saving or application provisions) relating to:</w:t>
      </w:r>
    </w:p>
    <w:p w14:paraId="4C2EC4D7" w14:textId="77777777" w:rsidR="00B561B7" w:rsidRPr="00030589" w:rsidRDefault="00B561B7" w:rsidP="00030589">
      <w:pPr>
        <w:pStyle w:val="paragraph"/>
        <w:rPr>
          <w:rFonts w:eastAsia="Calibri"/>
        </w:rPr>
      </w:pPr>
      <w:r w:rsidRPr="00030589">
        <w:rPr>
          <w:rFonts w:eastAsia="Calibri"/>
        </w:rPr>
        <w:tab/>
        <w:t>(a)</w:t>
      </w:r>
      <w:r w:rsidRPr="00030589">
        <w:rPr>
          <w:rFonts w:eastAsia="Calibri"/>
        </w:rPr>
        <w:tab/>
        <w:t>the amendments or repeals made by this Act; or</w:t>
      </w:r>
    </w:p>
    <w:p w14:paraId="3942548E" w14:textId="77777777" w:rsidR="00B561B7" w:rsidRPr="00030589" w:rsidRDefault="00B561B7" w:rsidP="00030589">
      <w:pPr>
        <w:pStyle w:val="paragraph"/>
        <w:rPr>
          <w:rFonts w:eastAsia="Calibri"/>
        </w:rPr>
      </w:pPr>
      <w:r w:rsidRPr="00030589">
        <w:rPr>
          <w:rFonts w:eastAsia="Calibri"/>
        </w:rPr>
        <w:tab/>
        <w:t>(b)</w:t>
      </w:r>
      <w:r w:rsidRPr="00030589">
        <w:rPr>
          <w:rFonts w:eastAsia="Calibri"/>
        </w:rPr>
        <w:tab/>
        <w:t>the enactment of this Act or the IGAC Act.</w:t>
      </w:r>
    </w:p>
    <w:p w14:paraId="40B2AD5E" w14:textId="77777777" w:rsidR="00C33519" w:rsidRPr="00030589" w:rsidRDefault="00C33519" w:rsidP="00030589">
      <w:pPr>
        <w:pStyle w:val="Subitem"/>
      </w:pPr>
      <w:r w:rsidRPr="00030589">
        <w:t>(</w:t>
      </w:r>
      <w:r w:rsidR="00385624" w:rsidRPr="00030589">
        <w:t>3</w:t>
      </w:r>
      <w:r w:rsidRPr="00030589">
        <w:t>)</w:t>
      </w:r>
      <w:r w:rsidRPr="00030589">
        <w:tab/>
        <w:t xml:space="preserve">To avoid doubt, the </w:t>
      </w:r>
      <w:r w:rsidR="00B561B7" w:rsidRPr="00030589">
        <w:t>r</w:t>
      </w:r>
      <w:r w:rsidR="007C088B" w:rsidRPr="00030589">
        <w:t xml:space="preserve">ules </w:t>
      </w:r>
      <w:r w:rsidRPr="00030589">
        <w:t>may not do the following:</w:t>
      </w:r>
    </w:p>
    <w:p w14:paraId="21B1CA90" w14:textId="77777777" w:rsidR="00C33519" w:rsidRPr="00030589" w:rsidRDefault="00C33519" w:rsidP="00030589">
      <w:pPr>
        <w:pStyle w:val="paragraph"/>
      </w:pPr>
      <w:r w:rsidRPr="00030589">
        <w:tab/>
        <w:t>(a)</w:t>
      </w:r>
      <w:r w:rsidRPr="00030589">
        <w:tab/>
        <w:t>create an offence or civil penalty;</w:t>
      </w:r>
    </w:p>
    <w:p w14:paraId="3CB4C0DE" w14:textId="77777777" w:rsidR="00C33519" w:rsidRPr="00030589" w:rsidRDefault="00C33519" w:rsidP="00030589">
      <w:pPr>
        <w:pStyle w:val="paragraph"/>
      </w:pPr>
      <w:r w:rsidRPr="00030589">
        <w:tab/>
        <w:t>(b)</w:t>
      </w:r>
      <w:r w:rsidRPr="00030589">
        <w:tab/>
        <w:t>provide powers of:</w:t>
      </w:r>
    </w:p>
    <w:p w14:paraId="7D57D438" w14:textId="77777777" w:rsidR="00C33519" w:rsidRPr="00030589" w:rsidRDefault="00C33519" w:rsidP="00030589">
      <w:pPr>
        <w:pStyle w:val="paragraphsub"/>
      </w:pPr>
      <w:r w:rsidRPr="00030589">
        <w:tab/>
        <w:t>(i)</w:t>
      </w:r>
      <w:r w:rsidRPr="00030589">
        <w:tab/>
        <w:t>arrest or detention; or</w:t>
      </w:r>
    </w:p>
    <w:p w14:paraId="2D7564CD" w14:textId="77777777" w:rsidR="00C33519" w:rsidRPr="00030589" w:rsidRDefault="00C33519" w:rsidP="00030589">
      <w:pPr>
        <w:pStyle w:val="paragraphsub"/>
      </w:pPr>
      <w:r w:rsidRPr="00030589">
        <w:tab/>
        <w:t>(ii)</w:t>
      </w:r>
      <w:r w:rsidRPr="00030589">
        <w:tab/>
        <w:t>entry, search or seizure;</w:t>
      </w:r>
    </w:p>
    <w:p w14:paraId="0BA8DB13" w14:textId="77777777" w:rsidR="00C33519" w:rsidRPr="00030589" w:rsidRDefault="00C33519" w:rsidP="00030589">
      <w:pPr>
        <w:pStyle w:val="paragraph"/>
      </w:pPr>
      <w:r w:rsidRPr="00030589">
        <w:tab/>
        <w:t>(c)</w:t>
      </w:r>
      <w:r w:rsidRPr="00030589">
        <w:tab/>
        <w:t>impose a tax;</w:t>
      </w:r>
    </w:p>
    <w:p w14:paraId="67E93022" w14:textId="77777777" w:rsidR="00C33519" w:rsidRPr="00030589" w:rsidRDefault="00C33519" w:rsidP="00030589">
      <w:pPr>
        <w:pStyle w:val="paragraph"/>
      </w:pPr>
      <w:r w:rsidRPr="00030589">
        <w:tab/>
        <w:t>(d)</w:t>
      </w:r>
      <w:r w:rsidRPr="00030589">
        <w:tab/>
        <w:t>set an amount to be appropriated from the Consolidated Revenue Fund under an appropriation in this Act</w:t>
      </w:r>
      <w:r w:rsidR="00822068" w:rsidRPr="00030589">
        <w:t xml:space="preserve"> or the IGAC Act</w:t>
      </w:r>
      <w:r w:rsidRPr="00030589">
        <w:t>;</w:t>
      </w:r>
    </w:p>
    <w:p w14:paraId="77E86615" w14:textId="77777777" w:rsidR="00C33519" w:rsidRDefault="00C33519" w:rsidP="00030589">
      <w:pPr>
        <w:pStyle w:val="paragraph"/>
      </w:pPr>
      <w:r w:rsidRPr="00030589">
        <w:tab/>
        <w:t>(e)</w:t>
      </w:r>
      <w:r w:rsidRPr="00030589">
        <w:tab/>
        <w:t xml:space="preserve">directly amend the text of this </w:t>
      </w:r>
      <w:r w:rsidR="00385624" w:rsidRPr="00030589">
        <w:t>Act</w:t>
      </w:r>
      <w:r w:rsidR="00822068" w:rsidRPr="00030589">
        <w:t xml:space="preserve"> or the IGAC Act</w:t>
      </w:r>
      <w:r w:rsidRPr="00030589">
        <w:t>.</w:t>
      </w:r>
    </w:p>
    <w:p w14:paraId="61A66CA9" w14:textId="77777777" w:rsidR="008B3AA7" w:rsidRDefault="008B3AA7" w:rsidP="008B3AA7"/>
    <w:p w14:paraId="48A36DA7" w14:textId="77777777" w:rsidR="008B3AA7" w:rsidRDefault="008B3AA7" w:rsidP="008B3AA7">
      <w:pPr>
        <w:pStyle w:val="AssentBk"/>
        <w:keepNext/>
      </w:pPr>
    </w:p>
    <w:p w14:paraId="40B28CD7" w14:textId="77777777" w:rsidR="008B3AA7" w:rsidRDefault="008B3AA7" w:rsidP="008B3AA7">
      <w:pPr>
        <w:pStyle w:val="AssentBk"/>
        <w:keepNext/>
      </w:pPr>
    </w:p>
    <w:p w14:paraId="1CD1E089" w14:textId="77777777" w:rsidR="008B3AA7" w:rsidRDefault="008B3AA7" w:rsidP="008B3AA7">
      <w:pPr>
        <w:pStyle w:val="2ndRd"/>
        <w:keepNext/>
        <w:pBdr>
          <w:top w:val="single" w:sz="2" w:space="1" w:color="auto"/>
        </w:pBdr>
      </w:pPr>
    </w:p>
    <w:p w14:paraId="30B67942" w14:textId="77777777" w:rsidR="00053779" w:rsidRDefault="0005377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356B92F" w14:textId="6ED2E9F0" w:rsidR="00053779" w:rsidRDefault="0005377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March 2023</w:t>
      </w:r>
    </w:p>
    <w:p w14:paraId="110B229C" w14:textId="1D8E5B9C" w:rsidR="00053779" w:rsidRDefault="0005377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May 2023</w:t>
      </w:r>
      <w:r>
        <w:t>]</w:t>
      </w:r>
    </w:p>
    <w:p w14:paraId="733B68AD" w14:textId="77777777" w:rsidR="00053779" w:rsidRDefault="00053779" w:rsidP="000C5962"/>
    <w:p w14:paraId="01403CFE" w14:textId="704A6B66" w:rsidR="009833E5" w:rsidRPr="00053779" w:rsidRDefault="00053779" w:rsidP="008B3AA7">
      <w:pPr>
        <w:framePr w:hSpace="181" w:wrap="around" w:vAnchor="page" w:hAnchor="page" w:x="2399" w:y="12209"/>
      </w:pPr>
      <w:r>
        <w:t>(33/23)</w:t>
      </w:r>
    </w:p>
    <w:p w14:paraId="3005F9BC" w14:textId="77777777" w:rsidR="00053779" w:rsidRDefault="00053779"/>
    <w:sectPr w:rsidR="00053779" w:rsidSect="009833E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0" w:right="2409" w:bottom="4534" w:left="2409" w:header="720" w:footer="34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A25CD" w14:textId="77777777" w:rsidR="00EC463D" w:rsidRDefault="00EC463D" w:rsidP="00715914">
      <w:pPr>
        <w:spacing w:line="240" w:lineRule="auto"/>
      </w:pPr>
      <w:r>
        <w:separator/>
      </w:r>
    </w:p>
  </w:endnote>
  <w:endnote w:type="continuationSeparator" w:id="0">
    <w:p w14:paraId="651DEAE8" w14:textId="77777777" w:rsidR="00EC463D" w:rsidRDefault="00EC463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8939" w14:textId="77777777" w:rsidR="00DD7BD7" w:rsidRPr="005F1388" w:rsidRDefault="00DD7BD7" w:rsidP="000305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1054" w14:textId="4A3125EF" w:rsidR="00053779" w:rsidRDefault="0005377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85C5B8E" w14:textId="77777777" w:rsidR="00053779" w:rsidRDefault="00053779" w:rsidP="00CD12A5"/>
  <w:p w14:paraId="75B1EA4E" w14:textId="4173473F" w:rsidR="00DD7BD7" w:rsidRPr="00ED79B6" w:rsidRDefault="00DD7BD7" w:rsidP="000305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4211" w14:textId="77777777" w:rsidR="00EC463D" w:rsidRDefault="00EC463D" w:rsidP="0003058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6"/>
      <w:gridCol w:w="5387"/>
      <w:gridCol w:w="1271"/>
    </w:tblGrid>
    <w:tr w:rsidR="00EC463D" w14:paraId="7C4E66D8" w14:textId="77777777" w:rsidTr="009B39BD">
      <w:tc>
        <w:tcPr>
          <w:tcW w:w="442" w:type="pct"/>
        </w:tcPr>
        <w:p w14:paraId="6E313AC6" w14:textId="77777777" w:rsidR="00EC463D" w:rsidRDefault="00EC463D" w:rsidP="0004543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1A8AB66" w14:textId="5650D455" w:rsidR="00EC463D" w:rsidRDefault="00EC463D" w:rsidP="0004543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Inspector-General of Aged Care (Consequential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870" w:type="pct"/>
        </w:tcPr>
        <w:p w14:paraId="6EC4506D" w14:textId="6036398C" w:rsidR="00EC463D" w:rsidRDefault="00EC463D" w:rsidP="0004543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No. 56,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CC7968" w14:textId="77777777" w:rsidR="00EC463D" w:rsidRDefault="00EC463D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DE72808" wp14:editId="77F770B4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3" name="Text Box 13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F16DC" w14:textId="1176F9A2" w:rsidR="00EC463D" w:rsidRPr="00324EB0" w:rsidRDefault="00EC463D" w:rsidP="0004543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3058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3058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7280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Sec-Footerevenpage" style="position:absolute;margin-left:0;margin-top:120.75pt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" stroked="f" strokeweight=".5pt">
              <v:textbox>
                <w:txbxContent>
                  <w:p w14:paraId="3CDF16DC" w14:textId="1176F9A2" w:rsidR="00EC463D" w:rsidRPr="00324EB0" w:rsidRDefault="00EC463D" w:rsidP="0004543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3058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3058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0D35" w14:textId="77777777" w:rsidR="00EC463D" w:rsidRDefault="00EC463D" w:rsidP="0003058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8"/>
      <w:gridCol w:w="5388"/>
      <w:gridCol w:w="669"/>
    </w:tblGrid>
    <w:tr w:rsidR="00EC463D" w14:paraId="579F4235" w14:textId="77777777" w:rsidTr="00DD7BD7">
      <w:tc>
        <w:tcPr>
          <w:tcW w:w="854" w:type="pct"/>
        </w:tcPr>
        <w:p w14:paraId="4DC96752" w14:textId="1529EE5C" w:rsidR="00EC463D" w:rsidRDefault="00EC463D" w:rsidP="0004543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No. 56,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8D900D" w14:textId="06037CCD" w:rsidR="00EC463D" w:rsidRDefault="00EC463D" w:rsidP="0004543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Inspector-General of Aged Care (Consequential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58" w:type="pct"/>
        </w:tcPr>
        <w:p w14:paraId="4BDC25B4" w14:textId="77777777" w:rsidR="00EC463D" w:rsidRDefault="00EC463D" w:rsidP="0004543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BBC09A" w14:textId="03BB8157" w:rsidR="00EC463D" w:rsidRPr="00ED79B6" w:rsidRDefault="00EC463D" w:rsidP="00045435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6527" w14:textId="77777777" w:rsidR="00EC463D" w:rsidRDefault="00EC463D" w:rsidP="0003058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8"/>
      <w:gridCol w:w="5387"/>
      <w:gridCol w:w="669"/>
    </w:tblGrid>
    <w:tr w:rsidR="00EC463D" w14:paraId="7D001CA5" w14:textId="77777777" w:rsidTr="009B39BD">
      <w:tc>
        <w:tcPr>
          <w:tcW w:w="854" w:type="pct"/>
        </w:tcPr>
        <w:p w14:paraId="1D475DD7" w14:textId="3AC57B17" w:rsidR="00EC463D" w:rsidRDefault="00EC463D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No. 56,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E7BE52" w14:textId="0DD764DC" w:rsidR="00EC463D" w:rsidRDefault="00EC463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Inspector-General of Aged Care (Consequential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58" w:type="pct"/>
        </w:tcPr>
        <w:p w14:paraId="367D38FD" w14:textId="77777777" w:rsidR="00EC463D" w:rsidRDefault="00EC463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857E4E0" w14:textId="77777777" w:rsidR="00EC463D" w:rsidRPr="007A1328" w:rsidRDefault="00EC463D" w:rsidP="00212DDD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7EDB" w14:textId="77777777" w:rsidR="00DD7BD7" w:rsidRPr="00E33C1C" w:rsidRDefault="00DD7BD7" w:rsidP="000305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533"/>
      <w:gridCol w:w="5388"/>
      <w:gridCol w:w="1384"/>
    </w:tblGrid>
    <w:tr w:rsidR="00DD7BD7" w14:paraId="282CA345" w14:textId="77777777" w:rsidTr="00DD7BD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4B9178" w14:textId="77777777" w:rsidR="00DD7BD7" w:rsidRDefault="00DD7BD7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187074" w14:textId="35522AFD" w:rsidR="00DD7BD7" w:rsidRDefault="00DD7BD7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Inspector-General of Aged Care (Consequential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59ECD09" w14:textId="5DE138A9" w:rsidR="00DD7BD7" w:rsidRDefault="00DD7BD7" w:rsidP="004A1E86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No. 56,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3804F1A" w14:textId="77777777" w:rsidR="00DD7BD7" w:rsidRPr="00ED79B6" w:rsidRDefault="00DD7BD7" w:rsidP="004A1E8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8039" w14:textId="77777777" w:rsidR="00DD7BD7" w:rsidRPr="00E33C1C" w:rsidRDefault="00DD7BD7" w:rsidP="000305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84"/>
      <w:gridCol w:w="5388"/>
      <w:gridCol w:w="533"/>
    </w:tblGrid>
    <w:tr w:rsidR="00DD7BD7" w14:paraId="6615DB2E" w14:textId="77777777" w:rsidTr="00DD7BD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68D02B" w14:textId="67227CB7" w:rsidR="00DD7BD7" w:rsidRDefault="00DD7BD7" w:rsidP="004A1E8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No. 56,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506C3B6" w14:textId="6BC2CBA6" w:rsidR="00DD7BD7" w:rsidRDefault="00DD7BD7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Inspector-General of Aged Care (Consequential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8ED889" w14:textId="77777777" w:rsidR="00DD7BD7" w:rsidRDefault="00DD7BD7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8664A0" w14:textId="77777777" w:rsidR="00DD7BD7" w:rsidRPr="00ED79B6" w:rsidRDefault="00DD7BD7" w:rsidP="004A1E86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4B3E" w14:textId="77777777" w:rsidR="00DD7BD7" w:rsidRPr="00E33C1C" w:rsidRDefault="00DD7BD7" w:rsidP="000305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84"/>
      <w:gridCol w:w="5388"/>
      <w:gridCol w:w="533"/>
    </w:tblGrid>
    <w:tr w:rsidR="00DD7BD7" w14:paraId="352FCC6B" w14:textId="77777777" w:rsidTr="00DD7BD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21C6C34" w14:textId="77C7F1D6" w:rsidR="00DD7BD7" w:rsidRDefault="00DD7BD7" w:rsidP="004A1E8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No. 56,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6FE932" w14:textId="20B23640" w:rsidR="00DD7BD7" w:rsidRDefault="00DD7BD7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68BA">
            <w:rPr>
              <w:i/>
              <w:sz w:val="18"/>
            </w:rPr>
            <w:t>Inspector-General of Aged Care (Consequential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5208FF" w14:textId="77777777" w:rsidR="00DD7BD7" w:rsidRDefault="00DD7BD7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C1FE0A" w14:textId="77777777" w:rsidR="00DD7BD7" w:rsidRPr="00ED79B6" w:rsidRDefault="00DD7BD7" w:rsidP="004A1E8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54D0" w14:textId="77777777" w:rsidR="00EC463D" w:rsidRDefault="00EC463D" w:rsidP="00715914">
      <w:pPr>
        <w:spacing w:line="240" w:lineRule="auto"/>
      </w:pPr>
      <w:r>
        <w:separator/>
      </w:r>
    </w:p>
  </w:footnote>
  <w:footnote w:type="continuationSeparator" w:id="0">
    <w:p w14:paraId="3066C2AC" w14:textId="77777777" w:rsidR="00EC463D" w:rsidRDefault="00EC463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440E" w14:textId="77777777" w:rsidR="00DD7BD7" w:rsidRDefault="00DD7BD7" w:rsidP="00B16FC0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14:paraId="04A38C41" w14:textId="77777777" w:rsidR="00DD7BD7" w:rsidRDefault="00DD7BD7" w:rsidP="00B16FC0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14:paraId="114851D0" w14:textId="77777777" w:rsidR="00DD7BD7" w:rsidRPr="000B5E62" w:rsidRDefault="00DD7BD7" w:rsidP="007D0869">
    <w:pPr>
      <w:pStyle w:val="Header"/>
      <w:pBdr>
        <w:bottom w:val="single" w:sz="6" w:space="1" w:color="auto"/>
      </w:pBdr>
      <w:tabs>
        <w:tab w:val="clear" w:pos="4150"/>
        <w:tab w:val="clear" w:pos="8307"/>
      </w:tabs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1E0B" w14:textId="77777777" w:rsidR="00DD7BD7" w:rsidRDefault="00DD7BD7" w:rsidP="00B16FC0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14:paraId="168D71D4" w14:textId="77777777" w:rsidR="00DD7BD7" w:rsidRDefault="00DD7BD7" w:rsidP="00B16FC0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14:paraId="4B547FB9" w14:textId="77777777" w:rsidR="00DD7BD7" w:rsidRPr="000B5E62" w:rsidRDefault="00DD7BD7" w:rsidP="007D0869">
    <w:pPr>
      <w:pStyle w:val="Header"/>
      <w:pBdr>
        <w:bottom w:val="single" w:sz="6" w:space="1" w:color="auto"/>
      </w:pBdr>
      <w:tabs>
        <w:tab w:val="clear" w:pos="4150"/>
        <w:tab w:val="clear" w:pos="8307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A5A8" w14:textId="77777777" w:rsidR="00DD7BD7" w:rsidRPr="000B5E62" w:rsidRDefault="00DD7BD7" w:rsidP="00B16FC0">
    <w:pPr>
      <w:pStyle w:val="Header"/>
      <w:tabs>
        <w:tab w:val="clear" w:pos="4150"/>
        <w:tab w:val="clear" w:pos="8307"/>
      </w:tabs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29E0" w14:textId="77777777" w:rsidR="00EC463D" w:rsidRPr="00ED79B6" w:rsidRDefault="00EC463D" w:rsidP="00045435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C489354" wp14:editId="6748E8F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2" name="Text Box 12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589AB" w14:textId="399EF562" w:rsidR="00EC463D" w:rsidRPr="00324EB0" w:rsidRDefault="00EC463D" w:rsidP="0004543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3058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3058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768B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8935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Sec-Headerevenpage" style="position:absolute;margin-left:0;margin-top:-2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" stroked="f" strokeweight=".5pt">
              <v:textbox>
                <w:txbxContent>
                  <w:p w14:paraId="754589AB" w14:textId="399EF562" w:rsidR="00EC463D" w:rsidRPr="00324EB0" w:rsidRDefault="00EC463D" w:rsidP="0004543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30589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30589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768B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F255" w14:textId="12CED049" w:rsidR="00EC463D" w:rsidRPr="00ED79B6" w:rsidRDefault="00EC463D" w:rsidP="00045435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C3348" w14:textId="77777777" w:rsidR="00EC463D" w:rsidRPr="00ED79B6" w:rsidRDefault="00EC463D" w:rsidP="0004543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54886" w14:textId="136391B8" w:rsidR="00DD7BD7" w:rsidRPr="00A961C4" w:rsidRDefault="00DD7BD7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CAC22A8" w14:textId="27380319" w:rsidR="00DD7BD7" w:rsidRPr="00A961C4" w:rsidRDefault="00DD7BD7" w:rsidP="004A1E8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2BA690A" w14:textId="77777777" w:rsidR="00DD7BD7" w:rsidRPr="000B5E62" w:rsidRDefault="00DD7BD7" w:rsidP="004A1E86">
    <w:pPr>
      <w:pBdr>
        <w:bottom w:val="single" w:sz="6" w:space="1" w:color="auto"/>
      </w:pBdr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550B" w14:textId="1BF1184C" w:rsidR="00DD7BD7" w:rsidRPr="00A961C4" w:rsidRDefault="00DD7BD7" w:rsidP="004A1E8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35657C">
      <w:rPr>
        <w:noProof/>
        <w:sz w:val="20"/>
      </w:rPr>
      <w:t>Application, saving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5657C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22CA7E0F" w14:textId="4C6089BD" w:rsidR="00DD7BD7" w:rsidRPr="00A961C4" w:rsidRDefault="00DD7BD7" w:rsidP="004A1E8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52D0FA" w14:textId="77777777" w:rsidR="00DD7BD7" w:rsidRPr="000B5E62" w:rsidRDefault="00DD7BD7" w:rsidP="004A1E86">
    <w:pPr>
      <w:pBdr>
        <w:bottom w:val="single" w:sz="6" w:space="1" w:color="auto"/>
      </w:pBdr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F00E" w14:textId="77777777" w:rsidR="00DD7BD7" w:rsidRPr="000B5E62" w:rsidRDefault="00DD7BD7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553EE"/>
    <w:multiLevelType w:val="hybridMultilevel"/>
    <w:tmpl w:val="400C8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DB"/>
    <w:rsid w:val="00003AD3"/>
    <w:rsid w:val="00004E83"/>
    <w:rsid w:val="00007545"/>
    <w:rsid w:val="00011E2C"/>
    <w:rsid w:val="000136AF"/>
    <w:rsid w:val="00017DD9"/>
    <w:rsid w:val="00020D36"/>
    <w:rsid w:val="000226FC"/>
    <w:rsid w:val="00024C7C"/>
    <w:rsid w:val="00030589"/>
    <w:rsid w:val="0003377B"/>
    <w:rsid w:val="00035055"/>
    <w:rsid w:val="00043074"/>
    <w:rsid w:val="00043E73"/>
    <w:rsid w:val="00045435"/>
    <w:rsid w:val="00045817"/>
    <w:rsid w:val="00047D23"/>
    <w:rsid w:val="00052671"/>
    <w:rsid w:val="00053779"/>
    <w:rsid w:val="00054DD7"/>
    <w:rsid w:val="000614BF"/>
    <w:rsid w:val="00061BB0"/>
    <w:rsid w:val="000675DB"/>
    <w:rsid w:val="00072718"/>
    <w:rsid w:val="00073209"/>
    <w:rsid w:val="000778E0"/>
    <w:rsid w:val="00080A60"/>
    <w:rsid w:val="00087D46"/>
    <w:rsid w:val="00092CED"/>
    <w:rsid w:val="00095082"/>
    <w:rsid w:val="000A0CD7"/>
    <w:rsid w:val="000A556A"/>
    <w:rsid w:val="000A5CCF"/>
    <w:rsid w:val="000A6DBC"/>
    <w:rsid w:val="000A7658"/>
    <w:rsid w:val="000B276B"/>
    <w:rsid w:val="000D05EF"/>
    <w:rsid w:val="000D0EB7"/>
    <w:rsid w:val="000D6799"/>
    <w:rsid w:val="000E2261"/>
    <w:rsid w:val="000E3F92"/>
    <w:rsid w:val="000E4C3E"/>
    <w:rsid w:val="000E4C71"/>
    <w:rsid w:val="000F0717"/>
    <w:rsid w:val="000F21C1"/>
    <w:rsid w:val="000F7563"/>
    <w:rsid w:val="00107455"/>
    <w:rsid w:val="0010745C"/>
    <w:rsid w:val="00114893"/>
    <w:rsid w:val="00122FE1"/>
    <w:rsid w:val="0012372E"/>
    <w:rsid w:val="0013072E"/>
    <w:rsid w:val="00131360"/>
    <w:rsid w:val="001320EA"/>
    <w:rsid w:val="00141ED2"/>
    <w:rsid w:val="00142992"/>
    <w:rsid w:val="001464BD"/>
    <w:rsid w:val="00146FE0"/>
    <w:rsid w:val="00154506"/>
    <w:rsid w:val="00160C7B"/>
    <w:rsid w:val="00166C2F"/>
    <w:rsid w:val="001671E9"/>
    <w:rsid w:val="00167432"/>
    <w:rsid w:val="001676B1"/>
    <w:rsid w:val="00176008"/>
    <w:rsid w:val="00181A69"/>
    <w:rsid w:val="00186475"/>
    <w:rsid w:val="00191996"/>
    <w:rsid w:val="001939E1"/>
    <w:rsid w:val="00194097"/>
    <w:rsid w:val="00195382"/>
    <w:rsid w:val="001962D5"/>
    <w:rsid w:val="001A0C41"/>
    <w:rsid w:val="001A45D5"/>
    <w:rsid w:val="001B782B"/>
    <w:rsid w:val="001C2DBE"/>
    <w:rsid w:val="001C3069"/>
    <w:rsid w:val="001C445A"/>
    <w:rsid w:val="001C599B"/>
    <w:rsid w:val="001C69C4"/>
    <w:rsid w:val="001D11E9"/>
    <w:rsid w:val="001D37EF"/>
    <w:rsid w:val="001D3DD3"/>
    <w:rsid w:val="001D6F47"/>
    <w:rsid w:val="001E3590"/>
    <w:rsid w:val="001E37C8"/>
    <w:rsid w:val="001E5480"/>
    <w:rsid w:val="001E7407"/>
    <w:rsid w:val="001E7DE6"/>
    <w:rsid w:val="001E7F6E"/>
    <w:rsid w:val="001F1BE8"/>
    <w:rsid w:val="001F2343"/>
    <w:rsid w:val="001F5D5E"/>
    <w:rsid w:val="001F6219"/>
    <w:rsid w:val="001F745E"/>
    <w:rsid w:val="00200E79"/>
    <w:rsid w:val="00204256"/>
    <w:rsid w:val="002065DA"/>
    <w:rsid w:val="00212DDD"/>
    <w:rsid w:val="00220DC3"/>
    <w:rsid w:val="0023393E"/>
    <w:rsid w:val="0024010F"/>
    <w:rsid w:val="00240749"/>
    <w:rsid w:val="002455DB"/>
    <w:rsid w:val="00246063"/>
    <w:rsid w:val="00246BBA"/>
    <w:rsid w:val="002564A4"/>
    <w:rsid w:val="0025691B"/>
    <w:rsid w:val="00263F21"/>
    <w:rsid w:val="0026453A"/>
    <w:rsid w:val="00264F4B"/>
    <w:rsid w:val="00267D7B"/>
    <w:rsid w:val="0027654F"/>
    <w:rsid w:val="00277EAE"/>
    <w:rsid w:val="002817A0"/>
    <w:rsid w:val="00282A96"/>
    <w:rsid w:val="00283E6D"/>
    <w:rsid w:val="0028531F"/>
    <w:rsid w:val="00286708"/>
    <w:rsid w:val="00286FD7"/>
    <w:rsid w:val="00287E82"/>
    <w:rsid w:val="00293F64"/>
    <w:rsid w:val="00297ECB"/>
    <w:rsid w:val="002A6666"/>
    <w:rsid w:val="002B2466"/>
    <w:rsid w:val="002C28E7"/>
    <w:rsid w:val="002C2A39"/>
    <w:rsid w:val="002C7874"/>
    <w:rsid w:val="002D043A"/>
    <w:rsid w:val="002D1446"/>
    <w:rsid w:val="002D4D6C"/>
    <w:rsid w:val="002D6224"/>
    <w:rsid w:val="002E3464"/>
    <w:rsid w:val="002E3DE4"/>
    <w:rsid w:val="002E4BED"/>
    <w:rsid w:val="002E581F"/>
    <w:rsid w:val="002F1F86"/>
    <w:rsid w:val="002F2E11"/>
    <w:rsid w:val="00300880"/>
    <w:rsid w:val="00301E4D"/>
    <w:rsid w:val="00310DC1"/>
    <w:rsid w:val="00316197"/>
    <w:rsid w:val="003213F0"/>
    <w:rsid w:val="0032144D"/>
    <w:rsid w:val="00322BAC"/>
    <w:rsid w:val="0032351D"/>
    <w:rsid w:val="00324BDF"/>
    <w:rsid w:val="0032591D"/>
    <w:rsid w:val="00327F9C"/>
    <w:rsid w:val="003304A9"/>
    <w:rsid w:val="00330F62"/>
    <w:rsid w:val="00331741"/>
    <w:rsid w:val="00332DB1"/>
    <w:rsid w:val="00340F07"/>
    <w:rsid w:val="00341205"/>
    <w:rsid w:val="003415D3"/>
    <w:rsid w:val="0034382B"/>
    <w:rsid w:val="00346075"/>
    <w:rsid w:val="003466E7"/>
    <w:rsid w:val="00352B0F"/>
    <w:rsid w:val="00354B50"/>
    <w:rsid w:val="00355469"/>
    <w:rsid w:val="0035657C"/>
    <w:rsid w:val="00356B3D"/>
    <w:rsid w:val="00360459"/>
    <w:rsid w:val="00362F55"/>
    <w:rsid w:val="00364EFF"/>
    <w:rsid w:val="003653AF"/>
    <w:rsid w:val="003748CF"/>
    <w:rsid w:val="00374B0A"/>
    <w:rsid w:val="00380DBA"/>
    <w:rsid w:val="0038559A"/>
    <w:rsid w:val="00385624"/>
    <w:rsid w:val="00390606"/>
    <w:rsid w:val="00391181"/>
    <w:rsid w:val="00396CDB"/>
    <w:rsid w:val="003A1F34"/>
    <w:rsid w:val="003A4673"/>
    <w:rsid w:val="003A504B"/>
    <w:rsid w:val="003B4105"/>
    <w:rsid w:val="003B7848"/>
    <w:rsid w:val="003C1F07"/>
    <w:rsid w:val="003D0BFE"/>
    <w:rsid w:val="003D519D"/>
    <w:rsid w:val="003D5337"/>
    <w:rsid w:val="003D5700"/>
    <w:rsid w:val="003D76C8"/>
    <w:rsid w:val="003E5E6D"/>
    <w:rsid w:val="003E6A68"/>
    <w:rsid w:val="003F0C14"/>
    <w:rsid w:val="003F7D5F"/>
    <w:rsid w:val="00404FBC"/>
    <w:rsid w:val="00405450"/>
    <w:rsid w:val="00410A84"/>
    <w:rsid w:val="004116CD"/>
    <w:rsid w:val="00412A44"/>
    <w:rsid w:val="004154EB"/>
    <w:rsid w:val="00417208"/>
    <w:rsid w:val="00417EB9"/>
    <w:rsid w:val="00424CA9"/>
    <w:rsid w:val="00427AFA"/>
    <w:rsid w:val="004316B6"/>
    <w:rsid w:val="00431A1F"/>
    <w:rsid w:val="0043203B"/>
    <w:rsid w:val="00432B12"/>
    <w:rsid w:val="00433BC9"/>
    <w:rsid w:val="004340FD"/>
    <w:rsid w:val="0043551D"/>
    <w:rsid w:val="0043779C"/>
    <w:rsid w:val="00440E78"/>
    <w:rsid w:val="0044291A"/>
    <w:rsid w:val="00442D05"/>
    <w:rsid w:val="004446CE"/>
    <w:rsid w:val="00446812"/>
    <w:rsid w:val="00450642"/>
    <w:rsid w:val="00450D46"/>
    <w:rsid w:val="004511D0"/>
    <w:rsid w:val="00454477"/>
    <w:rsid w:val="00454BEA"/>
    <w:rsid w:val="004550BE"/>
    <w:rsid w:val="00456BAD"/>
    <w:rsid w:val="00463EC0"/>
    <w:rsid w:val="00463EC1"/>
    <w:rsid w:val="00466850"/>
    <w:rsid w:val="004756BC"/>
    <w:rsid w:val="00477FB9"/>
    <w:rsid w:val="00481861"/>
    <w:rsid w:val="0048585C"/>
    <w:rsid w:val="004860AE"/>
    <w:rsid w:val="004876D7"/>
    <w:rsid w:val="00490BA2"/>
    <w:rsid w:val="004947D1"/>
    <w:rsid w:val="00496F97"/>
    <w:rsid w:val="004A1C08"/>
    <w:rsid w:val="004A6E59"/>
    <w:rsid w:val="004A71C0"/>
    <w:rsid w:val="004B38C1"/>
    <w:rsid w:val="004B5435"/>
    <w:rsid w:val="004B625D"/>
    <w:rsid w:val="004B7863"/>
    <w:rsid w:val="004D32D1"/>
    <w:rsid w:val="004D6E7E"/>
    <w:rsid w:val="004E4E0E"/>
    <w:rsid w:val="004E7BEC"/>
    <w:rsid w:val="004F09EC"/>
    <w:rsid w:val="004F27BC"/>
    <w:rsid w:val="004F79F0"/>
    <w:rsid w:val="00502192"/>
    <w:rsid w:val="00512F52"/>
    <w:rsid w:val="00514A17"/>
    <w:rsid w:val="005167B8"/>
    <w:rsid w:val="00516AAE"/>
    <w:rsid w:val="00516B8D"/>
    <w:rsid w:val="00522685"/>
    <w:rsid w:val="005252CE"/>
    <w:rsid w:val="00530962"/>
    <w:rsid w:val="0053267D"/>
    <w:rsid w:val="0053719D"/>
    <w:rsid w:val="00537FBC"/>
    <w:rsid w:val="005401FC"/>
    <w:rsid w:val="00541034"/>
    <w:rsid w:val="00543983"/>
    <w:rsid w:val="00544776"/>
    <w:rsid w:val="00552ABC"/>
    <w:rsid w:val="005538D1"/>
    <w:rsid w:val="00556F48"/>
    <w:rsid w:val="00557CCB"/>
    <w:rsid w:val="00560057"/>
    <w:rsid w:val="00561649"/>
    <w:rsid w:val="005626A1"/>
    <w:rsid w:val="005645BC"/>
    <w:rsid w:val="0056475F"/>
    <w:rsid w:val="00565AE3"/>
    <w:rsid w:val="0057053D"/>
    <w:rsid w:val="00574102"/>
    <w:rsid w:val="00575749"/>
    <w:rsid w:val="005768BA"/>
    <w:rsid w:val="00580B11"/>
    <w:rsid w:val="00581A8E"/>
    <w:rsid w:val="00584811"/>
    <w:rsid w:val="00585F4B"/>
    <w:rsid w:val="00593AA6"/>
    <w:rsid w:val="00594161"/>
    <w:rsid w:val="00594749"/>
    <w:rsid w:val="005959CA"/>
    <w:rsid w:val="00597A88"/>
    <w:rsid w:val="005A0E72"/>
    <w:rsid w:val="005A1084"/>
    <w:rsid w:val="005A2387"/>
    <w:rsid w:val="005A6928"/>
    <w:rsid w:val="005B19EB"/>
    <w:rsid w:val="005B2461"/>
    <w:rsid w:val="005B4067"/>
    <w:rsid w:val="005C2D13"/>
    <w:rsid w:val="005C3306"/>
    <w:rsid w:val="005C3F41"/>
    <w:rsid w:val="005D0FBF"/>
    <w:rsid w:val="005D3471"/>
    <w:rsid w:val="005D4663"/>
    <w:rsid w:val="005D4B23"/>
    <w:rsid w:val="005D7042"/>
    <w:rsid w:val="005D74DB"/>
    <w:rsid w:val="005E26A5"/>
    <w:rsid w:val="005E28E7"/>
    <w:rsid w:val="005E5DE1"/>
    <w:rsid w:val="005E762F"/>
    <w:rsid w:val="005E7A8B"/>
    <w:rsid w:val="005F0A35"/>
    <w:rsid w:val="005F1170"/>
    <w:rsid w:val="005F22A2"/>
    <w:rsid w:val="005F3FAC"/>
    <w:rsid w:val="00600219"/>
    <w:rsid w:val="00601309"/>
    <w:rsid w:val="00602388"/>
    <w:rsid w:val="006026B2"/>
    <w:rsid w:val="00603216"/>
    <w:rsid w:val="00605374"/>
    <w:rsid w:val="006168ED"/>
    <w:rsid w:val="00617BF6"/>
    <w:rsid w:val="00622C2C"/>
    <w:rsid w:val="00624172"/>
    <w:rsid w:val="00624F1D"/>
    <w:rsid w:val="00635D9E"/>
    <w:rsid w:val="006362B0"/>
    <w:rsid w:val="00637D24"/>
    <w:rsid w:val="00642C54"/>
    <w:rsid w:val="006441AE"/>
    <w:rsid w:val="006444BE"/>
    <w:rsid w:val="006456CC"/>
    <w:rsid w:val="00646162"/>
    <w:rsid w:val="0064694E"/>
    <w:rsid w:val="00653724"/>
    <w:rsid w:val="0065698B"/>
    <w:rsid w:val="006652FF"/>
    <w:rsid w:val="00667680"/>
    <w:rsid w:val="00676407"/>
    <w:rsid w:val="00677ADE"/>
    <w:rsid w:val="00677CC2"/>
    <w:rsid w:val="00677F47"/>
    <w:rsid w:val="00683AA7"/>
    <w:rsid w:val="006905DE"/>
    <w:rsid w:val="0069207B"/>
    <w:rsid w:val="0069210F"/>
    <w:rsid w:val="00696CD8"/>
    <w:rsid w:val="00697A35"/>
    <w:rsid w:val="006A2216"/>
    <w:rsid w:val="006A2F9F"/>
    <w:rsid w:val="006B144E"/>
    <w:rsid w:val="006B6E88"/>
    <w:rsid w:val="006C1337"/>
    <w:rsid w:val="006C2748"/>
    <w:rsid w:val="006C375B"/>
    <w:rsid w:val="006C41FA"/>
    <w:rsid w:val="006C7F8C"/>
    <w:rsid w:val="006D7172"/>
    <w:rsid w:val="006E1FCA"/>
    <w:rsid w:val="006E39B6"/>
    <w:rsid w:val="006E42BA"/>
    <w:rsid w:val="006E4492"/>
    <w:rsid w:val="006F174D"/>
    <w:rsid w:val="006F318F"/>
    <w:rsid w:val="006F6D10"/>
    <w:rsid w:val="00700B2C"/>
    <w:rsid w:val="00703ACC"/>
    <w:rsid w:val="007075E3"/>
    <w:rsid w:val="00713084"/>
    <w:rsid w:val="00715058"/>
    <w:rsid w:val="00715914"/>
    <w:rsid w:val="00724D48"/>
    <w:rsid w:val="00725880"/>
    <w:rsid w:val="00731E00"/>
    <w:rsid w:val="007322D5"/>
    <w:rsid w:val="00737941"/>
    <w:rsid w:val="007439B7"/>
    <w:rsid w:val="007440B7"/>
    <w:rsid w:val="00746C1A"/>
    <w:rsid w:val="007503EB"/>
    <w:rsid w:val="00750693"/>
    <w:rsid w:val="00751491"/>
    <w:rsid w:val="00752754"/>
    <w:rsid w:val="007542AC"/>
    <w:rsid w:val="00755ABB"/>
    <w:rsid w:val="00760091"/>
    <w:rsid w:val="007638BB"/>
    <w:rsid w:val="007672AF"/>
    <w:rsid w:val="0076749E"/>
    <w:rsid w:val="0077027D"/>
    <w:rsid w:val="007715C9"/>
    <w:rsid w:val="007717B0"/>
    <w:rsid w:val="00771F08"/>
    <w:rsid w:val="00773891"/>
    <w:rsid w:val="00774EDD"/>
    <w:rsid w:val="007757EC"/>
    <w:rsid w:val="0077648A"/>
    <w:rsid w:val="00780D7E"/>
    <w:rsid w:val="007826FD"/>
    <w:rsid w:val="0078501B"/>
    <w:rsid w:val="00786D09"/>
    <w:rsid w:val="007924FC"/>
    <w:rsid w:val="00792709"/>
    <w:rsid w:val="00797CD2"/>
    <w:rsid w:val="007A103C"/>
    <w:rsid w:val="007A6ADE"/>
    <w:rsid w:val="007B2803"/>
    <w:rsid w:val="007B49E5"/>
    <w:rsid w:val="007B75F4"/>
    <w:rsid w:val="007C088B"/>
    <w:rsid w:val="007C4A88"/>
    <w:rsid w:val="007D465E"/>
    <w:rsid w:val="007D5F10"/>
    <w:rsid w:val="007F18A1"/>
    <w:rsid w:val="007F2247"/>
    <w:rsid w:val="00800FB0"/>
    <w:rsid w:val="00805C45"/>
    <w:rsid w:val="00810A4A"/>
    <w:rsid w:val="008127FD"/>
    <w:rsid w:val="00822068"/>
    <w:rsid w:val="0082451F"/>
    <w:rsid w:val="00831D11"/>
    <w:rsid w:val="00840A8B"/>
    <w:rsid w:val="008422C3"/>
    <w:rsid w:val="0084395C"/>
    <w:rsid w:val="0084503D"/>
    <w:rsid w:val="0085473A"/>
    <w:rsid w:val="00856A31"/>
    <w:rsid w:val="00862FFB"/>
    <w:rsid w:val="008643FB"/>
    <w:rsid w:val="00864754"/>
    <w:rsid w:val="00865AD6"/>
    <w:rsid w:val="00874A77"/>
    <w:rsid w:val="008754D0"/>
    <w:rsid w:val="00881B8F"/>
    <w:rsid w:val="0089107B"/>
    <w:rsid w:val="00892DD3"/>
    <w:rsid w:val="00896574"/>
    <w:rsid w:val="008A27FC"/>
    <w:rsid w:val="008A510C"/>
    <w:rsid w:val="008A7457"/>
    <w:rsid w:val="008B3AA7"/>
    <w:rsid w:val="008C16DC"/>
    <w:rsid w:val="008C6395"/>
    <w:rsid w:val="008D01AC"/>
    <w:rsid w:val="008D0EE0"/>
    <w:rsid w:val="008D165D"/>
    <w:rsid w:val="008D2DF7"/>
    <w:rsid w:val="008D4339"/>
    <w:rsid w:val="008E4D18"/>
    <w:rsid w:val="008F54E7"/>
    <w:rsid w:val="008F663D"/>
    <w:rsid w:val="008F7BC9"/>
    <w:rsid w:val="00901A0D"/>
    <w:rsid w:val="00903422"/>
    <w:rsid w:val="00904A28"/>
    <w:rsid w:val="00905AAE"/>
    <w:rsid w:val="00913EEB"/>
    <w:rsid w:val="00920F4E"/>
    <w:rsid w:val="009213B7"/>
    <w:rsid w:val="00924163"/>
    <w:rsid w:val="009265BF"/>
    <w:rsid w:val="00926B0A"/>
    <w:rsid w:val="00932377"/>
    <w:rsid w:val="00934929"/>
    <w:rsid w:val="00936732"/>
    <w:rsid w:val="00937050"/>
    <w:rsid w:val="00940885"/>
    <w:rsid w:val="00946545"/>
    <w:rsid w:val="00947D5A"/>
    <w:rsid w:val="009532A5"/>
    <w:rsid w:val="0096008D"/>
    <w:rsid w:val="009619A2"/>
    <w:rsid w:val="00962EB3"/>
    <w:rsid w:val="00965898"/>
    <w:rsid w:val="00967145"/>
    <w:rsid w:val="0097702E"/>
    <w:rsid w:val="009776BC"/>
    <w:rsid w:val="00977C0A"/>
    <w:rsid w:val="009806ED"/>
    <w:rsid w:val="009810C1"/>
    <w:rsid w:val="009833E5"/>
    <w:rsid w:val="009851AC"/>
    <w:rsid w:val="009868E9"/>
    <w:rsid w:val="00987B80"/>
    <w:rsid w:val="00990344"/>
    <w:rsid w:val="00990CE2"/>
    <w:rsid w:val="00990ED3"/>
    <w:rsid w:val="009A4068"/>
    <w:rsid w:val="009B39BD"/>
    <w:rsid w:val="009B4CE3"/>
    <w:rsid w:val="009B5C60"/>
    <w:rsid w:val="009C6470"/>
    <w:rsid w:val="009D006B"/>
    <w:rsid w:val="009D0FCE"/>
    <w:rsid w:val="009D56B6"/>
    <w:rsid w:val="009E2490"/>
    <w:rsid w:val="009E5A78"/>
    <w:rsid w:val="009E6D1B"/>
    <w:rsid w:val="009F374D"/>
    <w:rsid w:val="00A00956"/>
    <w:rsid w:val="00A03A58"/>
    <w:rsid w:val="00A03DF4"/>
    <w:rsid w:val="00A03F68"/>
    <w:rsid w:val="00A047F5"/>
    <w:rsid w:val="00A06A64"/>
    <w:rsid w:val="00A11788"/>
    <w:rsid w:val="00A15C98"/>
    <w:rsid w:val="00A22C98"/>
    <w:rsid w:val="00A231E2"/>
    <w:rsid w:val="00A23207"/>
    <w:rsid w:val="00A37435"/>
    <w:rsid w:val="00A4214C"/>
    <w:rsid w:val="00A446A1"/>
    <w:rsid w:val="00A4516F"/>
    <w:rsid w:val="00A53DA1"/>
    <w:rsid w:val="00A64912"/>
    <w:rsid w:val="00A6567B"/>
    <w:rsid w:val="00A65A68"/>
    <w:rsid w:val="00A6752F"/>
    <w:rsid w:val="00A70A74"/>
    <w:rsid w:val="00A77105"/>
    <w:rsid w:val="00A81C46"/>
    <w:rsid w:val="00A86011"/>
    <w:rsid w:val="00A87D56"/>
    <w:rsid w:val="00A91844"/>
    <w:rsid w:val="00A930F1"/>
    <w:rsid w:val="00AA6717"/>
    <w:rsid w:val="00AB6CFE"/>
    <w:rsid w:val="00AC03F7"/>
    <w:rsid w:val="00AC0CD1"/>
    <w:rsid w:val="00AC4BB2"/>
    <w:rsid w:val="00AC719E"/>
    <w:rsid w:val="00AC78EE"/>
    <w:rsid w:val="00AD5641"/>
    <w:rsid w:val="00AD5EB7"/>
    <w:rsid w:val="00AE12AC"/>
    <w:rsid w:val="00AE27B1"/>
    <w:rsid w:val="00AE2D05"/>
    <w:rsid w:val="00AE2E5E"/>
    <w:rsid w:val="00AE5CA2"/>
    <w:rsid w:val="00AF06CF"/>
    <w:rsid w:val="00B032E5"/>
    <w:rsid w:val="00B10504"/>
    <w:rsid w:val="00B20224"/>
    <w:rsid w:val="00B20B15"/>
    <w:rsid w:val="00B2587F"/>
    <w:rsid w:val="00B268AF"/>
    <w:rsid w:val="00B30FCF"/>
    <w:rsid w:val="00B33B3C"/>
    <w:rsid w:val="00B3666A"/>
    <w:rsid w:val="00B453D8"/>
    <w:rsid w:val="00B475AE"/>
    <w:rsid w:val="00B50C5C"/>
    <w:rsid w:val="00B54EFB"/>
    <w:rsid w:val="00B55181"/>
    <w:rsid w:val="00B561B7"/>
    <w:rsid w:val="00B56F9C"/>
    <w:rsid w:val="00B6359C"/>
    <w:rsid w:val="00B63834"/>
    <w:rsid w:val="00B646E3"/>
    <w:rsid w:val="00B66050"/>
    <w:rsid w:val="00B672D2"/>
    <w:rsid w:val="00B800D9"/>
    <w:rsid w:val="00B80199"/>
    <w:rsid w:val="00B81A25"/>
    <w:rsid w:val="00B84D8B"/>
    <w:rsid w:val="00B86188"/>
    <w:rsid w:val="00B91C19"/>
    <w:rsid w:val="00B92277"/>
    <w:rsid w:val="00B93F3D"/>
    <w:rsid w:val="00B96759"/>
    <w:rsid w:val="00B96EDF"/>
    <w:rsid w:val="00B9706F"/>
    <w:rsid w:val="00BA06E4"/>
    <w:rsid w:val="00BA2134"/>
    <w:rsid w:val="00BA220B"/>
    <w:rsid w:val="00BA2D5F"/>
    <w:rsid w:val="00BA32DA"/>
    <w:rsid w:val="00BA335F"/>
    <w:rsid w:val="00BA4A9A"/>
    <w:rsid w:val="00BC4774"/>
    <w:rsid w:val="00BD14CE"/>
    <w:rsid w:val="00BD1D1D"/>
    <w:rsid w:val="00BD6575"/>
    <w:rsid w:val="00BE2E4F"/>
    <w:rsid w:val="00BE67F6"/>
    <w:rsid w:val="00BE719A"/>
    <w:rsid w:val="00BE720A"/>
    <w:rsid w:val="00BF0A89"/>
    <w:rsid w:val="00BF6BCB"/>
    <w:rsid w:val="00C050B7"/>
    <w:rsid w:val="00C067C5"/>
    <w:rsid w:val="00C122FF"/>
    <w:rsid w:val="00C1499A"/>
    <w:rsid w:val="00C157A8"/>
    <w:rsid w:val="00C16873"/>
    <w:rsid w:val="00C215D8"/>
    <w:rsid w:val="00C25299"/>
    <w:rsid w:val="00C27489"/>
    <w:rsid w:val="00C31AD2"/>
    <w:rsid w:val="00C33519"/>
    <w:rsid w:val="00C360E2"/>
    <w:rsid w:val="00C42BF8"/>
    <w:rsid w:val="00C4332F"/>
    <w:rsid w:val="00C464DB"/>
    <w:rsid w:val="00C50043"/>
    <w:rsid w:val="00C54E8C"/>
    <w:rsid w:val="00C5509A"/>
    <w:rsid w:val="00C6050C"/>
    <w:rsid w:val="00C6696B"/>
    <w:rsid w:val="00C66FD5"/>
    <w:rsid w:val="00C71EC9"/>
    <w:rsid w:val="00C74FD3"/>
    <w:rsid w:val="00C7573B"/>
    <w:rsid w:val="00C90886"/>
    <w:rsid w:val="00C91AEB"/>
    <w:rsid w:val="00CA0E60"/>
    <w:rsid w:val="00CA34B6"/>
    <w:rsid w:val="00CA34EB"/>
    <w:rsid w:val="00CA6015"/>
    <w:rsid w:val="00CB1B77"/>
    <w:rsid w:val="00CB366B"/>
    <w:rsid w:val="00CC2347"/>
    <w:rsid w:val="00CD274E"/>
    <w:rsid w:val="00CD2DFD"/>
    <w:rsid w:val="00CD5194"/>
    <w:rsid w:val="00CD6667"/>
    <w:rsid w:val="00CD7BE4"/>
    <w:rsid w:val="00CE72CB"/>
    <w:rsid w:val="00CF0BB2"/>
    <w:rsid w:val="00CF196A"/>
    <w:rsid w:val="00CF3EE8"/>
    <w:rsid w:val="00CF607B"/>
    <w:rsid w:val="00CF7AAA"/>
    <w:rsid w:val="00CF7EE8"/>
    <w:rsid w:val="00D11DC2"/>
    <w:rsid w:val="00D13141"/>
    <w:rsid w:val="00D13441"/>
    <w:rsid w:val="00D227C1"/>
    <w:rsid w:val="00D22D50"/>
    <w:rsid w:val="00D256F3"/>
    <w:rsid w:val="00D25C2F"/>
    <w:rsid w:val="00D358C5"/>
    <w:rsid w:val="00D443D8"/>
    <w:rsid w:val="00D45B6B"/>
    <w:rsid w:val="00D473B5"/>
    <w:rsid w:val="00D50FCC"/>
    <w:rsid w:val="00D51E60"/>
    <w:rsid w:val="00D5457A"/>
    <w:rsid w:val="00D605AA"/>
    <w:rsid w:val="00D64A42"/>
    <w:rsid w:val="00D66C45"/>
    <w:rsid w:val="00D6761D"/>
    <w:rsid w:val="00D705D3"/>
    <w:rsid w:val="00D70D30"/>
    <w:rsid w:val="00D70DFB"/>
    <w:rsid w:val="00D73803"/>
    <w:rsid w:val="00D74249"/>
    <w:rsid w:val="00D74A77"/>
    <w:rsid w:val="00D766DF"/>
    <w:rsid w:val="00D76EEE"/>
    <w:rsid w:val="00D8280A"/>
    <w:rsid w:val="00D87B1B"/>
    <w:rsid w:val="00D95FC3"/>
    <w:rsid w:val="00D9666E"/>
    <w:rsid w:val="00DA1735"/>
    <w:rsid w:val="00DA383D"/>
    <w:rsid w:val="00DA48D4"/>
    <w:rsid w:val="00DA6148"/>
    <w:rsid w:val="00DA6185"/>
    <w:rsid w:val="00DA6AA7"/>
    <w:rsid w:val="00DB03A2"/>
    <w:rsid w:val="00DB79BA"/>
    <w:rsid w:val="00DC0F56"/>
    <w:rsid w:val="00DC4F88"/>
    <w:rsid w:val="00DD4B32"/>
    <w:rsid w:val="00DD51EA"/>
    <w:rsid w:val="00DD7BD7"/>
    <w:rsid w:val="00DE4F60"/>
    <w:rsid w:val="00DF2145"/>
    <w:rsid w:val="00DF7047"/>
    <w:rsid w:val="00E05347"/>
    <w:rsid w:val="00E05704"/>
    <w:rsid w:val="00E108BE"/>
    <w:rsid w:val="00E10B84"/>
    <w:rsid w:val="00E118B9"/>
    <w:rsid w:val="00E159D1"/>
    <w:rsid w:val="00E16F63"/>
    <w:rsid w:val="00E17108"/>
    <w:rsid w:val="00E25B65"/>
    <w:rsid w:val="00E25BB7"/>
    <w:rsid w:val="00E3078A"/>
    <w:rsid w:val="00E30FCA"/>
    <w:rsid w:val="00E338EF"/>
    <w:rsid w:val="00E40F28"/>
    <w:rsid w:val="00E44006"/>
    <w:rsid w:val="00E4537B"/>
    <w:rsid w:val="00E56B9B"/>
    <w:rsid w:val="00E660D2"/>
    <w:rsid w:val="00E675A8"/>
    <w:rsid w:val="00E71A45"/>
    <w:rsid w:val="00E74DC7"/>
    <w:rsid w:val="00E75AEA"/>
    <w:rsid w:val="00E76554"/>
    <w:rsid w:val="00E82263"/>
    <w:rsid w:val="00E86463"/>
    <w:rsid w:val="00E86F22"/>
    <w:rsid w:val="00E87BDF"/>
    <w:rsid w:val="00E92B22"/>
    <w:rsid w:val="00E93600"/>
    <w:rsid w:val="00E94D5E"/>
    <w:rsid w:val="00EA7100"/>
    <w:rsid w:val="00EB1780"/>
    <w:rsid w:val="00EB1FAF"/>
    <w:rsid w:val="00EB464D"/>
    <w:rsid w:val="00EB5A88"/>
    <w:rsid w:val="00EB7AC1"/>
    <w:rsid w:val="00EB7EB8"/>
    <w:rsid w:val="00EC3721"/>
    <w:rsid w:val="00EC463D"/>
    <w:rsid w:val="00EC4ECE"/>
    <w:rsid w:val="00ED0CFA"/>
    <w:rsid w:val="00ED1783"/>
    <w:rsid w:val="00ED26E4"/>
    <w:rsid w:val="00ED7624"/>
    <w:rsid w:val="00EE45F6"/>
    <w:rsid w:val="00EF0D51"/>
    <w:rsid w:val="00EF2677"/>
    <w:rsid w:val="00EF2951"/>
    <w:rsid w:val="00EF2E3A"/>
    <w:rsid w:val="00F0228A"/>
    <w:rsid w:val="00F0570A"/>
    <w:rsid w:val="00F072A7"/>
    <w:rsid w:val="00F078DC"/>
    <w:rsid w:val="00F12083"/>
    <w:rsid w:val="00F149EE"/>
    <w:rsid w:val="00F17008"/>
    <w:rsid w:val="00F20B6D"/>
    <w:rsid w:val="00F20D16"/>
    <w:rsid w:val="00F24152"/>
    <w:rsid w:val="00F26A2B"/>
    <w:rsid w:val="00F26FFC"/>
    <w:rsid w:val="00F2785B"/>
    <w:rsid w:val="00F3036A"/>
    <w:rsid w:val="00F322BD"/>
    <w:rsid w:val="00F3299C"/>
    <w:rsid w:val="00F34B21"/>
    <w:rsid w:val="00F4340E"/>
    <w:rsid w:val="00F52330"/>
    <w:rsid w:val="00F548A7"/>
    <w:rsid w:val="00F61F4C"/>
    <w:rsid w:val="00F64C56"/>
    <w:rsid w:val="00F71650"/>
    <w:rsid w:val="00F7279E"/>
    <w:rsid w:val="00F73BD6"/>
    <w:rsid w:val="00F80EC0"/>
    <w:rsid w:val="00F80F97"/>
    <w:rsid w:val="00F81C6C"/>
    <w:rsid w:val="00F83989"/>
    <w:rsid w:val="00F91403"/>
    <w:rsid w:val="00F915A4"/>
    <w:rsid w:val="00F944BD"/>
    <w:rsid w:val="00F95A47"/>
    <w:rsid w:val="00F95ED2"/>
    <w:rsid w:val="00F96F36"/>
    <w:rsid w:val="00FA2C17"/>
    <w:rsid w:val="00FA4828"/>
    <w:rsid w:val="00FA607F"/>
    <w:rsid w:val="00FA6197"/>
    <w:rsid w:val="00FA6217"/>
    <w:rsid w:val="00FA7AE1"/>
    <w:rsid w:val="00FB1C04"/>
    <w:rsid w:val="00FB40BA"/>
    <w:rsid w:val="00FC6E0E"/>
    <w:rsid w:val="00FD4F09"/>
    <w:rsid w:val="00FD53C3"/>
    <w:rsid w:val="00FD605D"/>
    <w:rsid w:val="00FE378B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3C906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305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5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5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5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5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5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5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5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5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5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0589"/>
  </w:style>
  <w:style w:type="paragraph" w:customStyle="1" w:styleId="OPCParaBase">
    <w:name w:val="OPCParaBase"/>
    <w:qFormat/>
    <w:rsid w:val="000305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05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05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05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05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05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05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05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05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05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05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0589"/>
  </w:style>
  <w:style w:type="paragraph" w:customStyle="1" w:styleId="Blocks">
    <w:name w:val="Blocks"/>
    <w:aliases w:val="bb"/>
    <w:basedOn w:val="OPCParaBase"/>
    <w:qFormat/>
    <w:rsid w:val="000305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0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05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0589"/>
    <w:rPr>
      <w:i/>
    </w:rPr>
  </w:style>
  <w:style w:type="paragraph" w:customStyle="1" w:styleId="BoxList">
    <w:name w:val="BoxList"/>
    <w:aliases w:val="bl"/>
    <w:basedOn w:val="BoxText"/>
    <w:qFormat/>
    <w:rsid w:val="000305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05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05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0589"/>
    <w:pPr>
      <w:ind w:left="1985" w:hanging="851"/>
    </w:pPr>
  </w:style>
  <w:style w:type="character" w:customStyle="1" w:styleId="CharAmPartNo">
    <w:name w:val="CharAmPartNo"/>
    <w:basedOn w:val="OPCCharBase"/>
    <w:qFormat/>
    <w:rsid w:val="00030589"/>
  </w:style>
  <w:style w:type="character" w:customStyle="1" w:styleId="CharAmPartText">
    <w:name w:val="CharAmPartText"/>
    <w:basedOn w:val="OPCCharBase"/>
    <w:qFormat/>
    <w:rsid w:val="00030589"/>
  </w:style>
  <w:style w:type="character" w:customStyle="1" w:styleId="CharAmSchNo">
    <w:name w:val="CharAmSchNo"/>
    <w:basedOn w:val="OPCCharBase"/>
    <w:qFormat/>
    <w:rsid w:val="00030589"/>
  </w:style>
  <w:style w:type="character" w:customStyle="1" w:styleId="CharAmSchText">
    <w:name w:val="CharAmSchText"/>
    <w:basedOn w:val="OPCCharBase"/>
    <w:qFormat/>
    <w:rsid w:val="00030589"/>
  </w:style>
  <w:style w:type="character" w:customStyle="1" w:styleId="CharBoldItalic">
    <w:name w:val="CharBoldItalic"/>
    <w:basedOn w:val="OPCCharBase"/>
    <w:uiPriority w:val="1"/>
    <w:qFormat/>
    <w:rsid w:val="000305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0589"/>
  </w:style>
  <w:style w:type="character" w:customStyle="1" w:styleId="CharChapText">
    <w:name w:val="CharChapText"/>
    <w:basedOn w:val="OPCCharBase"/>
    <w:uiPriority w:val="1"/>
    <w:qFormat/>
    <w:rsid w:val="00030589"/>
  </w:style>
  <w:style w:type="character" w:customStyle="1" w:styleId="CharDivNo">
    <w:name w:val="CharDivNo"/>
    <w:basedOn w:val="OPCCharBase"/>
    <w:uiPriority w:val="1"/>
    <w:qFormat/>
    <w:rsid w:val="00030589"/>
  </w:style>
  <w:style w:type="character" w:customStyle="1" w:styleId="CharDivText">
    <w:name w:val="CharDivText"/>
    <w:basedOn w:val="OPCCharBase"/>
    <w:uiPriority w:val="1"/>
    <w:qFormat/>
    <w:rsid w:val="00030589"/>
  </w:style>
  <w:style w:type="character" w:customStyle="1" w:styleId="CharItalic">
    <w:name w:val="CharItalic"/>
    <w:basedOn w:val="OPCCharBase"/>
    <w:uiPriority w:val="1"/>
    <w:qFormat/>
    <w:rsid w:val="00030589"/>
    <w:rPr>
      <w:i/>
    </w:rPr>
  </w:style>
  <w:style w:type="character" w:customStyle="1" w:styleId="CharPartNo">
    <w:name w:val="CharPartNo"/>
    <w:basedOn w:val="OPCCharBase"/>
    <w:uiPriority w:val="1"/>
    <w:qFormat/>
    <w:rsid w:val="00030589"/>
  </w:style>
  <w:style w:type="character" w:customStyle="1" w:styleId="CharPartText">
    <w:name w:val="CharPartText"/>
    <w:basedOn w:val="OPCCharBase"/>
    <w:uiPriority w:val="1"/>
    <w:qFormat/>
    <w:rsid w:val="00030589"/>
  </w:style>
  <w:style w:type="character" w:customStyle="1" w:styleId="CharSectno">
    <w:name w:val="CharSectno"/>
    <w:basedOn w:val="OPCCharBase"/>
    <w:qFormat/>
    <w:rsid w:val="00030589"/>
  </w:style>
  <w:style w:type="character" w:customStyle="1" w:styleId="CharSubdNo">
    <w:name w:val="CharSubdNo"/>
    <w:basedOn w:val="OPCCharBase"/>
    <w:uiPriority w:val="1"/>
    <w:qFormat/>
    <w:rsid w:val="00030589"/>
  </w:style>
  <w:style w:type="character" w:customStyle="1" w:styleId="CharSubdText">
    <w:name w:val="CharSubdText"/>
    <w:basedOn w:val="OPCCharBase"/>
    <w:uiPriority w:val="1"/>
    <w:qFormat/>
    <w:rsid w:val="00030589"/>
  </w:style>
  <w:style w:type="paragraph" w:customStyle="1" w:styleId="CTA--">
    <w:name w:val="CTA --"/>
    <w:basedOn w:val="OPCParaBase"/>
    <w:next w:val="Normal"/>
    <w:rsid w:val="000305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05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05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05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05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05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05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05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05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05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05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05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05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05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05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0589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0305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05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05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05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05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05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05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05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05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05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05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05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05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05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05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305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05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05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05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05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05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05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05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05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05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05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05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05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05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05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05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0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05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05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05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058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3058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058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058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058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058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058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058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058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05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05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05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05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05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05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05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05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0589"/>
    <w:rPr>
      <w:sz w:val="16"/>
    </w:rPr>
  </w:style>
  <w:style w:type="table" w:customStyle="1" w:styleId="CFlag">
    <w:name w:val="CFlag"/>
    <w:basedOn w:val="TableNormal"/>
    <w:uiPriority w:val="99"/>
    <w:rsid w:val="00030589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0305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05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Text">
    <w:name w:val="ENotesText"/>
    <w:aliases w:val="Ent"/>
    <w:basedOn w:val="OPCParaBase"/>
    <w:next w:val="Normal"/>
    <w:rsid w:val="0003058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0305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305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0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0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0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3058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3058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305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05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030589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03058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305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0305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058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0305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05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030589"/>
  </w:style>
  <w:style w:type="character" w:customStyle="1" w:styleId="CharSubPartTextCASA">
    <w:name w:val="CharSubPartText(CASA)"/>
    <w:basedOn w:val="OPCCharBase"/>
    <w:uiPriority w:val="1"/>
    <w:rsid w:val="00030589"/>
  </w:style>
  <w:style w:type="paragraph" w:customStyle="1" w:styleId="SubPartCASA">
    <w:name w:val="SubPart(CASA)"/>
    <w:aliases w:val="csp"/>
    <w:basedOn w:val="OPCParaBase"/>
    <w:next w:val="ActHead3"/>
    <w:rsid w:val="000305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0305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05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05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058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3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305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058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0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0589"/>
    <w:rPr>
      <w:sz w:val="22"/>
    </w:rPr>
  </w:style>
  <w:style w:type="paragraph" w:customStyle="1" w:styleId="SOTextNote">
    <w:name w:val="SO TextNote"/>
    <w:aliases w:val="sont"/>
    <w:basedOn w:val="SOText"/>
    <w:qFormat/>
    <w:rsid w:val="000305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05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0589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05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05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05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0589"/>
    <w:rPr>
      <w:sz w:val="18"/>
    </w:rPr>
  </w:style>
  <w:style w:type="paragraph" w:customStyle="1" w:styleId="FileName">
    <w:name w:val="FileName"/>
    <w:basedOn w:val="Normal"/>
    <w:rsid w:val="0003058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05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05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05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0589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030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0589"/>
    <w:rPr>
      <w:sz w:val="22"/>
    </w:rPr>
  </w:style>
  <w:style w:type="paragraph" w:customStyle="1" w:styleId="ETAsubitem">
    <w:name w:val="ETA(subitem)"/>
    <w:basedOn w:val="OPCParaBase"/>
    <w:rsid w:val="00030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05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0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0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0305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0589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030589"/>
  </w:style>
  <w:style w:type="character" w:customStyle="1" w:styleId="paragraphChar">
    <w:name w:val="paragraph Char"/>
    <w:aliases w:val="a Char"/>
    <w:basedOn w:val="DefaultParagraphFont"/>
    <w:link w:val="paragraph"/>
    <w:rsid w:val="000A5CCF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3351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335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5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5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51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51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5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5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5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5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81"/>
    <w:rPr>
      <w:rFonts w:ascii="Segoe UI" w:hAnsi="Segoe UI" w:cs="Segoe UI"/>
      <w:sz w:val="18"/>
      <w:szCs w:val="18"/>
    </w:rPr>
  </w:style>
  <w:style w:type="paragraph" w:customStyle="1" w:styleId="ShortTP1">
    <w:name w:val="ShortTP1"/>
    <w:basedOn w:val="ShortT"/>
    <w:link w:val="ShortTP1Char"/>
    <w:rsid w:val="009833E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833E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833E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833E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833E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537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537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5377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CDC2-5C7F-450D-907B-8646F5E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921</Words>
  <Characters>5255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2013-08-08T00:52:00Z</cp:lastPrinted>
  <dcterms:created xsi:type="dcterms:W3CDTF">2023-10-04T00:04:00Z</dcterms:created>
  <dcterms:modified xsi:type="dcterms:W3CDTF">2023-10-04T00:04:00Z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Inspector-General of Aged Care (Consequential and Transitional Provisions) Act 2023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AMD</vt:lpwstr>
  </property>
  <property fmtid="{D5CDD505-2E9C-101B-9397-08002B2CF9AE}" pid="6" name="ActNo">
    <vt:lpwstr>No. 56, 2023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OPC8252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2023-08-08T03:33:05Z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cfdcf98f-88f2-4dbe-b4a0-bd2a08c763f2</vt:lpwstr>
  </property>
  <property fmtid="{D5CDD505-2E9C-101B-9397-08002B2CF9AE}" pid="16" name="MSIP_Label_234ea0fa-41da-4eb0-b95e-07c328641c0b_ContentBits">
    <vt:lpwstr>0</vt:lpwstr>
  </property>
</Properties>
</file>