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1688294"/>
    <w:p w14:paraId="3A477433" w14:textId="0A3690F5" w:rsidR="000A50D7" w:rsidRDefault="000A50D7" w:rsidP="000A50D7">
      <w:r>
        <w:object w:dxaOrig="2146" w:dyaOrig="1561" w14:anchorId="42D4B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56888381" r:id="rId9"/>
        </w:object>
      </w:r>
    </w:p>
    <w:p w14:paraId="7342FAFA" w14:textId="77777777" w:rsidR="000A50D7" w:rsidRDefault="000A50D7" w:rsidP="000A50D7"/>
    <w:p w14:paraId="7B9E3168" w14:textId="77777777" w:rsidR="000A50D7" w:rsidRDefault="000A50D7" w:rsidP="000A50D7"/>
    <w:p w14:paraId="3C530426" w14:textId="77777777" w:rsidR="000A50D7" w:rsidRDefault="000A50D7" w:rsidP="000A50D7"/>
    <w:p w14:paraId="0F4C8C65" w14:textId="77777777" w:rsidR="000A50D7" w:rsidRDefault="000A50D7" w:rsidP="000A50D7"/>
    <w:p w14:paraId="5631923D" w14:textId="77777777" w:rsidR="000A50D7" w:rsidRDefault="000A50D7" w:rsidP="000A50D7"/>
    <w:p w14:paraId="4F6DCA48" w14:textId="77777777" w:rsidR="000A50D7" w:rsidRDefault="000A50D7" w:rsidP="000A50D7"/>
    <w:p w14:paraId="718E9700" w14:textId="428938BF" w:rsidR="0048364F" w:rsidRPr="004042EC" w:rsidRDefault="000A50D7" w:rsidP="0048364F">
      <w:pPr>
        <w:pStyle w:val="ShortT"/>
      </w:pPr>
      <w:r>
        <w:t>Parliamentary Workplace Support Service (Consequential Amendments and Transitional Provisions) Act 2023</w:t>
      </w:r>
    </w:p>
    <w:bookmarkEnd w:id="0"/>
    <w:p w14:paraId="0643CE52" w14:textId="77777777" w:rsidR="0048364F" w:rsidRPr="004042EC" w:rsidRDefault="0048364F" w:rsidP="0048364F"/>
    <w:p w14:paraId="724ED8CF" w14:textId="7FEAF4EE" w:rsidR="0048364F" w:rsidRPr="004042EC" w:rsidRDefault="00C164CA" w:rsidP="000A50D7">
      <w:pPr>
        <w:pStyle w:val="Actno"/>
        <w:spacing w:before="400"/>
      </w:pPr>
      <w:r w:rsidRPr="004042EC">
        <w:t>No.</w:t>
      </w:r>
      <w:r w:rsidR="006A119E">
        <w:t xml:space="preserve"> 71</w:t>
      </w:r>
      <w:r w:rsidRPr="004042EC">
        <w:t xml:space="preserve">, </w:t>
      </w:r>
      <w:r w:rsidR="00005D25" w:rsidRPr="004042EC">
        <w:t>2023</w:t>
      </w:r>
    </w:p>
    <w:p w14:paraId="55E05FCE" w14:textId="77777777" w:rsidR="0048364F" w:rsidRPr="004042EC" w:rsidRDefault="0048364F" w:rsidP="0048364F"/>
    <w:p w14:paraId="25BD30DA" w14:textId="77777777" w:rsidR="004F71E9" w:rsidRDefault="004F71E9" w:rsidP="004F71E9">
      <w:pPr>
        <w:rPr>
          <w:lang w:eastAsia="en-AU"/>
        </w:rPr>
      </w:pPr>
    </w:p>
    <w:p w14:paraId="6BDFAAEE" w14:textId="454290E3" w:rsidR="0048364F" w:rsidRPr="004042EC" w:rsidRDefault="0048364F" w:rsidP="0048364F"/>
    <w:p w14:paraId="7EAD6684" w14:textId="77777777" w:rsidR="0048364F" w:rsidRPr="004042EC" w:rsidRDefault="0048364F" w:rsidP="0048364F"/>
    <w:p w14:paraId="5D42D21C" w14:textId="77777777" w:rsidR="0048364F" w:rsidRPr="004042EC" w:rsidRDefault="0048364F" w:rsidP="0048364F"/>
    <w:p w14:paraId="768760BA" w14:textId="77777777" w:rsidR="000A50D7" w:rsidRDefault="000A50D7" w:rsidP="000A50D7">
      <w:pPr>
        <w:pStyle w:val="LongT"/>
      </w:pPr>
      <w:r>
        <w:t xml:space="preserve">An Act to deal with consequential and transitional matters arising from the enactment of the </w:t>
      </w:r>
      <w:r w:rsidRPr="000A50D7">
        <w:rPr>
          <w:i/>
        </w:rPr>
        <w:t>Parliamentary Workplace Support Service Act 2023</w:t>
      </w:r>
      <w:r>
        <w:t>, and for related purposes</w:t>
      </w:r>
    </w:p>
    <w:p w14:paraId="346AC40E" w14:textId="5B62C0B2" w:rsidR="0048364F" w:rsidRPr="009669D9" w:rsidRDefault="0048364F" w:rsidP="0048364F">
      <w:pPr>
        <w:pStyle w:val="Header"/>
        <w:tabs>
          <w:tab w:val="clear" w:pos="4150"/>
          <w:tab w:val="clear" w:pos="8307"/>
        </w:tabs>
      </w:pPr>
      <w:r w:rsidRPr="009669D9">
        <w:rPr>
          <w:rStyle w:val="CharAmSchNo"/>
        </w:rPr>
        <w:t xml:space="preserve"> </w:t>
      </w:r>
      <w:r w:rsidRPr="009669D9">
        <w:rPr>
          <w:rStyle w:val="CharAmSchText"/>
        </w:rPr>
        <w:t xml:space="preserve"> </w:t>
      </w:r>
    </w:p>
    <w:p w14:paraId="7EF02952" w14:textId="77777777" w:rsidR="0048364F" w:rsidRPr="009669D9" w:rsidRDefault="0048364F" w:rsidP="0048364F">
      <w:pPr>
        <w:pStyle w:val="Header"/>
        <w:tabs>
          <w:tab w:val="clear" w:pos="4150"/>
          <w:tab w:val="clear" w:pos="8307"/>
        </w:tabs>
      </w:pPr>
      <w:r w:rsidRPr="009669D9">
        <w:rPr>
          <w:rStyle w:val="CharAmPartNo"/>
        </w:rPr>
        <w:t xml:space="preserve"> </w:t>
      </w:r>
      <w:r w:rsidRPr="009669D9">
        <w:rPr>
          <w:rStyle w:val="CharAmPartText"/>
        </w:rPr>
        <w:t xml:space="preserve"> </w:t>
      </w:r>
    </w:p>
    <w:p w14:paraId="5E6E1FA1" w14:textId="77777777" w:rsidR="0048364F" w:rsidRPr="004042EC" w:rsidRDefault="0048364F" w:rsidP="0048364F">
      <w:pPr>
        <w:sectPr w:rsidR="0048364F" w:rsidRPr="004042EC" w:rsidSect="000A50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1C0529B" w14:textId="77777777" w:rsidR="0048364F" w:rsidRPr="004042EC" w:rsidRDefault="0048364F" w:rsidP="0048364F">
      <w:pPr>
        <w:outlineLvl w:val="0"/>
        <w:rPr>
          <w:sz w:val="36"/>
        </w:rPr>
      </w:pPr>
      <w:r w:rsidRPr="004042EC">
        <w:rPr>
          <w:sz w:val="36"/>
        </w:rPr>
        <w:lastRenderedPageBreak/>
        <w:t>Contents</w:t>
      </w:r>
    </w:p>
    <w:bookmarkStart w:id="1" w:name="_Hlk146274134"/>
    <w:p w14:paraId="66759F43" w14:textId="02B62BF0" w:rsidR="00A330B6" w:rsidRDefault="00A33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330B6">
        <w:rPr>
          <w:noProof/>
        </w:rPr>
        <w:tab/>
      </w:r>
      <w:r w:rsidRPr="00A330B6">
        <w:rPr>
          <w:noProof/>
        </w:rPr>
        <w:fldChar w:fldCharType="begin"/>
      </w:r>
      <w:r w:rsidRPr="00A330B6">
        <w:rPr>
          <w:noProof/>
        </w:rPr>
        <w:instrText xml:space="preserve"> PAGEREF _Toc146275462 \h </w:instrText>
      </w:r>
      <w:r w:rsidRPr="00A330B6">
        <w:rPr>
          <w:noProof/>
        </w:rPr>
      </w:r>
      <w:r w:rsidRPr="00A330B6">
        <w:rPr>
          <w:noProof/>
        </w:rPr>
        <w:fldChar w:fldCharType="separate"/>
      </w:r>
      <w:r>
        <w:rPr>
          <w:noProof/>
        </w:rPr>
        <w:t>2</w:t>
      </w:r>
      <w:r w:rsidRPr="00A330B6">
        <w:rPr>
          <w:noProof/>
        </w:rPr>
        <w:fldChar w:fldCharType="end"/>
      </w:r>
    </w:p>
    <w:p w14:paraId="496BB531" w14:textId="68BFD177" w:rsidR="00A330B6" w:rsidRDefault="00A33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330B6">
        <w:rPr>
          <w:noProof/>
        </w:rPr>
        <w:tab/>
      </w:r>
      <w:r w:rsidRPr="00A330B6">
        <w:rPr>
          <w:noProof/>
        </w:rPr>
        <w:fldChar w:fldCharType="begin"/>
      </w:r>
      <w:r w:rsidRPr="00A330B6">
        <w:rPr>
          <w:noProof/>
        </w:rPr>
        <w:instrText xml:space="preserve"> PAGEREF _Toc146275463 \h </w:instrText>
      </w:r>
      <w:r w:rsidRPr="00A330B6">
        <w:rPr>
          <w:noProof/>
        </w:rPr>
      </w:r>
      <w:r w:rsidRPr="00A330B6">
        <w:rPr>
          <w:noProof/>
        </w:rPr>
        <w:fldChar w:fldCharType="separate"/>
      </w:r>
      <w:r>
        <w:rPr>
          <w:noProof/>
        </w:rPr>
        <w:t>2</w:t>
      </w:r>
      <w:r w:rsidRPr="00A330B6">
        <w:rPr>
          <w:noProof/>
        </w:rPr>
        <w:fldChar w:fldCharType="end"/>
      </w:r>
    </w:p>
    <w:p w14:paraId="4412E933" w14:textId="50A97298" w:rsidR="00A330B6" w:rsidRDefault="00A33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330B6">
        <w:rPr>
          <w:noProof/>
        </w:rPr>
        <w:tab/>
      </w:r>
      <w:r w:rsidRPr="00A330B6">
        <w:rPr>
          <w:noProof/>
        </w:rPr>
        <w:fldChar w:fldCharType="begin"/>
      </w:r>
      <w:r w:rsidRPr="00A330B6">
        <w:rPr>
          <w:noProof/>
        </w:rPr>
        <w:instrText xml:space="preserve"> PAGEREF _Toc146275464 \h </w:instrText>
      </w:r>
      <w:r w:rsidRPr="00A330B6">
        <w:rPr>
          <w:noProof/>
        </w:rPr>
      </w:r>
      <w:r w:rsidRPr="00A330B6">
        <w:rPr>
          <w:noProof/>
        </w:rPr>
        <w:fldChar w:fldCharType="separate"/>
      </w:r>
      <w:r>
        <w:rPr>
          <w:noProof/>
        </w:rPr>
        <w:t>3</w:t>
      </w:r>
      <w:r w:rsidRPr="00A330B6">
        <w:rPr>
          <w:noProof/>
        </w:rPr>
        <w:fldChar w:fldCharType="end"/>
      </w:r>
    </w:p>
    <w:p w14:paraId="24891F8C" w14:textId="3F571663" w:rsidR="00A330B6" w:rsidRDefault="00A330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1—Consequential amendments</w:t>
      </w:r>
      <w:r w:rsidRPr="00A330B6">
        <w:rPr>
          <w:b w:val="0"/>
          <w:noProof/>
          <w:sz w:val="18"/>
        </w:rPr>
        <w:tab/>
      </w:r>
      <w:r w:rsidRPr="00A330B6">
        <w:rPr>
          <w:b w:val="0"/>
          <w:noProof/>
          <w:sz w:val="18"/>
        </w:rPr>
        <w:fldChar w:fldCharType="begin"/>
      </w:r>
      <w:r w:rsidRPr="00A330B6">
        <w:rPr>
          <w:b w:val="0"/>
          <w:noProof/>
          <w:sz w:val="18"/>
        </w:rPr>
        <w:instrText xml:space="preserve"> PAGEREF _Toc146275465 \h </w:instrText>
      </w:r>
      <w:r w:rsidRPr="00A330B6">
        <w:rPr>
          <w:b w:val="0"/>
          <w:noProof/>
          <w:sz w:val="18"/>
        </w:rPr>
      </w:r>
      <w:r w:rsidRPr="00A330B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4</w:t>
      </w:r>
      <w:r w:rsidRPr="00A330B6">
        <w:rPr>
          <w:b w:val="0"/>
          <w:noProof/>
          <w:sz w:val="18"/>
        </w:rPr>
        <w:fldChar w:fldCharType="end"/>
      </w:r>
    </w:p>
    <w:p w14:paraId="3B8C056B" w14:textId="7E96833D" w:rsidR="00A330B6" w:rsidRDefault="00A330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Archives Act 1983</w:t>
      </w:r>
      <w:r w:rsidRPr="00A330B6">
        <w:rPr>
          <w:i w:val="0"/>
          <w:noProof/>
          <w:sz w:val="18"/>
        </w:rPr>
        <w:tab/>
      </w:r>
      <w:r w:rsidRPr="00A330B6">
        <w:rPr>
          <w:i w:val="0"/>
          <w:noProof/>
          <w:sz w:val="18"/>
        </w:rPr>
        <w:fldChar w:fldCharType="begin"/>
      </w:r>
      <w:r w:rsidRPr="00A330B6">
        <w:rPr>
          <w:i w:val="0"/>
          <w:noProof/>
          <w:sz w:val="18"/>
        </w:rPr>
        <w:instrText xml:space="preserve"> PAGEREF _Toc146275466 \h </w:instrText>
      </w:r>
      <w:r w:rsidRPr="00A330B6">
        <w:rPr>
          <w:i w:val="0"/>
          <w:noProof/>
          <w:sz w:val="18"/>
        </w:rPr>
      </w:r>
      <w:r w:rsidRPr="00A330B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4</w:t>
      </w:r>
      <w:r w:rsidRPr="00A330B6">
        <w:rPr>
          <w:i w:val="0"/>
          <w:noProof/>
          <w:sz w:val="18"/>
        </w:rPr>
        <w:fldChar w:fldCharType="end"/>
      </w:r>
    </w:p>
    <w:p w14:paraId="05B89F42" w14:textId="7D7B386B" w:rsidR="00A330B6" w:rsidRDefault="00A330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A330B6">
        <w:rPr>
          <w:i w:val="0"/>
          <w:noProof/>
          <w:sz w:val="18"/>
        </w:rPr>
        <w:tab/>
      </w:r>
      <w:r w:rsidRPr="00A330B6">
        <w:rPr>
          <w:i w:val="0"/>
          <w:noProof/>
          <w:sz w:val="18"/>
        </w:rPr>
        <w:fldChar w:fldCharType="begin"/>
      </w:r>
      <w:r w:rsidRPr="00A330B6">
        <w:rPr>
          <w:i w:val="0"/>
          <w:noProof/>
          <w:sz w:val="18"/>
        </w:rPr>
        <w:instrText xml:space="preserve"> PAGEREF _Toc146275467 \h </w:instrText>
      </w:r>
      <w:r w:rsidRPr="00A330B6">
        <w:rPr>
          <w:i w:val="0"/>
          <w:noProof/>
          <w:sz w:val="18"/>
        </w:rPr>
      </w:r>
      <w:r w:rsidRPr="00A330B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5</w:t>
      </w:r>
      <w:r w:rsidRPr="00A330B6">
        <w:rPr>
          <w:i w:val="0"/>
          <w:noProof/>
          <w:sz w:val="18"/>
        </w:rPr>
        <w:fldChar w:fldCharType="end"/>
      </w:r>
    </w:p>
    <w:p w14:paraId="16C26219" w14:textId="0B8FD610" w:rsidR="00A330B6" w:rsidRDefault="00A330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Service Determination 2013</w:t>
      </w:r>
      <w:r w:rsidRPr="00A330B6">
        <w:rPr>
          <w:i w:val="0"/>
          <w:noProof/>
          <w:sz w:val="18"/>
        </w:rPr>
        <w:tab/>
      </w:r>
      <w:r w:rsidRPr="00A330B6">
        <w:rPr>
          <w:i w:val="0"/>
          <w:noProof/>
          <w:sz w:val="18"/>
        </w:rPr>
        <w:fldChar w:fldCharType="begin"/>
      </w:r>
      <w:r w:rsidRPr="00A330B6">
        <w:rPr>
          <w:i w:val="0"/>
          <w:noProof/>
          <w:sz w:val="18"/>
        </w:rPr>
        <w:instrText xml:space="preserve"> PAGEREF _Toc146275468 \h </w:instrText>
      </w:r>
      <w:r w:rsidRPr="00A330B6">
        <w:rPr>
          <w:i w:val="0"/>
          <w:noProof/>
          <w:sz w:val="18"/>
        </w:rPr>
      </w:r>
      <w:r w:rsidRPr="00A330B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6</w:t>
      </w:r>
      <w:r w:rsidRPr="00A330B6">
        <w:rPr>
          <w:i w:val="0"/>
          <w:noProof/>
          <w:sz w:val="18"/>
        </w:rPr>
        <w:fldChar w:fldCharType="end"/>
      </w:r>
    </w:p>
    <w:p w14:paraId="3A3A189F" w14:textId="1F72DE50" w:rsidR="00A330B6" w:rsidRDefault="00A330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 and transitional provisions</w:t>
      </w:r>
      <w:r w:rsidRPr="00A330B6">
        <w:rPr>
          <w:b w:val="0"/>
          <w:noProof/>
          <w:sz w:val="18"/>
        </w:rPr>
        <w:tab/>
      </w:r>
      <w:r w:rsidRPr="00A330B6">
        <w:rPr>
          <w:b w:val="0"/>
          <w:noProof/>
          <w:sz w:val="18"/>
        </w:rPr>
        <w:fldChar w:fldCharType="begin"/>
      </w:r>
      <w:r w:rsidRPr="00A330B6">
        <w:rPr>
          <w:b w:val="0"/>
          <w:noProof/>
          <w:sz w:val="18"/>
        </w:rPr>
        <w:instrText xml:space="preserve"> PAGEREF _Toc146275469 \h </w:instrText>
      </w:r>
      <w:r w:rsidRPr="00A330B6">
        <w:rPr>
          <w:b w:val="0"/>
          <w:noProof/>
          <w:sz w:val="18"/>
        </w:rPr>
      </w:r>
      <w:r w:rsidRPr="00A330B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7</w:t>
      </w:r>
      <w:r w:rsidRPr="00A330B6">
        <w:rPr>
          <w:b w:val="0"/>
          <w:noProof/>
          <w:sz w:val="18"/>
        </w:rPr>
        <w:fldChar w:fldCharType="end"/>
      </w:r>
    </w:p>
    <w:p w14:paraId="61CF66CC" w14:textId="3E9A7A71" w:rsidR="00A330B6" w:rsidRDefault="00A330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3—Repeal of review function</w:t>
      </w:r>
      <w:r w:rsidRPr="00A330B6">
        <w:rPr>
          <w:b w:val="0"/>
          <w:noProof/>
          <w:sz w:val="18"/>
        </w:rPr>
        <w:tab/>
      </w:r>
      <w:r w:rsidRPr="00A330B6">
        <w:rPr>
          <w:b w:val="0"/>
          <w:noProof/>
          <w:sz w:val="18"/>
        </w:rPr>
        <w:fldChar w:fldCharType="begin"/>
      </w:r>
      <w:r w:rsidRPr="00A330B6">
        <w:rPr>
          <w:b w:val="0"/>
          <w:noProof/>
          <w:sz w:val="18"/>
        </w:rPr>
        <w:instrText xml:space="preserve"> PAGEREF _Toc146275470 \h </w:instrText>
      </w:r>
      <w:r w:rsidRPr="00A330B6">
        <w:rPr>
          <w:b w:val="0"/>
          <w:noProof/>
          <w:sz w:val="18"/>
        </w:rPr>
      </w:r>
      <w:r w:rsidRPr="00A330B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11</w:t>
      </w:r>
      <w:r w:rsidRPr="00A330B6">
        <w:rPr>
          <w:b w:val="0"/>
          <w:noProof/>
          <w:sz w:val="18"/>
        </w:rPr>
        <w:fldChar w:fldCharType="end"/>
      </w:r>
    </w:p>
    <w:p w14:paraId="6CA7948C" w14:textId="1B2BE192" w:rsidR="00A330B6" w:rsidRDefault="00A330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Workplace Support Service Act 2023</w:t>
      </w:r>
      <w:r w:rsidRPr="00A330B6">
        <w:rPr>
          <w:i w:val="0"/>
          <w:noProof/>
          <w:sz w:val="18"/>
        </w:rPr>
        <w:tab/>
      </w:r>
      <w:r w:rsidRPr="00A330B6">
        <w:rPr>
          <w:i w:val="0"/>
          <w:noProof/>
          <w:sz w:val="18"/>
        </w:rPr>
        <w:fldChar w:fldCharType="begin"/>
      </w:r>
      <w:r w:rsidRPr="00A330B6">
        <w:rPr>
          <w:i w:val="0"/>
          <w:noProof/>
          <w:sz w:val="18"/>
        </w:rPr>
        <w:instrText xml:space="preserve"> PAGEREF _Toc146275471 \h </w:instrText>
      </w:r>
      <w:r w:rsidRPr="00A330B6">
        <w:rPr>
          <w:i w:val="0"/>
          <w:noProof/>
          <w:sz w:val="18"/>
        </w:rPr>
      </w:r>
      <w:r w:rsidRPr="00A330B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11</w:t>
      </w:r>
      <w:r w:rsidRPr="00A330B6">
        <w:rPr>
          <w:i w:val="0"/>
          <w:noProof/>
          <w:sz w:val="18"/>
        </w:rPr>
        <w:fldChar w:fldCharType="end"/>
      </w:r>
    </w:p>
    <w:p w14:paraId="09F02EF2" w14:textId="74798A88" w:rsidR="00060FF9" w:rsidRPr="004042EC" w:rsidRDefault="00A330B6" w:rsidP="0048364F">
      <w:r>
        <w:fldChar w:fldCharType="end"/>
      </w:r>
    </w:p>
    <w:bookmarkEnd w:id="1"/>
    <w:p w14:paraId="5E45A2C0" w14:textId="77777777" w:rsidR="00FE7F93" w:rsidRPr="004042EC" w:rsidRDefault="00FE7F93" w:rsidP="0048364F">
      <w:pPr>
        <w:sectPr w:rsidR="00FE7F93" w:rsidRPr="004042EC" w:rsidSect="000A50D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9B1B759" w14:textId="77777777" w:rsidR="000A50D7" w:rsidRDefault="000A50D7">
      <w:r>
        <w:object w:dxaOrig="2146" w:dyaOrig="1561" w14:anchorId="3BE70B85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756888382" r:id="rId21"/>
        </w:object>
      </w:r>
    </w:p>
    <w:p w14:paraId="21D3967E" w14:textId="77777777" w:rsidR="000A50D7" w:rsidRDefault="000A50D7"/>
    <w:p w14:paraId="4D412C5A" w14:textId="77777777" w:rsidR="000A50D7" w:rsidRDefault="000A50D7" w:rsidP="000178F8">
      <w:pPr>
        <w:spacing w:line="240" w:lineRule="auto"/>
      </w:pPr>
    </w:p>
    <w:p w14:paraId="584F4499" w14:textId="00F8339D" w:rsidR="000A50D7" w:rsidRDefault="00A330B6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8F7F30">
        <w:rPr>
          <w:noProof/>
        </w:rPr>
        <w:t>Parliamentary Workplace Support Service (Consequential Amendments and Transitional Provisions) Act 2023</w:t>
      </w:r>
      <w:r>
        <w:rPr>
          <w:noProof/>
        </w:rPr>
        <w:fldChar w:fldCharType="end"/>
      </w:r>
    </w:p>
    <w:p w14:paraId="74077B7E" w14:textId="67CDF4D8" w:rsidR="000A50D7" w:rsidRDefault="00A330B6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8F7F30">
        <w:rPr>
          <w:noProof/>
        </w:rPr>
        <w:t>No. 71, 2023</w:t>
      </w:r>
      <w:r>
        <w:rPr>
          <w:noProof/>
        </w:rPr>
        <w:fldChar w:fldCharType="end"/>
      </w:r>
    </w:p>
    <w:p w14:paraId="5E198FC6" w14:textId="77777777" w:rsidR="000A50D7" w:rsidRPr="009A0728" w:rsidRDefault="000A50D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5AD9AA4" w14:textId="77777777" w:rsidR="000A50D7" w:rsidRPr="009A0728" w:rsidRDefault="000A50D7" w:rsidP="009A0728">
      <w:pPr>
        <w:spacing w:line="40" w:lineRule="exact"/>
        <w:rPr>
          <w:rFonts w:eastAsia="Calibri"/>
          <w:b/>
          <w:sz w:val="28"/>
        </w:rPr>
      </w:pPr>
    </w:p>
    <w:p w14:paraId="401234C9" w14:textId="77777777" w:rsidR="000A50D7" w:rsidRPr="009A0728" w:rsidRDefault="000A50D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7477CB7" w14:textId="77777777" w:rsidR="000A50D7" w:rsidRDefault="000A50D7" w:rsidP="000A50D7">
      <w:pPr>
        <w:pStyle w:val="Page1"/>
        <w:spacing w:before="400"/>
      </w:pPr>
      <w:r>
        <w:t xml:space="preserve">An Act to deal with consequential and transitional matters arising from the enactment of the </w:t>
      </w:r>
      <w:r w:rsidRPr="000A50D7">
        <w:rPr>
          <w:i/>
        </w:rPr>
        <w:t>Parliamentary Workplace Support Service Act 2023</w:t>
      </w:r>
      <w:r>
        <w:t>, and for related purposes</w:t>
      </w:r>
      <w:bookmarkStart w:id="2" w:name="_GoBack"/>
      <w:bookmarkEnd w:id="2"/>
    </w:p>
    <w:p w14:paraId="0E037008" w14:textId="064EEE87" w:rsidR="006A119E" w:rsidRDefault="006A119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September 2023</w:t>
      </w:r>
      <w:r>
        <w:rPr>
          <w:sz w:val="24"/>
        </w:rPr>
        <w:t>]</w:t>
      </w:r>
    </w:p>
    <w:p w14:paraId="7219C7EA" w14:textId="678C5771" w:rsidR="0048364F" w:rsidRPr="004042EC" w:rsidRDefault="0048364F" w:rsidP="00EB5160">
      <w:pPr>
        <w:spacing w:before="240" w:line="240" w:lineRule="auto"/>
        <w:rPr>
          <w:sz w:val="32"/>
        </w:rPr>
      </w:pPr>
      <w:r w:rsidRPr="004042EC">
        <w:rPr>
          <w:sz w:val="32"/>
        </w:rPr>
        <w:t>The Parliament of Australia enacts:</w:t>
      </w:r>
    </w:p>
    <w:p w14:paraId="621741C2" w14:textId="77777777" w:rsidR="0048364F" w:rsidRPr="004042EC" w:rsidRDefault="0048364F" w:rsidP="00EB5160">
      <w:pPr>
        <w:pStyle w:val="ActHead5"/>
      </w:pPr>
      <w:bookmarkStart w:id="3" w:name="_Toc146275462"/>
      <w:r w:rsidRPr="009669D9">
        <w:rPr>
          <w:rStyle w:val="CharSectno"/>
        </w:rPr>
        <w:t>1</w:t>
      </w:r>
      <w:r w:rsidRPr="004042EC">
        <w:t xml:space="preserve">  Short title</w:t>
      </w:r>
      <w:bookmarkEnd w:id="3"/>
    </w:p>
    <w:p w14:paraId="3142A318" w14:textId="77777777" w:rsidR="0048364F" w:rsidRPr="004042EC" w:rsidRDefault="0048364F" w:rsidP="00EB5160">
      <w:pPr>
        <w:pStyle w:val="subsection"/>
      </w:pPr>
      <w:r w:rsidRPr="004042EC">
        <w:tab/>
      </w:r>
      <w:r w:rsidRPr="004042EC">
        <w:tab/>
        <w:t xml:space="preserve">This Act </w:t>
      </w:r>
      <w:r w:rsidR="00275197" w:rsidRPr="004042EC">
        <w:t xml:space="preserve">is </w:t>
      </w:r>
      <w:r w:rsidRPr="004042EC">
        <w:t xml:space="preserve">the </w:t>
      </w:r>
      <w:r w:rsidR="00A11637" w:rsidRPr="004042EC">
        <w:rPr>
          <w:i/>
        </w:rPr>
        <w:t>Parliamentary Workplace Support Service (Consequential Amendments and Transitional Provisions) Act 2023</w:t>
      </w:r>
      <w:r w:rsidRPr="004042EC">
        <w:t>.</w:t>
      </w:r>
    </w:p>
    <w:p w14:paraId="64778D9C" w14:textId="77777777" w:rsidR="0048364F" w:rsidRPr="004042EC" w:rsidRDefault="0048364F" w:rsidP="00EB5160">
      <w:pPr>
        <w:pStyle w:val="ActHead5"/>
      </w:pPr>
      <w:bookmarkStart w:id="4" w:name="_Toc146275463"/>
      <w:r w:rsidRPr="009669D9">
        <w:rPr>
          <w:rStyle w:val="CharSectno"/>
        </w:rPr>
        <w:t>2</w:t>
      </w:r>
      <w:r w:rsidRPr="004042EC">
        <w:t xml:space="preserve">  Commencement</w:t>
      </w:r>
      <w:bookmarkEnd w:id="4"/>
    </w:p>
    <w:p w14:paraId="598074DC" w14:textId="77777777" w:rsidR="0048364F" w:rsidRPr="004042EC" w:rsidRDefault="0048364F" w:rsidP="00EB5160">
      <w:pPr>
        <w:pStyle w:val="subsection"/>
      </w:pPr>
      <w:r w:rsidRPr="004042EC">
        <w:tab/>
        <w:t>(1)</w:t>
      </w:r>
      <w:r w:rsidRPr="004042EC">
        <w:tab/>
        <w:t xml:space="preserve">Each provision of this Act specified in column 1 of the table commences, or is taken to have commenced, in accordance with </w:t>
      </w:r>
      <w:r w:rsidRPr="004042EC">
        <w:lastRenderedPageBreak/>
        <w:t>column 2 of the table. Any other statement in column 2 has effect according to its terms.</w:t>
      </w:r>
    </w:p>
    <w:p w14:paraId="300FF7EF" w14:textId="77777777" w:rsidR="0048364F" w:rsidRPr="004042EC" w:rsidRDefault="0048364F" w:rsidP="00EB516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042EC" w14:paraId="044478D0" w14:textId="77777777" w:rsidTr="00D8734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A767C2" w14:textId="77777777" w:rsidR="0048364F" w:rsidRPr="004042EC" w:rsidRDefault="0048364F" w:rsidP="00EB5160">
            <w:pPr>
              <w:pStyle w:val="TableHeading"/>
            </w:pPr>
            <w:r w:rsidRPr="004042EC">
              <w:t>Commencement information</w:t>
            </w:r>
          </w:p>
        </w:tc>
      </w:tr>
      <w:tr w:rsidR="0048364F" w:rsidRPr="004042EC" w14:paraId="5F51DD3F" w14:textId="77777777" w:rsidTr="00D8734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B7670" w14:textId="77777777" w:rsidR="0048364F" w:rsidRPr="004042EC" w:rsidRDefault="0048364F" w:rsidP="00EB5160">
            <w:pPr>
              <w:pStyle w:val="TableHeading"/>
            </w:pPr>
            <w:r w:rsidRPr="004042E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B8D56" w14:textId="77777777" w:rsidR="0048364F" w:rsidRPr="004042EC" w:rsidRDefault="0048364F" w:rsidP="00EB5160">
            <w:pPr>
              <w:pStyle w:val="TableHeading"/>
            </w:pPr>
            <w:r w:rsidRPr="004042E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A169A" w14:textId="77777777" w:rsidR="0048364F" w:rsidRPr="004042EC" w:rsidRDefault="0048364F" w:rsidP="00EB5160">
            <w:pPr>
              <w:pStyle w:val="TableHeading"/>
            </w:pPr>
            <w:r w:rsidRPr="004042EC">
              <w:t>Column 3</w:t>
            </w:r>
          </w:p>
        </w:tc>
      </w:tr>
      <w:tr w:rsidR="0048364F" w:rsidRPr="004042EC" w14:paraId="17D0775D" w14:textId="77777777" w:rsidTr="00D8734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A1A8C7" w14:textId="77777777" w:rsidR="0048364F" w:rsidRPr="004042EC" w:rsidRDefault="0048364F" w:rsidP="00EB5160">
            <w:pPr>
              <w:pStyle w:val="TableHeading"/>
            </w:pPr>
            <w:r w:rsidRPr="004042E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D4D3E6" w14:textId="77777777" w:rsidR="0048364F" w:rsidRPr="004042EC" w:rsidRDefault="0048364F" w:rsidP="00EB5160">
            <w:pPr>
              <w:pStyle w:val="TableHeading"/>
            </w:pPr>
            <w:r w:rsidRPr="004042E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D21730" w14:textId="77777777" w:rsidR="0048364F" w:rsidRPr="004042EC" w:rsidRDefault="0048364F" w:rsidP="00EB5160">
            <w:pPr>
              <w:pStyle w:val="TableHeading"/>
            </w:pPr>
            <w:r w:rsidRPr="004042EC">
              <w:t>Date/Details</w:t>
            </w:r>
          </w:p>
        </w:tc>
      </w:tr>
      <w:tr w:rsidR="0048364F" w:rsidRPr="004042EC" w14:paraId="698A7FFF" w14:textId="77777777" w:rsidTr="00D87345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37FE60E" w14:textId="77777777" w:rsidR="0048364F" w:rsidRPr="004042EC" w:rsidRDefault="0048364F" w:rsidP="00EB5160">
            <w:pPr>
              <w:pStyle w:val="Tabletext"/>
            </w:pPr>
            <w:r w:rsidRPr="004042EC">
              <w:t xml:space="preserve">1.  </w:t>
            </w:r>
            <w:r w:rsidR="00721B49" w:rsidRPr="004042EC">
              <w:t>Sections 1</w:t>
            </w:r>
            <w:r w:rsidRPr="004042EC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CA97490" w14:textId="77777777" w:rsidR="0048364F" w:rsidRPr="004042EC" w:rsidRDefault="0048364F" w:rsidP="00EB5160">
            <w:pPr>
              <w:pStyle w:val="Tabletext"/>
            </w:pPr>
            <w:r w:rsidRPr="004042E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BE98B1C" w14:textId="43626FE0" w:rsidR="0048364F" w:rsidRPr="004042EC" w:rsidRDefault="007B1E8F" w:rsidP="00EB5160">
            <w:pPr>
              <w:pStyle w:val="Tabletext"/>
            </w:pPr>
            <w:r>
              <w:t>20 September 2023</w:t>
            </w:r>
          </w:p>
        </w:tc>
      </w:tr>
      <w:tr w:rsidR="0048364F" w:rsidRPr="004042EC" w14:paraId="7EC3FB90" w14:textId="77777777" w:rsidTr="004B0227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5D36C7" w14:textId="77777777" w:rsidR="0048364F" w:rsidRPr="004042EC" w:rsidRDefault="0048364F" w:rsidP="00EB5160">
            <w:pPr>
              <w:pStyle w:val="Tabletext"/>
            </w:pPr>
            <w:r w:rsidRPr="004042EC">
              <w:t xml:space="preserve">2.  </w:t>
            </w:r>
            <w:r w:rsidR="00721B49" w:rsidRPr="004042EC">
              <w:t>Schedules 1</w:t>
            </w:r>
            <w:r w:rsidR="00907F73" w:rsidRPr="004042EC">
              <w:t xml:space="preserve"> and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0B1B4D" w14:textId="77777777" w:rsidR="00D87345" w:rsidRPr="004042EC" w:rsidRDefault="00D87345" w:rsidP="00EB5160">
            <w:pPr>
              <w:pStyle w:val="Tabletext"/>
            </w:pPr>
            <w:r w:rsidRPr="004042EC">
              <w:t xml:space="preserve">At the same time as the </w:t>
            </w:r>
            <w:r w:rsidRPr="004042EC">
              <w:rPr>
                <w:i/>
              </w:rPr>
              <w:t>Parliamentary Workplace Support Service Act 2023</w:t>
            </w:r>
            <w:r w:rsidRPr="004042EC">
              <w:t xml:space="preserve"> commences.</w:t>
            </w:r>
          </w:p>
          <w:p w14:paraId="75233CDA" w14:textId="77777777" w:rsidR="0048364F" w:rsidRPr="004042EC" w:rsidRDefault="00D87345" w:rsidP="00EB5160">
            <w:pPr>
              <w:pStyle w:val="Tabletext"/>
            </w:pPr>
            <w:r w:rsidRPr="004042EC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E26184" w14:textId="77777777" w:rsidR="0048364F" w:rsidRPr="004042EC" w:rsidRDefault="0048364F" w:rsidP="00EB5160">
            <w:pPr>
              <w:pStyle w:val="Tabletext"/>
            </w:pPr>
          </w:p>
        </w:tc>
      </w:tr>
      <w:tr w:rsidR="004B0227" w:rsidRPr="004042EC" w14:paraId="3482DE9A" w14:textId="77777777" w:rsidTr="00D87345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A2A4FF" w14:textId="3EC24AB5" w:rsidR="004B0227" w:rsidRPr="004042EC" w:rsidRDefault="004B0227" w:rsidP="004B0227">
            <w:pPr>
              <w:pStyle w:val="Tabletext"/>
            </w:pPr>
            <w:r w:rsidRPr="00F409FA">
              <w:t>3.  Schedule 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B8E230" w14:textId="77777777" w:rsidR="004B0227" w:rsidRPr="00F409FA" w:rsidRDefault="004B0227" w:rsidP="004B0227">
            <w:pPr>
              <w:pStyle w:val="Tabletext"/>
            </w:pPr>
            <w:r w:rsidRPr="00F409FA">
              <w:t xml:space="preserve">The day after the end of the period of 2 years beginning on the day the </w:t>
            </w:r>
            <w:r w:rsidRPr="00F409FA">
              <w:rPr>
                <w:i/>
              </w:rPr>
              <w:t>Parliamentary Workplace Support Service Act 2023</w:t>
            </w:r>
            <w:r w:rsidRPr="00F409FA">
              <w:t xml:space="preserve"> commences.</w:t>
            </w:r>
          </w:p>
          <w:p w14:paraId="30A0A1C8" w14:textId="55CA1C82" w:rsidR="004B0227" w:rsidRPr="004042EC" w:rsidRDefault="004B0227" w:rsidP="004B0227">
            <w:pPr>
              <w:pStyle w:val="Tabletext"/>
            </w:pPr>
            <w:r w:rsidRPr="00F409FA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6B32A6" w14:textId="77777777" w:rsidR="004B0227" w:rsidRPr="004042EC" w:rsidRDefault="004B0227" w:rsidP="004B0227">
            <w:pPr>
              <w:pStyle w:val="Tabletext"/>
            </w:pPr>
          </w:p>
        </w:tc>
      </w:tr>
    </w:tbl>
    <w:p w14:paraId="3F96B1C2" w14:textId="77777777" w:rsidR="0048364F" w:rsidRPr="004042EC" w:rsidRDefault="00201D27" w:rsidP="00EB5160">
      <w:pPr>
        <w:pStyle w:val="notetext"/>
      </w:pPr>
      <w:r w:rsidRPr="004042EC">
        <w:t>Note:</w:t>
      </w:r>
      <w:r w:rsidRPr="004042EC">
        <w:tab/>
        <w:t>This table relates only to the provisions of this Act as originally enacted. It will not be amended to deal with any later amendments of this Act.</w:t>
      </w:r>
    </w:p>
    <w:p w14:paraId="132E2F6E" w14:textId="77777777" w:rsidR="0048364F" w:rsidRPr="004042EC" w:rsidRDefault="0048364F" w:rsidP="00EB5160">
      <w:pPr>
        <w:pStyle w:val="subsection"/>
      </w:pPr>
      <w:r w:rsidRPr="004042EC">
        <w:tab/>
        <w:t>(2)</w:t>
      </w:r>
      <w:r w:rsidRPr="004042EC">
        <w:tab/>
      </w:r>
      <w:r w:rsidR="00201D27" w:rsidRPr="004042EC">
        <w:t xml:space="preserve">Any information in </w:t>
      </w:r>
      <w:r w:rsidR="00877D48" w:rsidRPr="004042EC">
        <w:t>c</w:t>
      </w:r>
      <w:r w:rsidR="00201D27" w:rsidRPr="004042EC">
        <w:t>olumn 3 of the table is not part of this Act. Information may be inserted in this column, or information in it may be edited, in any published version of this Act.</w:t>
      </w:r>
    </w:p>
    <w:p w14:paraId="6DDE3B2B" w14:textId="77777777" w:rsidR="0048364F" w:rsidRPr="004042EC" w:rsidRDefault="0048364F" w:rsidP="00EB5160">
      <w:pPr>
        <w:pStyle w:val="ActHead5"/>
      </w:pPr>
      <w:bookmarkStart w:id="5" w:name="_Toc146275464"/>
      <w:r w:rsidRPr="009669D9">
        <w:rPr>
          <w:rStyle w:val="CharSectno"/>
        </w:rPr>
        <w:t>3</w:t>
      </w:r>
      <w:r w:rsidRPr="004042EC">
        <w:t xml:space="preserve">  Schedules</w:t>
      </w:r>
      <w:bookmarkEnd w:id="5"/>
    </w:p>
    <w:p w14:paraId="0190C0E8" w14:textId="77777777" w:rsidR="0048364F" w:rsidRPr="004042EC" w:rsidRDefault="0048364F" w:rsidP="00EB5160">
      <w:pPr>
        <w:pStyle w:val="subsection"/>
      </w:pPr>
      <w:r w:rsidRPr="004042EC">
        <w:tab/>
      </w:r>
      <w:r w:rsidRPr="004042EC">
        <w:tab/>
      </w:r>
      <w:r w:rsidR="00202618" w:rsidRPr="004042EC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945477E" w14:textId="77777777" w:rsidR="006B7E42" w:rsidRPr="004042EC" w:rsidRDefault="006B7E42" w:rsidP="00EB5160">
      <w:pPr>
        <w:pStyle w:val="notetext"/>
      </w:pPr>
      <w:r w:rsidRPr="004042EC">
        <w:t>Note:</w:t>
      </w:r>
      <w:r w:rsidRPr="004042EC">
        <w:tab/>
        <w:t xml:space="preserve">The provisions of the </w:t>
      </w:r>
      <w:r w:rsidR="00373B22" w:rsidRPr="004042EC">
        <w:rPr>
          <w:i/>
        </w:rPr>
        <w:t xml:space="preserve">Parliamentary Service </w:t>
      </w:r>
      <w:r w:rsidR="0006083B" w:rsidRPr="004042EC">
        <w:rPr>
          <w:i/>
        </w:rPr>
        <w:t>Determination 2</w:t>
      </w:r>
      <w:r w:rsidR="00373B22" w:rsidRPr="004042EC">
        <w:rPr>
          <w:i/>
        </w:rPr>
        <w:t>013</w:t>
      </w:r>
      <w:r w:rsidRPr="004042EC">
        <w:t xml:space="preserve"> amended or inserted by this Act, and any other provisions of that </w:t>
      </w:r>
      <w:r w:rsidRPr="004042EC">
        <w:lastRenderedPageBreak/>
        <w:t>instrument, may be amended or repealed by an instrument made under</w:t>
      </w:r>
      <w:r w:rsidR="00373B22" w:rsidRPr="004042EC">
        <w:t xml:space="preserve"> </w:t>
      </w:r>
      <w:r w:rsidR="00D34D45" w:rsidRPr="004042EC">
        <w:t>section 8</w:t>
      </w:r>
      <w:r w:rsidR="00373B22" w:rsidRPr="004042EC">
        <w:t xml:space="preserve">3 of the </w:t>
      </w:r>
      <w:r w:rsidR="00373B22" w:rsidRPr="004042EC">
        <w:rPr>
          <w:i/>
        </w:rPr>
        <w:t>Parliamentary Service Act 1999</w:t>
      </w:r>
      <w:r w:rsidRPr="004042EC">
        <w:t xml:space="preserve"> (see </w:t>
      </w:r>
      <w:r w:rsidR="00D34D45" w:rsidRPr="004042EC">
        <w:t>subsection 1</w:t>
      </w:r>
      <w:r w:rsidRPr="004042EC">
        <w:t xml:space="preserve">3(5) of the </w:t>
      </w:r>
      <w:r w:rsidRPr="004042EC">
        <w:rPr>
          <w:i/>
        </w:rPr>
        <w:t>Legislation Act 2003</w:t>
      </w:r>
      <w:r w:rsidRPr="004042EC">
        <w:t>).</w:t>
      </w:r>
    </w:p>
    <w:p w14:paraId="61D483FD" w14:textId="77777777" w:rsidR="008D3E94" w:rsidRPr="004042EC" w:rsidRDefault="009218D6" w:rsidP="00EB5160">
      <w:pPr>
        <w:pStyle w:val="ActHead6"/>
        <w:pageBreakBefore/>
      </w:pPr>
      <w:bookmarkStart w:id="6" w:name="_Toc146275465"/>
      <w:r w:rsidRPr="009669D9">
        <w:rPr>
          <w:rStyle w:val="CharAmSchNo"/>
        </w:rPr>
        <w:lastRenderedPageBreak/>
        <w:t>Schedule 1</w:t>
      </w:r>
      <w:r w:rsidR="0048364F" w:rsidRPr="004042EC">
        <w:t>—</w:t>
      </w:r>
      <w:r w:rsidR="00EB7B66" w:rsidRPr="009669D9">
        <w:rPr>
          <w:rStyle w:val="CharAmSchText"/>
        </w:rPr>
        <w:t>Consequential amendments</w:t>
      </w:r>
      <w:bookmarkEnd w:id="6"/>
    </w:p>
    <w:p w14:paraId="30D876BC" w14:textId="77777777" w:rsidR="008A165F" w:rsidRPr="009669D9" w:rsidRDefault="008A165F" w:rsidP="00EB5160">
      <w:pPr>
        <w:pStyle w:val="Header"/>
      </w:pPr>
      <w:r w:rsidRPr="009669D9">
        <w:rPr>
          <w:rStyle w:val="CharAmPartNo"/>
        </w:rPr>
        <w:t xml:space="preserve"> </w:t>
      </w:r>
      <w:r w:rsidRPr="009669D9">
        <w:rPr>
          <w:rStyle w:val="CharAmPartText"/>
        </w:rPr>
        <w:t xml:space="preserve"> </w:t>
      </w:r>
    </w:p>
    <w:p w14:paraId="7B4FE927" w14:textId="77777777" w:rsidR="008A165F" w:rsidRPr="004042EC" w:rsidRDefault="008A165F" w:rsidP="00EB5160">
      <w:pPr>
        <w:pStyle w:val="ActHead9"/>
      </w:pPr>
      <w:bookmarkStart w:id="7" w:name="_Toc146275466"/>
      <w:r w:rsidRPr="004042EC">
        <w:t>Archives Act 1983</w:t>
      </w:r>
      <w:bookmarkEnd w:id="7"/>
    </w:p>
    <w:p w14:paraId="43B07BB9" w14:textId="77777777" w:rsidR="007A1399" w:rsidRPr="004042EC" w:rsidRDefault="002E610C" w:rsidP="00EB5160">
      <w:pPr>
        <w:pStyle w:val="ItemHead"/>
      </w:pPr>
      <w:r w:rsidRPr="004042EC">
        <w:t>1</w:t>
      </w:r>
      <w:r w:rsidR="007A1399" w:rsidRPr="004042EC">
        <w:t xml:space="preserve">  </w:t>
      </w:r>
      <w:r w:rsidR="00361D53" w:rsidRPr="004042EC">
        <w:t>Subsection 3</w:t>
      </w:r>
      <w:r w:rsidR="007A1399" w:rsidRPr="004042EC">
        <w:t>(1) (</w:t>
      </w:r>
      <w:r w:rsidR="004042EC">
        <w:t>paragraph (</w:t>
      </w:r>
      <w:proofErr w:type="spellStart"/>
      <w:r w:rsidR="007A1399" w:rsidRPr="004042EC">
        <w:t>ba</w:t>
      </w:r>
      <w:proofErr w:type="spellEnd"/>
      <w:r w:rsidR="007A1399" w:rsidRPr="004042EC">
        <w:t xml:space="preserve">) of the definition of </w:t>
      </w:r>
      <w:r w:rsidR="007A1399" w:rsidRPr="004042EC">
        <w:rPr>
          <w:i/>
        </w:rPr>
        <w:t>open access period</w:t>
      </w:r>
      <w:r w:rsidR="007A1399" w:rsidRPr="004042EC">
        <w:t>)</w:t>
      </w:r>
    </w:p>
    <w:p w14:paraId="64873A1A" w14:textId="77777777" w:rsidR="005352D5" w:rsidRPr="004042EC" w:rsidRDefault="005352D5" w:rsidP="00EB5160">
      <w:pPr>
        <w:pStyle w:val="Item"/>
      </w:pPr>
      <w:r w:rsidRPr="004042EC">
        <w:t xml:space="preserve">After “Independent Review document”, insert “or a </w:t>
      </w:r>
      <w:proofErr w:type="spellStart"/>
      <w:r w:rsidRPr="004042EC">
        <w:t>PWSS</w:t>
      </w:r>
      <w:proofErr w:type="spellEnd"/>
      <w:r w:rsidRPr="004042EC">
        <w:t xml:space="preserve"> document”.</w:t>
      </w:r>
    </w:p>
    <w:p w14:paraId="32CCE5BE" w14:textId="77777777" w:rsidR="00137373" w:rsidRPr="004042EC" w:rsidRDefault="002E610C" w:rsidP="00EB5160">
      <w:pPr>
        <w:pStyle w:val="ItemHead"/>
      </w:pPr>
      <w:r w:rsidRPr="004042EC">
        <w:t>2</w:t>
      </w:r>
      <w:r w:rsidR="00137373" w:rsidRPr="004042EC">
        <w:t xml:space="preserve">  </w:t>
      </w:r>
      <w:r w:rsidR="00361D53" w:rsidRPr="004042EC">
        <w:t>Subsection 3</w:t>
      </w:r>
      <w:r w:rsidR="00137373" w:rsidRPr="004042EC">
        <w:t>(1)</w:t>
      </w:r>
    </w:p>
    <w:p w14:paraId="79966BE2" w14:textId="77777777" w:rsidR="00137373" w:rsidRPr="004042EC" w:rsidRDefault="00137373" w:rsidP="00EB5160">
      <w:pPr>
        <w:pStyle w:val="Item"/>
      </w:pPr>
      <w:r w:rsidRPr="004042EC">
        <w:t>Insert:</w:t>
      </w:r>
    </w:p>
    <w:p w14:paraId="1AB5B058" w14:textId="77777777" w:rsidR="00137373" w:rsidRPr="004042EC" w:rsidRDefault="00137373" w:rsidP="00EB5160">
      <w:pPr>
        <w:pStyle w:val="Definition"/>
      </w:pPr>
      <w:proofErr w:type="spellStart"/>
      <w:r w:rsidRPr="004042EC">
        <w:rPr>
          <w:b/>
          <w:i/>
        </w:rPr>
        <w:t>PWSS</w:t>
      </w:r>
      <w:proofErr w:type="spellEnd"/>
      <w:r w:rsidRPr="004042EC">
        <w:rPr>
          <w:b/>
          <w:i/>
        </w:rPr>
        <w:t xml:space="preserve"> document</w:t>
      </w:r>
      <w:r w:rsidRPr="004042EC">
        <w:t xml:space="preserve"> means:</w:t>
      </w:r>
    </w:p>
    <w:p w14:paraId="473AE188" w14:textId="77777777" w:rsidR="00D42E2A" w:rsidRPr="004042EC" w:rsidRDefault="00137373" w:rsidP="00EB5160">
      <w:pPr>
        <w:pStyle w:val="paragraph"/>
      </w:pPr>
      <w:r w:rsidRPr="004042EC">
        <w:tab/>
        <w:t>(a)</w:t>
      </w:r>
      <w:r w:rsidRPr="004042EC">
        <w:tab/>
        <w:t xml:space="preserve">a document given to, or received by, </w:t>
      </w:r>
      <w:r w:rsidR="00D42E2A" w:rsidRPr="004042EC">
        <w:t>any of the following bodies in connection with the performance of the body’s functions:</w:t>
      </w:r>
    </w:p>
    <w:p w14:paraId="38EAF5C6" w14:textId="77777777" w:rsidR="00D42E2A" w:rsidRPr="004042EC" w:rsidRDefault="00D42E2A" w:rsidP="00EB5160">
      <w:pPr>
        <w:pStyle w:val="paragraphsub"/>
      </w:pPr>
      <w:r w:rsidRPr="004042EC">
        <w:tab/>
        <w:t>(</w:t>
      </w:r>
      <w:proofErr w:type="spellStart"/>
      <w:r w:rsidRPr="004042EC">
        <w:t>i</w:t>
      </w:r>
      <w:proofErr w:type="spellEnd"/>
      <w:r w:rsidRPr="004042EC">
        <w:t>)</w:t>
      </w:r>
      <w:r w:rsidRPr="004042EC">
        <w:tab/>
      </w:r>
      <w:r w:rsidR="00137373" w:rsidRPr="004042EC">
        <w:t>the Parliamentary Workplace Support Service</w:t>
      </w:r>
      <w:r w:rsidRPr="004042EC">
        <w:t>;</w:t>
      </w:r>
    </w:p>
    <w:p w14:paraId="28E37ED4" w14:textId="77777777" w:rsidR="00D42E2A" w:rsidRPr="004042EC" w:rsidRDefault="00D42E2A" w:rsidP="00EB5160">
      <w:pPr>
        <w:pStyle w:val="paragraphsub"/>
      </w:pPr>
      <w:r w:rsidRPr="004042EC">
        <w:tab/>
        <w:t>(ii)</w:t>
      </w:r>
      <w:r w:rsidRPr="004042EC">
        <w:tab/>
        <w:t>the Parliamentary Workplace Support Service Advisory Board;</w:t>
      </w:r>
    </w:p>
    <w:p w14:paraId="3A8552F3" w14:textId="77777777" w:rsidR="00137373" w:rsidRPr="004042EC" w:rsidRDefault="00D42E2A" w:rsidP="00EB5160">
      <w:pPr>
        <w:pStyle w:val="paragraphsub"/>
      </w:pPr>
      <w:r w:rsidRPr="004042EC">
        <w:tab/>
        <w:t>(iii)</w:t>
      </w:r>
      <w:r w:rsidRPr="004042EC">
        <w:tab/>
        <w:t>the Parliamentary Workplace Support Service Consultative Committee;</w:t>
      </w:r>
      <w:r w:rsidR="00137373" w:rsidRPr="004042EC">
        <w:t xml:space="preserve"> or</w:t>
      </w:r>
    </w:p>
    <w:p w14:paraId="27CBF624" w14:textId="77777777" w:rsidR="00D42E2A" w:rsidRPr="004042EC" w:rsidRDefault="00137373" w:rsidP="00EB5160">
      <w:pPr>
        <w:pStyle w:val="paragraph"/>
      </w:pPr>
      <w:r w:rsidRPr="004042EC">
        <w:tab/>
        <w:t>(b)</w:t>
      </w:r>
      <w:r w:rsidRPr="004042EC">
        <w:tab/>
        <w:t>a document brought into existence by</w:t>
      </w:r>
      <w:r w:rsidR="00D42E2A" w:rsidRPr="004042EC">
        <w:t xml:space="preserve"> any of the bodies mentioned in </w:t>
      </w:r>
      <w:r w:rsidR="004042EC">
        <w:t>paragraph (</w:t>
      </w:r>
      <w:r w:rsidR="00D42E2A" w:rsidRPr="004042EC">
        <w:t>a); or</w:t>
      </w:r>
    </w:p>
    <w:p w14:paraId="56AE8FF4" w14:textId="77777777" w:rsidR="00DE65BD" w:rsidRPr="004042EC" w:rsidRDefault="00E572B4" w:rsidP="00EB5160">
      <w:pPr>
        <w:pStyle w:val="paragraph"/>
      </w:pPr>
      <w:r w:rsidRPr="004042EC">
        <w:tab/>
        <w:t>(c)</w:t>
      </w:r>
      <w:r w:rsidRPr="004042EC">
        <w:tab/>
        <w:t xml:space="preserve">a document </w:t>
      </w:r>
      <w:r w:rsidR="006252DF" w:rsidRPr="004042EC">
        <w:t>transferred</w:t>
      </w:r>
      <w:r w:rsidRPr="004042EC">
        <w:t xml:space="preserve"> to </w:t>
      </w:r>
      <w:r w:rsidR="006252DF" w:rsidRPr="004042EC">
        <w:t>the Parliamentary Workplace Support Service</w:t>
      </w:r>
      <w:r w:rsidR="00DE65BD" w:rsidRPr="004042EC">
        <w:t xml:space="preserve"> under </w:t>
      </w:r>
      <w:r w:rsidR="0006083B" w:rsidRPr="004042EC">
        <w:t>item </w:t>
      </w:r>
      <w:r w:rsidR="007F7FEC" w:rsidRPr="004042EC">
        <w:t>4</w:t>
      </w:r>
      <w:r w:rsidR="00DE65BD" w:rsidRPr="004042EC">
        <w:t xml:space="preserve"> of </w:t>
      </w:r>
      <w:r w:rsidR="0018375D" w:rsidRPr="004042EC">
        <w:t>Schedule 2</w:t>
      </w:r>
      <w:r w:rsidR="00DE65BD" w:rsidRPr="004042EC">
        <w:t xml:space="preserve"> to the </w:t>
      </w:r>
      <w:r w:rsidR="00DE65BD" w:rsidRPr="004042EC">
        <w:rPr>
          <w:i/>
        </w:rPr>
        <w:t>Parliamentary Workplace Support Service (Consequential Amendments and Transitional Provisions) Act 2023</w:t>
      </w:r>
      <w:r w:rsidR="00DE65BD" w:rsidRPr="004042EC">
        <w:t>;</w:t>
      </w:r>
    </w:p>
    <w:p w14:paraId="01D56B6C" w14:textId="77777777" w:rsidR="00DE65BD" w:rsidRPr="004042EC" w:rsidRDefault="00DE65BD" w:rsidP="00EB5160">
      <w:pPr>
        <w:pStyle w:val="subsection2"/>
      </w:pPr>
      <w:r w:rsidRPr="004042EC">
        <w:t>but does not include a document relating</w:t>
      </w:r>
      <w:r w:rsidR="0075553E" w:rsidRPr="004042EC">
        <w:t xml:space="preserve"> </w:t>
      </w:r>
      <w:r w:rsidRPr="004042EC">
        <w:t xml:space="preserve">to the administration of </w:t>
      </w:r>
      <w:r w:rsidR="00C669FD" w:rsidRPr="004042EC">
        <w:t xml:space="preserve">any of the bodies mentioned in </w:t>
      </w:r>
      <w:r w:rsidR="004042EC">
        <w:t>paragraph (</w:t>
      </w:r>
      <w:r w:rsidR="00C669FD" w:rsidRPr="004042EC">
        <w:t>a)</w:t>
      </w:r>
      <w:r w:rsidRPr="004042EC">
        <w:t>.</w:t>
      </w:r>
    </w:p>
    <w:p w14:paraId="7386B14C" w14:textId="77777777" w:rsidR="007A1399" w:rsidRPr="004042EC" w:rsidRDefault="002E610C" w:rsidP="00EB5160">
      <w:pPr>
        <w:pStyle w:val="ItemHead"/>
      </w:pPr>
      <w:r w:rsidRPr="004042EC">
        <w:t>3</w:t>
      </w:r>
      <w:r w:rsidR="007A1399" w:rsidRPr="004042EC">
        <w:t xml:space="preserve">  </w:t>
      </w:r>
      <w:r w:rsidR="00361D53" w:rsidRPr="004042EC">
        <w:t>Subsection 3</w:t>
      </w:r>
      <w:r w:rsidR="007A1399" w:rsidRPr="004042EC">
        <w:t>(7) (note)</w:t>
      </w:r>
    </w:p>
    <w:p w14:paraId="114CB11E" w14:textId="77777777" w:rsidR="007A1399" w:rsidRPr="004042EC" w:rsidRDefault="007A1399" w:rsidP="00EB5160">
      <w:pPr>
        <w:pStyle w:val="Item"/>
      </w:pPr>
      <w:r w:rsidRPr="004042EC">
        <w:t>Repeal the note, substitute:</w:t>
      </w:r>
    </w:p>
    <w:p w14:paraId="463383B8" w14:textId="77777777" w:rsidR="007A1399" w:rsidRPr="004042EC" w:rsidRDefault="007A1399" w:rsidP="00EB5160">
      <w:pPr>
        <w:pStyle w:val="notetext"/>
      </w:pPr>
      <w:r w:rsidRPr="004042EC">
        <w:t>Note:</w:t>
      </w:r>
      <w:r w:rsidRPr="004042EC">
        <w:tab/>
        <w:t>The following have different open access periods:</w:t>
      </w:r>
    </w:p>
    <w:p w14:paraId="4151100C" w14:textId="77777777" w:rsidR="007A1399" w:rsidRPr="004042EC" w:rsidRDefault="007A1399" w:rsidP="00EB5160">
      <w:pPr>
        <w:pStyle w:val="notepara"/>
      </w:pPr>
      <w:r w:rsidRPr="004042EC">
        <w:t>(a)</w:t>
      </w:r>
      <w:r w:rsidRPr="004042EC">
        <w:tab/>
        <w:t xml:space="preserve">Cabinet notebooks (see </w:t>
      </w:r>
      <w:r w:rsidR="00361D53" w:rsidRPr="004042EC">
        <w:t>section 2</w:t>
      </w:r>
      <w:r w:rsidRPr="004042EC">
        <w:t>2A);</w:t>
      </w:r>
    </w:p>
    <w:p w14:paraId="5DE16CE8" w14:textId="77777777" w:rsidR="007A1399" w:rsidRPr="004042EC" w:rsidRDefault="007A1399" w:rsidP="00EB5160">
      <w:pPr>
        <w:pStyle w:val="notepara"/>
      </w:pPr>
      <w:r w:rsidRPr="004042EC">
        <w:t>(b)</w:t>
      </w:r>
      <w:r w:rsidRPr="004042EC">
        <w:tab/>
        <w:t xml:space="preserve">records containing Census information (see </w:t>
      </w:r>
      <w:r w:rsidR="00361D53" w:rsidRPr="004042EC">
        <w:t>section 2</w:t>
      </w:r>
      <w:r w:rsidRPr="004042EC">
        <w:t>2B);</w:t>
      </w:r>
    </w:p>
    <w:p w14:paraId="2C1BE43D" w14:textId="77777777" w:rsidR="007A1399" w:rsidRPr="004042EC" w:rsidRDefault="007A1399" w:rsidP="00EB5160">
      <w:pPr>
        <w:pStyle w:val="notepara"/>
      </w:pPr>
      <w:r w:rsidRPr="004042EC">
        <w:t>(c)</w:t>
      </w:r>
      <w:r w:rsidRPr="004042EC">
        <w:tab/>
        <w:t>Independent Review documents</w:t>
      </w:r>
      <w:r w:rsidR="005352D5" w:rsidRPr="004042EC">
        <w:t xml:space="preserve"> and </w:t>
      </w:r>
      <w:proofErr w:type="spellStart"/>
      <w:r w:rsidRPr="004042EC">
        <w:t>PWSS</w:t>
      </w:r>
      <w:proofErr w:type="spellEnd"/>
      <w:r w:rsidRPr="004042EC">
        <w:t xml:space="preserve"> documents (see </w:t>
      </w:r>
      <w:r w:rsidR="00361D53" w:rsidRPr="004042EC">
        <w:t>section 2</w:t>
      </w:r>
      <w:r w:rsidRPr="004042EC">
        <w:t>2</w:t>
      </w:r>
      <w:r w:rsidR="005352D5" w:rsidRPr="004042EC">
        <w:t>C</w:t>
      </w:r>
      <w:r w:rsidRPr="004042EC">
        <w:t>).</w:t>
      </w:r>
    </w:p>
    <w:p w14:paraId="450FB779" w14:textId="77777777" w:rsidR="0041007B" w:rsidRPr="004042EC" w:rsidRDefault="002E610C" w:rsidP="00EB5160">
      <w:pPr>
        <w:pStyle w:val="ItemHead"/>
      </w:pPr>
      <w:r w:rsidRPr="004042EC">
        <w:lastRenderedPageBreak/>
        <w:t>4</w:t>
      </w:r>
      <w:r w:rsidR="0041007B" w:rsidRPr="004042EC">
        <w:t xml:space="preserve">  </w:t>
      </w:r>
      <w:r w:rsidR="00361D53" w:rsidRPr="004042EC">
        <w:t>Section 2</w:t>
      </w:r>
      <w:r w:rsidR="0041007B" w:rsidRPr="004042EC">
        <w:t>2C (at the end of the heading)</w:t>
      </w:r>
    </w:p>
    <w:p w14:paraId="06FE8975" w14:textId="77777777" w:rsidR="0041007B" w:rsidRPr="004042EC" w:rsidRDefault="0041007B" w:rsidP="00EB5160">
      <w:pPr>
        <w:pStyle w:val="Item"/>
      </w:pPr>
      <w:r w:rsidRPr="004042EC">
        <w:t>Add “</w:t>
      </w:r>
      <w:r w:rsidRPr="004042EC">
        <w:rPr>
          <w:b/>
        </w:rPr>
        <w:t xml:space="preserve">and </w:t>
      </w:r>
      <w:proofErr w:type="spellStart"/>
      <w:r w:rsidRPr="004042EC">
        <w:rPr>
          <w:b/>
        </w:rPr>
        <w:t>PWSS</w:t>
      </w:r>
      <w:proofErr w:type="spellEnd"/>
      <w:r w:rsidRPr="004042EC">
        <w:rPr>
          <w:b/>
        </w:rPr>
        <w:t xml:space="preserve"> documents</w:t>
      </w:r>
      <w:r w:rsidRPr="004042EC">
        <w:t>”.</w:t>
      </w:r>
    </w:p>
    <w:p w14:paraId="6DEC0194" w14:textId="77777777" w:rsidR="007A1399" w:rsidRPr="004042EC" w:rsidRDefault="002E610C" w:rsidP="00EB5160">
      <w:pPr>
        <w:pStyle w:val="ItemHead"/>
      </w:pPr>
      <w:r w:rsidRPr="004042EC">
        <w:t>5</w:t>
      </w:r>
      <w:r w:rsidR="007A1399" w:rsidRPr="004042EC">
        <w:t xml:space="preserve">  </w:t>
      </w:r>
      <w:r w:rsidR="00361D53" w:rsidRPr="004042EC">
        <w:t>Subsection 2</w:t>
      </w:r>
      <w:r w:rsidR="007A1399" w:rsidRPr="004042EC">
        <w:t>2C</w:t>
      </w:r>
      <w:r w:rsidR="005352D5" w:rsidRPr="004042EC">
        <w:t>(1)</w:t>
      </w:r>
    </w:p>
    <w:p w14:paraId="12056DD3" w14:textId="77777777" w:rsidR="005352D5" w:rsidRPr="004042EC" w:rsidRDefault="005352D5" w:rsidP="00EB5160">
      <w:pPr>
        <w:pStyle w:val="Item"/>
      </w:pPr>
      <w:r w:rsidRPr="004042EC">
        <w:t xml:space="preserve">After “Independent Review document”, insert “or a </w:t>
      </w:r>
      <w:proofErr w:type="spellStart"/>
      <w:r w:rsidRPr="004042EC">
        <w:t>PWSS</w:t>
      </w:r>
      <w:proofErr w:type="spellEnd"/>
      <w:r w:rsidRPr="004042EC">
        <w:t xml:space="preserve"> document”.</w:t>
      </w:r>
    </w:p>
    <w:p w14:paraId="7552F038" w14:textId="77777777" w:rsidR="00522F95" w:rsidRPr="004042EC" w:rsidRDefault="002E610C" w:rsidP="00EB5160">
      <w:pPr>
        <w:pStyle w:val="ItemHead"/>
      </w:pPr>
      <w:r w:rsidRPr="004042EC">
        <w:t>6</w:t>
      </w:r>
      <w:r w:rsidR="00522F95" w:rsidRPr="004042EC">
        <w:t xml:space="preserve">  After </w:t>
      </w:r>
      <w:r w:rsidR="0018375D" w:rsidRPr="004042EC">
        <w:t>subsection 2</w:t>
      </w:r>
      <w:r w:rsidR="00522F95" w:rsidRPr="004042EC">
        <w:t>2C(2)</w:t>
      </w:r>
    </w:p>
    <w:p w14:paraId="09D699DF" w14:textId="77777777" w:rsidR="00522F95" w:rsidRPr="004042EC" w:rsidRDefault="00522F95" w:rsidP="00EB5160">
      <w:pPr>
        <w:pStyle w:val="Item"/>
      </w:pPr>
      <w:r w:rsidRPr="004042EC">
        <w:t>Insert:</w:t>
      </w:r>
    </w:p>
    <w:p w14:paraId="08D9A781" w14:textId="77777777" w:rsidR="00522F95" w:rsidRPr="004042EC" w:rsidRDefault="00522F95" w:rsidP="00EB5160">
      <w:pPr>
        <w:pStyle w:val="subsection"/>
      </w:pPr>
      <w:r w:rsidRPr="004042EC">
        <w:tab/>
        <w:t>(2A)</w:t>
      </w:r>
      <w:r w:rsidRPr="004042EC">
        <w:tab/>
        <w:t xml:space="preserve">Subsection (1) applies in relation to a </w:t>
      </w:r>
      <w:proofErr w:type="spellStart"/>
      <w:r w:rsidRPr="004042EC">
        <w:t>PWSS</w:t>
      </w:r>
      <w:proofErr w:type="spellEnd"/>
      <w:r w:rsidRPr="004042EC">
        <w:t xml:space="preserve"> document, whether the document is brought into existence before, on or after the commencement of this subsection.</w:t>
      </w:r>
    </w:p>
    <w:p w14:paraId="20FBA8C7" w14:textId="77777777" w:rsidR="00522F95" w:rsidRPr="004042EC" w:rsidRDefault="002E610C" w:rsidP="00EB5160">
      <w:pPr>
        <w:pStyle w:val="ItemHead"/>
      </w:pPr>
      <w:r w:rsidRPr="004042EC">
        <w:t>7</w:t>
      </w:r>
      <w:r w:rsidR="00522F95" w:rsidRPr="004042EC">
        <w:t xml:space="preserve">  Subsection 22C(3)</w:t>
      </w:r>
    </w:p>
    <w:p w14:paraId="71869482" w14:textId="77777777" w:rsidR="00522F95" w:rsidRPr="004042EC" w:rsidRDefault="00522F95" w:rsidP="00EB5160">
      <w:pPr>
        <w:pStyle w:val="Item"/>
      </w:pPr>
      <w:r w:rsidRPr="004042EC">
        <w:t xml:space="preserve">After “Independent Review document”, insert “or a </w:t>
      </w:r>
      <w:proofErr w:type="spellStart"/>
      <w:r w:rsidRPr="004042EC">
        <w:t>PWSS</w:t>
      </w:r>
      <w:proofErr w:type="spellEnd"/>
      <w:r w:rsidRPr="004042EC">
        <w:t xml:space="preserve"> document”.</w:t>
      </w:r>
    </w:p>
    <w:p w14:paraId="52FC4499" w14:textId="77777777" w:rsidR="008A165F" w:rsidRPr="004042EC" w:rsidRDefault="008A165F" w:rsidP="00EB5160">
      <w:pPr>
        <w:pStyle w:val="ActHead9"/>
      </w:pPr>
      <w:bookmarkStart w:id="8" w:name="_Hlk137115341"/>
      <w:bookmarkStart w:id="9" w:name="_Toc146275467"/>
      <w:r w:rsidRPr="004042EC">
        <w:t>Freedom of Information Act 1982</w:t>
      </w:r>
      <w:bookmarkEnd w:id="9"/>
    </w:p>
    <w:p w14:paraId="32E087B6" w14:textId="77777777" w:rsidR="00D92083" w:rsidRPr="004042EC" w:rsidRDefault="002E610C" w:rsidP="00EB5160">
      <w:pPr>
        <w:pStyle w:val="ItemHead"/>
      </w:pPr>
      <w:r w:rsidRPr="004042EC">
        <w:t>8</w:t>
      </w:r>
      <w:r w:rsidR="00D92083" w:rsidRPr="004042EC">
        <w:t xml:space="preserve">  After subsection 7(2AA)</w:t>
      </w:r>
    </w:p>
    <w:p w14:paraId="6AC31AB2" w14:textId="77777777" w:rsidR="00D92083" w:rsidRPr="004042EC" w:rsidRDefault="00D92083" w:rsidP="00EB5160">
      <w:pPr>
        <w:pStyle w:val="Item"/>
      </w:pPr>
      <w:r w:rsidRPr="004042EC">
        <w:t>Insert:</w:t>
      </w:r>
    </w:p>
    <w:p w14:paraId="59E406BD" w14:textId="77777777" w:rsidR="00D92083" w:rsidRPr="004042EC" w:rsidRDefault="00D92083" w:rsidP="00EB5160">
      <w:pPr>
        <w:pStyle w:val="subsection"/>
      </w:pPr>
      <w:r w:rsidRPr="004042EC">
        <w:tab/>
        <w:t>(2AAA)</w:t>
      </w:r>
      <w:r w:rsidRPr="004042EC">
        <w:tab/>
        <w:t>The following bodies are taken not to be prescribed authorities for the purposes of this Act:</w:t>
      </w:r>
    </w:p>
    <w:p w14:paraId="1BE365F7" w14:textId="77777777" w:rsidR="00D92083" w:rsidRPr="004042EC" w:rsidRDefault="00D92083" w:rsidP="00EB5160">
      <w:pPr>
        <w:pStyle w:val="paragraph"/>
      </w:pPr>
      <w:r w:rsidRPr="004042EC">
        <w:tab/>
        <w:t>(a)</w:t>
      </w:r>
      <w:r w:rsidRPr="004042EC">
        <w:tab/>
        <w:t>the Parliamentary Workplace Support Service;</w:t>
      </w:r>
    </w:p>
    <w:p w14:paraId="7DCB7E62" w14:textId="77777777" w:rsidR="00D92083" w:rsidRPr="004042EC" w:rsidRDefault="00D92083" w:rsidP="00EB5160">
      <w:pPr>
        <w:pStyle w:val="paragraph"/>
      </w:pPr>
      <w:r w:rsidRPr="004042EC">
        <w:tab/>
        <w:t>(b)</w:t>
      </w:r>
      <w:r w:rsidRPr="004042EC">
        <w:tab/>
        <w:t>the Parliamentary Workplace Support Service Advisory Board;</w:t>
      </w:r>
    </w:p>
    <w:p w14:paraId="02BC64A6" w14:textId="77777777" w:rsidR="00D92083" w:rsidRPr="004042EC" w:rsidRDefault="00D92083" w:rsidP="00EB5160">
      <w:pPr>
        <w:pStyle w:val="paragraph"/>
      </w:pPr>
      <w:r w:rsidRPr="004042EC">
        <w:tab/>
        <w:t>(c)</w:t>
      </w:r>
      <w:r w:rsidRPr="004042EC">
        <w:tab/>
        <w:t>the Parliamentary Workplace Support Service Consultative Committee.</w:t>
      </w:r>
    </w:p>
    <w:p w14:paraId="106DEF47" w14:textId="77777777" w:rsidR="001E732C" w:rsidRPr="004042EC" w:rsidRDefault="002E610C" w:rsidP="00EB5160">
      <w:pPr>
        <w:pStyle w:val="ItemHead"/>
      </w:pPr>
      <w:r w:rsidRPr="004042EC">
        <w:t>9</w:t>
      </w:r>
      <w:r w:rsidR="001E732C" w:rsidRPr="004042EC">
        <w:t xml:space="preserve">  After </w:t>
      </w:r>
      <w:r w:rsidR="00D92083" w:rsidRPr="004042EC">
        <w:t>subsection 7</w:t>
      </w:r>
      <w:r w:rsidR="001E732C" w:rsidRPr="004042EC">
        <w:t>(2DB)</w:t>
      </w:r>
    </w:p>
    <w:p w14:paraId="64812865" w14:textId="77777777" w:rsidR="001E732C" w:rsidRPr="004042EC" w:rsidRDefault="001E732C" w:rsidP="00EB5160">
      <w:pPr>
        <w:pStyle w:val="Item"/>
      </w:pPr>
      <w:r w:rsidRPr="004042EC">
        <w:t>Insert:</w:t>
      </w:r>
    </w:p>
    <w:p w14:paraId="49F7A4F9" w14:textId="77777777" w:rsidR="00EC4FD6" w:rsidRPr="004042EC" w:rsidRDefault="001D053B" w:rsidP="00EB5160">
      <w:pPr>
        <w:pStyle w:val="subsection"/>
      </w:pPr>
      <w:r w:rsidRPr="004042EC">
        <w:tab/>
      </w:r>
      <w:r w:rsidR="001E732C" w:rsidRPr="004042EC">
        <w:t>(2D</w:t>
      </w:r>
      <w:r w:rsidR="00D92083" w:rsidRPr="004042EC">
        <w:t>C</w:t>
      </w:r>
      <w:r w:rsidR="001E732C" w:rsidRPr="004042EC">
        <w:t>)</w:t>
      </w:r>
      <w:r w:rsidR="001E732C" w:rsidRPr="004042EC">
        <w:tab/>
      </w:r>
      <w:r w:rsidR="00EC4FD6" w:rsidRPr="004042EC">
        <w:t>A Minister and an agency are exempt from the operation of this Act in relation to the following documents (regardless of when the documents were brought into existence):</w:t>
      </w:r>
    </w:p>
    <w:p w14:paraId="3C80CF15" w14:textId="77777777" w:rsidR="00EC4FD6" w:rsidRPr="004042EC" w:rsidRDefault="001E732C" w:rsidP="00EB5160">
      <w:pPr>
        <w:pStyle w:val="paragraph"/>
      </w:pPr>
      <w:r w:rsidRPr="004042EC">
        <w:tab/>
      </w:r>
      <w:r w:rsidR="00EC4FD6" w:rsidRPr="004042EC">
        <w:t>(a)</w:t>
      </w:r>
      <w:r w:rsidR="00EC4FD6" w:rsidRPr="004042EC">
        <w:tab/>
        <w:t xml:space="preserve">a document given to, or received by, </w:t>
      </w:r>
      <w:r w:rsidR="001D053B" w:rsidRPr="004042EC">
        <w:t xml:space="preserve">a body listed in </w:t>
      </w:r>
      <w:r w:rsidR="00D92083" w:rsidRPr="004042EC">
        <w:t>subsection (</w:t>
      </w:r>
      <w:r w:rsidR="001D053B" w:rsidRPr="004042EC">
        <w:t>2</w:t>
      </w:r>
      <w:r w:rsidR="00D92083" w:rsidRPr="004042EC">
        <w:t>AAA</w:t>
      </w:r>
      <w:r w:rsidR="001D053B" w:rsidRPr="004042EC">
        <w:t>)</w:t>
      </w:r>
      <w:r w:rsidR="00EC4FD6" w:rsidRPr="004042EC">
        <w:t xml:space="preserve"> in connection with the performance of </w:t>
      </w:r>
      <w:r w:rsidR="001D053B" w:rsidRPr="004042EC">
        <w:t>the body’s</w:t>
      </w:r>
      <w:r w:rsidR="00EC4FD6" w:rsidRPr="004042EC">
        <w:t xml:space="preserve"> functions;</w:t>
      </w:r>
    </w:p>
    <w:p w14:paraId="34951E50" w14:textId="77777777" w:rsidR="00EC4FD6" w:rsidRPr="004042EC" w:rsidRDefault="00EC4FD6" w:rsidP="00EB5160">
      <w:pPr>
        <w:pStyle w:val="paragraph"/>
      </w:pPr>
      <w:r w:rsidRPr="004042EC">
        <w:lastRenderedPageBreak/>
        <w:tab/>
        <w:t>(b)</w:t>
      </w:r>
      <w:r w:rsidRPr="004042EC">
        <w:tab/>
        <w:t xml:space="preserve">a document brought into existence by </w:t>
      </w:r>
      <w:r w:rsidR="001D053B" w:rsidRPr="004042EC">
        <w:t xml:space="preserve">a body listed in </w:t>
      </w:r>
      <w:r w:rsidR="00D92083" w:rsidRPr="004042EC">
        <w:t>subsection (</w:t>
      </w:r>
      <w:r w:rsidR="001D053B" w:rsidRPr="004042EC">
        <w:t>2</w:t>
      </w:r>
      <w:r w:rsidR="00D92083" w:rsidRPr="004042EC">
        <w:t>AAA</w:t>
      </w:r>
      <w:r w:rsidR="001D053B" w:rsidRPr="004042EC">
        <w:t>)</w:t>
      </w:r>
      <w:r w:rsidRPr="004042EC">
        <w:t>.</w:t>
      </w:r>
    </w:p>
    <w:p w14:paraId="57B8BA0E" w14:textId="77777777" w:rsidR="00EC4FD6" w:rsidRPr="004042EC" w:rsidRDefault="00EC4FD6" w:rsidP="00EB5160">
      <w:pPr>
        <w:pStyle w:val="subsection"/>
      </w:pPr>
      <w:r w:rsidRPr="004042EC">
        <w:tab/>
        <w:t>(2D</w:t>
      </w:r>
      <w:r w:rsidR="00D92083" w:rsidRPr="004042EC">
        <w:t>D</w:t>
      </w:r>
      <w:r w:rsidRPr="004042EC">
        <w:t>)</w:t>
      </w:r>
      <w:r w:rsidRPr="004042EC">
        <w:tab/>
        <w:t xml:space="preserve">A Minister and an agency are not exempt under </w:t>
      </w:r>
      <w:r w:rsidR="004042EC">
        <w:t>paragraph (</w:t>
      </w:r>
      <w:r w:rsidRPr="004042EC">
        <w:t>2D</w:t>
      </w:r>
      <w:r w:rsidR="00D92083" w:rsidRPr="004042EC">
        <w:t>C</w:t>
      </w:r>
      <w:r w:rsidRPr="004042EC">
        <w:t xml:space="preserve">)(a) from the operation of this Act in relation to documents created other than in connection with the performance of the functions of </w:t>
      </w:r>
      <w:r w:rsidR="001D053B" w:rsidRPr="004042EC">
        <w:t xml:space="preserve">a body listed in </w:t>
      </w:r>
      <w:r w:rsidR="00D92083" w:rsidRPr="004042EC">
        <w:t>subsection (</w:t>
      </w:r>
      <w:r w:rsidR="001D053B" w:rsidRPr="004042EC">
        <w:t>2</w:t>
      </w:r>
      <w:r w:rsidR="00D92083" w:rsidRPr="004042EC">
        <w:t>AAA</w:t>
      </w:r>
      <w:r w:rsidR="001D053B" w:rsidRPr="004042EC">
        <w:t>)</w:t>
      </w:r>
      <w:r w:rsidRPr="004042EC">
        <w:t xml:space="preserve"> to which a right of access otherwise exists or existed under th</w:t>
      </w:r>
      <w:r w:rsidR="00917292" w:rsidRPr="004042EC">
        <w:t>is</w:t>
      </w:r>
      <w:r w:rsidRPr="004042EC">
        <w:t xml:space="preserve"> Act.</w:t>
      </w:r>
    </w:p>
    <w:p w14:paraId="64C68081" w14:textId="77777777" w:rsidR="009A78E9" w:rsidRPr="004042EC" w:rsidRDefault="00CA7A5D" w:rsidP="00EB5160">
      <w:pPr>
        <w:pStyle w:val="ActHead9"/>
      </w:pPr>
      <w:bookmarkStart w:id="10" w:name="_Toc146275468"/>
      <w:bookmarkEnd w:id="8"/>
      <w:r w:rsidRPr="004042EC">
        <w:t xml:space="preserve">Parliamentary Service </w:t>
      </w:r>
      <w:r w:rsidR="0006083B" w:rsidRPr="004042EC">
        <w:t>Determination 2</w:t>
      </w:r>
      <w:r w:rsidRPr="004042EC">
        <w:t>013</w:t>
      </w:r>
      <w:bookmarkEnd w:id="10"/>
    </w:p>
    <w:p w14:paraId="2E3CB167" w14:textId="77777777" w:rsidR="00B74502" w:rsidRPr="004042EC" w:rsidRDefault="002E610C" w:rsidP="00EB5160">
      <w:pPr>
        <w:pStyle w:val="ItemHead"/>
      </w:pPr>
      <w:r w:rsidRPr="004042EC">
        <w:t>10</w:t>
      </w:r>
      <w:r w:rsidR="00CA7A5D" w:rsidRPr="004042EC">
        <w:t xml:space="preserve">  </w:t>
      </w:r>
      <w:r w:rsidR="009218D6" w:rsidRPr="004042EC">
        <w:t>Clause 1</w:t>
      </w:r>
      <w:r w:rsidR="00B74502" w:rsidRPr="004042EC">
        <w:t>12B</w:t>
      </w:r>
    </w:p>
    <w:p w14:paraId="696E7C68" w14:textId="77777777" w:rsidR="00B74502" w:rsidRPr="004042EC" w:rsidRDefault="00B74502" w:rsidP="00EB5160">
      <w:pPr>
        <w:pStyle w:val="Item"/>
      </w:pPr>
      <w:r w:rsidRPr="004042EC">
        <w:t>Repeal the clause.</w:t>
      </w:r>
    </w:p>
    <w:p w14:paraId="4EA78044" w14:textId="77777777" w:rsidR="0060592D" w:rsidRPr="004042EC" w:rsidRDefault="0060592D" w:rsidP="00EB5160">
      <w:pPr>
        <w:pStyle w:val="ItemHead"/>
      </w:pPr>
      <w:r w:rsidRPr="004042EC">
        <w:t xml:space="preserve">11  </w:t>
      </w:r>
      <w:r w:rsidR="009218D6" w:rsidRPr="004042EC">
        <w:t>Schedule 1</w:t>
      </w:r>
    </w:p>
    <w:p w14:paraId="0AF08C6B" w14:textId="77777777" w:rsidR="0060592D" w:rsidRPr="004042EC" w:rsidRDefault="0060592D" w:rsidP="00EB5160">
      <w:pPr>
        <w:pStyle w:val="Item"/>
      </w:pPr>
      <w:r w:rsidRPr="004042EC">
        <w:t>Repeal the following definitions:</w:t>
      </w:r>
    </w:p>
    <w:p w14:paraId="4947A4EF" w14:textId="77777777" w:rsidR="0060592D" w:rsidRPr="004042EC" w:rsidRDefault="0060592D" w:rsidP="00EB5160">
      <w:pPr>
        <w:pStyle w:val="paragraph"/>
      </w:pPr>
      <w:r w:rsidRPr="004042EC">
        <w:tab/>
        <w:t>(a)</w:t>
      </w:r>
      <w:r w:rsidRPr="004042EC">
        <w:tab/>
        <w:t xml:space="preserve">definition of </w:t>
      </w:r>
      <w:r w:rsidRPr="004042EC">
        <w:rPr>
          <w:b/>
          <w:i/>
        </w:rPr>
        <w:t>Commonwealth parliamentary workplace</w:t>
      </w:r>
      <w:r w:rsidRPr="004042EC">
        <w:t>;</w:t>
      </w:r>
    </w:p>
    <w:p w14:paraId="5C8F4A47" w14:textId="77777777" w:rsidR="0060592D" w:rsidRPr="004042EC" w:rsidRDefault="0060592D" w:rsidP="00EB5160">
      <w:pPr>
        <w:pStyle w:val="paragraph"/>
      </w:pPr>
      <w:r w:rsidRPr="004042EC">
        <w:tab/>
        <w:t>(b)</w:t>
      </w:r>
      <w:r w:rsidRPr="004042EC">
        <w:tab/>
        <w:t xml:space="preserve">definition of </w:t>
      </w:r>
      <w:r w:rsidRPr="004042EC">
        <w:rPr>
          <w:b/>
          <w:i/>
        </w:rPr>
        <w:t>Commonwealth parliamentary workplace participant</w:t>
      </w:r>
      <w:r w:rsidRPr="004042EC">
        <w:t>;</w:t>
      </w:r>
    </w:p>
    <w:p w14:paraId="00215D63" w14:textId="77777777" w:rsidR="0060592D" w:rsidRPr="004042EC" w:rsidRDefault="0060592D" w:rsidP="00EB5160">
      <w:pPr>
        <w:pStyle w:val="paragraph"/>
      </w:pPr>
      <w:r w:rsidRPr="004042EC">
        <w:tab/>
        <w:t>(c)</w:t>
      </w:r>
      <w:r w:rsidRPr="004042EC">
        <w:tab/>
        <w:t xml:space="preserve">definition of </w:t>
      </w:r>
      <w:r w:rsidRPr="004042EC">
        <w:rPr>
          <w:b/>
          <w:i/>
        </w:rPr>
        <w:t>MOP(S) Act employee</w:t>
      </w:r>
      <w:r w:rsidRPr="004042EC">
        <w:t>;</w:t>
      </w:r>
    </w:p>
    <w:p w14:paraId="1B085F68" w14:textId="77777777" w:rsidR="0060592D" w:rsidRPr="004042EC" w:rsidRDefault="0060592D" w:rsidP="00EB5160">
      <w:pPr>
        <w:pStyle w:val="paragraph"/>
      </w:pPr>
      <w:r w:rsidRPr="004042EC">
        <w:tab/>
        <w:t>(d)</w:t>
      </w:r>
      <w:r w:rsidRPr="004042EC">
        <w:tab/>
        <w:t xml:space="preserve">definition of </w:t>
      </w:r>
      <w:r w:rsidRPr="004042EC">
        <w:rPr>
          <w:b/>
          <w:i/>
        </w:rPr>
        <w:t>parliamentarian</w:t>
      </w:r>
      <w:r w:rsidRPr="004042EC">
        <w:t>;</w:t>
      </w:r>
    </w:p>
    <w:p w14:paraId="2B40D45A" w14:textId="77777777" w:rsidR="00CA7A5D" w:rsidRPr="004042EC" w:rsidRDefault="0060592D" w:rsidP="00EB5160">
      <w:pPr>
        <w:pStyle w:val="paragraph"/>
      </w:pPr>
      <w:r w:rsidRPr="004042EC">
        <w:tab/>
        <w:t>(e)</w:t>
      </w:r>
      <w:r w:rsidRPr="004042EC">
        <w:tab/>
        <w:t xml:space="preserve">definition of </w:t>
      </w:r>
      <w:r w:rsidRPr="004042EC">
        <w:rPr>
          <w:b/>
          <w:i/>
        </w:rPr>
        <w:t>serious incident or misconduct</w:t>
      </w:r>
      <w:r w:rsidRPr="004042EC">
        <w:t>.</w:t>
      </w:r>
    </w:p>
    <w:p w14:paraId="711F5211" w14:textId="77777777" w:rsidR="008D3E94" w:rsidRPr="004042EC" w:rsidRDefault="0018375D" w:rsidP="00EB5160">
      <w:pPr>
        <w:pStyle w:val="ActHead6"/>
        <w:pageBreakBefore/>
      </w:pPr>
      <w:bookmarkStart w:id="11" w:name="_Toc146275469"/>
      <w:r w:rsidRPr="009669D9">
        <w:rPr>
          <w:rStyle w:val="CharAmSchNo"/>
        </w:rPr>
        <w:lastRenderedPageBreak/>
        <w:t>Schedule 2</w:t>
      </w:r>
      <w:r w:rsidR="00EB7B66" w:rsidRPr="004042EC">
        <w:t>—</w:t>
      </w:r>
      <w:r w:rsidR="00EB7B66" w:rsidRPr="009669D9">
        <w:rPr>
          <w:rStyle w:val="CharAmSchText"/>
        </w:rPr>
        <w:t>Application and transitional provisions</w:t>
      </w:r>
      <w:bookmarkEnd w:id="11"/>
    </w:p>
    <w:p w14:paraId="599C3A0E" w14:textId="77777777" w:rsidR="00725BC3" w:rsidRPr="009669D9" w:rsidRDefault="00725BC3" w:rsidP="00EB5160">
      <w:pPr>
        <w:pStyle w:val="Header"/>
      </w:pPr>
      <w:r w:rsidRPr="009669D9">
        <w:rPr>
          <w:rStyle w:val="CharAmPartNo"/>
        </w:rPr>
        <w:t xml:space="preserve"> </w:t>
      </w:r>
      <w:r w:rsidRPr="009669D9">
        <w:rPr>
          <w:rStyle w:val="CharAmPartText"/>
        </w:rPr>
        <w:t xml:space="preserve"> </w:t>
      </w:r>
    </w:p>
    <w:p w14:paraId="596C09DE" w14:textId="77777777" w:rsidR="00E17D30" w:rsidRPr="004042EC" w:rsidRDefault="007F7FEC" w:rsidP="00EB5160">
      <w:pPr>
        <w:pStyle w:val="Transitional"/>
      </w:pPr>
      <w:r w:rsidRPr="004042EC">
        <w:t>1</w:t>
      </w:r>
      <w:r w:rsidR="00E17D30" w:rsidRPr="004042EC">
        <w:t xml:space="preserve">  </w:t>
      </w:r>
      <w:r w:rsidR="00B30669" w:rsidRPr="004042EC">
        <w:t>Definition</w:t>
      </w:r>
      <w:r w:rsidR="00A82486" w:rsidRPr="004042EC">
        <w:t>s</w:t>
      </w:r>
    </w:p>
    <w:p w14:paraId="20C3813C" w14:textId="77777777" w:rsidR="00B30669" w:rsidRPr="004042EC" w:rsidRDefault="00A82486" w:rsidP="00EB5160">
      <w:pPr>
        <w:pStyle w:val="Subitem"/>
      </w:pPr>
      <w:r w:rsidRPr="004042EC">
        <w:t>(1)</w:t>
      </w:r>
      <w:r w:rsidRPr="004042EC">
        <w:tab/>
      </w:r>
      <w:r w:rsidR="00B30669" w:rsidRPr="004042EC">
        <w:t>In this Schedule:</w:t>
      </w:r>
    </w:p>
    <w:p w14:paraId="0741B0BE" w14:textId="77777777" w:rsidR="00B30669" w:rsidRPr="004042EC" w:rsidRDefault="00B30669" w:rsidP="00EB5160">
      <w:pPr>
        <w:pStyle w:val="Item"/>
      </w:pPr>
      <w:proofErr w:type="spellStart"/>
      <w:r w:rsidRPr="004042EC">
        <w:rPr>
          <w:b/>
          <w:i/>
        </w:rPr>
        <w:t>PWSS</w:t>
      </w:r>
      <w:proofErr w:type="spellEnd"/>
      <w:r w:rsidRPr="004042EC">
        <w:rPr>
          <w:b/>
          <w:i/>
        </w:rPr>
        <w:t xml:space="preserve"> Act</w:t>
      </w:r>
      <w:r w:rsidRPr="004042EC">
        <w:t xml:space="preserve"> means the </w:t>
      </w:r>
      <w:r w:rsidRPr="004042EC">
        <w:rPr>
          <w:i/>
        </w:rPr>
        <w:t>Parliamentary Workplace Support Service Act 2023</w:t>
      </w:r>
      <w:r w:rsidRPr="004042EC">
        <w:t>.</w:t>
      </w:r>
    </w:p>
    <w:p w14:paraId="7E26299C" w14:textId="77777777" w:rsidR="00A82486" w:rsidRPr="004042EC" w:rsidRDefault="00A82486" w:rsidP="00EB5160">
      <w:pPr>
        <w:pStyle w:val="Subitem"/>
      </w:pPr>
      <w:r w:rsidRPr="004042EC">
        <w:t>(2)</w:t>
      </w:r>
      <w:r w:rsidRPr="004042EC">
        <w:tab/>
        <w:t xml:space="preserve">A term used in this Schedule that is defined for the purposes of the </w:t>
      </w:r>
      <w:proofErr w:type="spellStart"/>
      <w:r w:rsidRPr="004042EC">
        <w:t>PWSS</w:t>
      </w:r>
      <w:proofErr w:type="spellEnd"/>
      <w:r w:rsidRPr="004042EC">
        <w:t xml:space="preserve"> Act has the same meaning in this Schedule as it has in that Act.</w:t>
      </w:r>
    </w:p>
    <w:p w14:paraId="1917358B" w14:textId="77777777" w:rsidR="00AF14BD" w:rsidRPr="004042EC" w:rsidRDefault="007F7FEC" w:rsidP="00EB5160">
      <w:pPr>
        <w:pStyle w:val="Transitional"/>
      </w:pPr>
      <w:r w:rsidRPr="004042EC">
        <w:t>2</w:t>
      </w:r>
      <w:r w:rsidR="00AF14BD" w:rsidRPr="004042EC">
        <w:t xml:space="preserve">  </w:t>
      </w:r>
      <w:proofErr w:type="spellStart"/>
      <w:r w:rsidR="00AF14BD" w:rsidRPr="004042EC">
        <w:t>PWSS</w:t>
      </w:r>
      <w:proofErr w:type="spellEnd"/>
      <w:r w:rsidR="00AF14BD" w:rsidRPr="004042EC">
        <w:t xml:space="preserve"> may </w:t>
      </w:r>
      <w:r w:rsidR="000822CF" w:rsidRPr="004042EC">
        <w:t>perform functions</w:t>
      </w:r>
      <w:r w:rsidR="00AF14BD" w:rsidRPr="004042EC">
        <w:t xml:space="preserve"> regardless of when alleged relevant conduct occurs</w:t>
      </w:r>
    </w:p>
    <w:p w14:paraId="2A6DD051" w14:textId="77777777" w:rsidR="00AF14BD" w:rsidRPr="004042EC" w:rsidRDefault="00AF14BD" w:rsidP="00EB5160">
      <w:pPr>
        <w:pStyle w:val="Item"/>
      </w:pPr>
      <w:r w:rsidRPr="004042EC">
        <w:t xml:space="preserve">The </w:t>
      </w:r>
      <w:proofErr w:type="spellStart"/>
      <w:r w:rsidRPr="004042EC">
        <w:t>PWSS</w:t>
      </w:r>
      <w:proofErr w:type="spellEnd"/>
      <w:r w:rsidRPr="004042EC">
        <w:t xml:space="preserve"> may </w:t>
      </w:r>
      <w:r w:rsidR="000822CF" w:rsidRPr="004042EC">
        <w:t xml:space="preserve">perform a function under </w:t>
      </w:r>
      <w:r w:rsidRPr="004042EC">
        <w:t xml:space="preserve">section </w:t>
      </w:r>
      <w:r w:rsidR="000D6A25" w:rsidRPr="004042EC">
        <w:t>15</w:t>
      </w:r>
      <w:r w:rsidRPr="004042EC">
        <w:t xml:space="preserve">, </w:t>
      </w:r>
      <w:r w:rsidR="000D6A25" w:rsidRPr="004042EC">
        <w:t>16</w:t>
      </w:r>
      <w:r w:rsidRPr="004042EC">
        <w:t xml:space="preserve"> or 1</w:t>
      </w:r>
      <w:r w:rsidR="000D6A25" w:rsidRPr="004042EC">
        <w:t>9</w:t>
      </w:r>
      <w:r w:rsidRPr="004042EC">
        <w:t xml:space="preserve"> of the </w:t>
      </w:r>
      <w:proofErr w:type="spellStart"/>
      <w:r w:rsidRPr="004042EC">
        <w:t>PWSS</w:t>
      </w:r>
      <w:proofErr w:type="spellEnd"/>
      <w:r w:rsidRPr="004042EC">
        <w:t xml:space="preserve"> Act in relation to alleged relevant conduct that occurs before, on or after the commencement of this item.</w:t>
      </w:r>
    </w:p>
    <w:p w14:paraId="51DD7D74" w14:textId="77777777" w:rsidR="00B30669" w:rsidRPr="004042EC" w:rsidRDefault="007F7FEC" w:rsidP="00EB5160">
      <w:pPr>
        <w:pStyle w:val="Transitional"/>
      </w:pPr>
      <w:r w:rsidRPr="004042EC">
        <w:t>3</w:t>
      </w:r>
      <w:r w:rsidR="009332B4" w:rsidRPr="004042EC">
        <w:t xml:space="preserve">  </w:t>
      </w:r>
      <w:r w:rsidR="00B30669" w:rsidRPr="004042EC">
        <w:t xml:space="preserve">Transfer to the </w:t>
      </w:r>
      <w:proofErr w:type="spellStart"/>
      <w:r w:rsidR="00B30669" w:rsidRPr="004042EC">
        <w:t>PWSS</w:t>
      </w:r>
      <w:proofErr w:type="spellEnd"/>
      <w:r w:rsidR="00B30669" w:rsidRPr="004042EC">
        <w:t xml:space="preserve"> of complaints made before commencement under the existing </w:t>
      </w:r>
      <w:proofErr w:type="spellStart"/>
      <w:r w:rsidR="00B30669" w:rsidRPr="004042EC">
        <w:t>PWSS</w:t>
      </w:r>
      <w:proofErr w:type="spellEnd"/>
      <w:r w:rsidR="00B30669" w:rsidRPr="004042EC">
        <w:t xml:space="preserve"> mechanism</w:t>
      </w:r>
    </w:p>
    <w:p w14:paraId="3922B6AA" w14:textId="77777777" w:rsidR="00B30669" w:rsidRPr="004042EC" w:rsidRDefault="00B30669" w:rsidP="00EB5160">
      <w:pPr>
        <w:pStyle w:val="Subitem"/>
      </w:pPr>
      <w:r w:rsidRPr="004042EC">
        <w:t>(1)</w:t>
      </w:r>
      <w:r w:rsidRPr="004042EC">
        <w:tab/>
        <w:t>This item applies if:</w:t>
      </w:r>
    </w:p>
    <w:p w14:paraId="03C66457" w14:textId="77777777" w:rsidR="00B30669" w:rsidRPr="004042EC" w:rsidRDefault="00B30669" w:rsidP="00EB5160">
      <w:pPr>
        <w:pStyle w:val="paragraph"/>
      </w:pPr>
      <w:r w:rsidRPr="004042EC">
        <w:tab/>
        <w:t>(a)</w:t>
      </w:r>
      <w:r w:rsidRPr="004042EC">
        <w:tab/>
        <w:t xml:space="preserve">a complaint was made before the commencement of this item under the existing </w:t>
      </w:r>
      <w:proofErr w:type="spellStart"/>
      <w:r w:rsidRPr="004042EC">
        <w:t>PWSS</w:t>
      </w:r>
      <w:proofErr w:type="spellEnd"/>
      <w:r w:rsidRPr="004042EC">
        <w:t xml:space="preserve"> mechanism in relation to alleged relevant conduct (within the meaning of the </w:t>
      </w:r>
      <w:proofErr w:type="spellStart"/>
      <w:r w:rsidRPr="004042EC">
        <w:t>PWSS</w:t>
      </w:r>
      <w:proofErr w:type="spellEnd"/>
      <w:r w:rsidRPr="004042EC">
        <w:t xml:space="preserve"> Act); and</w:t>
      </w:r>
    </w:p>
    <w:p w14:paraId="6D040324" w14:textId="77777777" w:rsidR="00B30669" w:rsidRPr="004042EC" w:rsidRDefault="00B30669" w:rsidP="00EB5160">
      <w:pPr>
        <w:pStyle w:val="paragraph"/>
      </w:pPr>
      <w:r w:rsidRPr="004042EC">
        <w:tab/>
        <w:t>(b)</w:t>
      </w:r>
      <w:r w:rsidRPr="004042EC">
        <w:tab/>
        <w:t xml:space="preserve">the </w:t>
      </w:r>
      <w:proofErr w:type="spellStart"/>
      <w:r w:rsidRPr="004042EC">
        <w:t>PWSS</w:t>
      </w:r>
      <w:proofErr w:type="spellEnd"/>
      <w:r w:rsidRPr="004042EC">
        <w:t xml:space="preserve"> would have the power to review the complaint under subsection </w:t>
      </w:r>
      <w:r w:rsidR="000D6A25" w:rsidRPr="004042EC">
        <w:t>19</w:t>
      </w:r>
      <w:r w:rsidRPr="004042EC">
        <w:t xml:space="preserve">(2) of the </w:t>
      </w:r>
      <w:proofErr w:type="spellStart"/>
      <w:r w:rsidRPr="004042EC">
        <w:t>PWSS</w:t>
      </w:r>
      <w:proofErr w:type="spellEnd"/>
      <w:r w:rsidRPr="004042EC">
        <w:t xml:space="preserve"> Act if it were made to the </w:t>
      </w:r>
      <w:proofErr w:type="spellStart"/>
      <w:r w:rsidRPr="004042EC">
        <w:t>PWSS</w:t>
      </w:r>
      <w:proofErr w:type="spellEnd"/>
      <w:r w:rsidRPr="004042EC">
        <w:t xml:space="preserve"> on or after that commencement; and</w:t>
      </w:r>
    </w:p>
    <w:p w14:paraId="4DF97C5B" w14:textId="77777777" w:rsidR="00B30669" w:rsidRPr="004042EC" w:rsidRDefault="00B30669" w:rsidP="00EB5160">
      <w:pPr>
        <w:pStyle w:val="paragraph"/>
      </w:pPr>
      <w:r w:rsidRPr="004042EC">
        <w:tab/>
        <w:t>(c)</w:t>
      </w:r>
      <w:r w:rsidRPr="004042EC">
        <w:tab/>
        <w:t>before that commencement, either:</w:t>
      </w:r>
    </w:p>
    <w:p w14:paraId="772487B2" w14:textId="77777777" w:rsidR="00B30669" w:rsidRPr="004042EC" w:rsidRDefault="00B30669" w:rsidP="00EB5160">
      <w:pPr>
        <w:pStyle w:val="paragraphsub"/>
      </w:pPr>
      <w:r w:rsidRPr="004042EC">
        <w:tab/>
        <w:t>(</w:t>
      </w:r>
      <w:proofErr w:type="spellStart"/>
      <w:r w:rsidRPr="004042EC">
        <w:t>i</w:t>
      </w:r>
      <w:proofErr w:type="spellEnd"/>
      <w:r w:rsidRPr="004042EC">
        <w:t>)</w:t>
      </w:r>
      <w:r w:rsidRPr="004042EC">
        <w:tab/>
        <w:t xml:space="preserve">the complaint had started to be reviewed under the existing </w:t>
      </w:r>
      <w:proofErr w:type="spellStart"/>
      <w:r w:rsidRPr="004042EC">
        <w:t>PWSS</w:t>
      </w:r>
      <w:proofErr w:type="spellEnd"/>
      <w:r w:rsidRPr="004042EC">
        <w:t xml:space="preserve"> mechanism (whether or not the review had been completed); or</w:t>
      </w:r>
    </w:p>
    <w:p w14:paraId="4F76B34C" w14:textId="77777777" w:rsidR="00B30669" w:rsidRPr="004042EC" w:rsidRDefault="00B30669" w:rsidP="00EB5160">
      <w:pPr>
        <w:pStyle w:val="paragraphsub"/>
      </w:pPr>
      <w:r w:rsidRPr="004042EC">
        <w:tab/>
        <w:t>(ii)</w:t>
      </w:r>
      <w:r w:rsidRPr="004042EC">
        <w:tab/>
        <w:t>a decision had not been made under that mechanism whether to review the complaint.</w:t>
      </w:r>
    </w:p>
    <w:p w14:paraId="17C9395D" w14:textId="77777777" w:rsidR="00B30669" w:rsidRPr="004042EC" w:rsidRDefault="00B30669" w:rsidP="00EB5160">
      <w:pPr>
        <w:pStyle w:val="Subitem"/>
      </w:pPr>
      <w:r w:rsidRPr="004042EC">
        <w:t>(2)</w:t>
      </w:r>
      <w:r w:rsidRPr="004042EC">
        <w:tab/>
        <w:t xml:space="preserve">The </w:t>
      </w:r>
      <w:proofErr w:type="spellStart"/>
      <w:r w:rsidRPr="004042EC">
        <w:t>PWSS</w:t>
      </w:r>
      <w:proofErr w:type="spellEnd"/>
      <w:r w:rsidRPr="004042EC">
        <w:t xml:space="preserve"> must deal with the complaint on and after that commencement as if the complaint had been made to the </w:t>
      </w:r>
      <w:proofErr w:type="spellStart"/>
      <w:r w:rsidRPr="004042EC">
        <w:t>PWSS</w:t>
      </w:r>
      <w:proofErr w:type="spellEnd"/>
      <w:r w:rsidRPr="004042EC">
        <w:t xml:space="preserve"> under section </w:t>
      </w:r>
      <w:r w:rsidR="000D6A25" w:rsidRPr="004042EC">
        <w:t>19</w:t>
      </w:r>
      <w:r w:rsidRPr="004042EC">
        <w:t xml:space="preserve"> of the </w:t>
      </w:r>
      <w:proofErr w:type="spellStart"/>
      <w:r w:rsidRPr="004042EC">
        <w:t>PWSS</w:t>
      </w:r>
      <w:proofErr w:type="spellEnd"/>
      <w:r w:rsidRPr="004042EC">
        <w:t xml:space="preserve"> Act, subject to </w:t>
      </w:r>
      <w:r w:rsidR="0006083B" w:rsidRPr="004042EC">
        <w:t>subitems (</w:t>
      </w:r>
      <w:r w:rsidRPr="004042EC">
        <w:t>3) to (5).</w:t>
      </w:r>
    </w:p>
    <w:p w14:paraId="1DAA5498" w14:textId="77777777" w:rsidR="00B30669" w:rsidRPr="004042EC" w:rsidRDefault="00B30669" w:rsidP="00EB5160">
      <w:pPr>
        <w:pStyle w:val="Subitem"/>
      </w:pPr>
      <w:r w:rsidRPr="004042EC">
        <w:lastRenderedPageBreak/>
        <w:t>(3)</w:t>
      </w:r>
      <w:r w:rsidRPr="004042EC">
        <w:tab/>
        <w:t xml:space="preserve">Any steps taken under the existing </w:t>
      </w:r>
      <w:proofErr w:type="spellStart"/>
      <w:r w:rsidRPr="004042EC">
        <w:t>PWSS</w:t>
      </w:r>
      <w:proofErr w:type="spellEnd"/>
      <w:r w:rsidRPr="004042EC">
        <w:t xml:space="preserve"> mechanism for the purposes of according a person procedural fairness in relation to the complaint are taken, on and after that commencement, to have been taken by the </w:t>
      </w:r>
      <w:proofErr w:type="spellStart"/>
      <w:r w:rsidRPr="004042EC">
        <w:t>PWSS</w:t>
      </w:r>
      <w:proofErr w:type="spellEnd"/>
      <w:r w:rsidRPr="004042EC">
        <w:t>.</w:t>
      </w:r>
    </w:p>
    <w:p w14:paraId="2A7BFA5A" w14:textId="77777777" w:rsidR="00B30669" w:rsidRPr="004042EC" w:rsidRDefault="00B30669" w:rsidP="00EB5160">
      <w:pPr>
        <w:pStyle w:val="Subitem"/>
      </w:pPr>
      <w:r w:rsidRPr="004042EC">
        <w:t>(4)</w:t>
      </w:r>
      <w:r w:rsidRPr="004042EC">
        <w:tab/>
        <w:t>If, before that commencement:</w:t>
      </w:r>
    </w:p>
    <w:p w14:paraId="71400BD6" w14:textId="77777777" w:rsidR="00B30669" w:rsidRPr="004042EC" w:rsidRDefault="00B30669" w:rsidP="00EB5160">
      <w:pPr>
        <w:pStyle w:val="paragraph"/>
      </w:pPr>
      <w:r w:rsidRPr="004042EC">
        <w:tab/>
        <w:t>(a)</w:t>
      </w:r>
      <w:r w:rsidRPr="004042EC">
        <w:tab/>
        <w:t xml:space="preserve">a review of the complaint conducted under the existing </w:t>
      </w:r>
      <w:proofErr w:type="spellStart"/>
      <w:r w:rsidRPr="004042EC">
        <w:t>PWSS</w:t>
      </w:r>
      <w:proofErr w:type="spellEnd"/>
      <w:r w:rsidRPr="004042EC">
        <w:t xml:space="preserve"> mechanism had been completed; and</w:t>
      </w:r>
    </w:p>
    <w:p w14:paraId="4112F2F9" w14:textId="77777777" w:rsidR="00B30669" w:rsidRPr="004042EC" w:rsidRDefault="00B30669" w:rsidP="00EB5160">
      <w:pPr>
        <w:pStyle w:val="paragraph"/>
      </w:pPr>
      <w:r w:rsidRPr="004042EC">
        <w:tab/>
        <w:t>(b)</w:t>
      </w:r>
      <w:r w:rsidRPr="004042EC">
        <w:tab/>
        <w:t xml:space="preserve">a decision was made under the existing </w:t>
      </w:r>
      <w:proofErr w:type="spellStart"/>
      <w:r w:rsidRPr="004042EC">
        <w:t>PWSS</w:t>
      </w:r>
      <w:proofErr w:type="spellEnd"/>
      <w:r w:rsidRPr="004042EC">
        <w:t xml:space="preserve"> mechanism about whether the complaint is upheld;</w:t>
      </w:r>
    </w:p>
    <w:p w14:paraId="0F001965" w14:textId="77777777" w:rsidR="00B30669" w:rsidRPr="004042EC" w:rsidRDefault="00B30669" w:rsidP="00EB5160">
      <w:pPr>
        <w:pStyle w:val="Item"/>
      </w:pPr>
      <w:r w:rsidRPr="004042EC">
        <w:t>then:</w:t>
      </w:r>
    </w:p>
    <w:p w14:paraId="11DAF07D" w14:textId="77777777" w:rsidR="00B30669" w:rsidRPr="004042EC" w:rsidRDefault="00B30669" w:rsidP="00EB5160">
      <w:pPr>
        <w:pStyle w:val="paragraph"/>
      </w:pPr>
      <w:r w:rsidRPr="004042EC">
        <w:tab/>
        <w:t>(c)</w:t>
      </w:r>
      <w:r w:rsidRPr="004042EC">
        <w:tab/>
        <w:t xml:space="preserve">the decision is taken, on and after that commencement, to have been made by the </w:t>
      </w:r>
      <w:proofErr w:type="spellStart"/>
      <w:r w:rsidRPr="004042EC">
        <w:t>PWSS</w:t>
      </w:r>
      <w:proofErr w:type="spellEnd"/>
      <w:r w:rsidRPr="004042EC">
        <w:t>; and</w:t>
      </w:r>
    </w:p>
    <w:p w14:paraId="1748B91D" w14:textId="77777777" w:rsidR="00B30669" w:rsidRPr="004042EC" w:rsidRDefault="00B30669" w:rsidP="00EB5160">
      <w:pPr>
        <w:pStyle w:val="paragraph"/>
      </w:pPr>
      <w:r w:rsidRPr="004042EC">
        <w:tab/>
        <w:t>(d)</w:t>
      </w:r>
      <w:r w:rsidRPr="004042EC">
        <w:tab/>
        <w:t>if the complaint was upheld:</w:t>
      </w:r>
    </w:p>
    <w:p w14:paraId="5BF24EDF" w14:textId="77777777" w:rsidR="00B30669" w:rsidRPr="004042EC" w:rsidRDefault="00B30669" w:rsidP="00EB5160">
      <w:pPr>
        <w:pStyle w:val="paragraphsub"/>
      </w:pPr>
      <w:r w:rsidRPr="004042EC">
        <w:tab/>
        <w:t>(</w:t>
      </w:r>
      <w:proofErr w:type="spellStart"/>
      <w:r w:rsidRPr="004042EC">
        <w:t>i</w:t>
      </w:r>
      <w:proofErr w:type="spellEnd"/>
      <w:r w:rsidRPr="004042EC">
        <w:t>)</w:t>
      </w:r>
      <w:r w:rsidRPr="004042EC">
        <w:tab/>
        <w:t xml:space="preserve">any report of the review completed before that commencement is taken, on and after that commencement, to have been prepared by the </w:t>
      </w:r>
      <w:proofErr w:type="spellStart"/>
      <w:r w:rsidRPr="004042EC">
        <w:t>PWSS</w:t>
      </w:r>
      <w:proofErr w:type="spellEnd"/>
      <w:r w:rsidRPr="004042EC">
        <w:t xml:space="preserve"> under subsection </w:t>
      </w:r>
      <w:r w:rsidR="000D6A25" w:rsidRPr="004042EC">
        <w:t>19</w:t>
      </w:r>
      <w:r w:rsidRPr="004042EC">
        <w:t xml:space="preserve">(3) of the </w:t>
      </w:r>
      <w:proofErr w:type="spellStart"/>
      <w:r w:rsidRPr="004042EC">
        <w:t>PWSS</w:t>
      </w:r>
      <w:proofErr w:type="spellEnd"/>
      <w:r w:rsidRPr="004042EC">
        <w:t xml:space="preserve"> Act; and</w:t>
      </w:r>
    </w:p>
    <w:p w14:paraId="79C8A9D5" w14:textId="77777777" w:rsidR="00B30669" w:rsidRPr="004042EC" w:rsidRDefault="00B30669" w:rsidP="00EB5160">
      <w:pPr>
        <w:pStyle w:val="paragraphsub"/>
      </w:pPr>
      <w:r w:rsidRPr="004042EC">
        <w:tab/>
        <w:t>(ii)</w:t>
      </w:r>
      <w:r w:rsidRPr="004042EC">
        <w:tab/>
        <w:t xml:space="preserve">any recommendation made before that commencement under the existing </w:t>
      </w:r>
      <w:proofErr w:type="spellStart"/>
      <w:r w:rsidRPr="004042EC">
        <w:t>PWSS</w:t>
      </w:r>
      <w:proofErr w:type="spellEnd"/>
      <w:r w:rsidRPr="004042EC">
        <w:t xml:space="preserve"> mechanism in relation to the complaint is taken, on and after that commencement, to have been made by the </w:t>
      </w:r>
      <w:proofErr w:type="spellStart"/>
      <w:r w:rsidRPr="004042EC">
        <w:t>PWSS</w:t>
      </w:r>
      <w:proofErr w:type="spellEnd"/>
      <w:r w:rsidRPr="004042EC">
        <w:t>.</w:t>
      </w:r>
    </w:p>
    <w:p w14:paraId="22285501" w14:textId="77777777" w:rsidR="00B30669" w:rsidRPr="004042EC" w:rsidRDefault="00B30669" w:rsidP="00EB5160">
      <w:pPr>
        <w:pStyle w:val="Subitem"/>
      </w:pPr>
      <w:r w:rsidRPr="004042EC">
        <w:t>(5)</w:t>
      </w:r>
      <w:r w:rsidRPr="004042EC">
        <w:tab/>
        <w:t xml:space="preserve">If a report to which </w:t>
      </w:r>
      <w:r w:rsidR="0006083B" w:rsidRPr="004042EC">
        <w:t>sub</w:t>
      </w:r>
      <w:r w:rsidR="004042EC">
        <w:t>paragraph (</w:t>
      </w:r>
      <w:r w:rsidRPr="004042EC">
        <w:t>4)(d)(</w:t>
      </w:r>
      <w:proofErr w:type="spellStart"/>
      <w:r w:rsidRPr="004042EC">
        <w:t>i</w:t>
      </w:r>
      <w:proofErr w:type="spellEnd"/>
      <w:r w:rsidRPr="004042EC">
        <w:t>) applies includes a recommendation to a parliamentarian, then:</w:t>
      </w:r>
    </w:p>
    <w:p w14:paraId="0051CE53" w14:textId="77777777" w:rsidR="00B30669" w:rsidRPr="004042EC" w:rsidRDefault="00B30669" w:rsidP="00EB5160">
      <w:pPr>
        <w:pStyle w:val="paragraph"/>
      </w:pPr>
      <w:r w:rsidRPr="004042EC">
        <w:tab/>
        <w:t>(a)</w:t>
      </w:r>
      <w:r w:rsidRPr="004042EC">
        <w:tab/>
        <w:t xml:space="preserve">the </w:t>
      </w:r>
      <w:proofErr w:type="spellStart"/>
      <w:r w:rsidRPr="004042EC">
        <w:t>PWSS</w:t>
      </w:r>
      <w:proofErr w:type="spellEnd"/>
      <w:r w:rsidRPr="004042EC">
        <w:t xml:space="preserve"> </w:t>
      </w:r>
      <w:r w:rsidR="003C7CA2" w:rsidRPr="004042EC">
        <w:t>must</w:t>
      </w:r>
      <w:r w:rsidRPr="004042EC">
        <w:t xml:space="preserve"> engage with the parliamentarian under subsection </w:t>
      </w:r>
      <w:r w:rsidR="000D6A25" w:rsidRPr="004042EC">
        <w:t>19</w:t>
      </w:r>
      <w:r w:rsidRPr="004042EC">
        <w:t xml:space="preserve">(4) of the </w:t>
      </w:r>
      <w:proofErr w:type="spellStart"/>
      <w:r w:rsidRPr="004042EC">
        <w:t>PWSS</w:t>
      </w:r>
      <w:proofErr w:type="spellEnd"/>
      <w:r w:rsidRPr="004042EC">
        <w:t xml:space="preserve"> Act on and after that commencement in relation to implementing the recommendation; and</w:t>
      </w:r>
    </w:p>
    <w:p w14:paraId="5D64FA27" w14:textId="77777777" w:rsidR="00B30669" w:rsidRPr="004042EC" w:rsidRDefault="00B30669" w:rsidP="00EB5160">
      <w:pPr>
        <w:pStyle w:val="paragraph"/>
      </w:pPr>
      <w:r w:rsidRPr="004042EC">
        <w:tab/>
        <w:t>(b)</w:t>
      </w:r>
      <w:r w:rsidRPr="004042EC">
        <w:tab/>
        <w:t xml:space="preserve">any engagement by the Parliamentary Service Commissioner with the parliamentarian before that commencement in relation to implementing the recommendation is taken to have been carried out by the </w:t>
      </w:r>
      <w:proofErr w:type="spellStart"/>
      <w:r w:rsidRPr="004042EC">
        <w:t>PWSS</w:t>
      </w:r>
      <w:proofErr w:type="spellEnd"/>
      <w:r w:rsidRPr="004042EC">
        <w:t>; and</w:t>
      </w:r>
    </w:p>
    <w:p w14:paraId="05DD8643" w14:textId="77777777" w:rsidR="00A4276E" w:rsidRPr="004042EC" w:rsidRDefault="00B30669" w:rsidP="00EB5160">
      <w:pPr>
        <w:pStyle w:val="paragraph"/>
      </w:pPr>
      <w:r w:rsidRPr="004042EC">
        <w:tab/>
        <w:t>(c)</w:t>
      </w:r>
      <w:r w:rsidRPr="004042EC">
        <w:tab/>
      </w:r>
      <w:r w:rsidR="00A4276E" w:rsidRPr="004042EC">
        <w:t>if the recommendation is not implemented—</w:t>
      </w:r>
      <w:r w:rsidRPr="004042EC">
        <w:t xml:space="preserve">the </w:t>
      </w:r>
      <w:proofErr w:type="spellStart"/>
      <w:r w:rsidRPr="004042EC">
        <w:t>PWSS</w:t>
      </w:r>
      <w:proofErr w:type="spellEnd"/>
      <w:r w:rsidRPr="004042EC">
        <w:t xml:space="preserve"> </w:t>
      </w:r>
      <w:r w:rsidR="00B53246" w:rsidRPr="004042EC">
        <w:t>must</w:t>
      </w:r>
      <w:r w:rsidRPr="004042EC">
        <w:t xml:space="preserve"> </w:t>
      </w:r>
      <w:r w:rsidR="00A4276E" w:rsidRPr="004042EC">
        <w:t xml:space="preserve">under subsection </w:t>
      </w:r>
      <w:r w:rsidR="000D6A25" w:rsidRPr="004042EC">
        <w:t>19</w:t>
      </w:r>
      <w:r w:rsidR="00A4276E" w:rsidRPr="004042EC">
        <w:t xml:space="preserve">(5) of the </w:t>
      </w:r>
      <w:proofErr w:type="spellStart"/>
      <w:r w:rsidR="00A4276E" w:rsidRPr="004042EC">
        <w:t>PWSS</w:t>
      </w:r>
      <w:proofErr w:type="spellEnd"/>
      <w:r w:rsidR="00A4276E" w:rsidRPr="004042EC">
        <w:t xml:space="preserve"> Act </w:t>
      </w:r>
      <w:r w:rsidRPr="004042EC">
        <w:t xml:space="preserve">give a copy of the report to the </w:t>
      </w:r>
      <w:r w:rsidR="00A4276E" w:rsidRPr="004042EC">
        <w:t>President of the Senate or the Speaker of the House of Representatives (as the case requires).</w:t>
      </w:r>
    </w:p>
    <w:p w14:paraId="1E745CE8" w14:textId="77777777" w:rsidR="00B30669" w:rsidRPr="004042EC" w:rsidRDefault="00B30669" w:rsidP="00EB5160">
      <w:pPr>
        <w:pStyle w:val="Subitem"/>
      </w:pPr>
      <w:r w:rsidRPr="004042EC">
        <w:t>(6)</w:t>
      </w:r>
      <w:r w:rsidRPr="004042EC">
        <w:tab/>
        <w:t>In this item:</w:t>
      </w:r>
    </w:p>
    <w:p w14:paraId="711CFC55" w14:textId="77777777" w:rsidR="00B30669" w:rsidRPr="004042EC" w:rsidRDefault="00B30669" w:rsidP="00EB5160">
      <w:pPr>
        <w:pStyle w:val="Item"/>
      </w:pPr>
      <w:r w:rsidRPr="004042EC">
        <w:rPr>
          <w:b/>
          <w:i/>
        </w:rPr>
        <w:lastRenderedPageBreak/>
        <w:t xml:space="preserve">existing </w:t>
      </w:r>
      <w:proofErr w:type="spellStart"/>
      <w:r w:rsidRPr="004042EC">
        <w:rPr>
          <w:b/>
          <w:i/>
        </w:rPr>
        <w:t>PWSS</w:t>
      </w:r>
      <w:proofErr w:type="spellEnd"/>
      <w:r w:rsidRPr="004042EC">
        <w:rPr>
          <w:b/>
          <w:i/>
        </w:rPr>
        <w:t xml:space="preserve"> mechanism</w:t>
      </w:r>
      <w:r w:rsidRPr="004042EC">
        <w:t xml:space="preserve"> means the mechanism established by the Parliamentary Service Commissioner in accordance with </w:t>
      </w:r>
      <w:r w:rsidR="0006083B" w:rsidRPr="004042EC">
        <w:t>paragraph 1</w:t>
      </w:r>
      <w:r w:rsidRPr="004042EC">
        <w:t xml:space="preserve">12B(1)(a) of the </w:t>
      </w:r>
      <w:r w:rsidRPr="004042EC">
        <w:rPr>
          <w:i/>
        </w:rPr>
        <w:t xml:space="preserve">Parliamentary Service </w:t>
      </w:r>
      <w:r w:rsidR="0006083B" w:rsidRPr="004042EC">
        <w:rPr>
          <w:i/>
        </w:rPr>
        <w:t>Determination 2</w:t>
      </w:r>
      <w:r w:rsidRPr="004042EC">
        <w:rPr>
          <w:i/>
        </w:rPr>
        <w:t>013</w:t>
      </w:r>
      <w:r w:rsidRPr="004042EC">
        <w:t>, as in force at any time before the commencement of this item.</w:t>
      </w:r>
    </w:p>
    <w:p w14:paraId="000930BC" w14:textId="77777777" w:rsidR="005067BF" w:rsidRPr="004042EC" w:rsidRDefault="007F7FEC" w:rsidP="00EB5160">
      <w:pPr>
        <w:pStyle w:val="Transitional"/>
      </w:pPr>
      <w:r w:rsidRPr="004042EC">
        <w:t>4</w:t>
      </w:r>
      <w:r w:rsidR="005067BF" w:rsidRPr="004042EC">
        <w:t xml:space="preserve">  </w:t>
      </w:r>
      <w:r w:rsidR="00A80A26" w:rsidRPr="004042EC">
        <w:t>Transfer of records</w:t>
      </w:r>
    </w:p>
    <w:p w14:paraId="7B9F467A" w14:textId="77777777" w:rsidR="001E0446" w:rsidRPr="004042EC" w:rsidRDefault="001E0446" w:rsidP="00EB5160">
      <w:pPr>
        <w:pStyle w:val="Subitem"/>
      </w:pPr>
      <w:r w:rsidRPr="004042EC">
        <w:t>(1)</w:t>
      </w:r>
      <w:r w:rsidRPr="004042EC">
        <w:tab/>
        <w:t xml:space="preserve">Records and documents covered by </w:t>
      </w:r>
      <w:r w:rsidR="00EF5741" w:rsidRPr="004042EC">
        <w:t>subitem (</w:t>
      </w:r>
      <w:r w:rsidRPr="004042EC">
        <w:t xml:space="preserve">2) or (3) are to be transferred to the </w:t>
      </w:r>
      <w:proofErr w:type="spellStart"/>
      <w:r w:rsidRPr="004042EC">
        <w:t>PWSS</w:t>
      </w:r>
      <w:proofErr w:type="spellEnd"/>
      <w:r w:rsidRPr="004042EC">
        <w:t xml:space="preserve"> after the commencement of this item.</w:t>
      </w:r>
    </w:p>
    <w:p w14:paraId="285FC0A4" w14:textId="77777777" w:rsidR="001E0446" w:rsidRPr="004042EC" w:rsidRDefault="001E0446" w:rsidP="00EB5160">
      <w:pPr>
        <w:pStyle w:val="Subitem"/>
      </w:pPr>
      <w:r w:rsidRPr="004042EC">
        <w:t>(2)</w:t>
      </w:r>
      <w:r w:rsidRPr="004042EC">
        <w:tab/>
        <w:t>This subitem covers records or documents that were:</w:t>
      </w:r>
    </w:p>
    <w:p w14:paraId="7C6E20AD" w14:textId="77777777" w:rsidR="001E0446" w:rsidRPr="004042EC" w:rsidRDefault="001E0446" w:rsidP="00EB5160">
      <w:pPr>
        <w:pStyle w:val="paragraph"/>
      </w:pPr>
      <w:r w:rsidRPr="004042EC">
        <w:tab/>
        <w:t>(a)</w:t>
      </w:r>
      <w:r w:rsidRPr="004042EC">
        <w:tab/>
        <w:t xml:space="preserve">in the possession of the agency (within the meaning of the </w:t>
      </w:r>
      <w:r w:rsidRPr="004042EC">
        <w:rPr>
          <w:i/>
        </w:rPr>
        <w:t>Public Service Act 1999</w:t>
      </w:r>
      <w:r w:rsidRPr="004042EC">
        <w:t>) known as the Australian Public Service Commission immediately before the commencement of this item; and</w:t>
      </w:r>
    </w:p>
    <w:p w14:paraId="27E88988" w14:textId="77777777" w:rsidR="001E0446" w:rsidRPr="004042EC" w:rsidRDefault="001E0446" w:rsidP="00EB5160">
      <w:pPr>
        <w:pStyle w:val="paragraph"/>
      </w:pPr>
      <w:r w:rsidRPr="004042EC">
        <w:tab/>
        <w:t>(b)</w:t>
      </w:r>
      <w:r w:rsidRPr="004042EC">
        <w:tab/>
        <w:t>given to, received by, or brought into existence by, that agency for the</w:t>
      </w:r>
      <w:r w:rsidR="00085224" w:rsidRPr="004042EC">
        <w:t xml:space="preserve"> </w:t>
      </w:r>
      <w:r w:rsidRPr="004042EC">
        <w:t>dominant purpose of the performance of a function that:</w:t>
      </w:r>
    </w:p>
    <w:p w14:paraId="1EF0E37A" w14:textId="77777777" w:rsidR="001E0446" w:rsidRPr="004042EC" w:rsidRDefault="001E0446" w:rsidP="00EB5160">
      <w:pPr>
        <w:pStyle w:val="paragraphsub"/>
      </w:pPr>
      <w:r w:rsidRPr="004042EC">
        <w:tab/>
        <w:t>(</w:t>
      </w:r>
      <w:proofErr w:type="spellStart"/>
      <w:r w:rsidRPr="004042EC">
        <w:t>i</w:t>
      </w:r>
      <w:proofErr w:type="spellEnd"/>
      <w:r w:rsidRPr="004042EC">
        <w:t>)</w:t>
      </w:r>
      <w:r w:rsidRPr="004042EC">
        <w:tab/>
        <w:t>was conferred on the Parliamentary Service Commissioner</w:t>
      </w:r>
      <w:r w:rsidR="0047438A" w:rsidRPr="004042EC">
        <w:t xml:space="preserve"> by </w:t>
      </w:r>
      <w:r w:rsidR="005C371A" w:rsidRPr="004042EC">
        <w:t>subclause 1</w:t>
      </w:r>
      <w:r w:rsidR="0047438A" w:rsidRPr="004042EC">
        <w:t xml:space="preserve">12B(1) of the </w:t>
      </w:r>
      <w:r w:rsidR="0047438A" w:rsidRPr="004042EC">
        <w:rPr>
          <w:i/>
        </w:rPr>
        <w:t>Parliamentary Service Determination 2013</w:t>
      </w:r>
      <w:r w:rsidRPr="004042EC">
        <w:t xml:space="preserve"> before that commencement; and</w:t>
      </w:r>
    </w:p>
    <w:p w14:paraId="1A537439" w14:textId="77777777" w:rsidR="001E0446" w:rsidRPr="004042EC" w:rsidRDefault="001E0446" w:rsidP="00EB5160">
      <w:pPr>
        <w:pStyle w:val="paragraphsub"/>
      </w:pPr>
      <w:r w:rsidRPr="004042EC">
        <w:tab/>
        <w:t>(ii)</w:t>
      </w:r>
      <w:r w:rsidRPr="004042EC">
        <w:tab/>
        <w:t xml:space="preserve">is to be performed by the </w:t>
      </w:r>
      <w:proofErr w:type="spellStart"/>
      <w:r w:rsidRPr="004042EC">
        <w:t>PWSS</w:t>
      </w:r>
      <w:proofErr w:type="spellEnd"/>
      <w:r w:rsidRPr="004042EC">
        <w:t xml:space="preserve"> after that commencement.</w:t>
      </w:r>
    </w:p>
    <w:p w14:paraId="0E9E6B54" w14:textId="77777777" w:rsidR="001E0446" w:rsidRPr="004042EC" w:rsidRDefault="001E0446" w:rsidP="00EB5160">
      <w:pPr>
        <w:pStyle w:val="Subitem"/>
      </w:pPr>
      <w:r w:rsidRPr="004042EC">
        <w:t>(3)</w:t>
      </w:r>
      <w:r w:rsidRPr="004042EC">
        <w:tab/>
        <w:t>This subitem covers records or documents that were:</w:t>
      </w:r>
    </w:p>
    <w:p w14:paraId="6E8826F7" w14:textId="77777777" w:rsidR="001E0446" w:rsidRPr="004042EC" w:rsidRDefault="001E0446" w:rsidP="00EB5160">
      <w:pPr>
        <w:pStyle w:val="paragraph"/>
      </w:pPr>
      <w:r w:rsidRPr="004042EC">
        <w:tab/>
        <w:t>(a)</w:t>
      </w:r>
      <w:r w:rsidRPr="004042EC">
        <w:tab/>
        <w:t xml:space="preserve">in the possession of </w:t>
      </w:r>
      <w:r w:rsidR="00F266B9" w:rsidRPr="004042EC">
        <w:t>the Finance Department</w:t>
      </w:r>
      <w:r w:rsidRPr="004042EC">
        <w:t xml:space="preserve"> immediately before the commencement of this item; and</w:t>
      </w:r>
    </w:p>
    <w:p w14:paraId="784BCD6F" w14:textId="77777777" w:rsidR="001E0446" w:rsidRPr="004042EC" w:rsidRDefault="001E0446" w:rsidP="00EB5160">
      <w:pPr>
        <w:pStyle w:val="paragraph"/>
      </w:pPr>
      <w:r w:rsidRPr="004042EC">
        <w:tab/>
        <w:t>(b)</w:t>
      </w:r>
      <w:r w:rsidRPr="004042EC">
        <w:tab/>
        <w:t xml:space="preserve">given to, received by, or brought into existence by, that </w:t>
      </w:r>
      <w:r w:rsidR="00F266B9" w:rsidRPr="004042EC">
        <w:t>Department</w:t>
      </w:r>
      <w:r w:rsidRPr="004042EC">
        <w:t xml:space="preserve"> for the dominant purpose</w:t>
      </w:r>
      <w:r w:rsidR="00085224" w:rsidRPr="004042EC">
        <w:rPr>
          <w:i/>
        </w:rPr>
        <w:t xml:space="preserve"> </w:t>
      </w:r>
      <w:r w:rsidRPr="004042EC">
        <w:t>of the performance of a function that</w:t>
      </w:r>
      <w:r w:rsidR="00F266B9" w:rsidRPr="004042EC">
        <w:t xml:space="preserve"> is to be performed by the </w:t>
      </w:r>
      <w:proofErr w:type="spellStart"/>
      <w:r w:rsidR="00F266B9" w:rsidRPr="004042EC">
        <w:t>PWSS</w:t>
      </w:r>
      <w:proofErr w:type="spellEnd"/>
      <w:r w:rsidR="00F266B9" w:rsidRPr="004042EC">
        <w:t xml:space="preserve"> after that commencement.</w:t>
      </w:r>
    </w:p>
    <w:p w14:paraId="0F151755" w14:textId="77777777" w:rsidR="00F266B9" w:rsidRPr="004042EC" w:rsidRDefault="00F266B9" w:rsidP="00EB5160">
      <w:pPr>
        <w:pStyle w:val="Subitem"/>
      </w:pPr>
      <w:r w:rsidRPr="004042EC">
        <w:t>(4)</w:t>
      </w:r>
      <w:r w:rsidRPr="004042EC">
        <w:tab/>
        <w:t>In this item:</w:t>
      </w:r>
    </w:p>
    <w:p w14:paraId="372CE308" w14:textId="77777777" w:rsidR="00D142B4" w:rsidRPr="004042EC" w:rsidRDefault="00F266B9" w:rsidP="00EB5160">
      <w:pPr>
        <w:pStyle w:val="Item"/>
      </w:pPr>
      <w:r w:rsidRPr="004042EC">
        <w:rPr>
          <w:b/>
          <w:i/>
        </w:rPr>
        <w:t>Finance Department</w:t>
      </w:r>
      <w:r w:rsidRPr="004042EC">
        <w:t xml:space="preserve"> means the Department administered by the Minister administering the </w:t>
      </w:r>
      <w:r w:rsidRPr="004042EC">
        <w:rPr>
          <w:i/>
        </w:rPr>
        <w:t>Public Governance, Performance and Accountability Act 2013</w:t>
      </w:r>
      <w:r w:rsidRPr="004042EC">
        <w:t>.</w:t>
      </w:r>
    </w:p>
    <w:p w14:paraId="500E8ADD" w14:textId="77777777" w:rsidR="00F1140F" w:rsidRPr="004042EC" w:rsidRDefault="007F7FEC" w:rsidP="00EB5160">
      <w:pPr>
        <w:pStyle w:val="Transitional"/>
      </w:pPr>
      <w:r w:rsidRPr="004042EC">
        <w:lastRenderedPageBreak/>
        <w:t>5</w:t>
      </w:r>
      <w:r w:rsidR="00F1140F" w:rsidRPr="004042EC">
        <w:t xml:space="preserve">  Confidential information</w:t>
      </w:r>
    </w:p>
    <w:p w14:paraId="58F21BC5" w14:textId="77777777" w:rsidR="00F1140F" w:rsidRPr="004042EC" w:rsidRDefault="00F1140F" w:rsidP="00EB5160">
      <w:pPr>
        <w:pStyle w:val="Subitem"/>
      </w:pPr>
      <w:r w:rsidRPr="004042EC">
        <w:t>(1)</w:t>
      </w:r>
      <w:r w:rsidRPr="004042EC">
        <w:tab/>
        <w:t>This item applies to any confidential information given to a person before the commencement of this item for the purpose of the performance of a function that:</w:t>
      </w:r>
    </w:p>
    <w:p w14:paraId="5B204C73" w14:textId="77777777" w:rsidR="00F1140F" w:rsidRPr="004042EC" w:rsidRDefault="00F1140F" w:rsidP="00EB5160">
      <w:pPr>
        <w:pStyle w:val="paragraph"/>
      </w:pPr>
      <w:r w:rsidRPr="004042EC">
        <w:tab/>
        <w:t>(a)</w:t>
      </w:r>
      <w:r w:rsidRPr="004042EC">
        <w:tab/>
        <w:t xml:space="preserve">was conferred on the Parliamentary Service Commissioner </w:t>
      </w:r>
      <w:r w:rsidR="0047438A" w:rsidRPr="004042EC">
        <w:t xml:space="preserve">by </w:t>
      </w:r>
      <w:r w:rsidR="005C371A" w:rsidRPr="004042EC">
        <w:t>subclause 1</w:t>
      </w:r>
      <w:r w:rsidR="0047438A" w:rsidRPr="004042EC">
        <w:t xml:space="preserve">12B(1) of the </w:t>
      </w:r>
      <w:r w:rsidR="0047438A" w:rsidRPr="004042EC">
        <w:rPr>
          <w:i/>
        </w:rPr>
        <w:t>Parliamentary Service Determination 2013</w:t>
      </w:r>
      <w:r w:rsidRPr="004042EC">
        <w:t xml:space="preserve"> before that commencement; and</w:t>
      </w:r>
    </w:p>
    <w:p w14:paraId="0121C999" w14:textId="77777777" w:rsidR="00F1140F" w:rsidRPr="004042EC" w:rsidRDefault="00F1140F" w:rsidP="00EB5160">
      <w:pPr>
        <w:pStyle w:val="paragraph"/>
      </w:pPr>
      <w:r w:rsidRPr="004042EC">
        <w:tab/>
        <w:t>(b)</w:t>
      </w:r>
      <w:r w:rsidRPr="004042EC">
        <w:tab/>
        <w:t xml:space="preserve">is to be performed by the </w:t>
      </w:r>
      <w:proofErr w:type="spellStart"/>
      <w:r w:rsidRPr="004042EC">
        <w:t>PWSS</w:t>
      </w:r>
      <w:proofErr w:type="spellEnd"/>
      <w:r w:rsidRPr="004042EC">
        <w:t xml:space="preserve"> after that commencement.</w:t>
      </w:r>
    </w:p>
    <w:p w14:paraId="083FA2B1" w14:textId="77777777" w:rsidR="00F1140F" w:rsidRPr="004042EC" w:rsidRDefault="00F1140F" w:rsidP="00EB5160">
      <w:pPr>
        <w:pStyle w:val="Subitem"/>
      </w:pPr>
      <w:r w:rsidRPr="004042EC">
        <w:t>(2)</w:t>
      </w:r>
      <w:r w:rsidRPr="004042EC">
        <w:tab/>
        <w:t xml:space="preserve">The information is taken, immediately after that commencement, to have been given to the </w:t>
      </w:r>
      <w:proofErr w:type="spellStart"/>
      <w:r w:rsidRPr="004042EC">
        <w:t>PWSS</w:t>
      </w:r>
      <w:proofErr w:type="spellEnd"/>
      <w:r w:rsidRPr="004042EC">
        <w:t>.</w:t>
      </w:r>
    </w:p>
    <w:p w14:paraId="0C5104F2" w14:textId="77777777" w:rsidR="00A80A26" w:rsidRPr="004042EC" w:rsidRDefault="007F7FEC" w:rsidP="00EB5160">
      <w:pPr>
        <w:pStyle w:val="Transitional"/>
      </w:pPr>
      <w:r w:rsidRPr="004042EC">
        <w:t>6</w:t>
      </w:r>
      <w:r w:rsidR="00A80A26" w:rsidRPr="004042EC">
        <w:t xml:space="preserve">  </w:t>
      </w:r>
      <w:r w:rsidR="00C901FD" w:rsidRPr="004042EC">
        <w:t xml:space="preserve">Reports by the </w:t>
      </w:r>
      <w:proofErr w:type="spellStart"/>
      <w:r w:rsidR="00C901FD" w:rsidRPr="004042EC">
        <w:t>PWSS</w:t>
      </w:r>
      <w:proofErr w:type="spellEnd"/>
    </w:p>
    <w:p w14:paraId="1B377013" w14:textId="77777777" w:rsidR="00C901FD" w:rsidRPr="004042EC" w:rsidRDefault="00C901FD" w:rsidP="00EB5160">
      <w:pPr>
        <w:pStyle w:val="Subitem"/>
      </w:pPr>
      <w:r w:rsidRPr="004042EC">
        <w:t>(1)</w:t>
      </w:r>
      <w:r w:rsidRPr="004042EC">
        <w:tab/>
        <w:t xml:space="preserve">Subsection </w:t>
      </w:r>
      <w:r w:rsidR="000D6A25" w:rsidRPr="004042EC">
        <w:t>22</w:t>
      </w:r>
      <w:r w:rsidRPr="004042EC">
        <w:t>(2) of the</w:t>
      </w:r>
      <w:r w:rsidR="00B30669" w:rsidRPr="004042EC">
        <w:t xml:space="preserve"> </w:t>
      </w:r>
      <w:proofErr w:type="spellStart"/>
      <w:r w:rsidR="00B30669" w:rsidRPr="004042EC">
        <w:t>PWSS</w:t>
      </w:r>
      <w:proofErr w:type="spellEnd"/>
      <w:r w:rsidR="00B30669" w:rsidRPr="004042EC">
        <w:t xml:space="preserve"> Act</w:t>
      </w:r>
      <w:r w:rsidRPr="004042EC">
        <w:t xml:space="preserve"> applies</w:t>
      </w:r>
      <w:r w:rsidR="00294F50" w:rsidRPr="004042EC">
        <w:t xml:space="preserve"> in relation to financial year</w:t>
      </w:r>
      <w:r w:rsidR="00FE039A" w:rsidRPr="004042EC">
        <w:t>s</w:t>
      </w:r>
      <w:r w:rsidR="00294F50" w:rsidRPr="004042EC">
        <w:t xml:space="preserve"> starting on or after </w:t>
      </w:r>
      <w:r w:rsidR="00361D53" w:rsidRPr="004042EC">
        <w:t>1 July</w:t>
      </w:r>
      <w:r w:rsidR="00294F50" w:rsidRPr="004042EC">
        <w:t xml:space="preserve"> 2024</w:t>
      </w:r>
      <w:r w:rsidR="00FA111F" w:rsidRPr="004042EC">
        <w:t xml:space="preserve">, subject to </w:t>
      </w:r>
      <w:r w:rsidR="00EF5741" w:rsidRPr="004042EC">
        <w:t>subitem (</w:t>
      </w:r>
      <w:r w:rsidR="00FA111F" w:rsidRPr="004042EC">
        <w:t>2)</w:t>
      </w:r>
      <w:r w:rsidR="00294F50" w:rsidRPr="004042EC">
        <w:t>.</w:t>
      </w:r>
    </w:p>
    <w:p w14:paraId="38D354EB" w14:textId="77777777" w:rsidR="00725BC3" w:rsidRPr="004042EC" w:rsidRDefault="00294F50" w:rsidP="00EB5160">
      <w:pPr>
        <w:pStyle w:val="Subitem"/>
      </w:pPr>
      <w:r w:rsidRPr="004042EC">
        <w:t>(2)</w:t>
      </w:r>
      <w:r w:rsidRPr="004042EC">
        <w:tab/>
      </w:r>
      <w:r w:rsidR="00FA111F" w:rsidRPr="004042EC">
        <w:t>P</w:t>
      </w:r>
      <w:r w:rsidRPr="004042EC">
        <w:t xml:space="preserve">aragraph </w:t>
      </w:r>
      <w:r w:rsidR="000D6A25" w:rsidRPr="004042EC">
        <w:t>22</w:t>
      </w:r>
      <w:r w:rsidRPr="004042EC">
        <w:t xml:space="preserve">(2)(d) of </w:t>
      </w:r>
      <w:r w:rsidR="00CB27EF" w:rsidRPr="004042EC">
        <w:t>the</w:t>
      </w:r>
      <w:r w:rsidR="00B30669" w:rsidRPr="004042EC">
        <w:t xml:space="preserve"> </w:t>
      </w:r>
      <w:proofErr w:type="spellStart"/>
      <w:r w:rsidR="00B30669" w:rsidRPr="004042EC">
        <w:t>PWSS</w:t>
      </w:r>
      <w:proofErr w:type="spellEnd"/>
      <w:r w:rsidR="00B30669" w:rsidRPr="004042EC">
        <w:t xml:space="preserve"> Act</w:t>
      </w:r>
      <w:r w:rsidRPr="004042EC">
        <w:t xml:space="preserve"> applies </w:t>
      </w:r>
      <w:r w:rsidR="000A633B" w:rsidRPr="004042EC">
        <w:t>in relation to</w:t>
      </w:r>
      <w:r w:rsidRPr="004042EC">
        <w:t xml:space="preserve"> financial year</w:t>
      </w:r>
      <w:r w:rsidR="00FE039A" w:rsidRPr="004042EC">
        <w:t>s</w:t>
      </w:r>
      <w:r w:rsidRPr="004042EC">
        <w:t xml:space="preserve"> starting on or after </w:t>
      </w:r>
      <w:r w:rsidR="00361D53" w:rsidRPr="004042EC">
        <w:t>1 July</w:t>
      </w:r>
      <w:r w:rsidRPr="004042EC">
        <w:t xml:space="preserve"> 2025.</w:t>
      </w:r>
    </w:p>
    <w:p w14:paraId="1E6D8C8F" w14:textId="77777777" w:rsidR="00216AE9" w:rsidRPr="004042EC" w:rsidRDefault="00216AE9" w:rsidP="00EB5160">
      <w:pPr>
        <w:pStyle w:val="notemargin"/>
      </w:pPr>
      <w:r w:rsidRPr="004042EC">
        <w:t>Note:</w:t>
      </w:r>
      <w:r w:rsidRPr="004042EC">
        <w:tab/>
        <w:t xml:space="preserve">Paragraph </w:t>
      </w:r>
      <w:r w:rsidR="000D6A25" w:rsidRPr="004042EC">
        <w:t>22</w:t>
      </w:r>
      <w:r w:rsidRPr="004042EC">
        <w:t>(2)(d) of the</w:t>
      </w:r>
      <w:r w:rsidR="00B30669" w:rsidRPr="004042EC">
        <w:t xml:space="preserve"> </w:t>
      </w:r>
      <w:proofErr w:type="spellStart"/>
      <w:r w:rsidR="00B30669" w:rsidRPr="004042EC">
        <w:t>PWSS</w:t>
      </w:r>
      <w:proofErr w:type="spellEnd"/>
      <w:r w:rsidR="00B30669" w:rsidRPr="004042EC">
        <w:t xml:space="preserve"> Act</w:t>
      </w:r>
      <w:r w:rsidRPr="004042EC">
        <w:t xml:space="preserve"> covers information relating to progress in the prevention of, and responses to, </w:t>
      </w:r>
      <w:r w:rsidR="00B30669" w:rsidRPr="004042EC">
        <w:t>alleged relevant</w:t>
      </w:r>
      <w:r w:rsidRPr="004042EC">
        <w:t xml:space="preserve"> conduct.</w:t>
      </w:r>
    </w:p>
    <w:p w14:paraId="6BB60930" w14:textId="77777777" w:rsidR="002A1C0F" w:rsidRPr="004042EC" w:rsidRDefault="007F7FEC" w:rsidP="00EB5160">
      <w:pPr>
        <w:pStyle w:val="Transitional"/>
      </w:pPr>
      <w:r w:rsidRPr="004042EC">
        <w:t>7</w:t>
      </w:r>
      <w:r w:rsidR="002A1C0F" w:rsidRPr="004042EC">
        <w:t xml:space="preserve">  Use and disclosure of information</w:t>
      </w:r>
    </w:p>
    <w:p w14:paraId="418B5BF7" w14:textId="77777777" w:rsidR="00EA64B0" w:rsidRDefault="00F1140F" w:rsidP="00EB5160">
      <w:pPr>
        <w:pStyle w:val="Item"/>
      </w:pPr>
      <w:r w:rsidRPr="004042EC">
        <w:t>Part </w:t>
      </w:r>
      <w:r w:rsidR="00AE671B" w:rsidRPr="004042EC">
        <w:t>7</w:t>
      </w:r>
      <w:r w:rsidR="0045335C" w:rsidRPr="004042EC">
        <w:t xml:space="preserve"> of the</w:t>
      </w:r>
      <w:r w:rsidR="00B30669" w:rsidRPr="004042EC">
        <w:t xml:space="preserve"> </w:t>
      </w:r>
      <w:proofErr w:type="spellStart"/>
      <w:r w:rsidR="00B30669" w:rsidRPr="004042EC">
        <w:t>PWSS</w:t>
      </w:r>
      <w:proofErr w:type="spellEnd"/>
      <w:r w:rsidR="00B30669" w:rsidRPr="004042EC">
        <w:t xml:space="preserve"> Act</w:t>
      </w:r>
      <w:r w:rsidR="0045335C" w:rsidRPr="004042EC">
        <w:t xml:space="preserve"> </w:t>
      </w:r>
      <w:r w:rsidR="002A1C0F" w:rsidRPr="004042EC">
        <w:t>applies</w:t>
      </w:r>
      <w:r w:rsidR="0045335C" w:rsidRPr="004042EC">
        <w:t xml:space="preserve"> in</w:t>
      </w:r>
      <w:r w:rsidR="002A1C0F" w:rsidRPr="004042EC">
        <w:t xml:space="preserve"> </w:t>
      </w:r>
      <w:r w:rsidR="0045335C" w:rsidRPr="004042EC">
        <w:t xml:space="preserve">relation </w:t>
      </w:r>
      <w:r w:rsidR="002A1C0F" w:rsidRPr="004042EC">
        <w:t xml:space="preserve">to </w:t>
      </w:r>
      <w:r w:rsidR="00827E7D" w:rsidRPr="004042EC">
        <w:t>the</w:t>
      </w:r>
      <w:r w:rsidR="002A1C0F" w:rsidRPr="004042EC">
        <w:t xml:space="preserve"> use or disclosure of information by a person</w:t>
      </w:r>
      <w:r w:rsidR="0045335C" w:rsidRPr="004042EC">
        <w:t xml:space="preserve"> on or after the commencement of this item</w:t>
      </w:r>
      <w:r w:rsidR="002A1C0F" w:rsidRPr="004042EC">
        <w:t>, whether the information was obtained</w:t>
      </w:r>
      <w:r w:rsidR="0045335C" w:rsidRPr="004042EC">
        <w:t xml:space="preserve"> by</w:t>
      </w:r>
      <w:r w:rsidR="002A1C0F" w:rsidRPr="004042EC">
        <w:t>, or disclosed to, the person before, on or after that commencement.</w:t>
      </w:r>
    </w:p>
    <w:p w14:paraId="37FE83C9" w14:textId="77777777" w:rsidR="004B0227" w:rsidRPr="00F409FA" w:rsidRDefault="004B0227" w:rsidP="004B0227">
      <w:pPr>
        <w:pStyle w:val="ActHead6"/>
        <w:pageBreakBefore/>
      </w:pPr>
      <w:bookmarkStart w:id="12" w:name="_Toc146275470"/>
      <w:r w:rsidRPr="00FB2627">
        <w:rPr>
          <w:rStyle w:val="CharAmSchNo"/>
        </w:rPr>
        <w:lastRenderedPageBreak/>
        <w:t>Schedule 3</w:t>
      </w:r>
      <w:r w:rsidRPr="00F409FA">
        <w:t>—</w:t>
      </w:r>
      <w:r w:rsidRPr="00FB2627">
        <w:rPr>
          <w:rStyle w:val="CharAmSchText"/>
        </w:rPr>
        <w:t>Repeal of review function</w:t>
      </w:r>
      <w:bookmarkEnd w:id="12"/>
    </w:p>
    <w:p w14:paraId="3A128718" w14:textId="77777777" w:rsidR="004B0227" w:rsidRPr="00FB2627" w:rsidRDefault="004B0227" w:rsidP="004B0227">
      <w:pPr>
        <w:pStyle w:val="Header"/>
      </w:pPr>
      <w:r w:rsidRPr="00FB2627">
        <w:rPr>
          <w:rStyle w:val="CharAmPartNo"/>
        </w:rPr>
        <w:t xml:space="preserve"> </w:t>
      </w:r>
      <w:r w:rsidRPr="00FB2627">
        <w:rPr>
          <w:rStyle w:val="CharAmPartText"/>
        </w:rPr>
        <w:t xml:space="preserve"> </w:t>
      </w:r>
    </w:p>
    <w:p w14:paraId="73D56BB9" w14:textId="77777777" w:rsidR="004B0227" w:rsidRPr="00F409FA" w:rsidRDefault="004B0227" w:rsidP="004B0227">
      <w:pPr>
        <w:pStyle w:val="ActHead9"/>
      </w:pPr>
      <w:bookmarkStart w:id="13" w:name="_Toc146275471"/>
      <w:r w:rsidRPr="00F409FA">
        <w:t>Parliamentary Workplace Support Service Act 2023</w:t>
      </w:r>
      <w:bookmarkEnd w:id="13"/>
    </w:p>
    <w:p w14:paraId="5D928766" w14:textId="77777777" w:rsidR="004B0227" w:rsidRPr="00F409FA" w:rsidRDefault="004B0227" w:rsidP="004B0227">
      <w:pPr>
        <w:pStyle w:val="ItemHead"/>
      </w:pPr>
      <w:r w:rsidRPr="00F409FA">
        <w:t>1  Section 4</w:t>
      </w:r>
    </w:p>
    <w:p w14:paraId="5961432C" w14:textId="77777777" w:rsidR="004B0227" w:rsidRPr="00F409FA" w:rsidRDefault="004B0227" w:rsidP="004B0227">
      <w:pPr>
        <w:pStyle w:val="Item"/>
      </w:pPr>
      <w:r w:rsidRPr="00F409FA">
        <w:t>Omit:</w:t>
      </w:r>
    </w:p>
    <w:p w14:paraId="035AD724" w14:textId="77777777" w:rsidR="004B0227" w:rsidRPr="00F409FA" w:rsidRDefault="004B0227" w:rsidP="004B0227">
      <w:pPr>
        <w:pStyle w:val="SOPara"/>
        <w:pBdr>
          <w:left w:val="single" w:sz="6" w:space="0" w:color="auto"/>
        </w:pBdr>
      </w:pPr>
      <w:r w:rsidRPr="00F409FA">
        <w:tab/>
        <w:t>(f)</w:t>
      </w:r>
      <w:r w:rsidRPr="00F409FA">
        <w:tab/>
        <w:t>its review function; and</w:t>
      </w:r>
    </w:p>
    <w:p w14:paraId="4EFC1F9F" w14:textId="77777777" w:rsidR="004B0227" w:rsidRPr="00F409FA" w:rsidRDefault="004B0227" w:rsidP="004B0227">
      <w:pPr>
        <w:pStyle w:val="ItemHead"/>
      </w:pPr>
      <w:r w:rsidRPr="00F409FA">
        <w:t>2  Section 11</w:t>
      </w:r>
    </w:p>
    <w:p w14:paraId="395602A9" w14:textId="77777777" w:rsidR="004B0227" w:rsidRPr="00F409FA" w:rsidRDefault="004B0227" w:rsidP="004B0227">
      <w:pPr>
        <w:pStyle w:val="Item"/>
      </w:pPr>
      <w:r w:rsidRPr="00F409FA">
        <w:t>Omit:</w:t>
      </w:r>
    </w:p>
    <w:p w14:paraId="33B0D673" w14:textId="77777777" w:rsidR="004B0227" w:rsidRPr="00F409FA" w:rsidRDefault="004B0227" w:rsidP="004B0227">
      <w:pPr>
        <w:pStyle w:val="SOPara"/>
        <w:pBdr>
          <w:left w:val="single" w:sz="6" w:space="0" w:color="auto"/>
        </w:pBdr>
      </w:pPr>
      <w:r w:rsidRPr="00F409FA">
        <w:tab/>
        <w:t>(f)</w:t>
      </w:r>
      <w:r w:rsidRPr="00F409FA">
        <w:tab/>
        <w:t>its review function; and</w:t>
      </w:r>
    </w:p>
    <w:p w14:paraId="221FD771" w14:textId="77777777" w:rsidR="004B0227" w:rsidRPr="00F409FA" w:rsidRDefault="004B0227" w:rsidP="004B0227">
      <w:pPr>
        <w:pStyle w:val="ItemHead"/>
      </w:pPr>
      <w:r w:rsidRPr="00F409FA">
        <w:t>3  Paragraph 13(f)</w:t>
      </w:r>
    </w:p>
    <w:p w14:paraId="3A98BF7A" w14:textId="77777777" w:rsidR="004B0227" w:rsidRPr="00F409FA" w:rsidRDefault="004B0227" w:rsidP="004B0227">
      <w:pPr>
        <w:pStyle w:val="Item"/>
      </w:pPr>
      <w:r w:rsidRPr="00F409FA">
        <w:t>Repeal the paragraph.</w:t>
      </w:r>
    </w:p>
    <w:p w14:paraId="10F6725B" w14:textId="77777777" w:rsidR="004B0227" w:rsidRPr="00F409FA" w:rsidRDefault="004B0227" w:rsidP="004B0227">
      <w:pPr>
        <w:pStyle w:val="ItemHead"/>
      </w:pPr>
      <w:r w:rsidRPr="00F409FA">
        <w:t>4  Section 19</w:t>
      </w:r>
    </w:p>
    <w:p w14:paraId="598DC807" w14:textId="77777777" w:rsidR="004B0227" w:rsidRPr="00F409FA" w:rsidRDefault="004B0227" w:rsidP="004B0227">
      <w:pPr>
        <w:pStyle w:val="Item"/>
      </w:pPr>
      <w:r w:rsidRPr="00F409FA">
        <w:t>Repeal the section.</w:t>
      </w:r>
    </w:p>
    <w:p w14:paraId="2F3F8C83" w14:textId="77777777" w:rsidR="004B0227" w:rsidRPr="00F409FA" w:rsidRDefault="004B0227" w:rsidP="004B0227">
      <w:pPr>
        <w:pStyle w:val="ItemHead"/>
      </w:pPr>
      <w:r w:rsidRPr="00F409FA">
        <w:t>5  Subsection 61(6)</w:t>
      </w:r>
    </w:p>
    <w:p w14:paraId="332CCA36" w14:textId="11F428C4" w:rsidR="004B0227" w:rsidRDefault="004B0227" w:rsidP="004B0227">
      <w:pPr>
        <w:pStyle w:val="Item"/>
      </w:pPr>
      <w:r w:rsidRPr="00F409FA">
        <w:t xml:space="preserve">After “section 19”, insert “(as in force immediately before the repeal of that section by Schedule 3 to the </w:t>
      </w:r>
      <w:r w:rsidRPr="00F409FA">
        <w:rPr>
          <w:i/>
        </w:rPr>
        <w:t>Parliamentary Workplace Support Service (Consequential Amendments and Transitional Provisions) Act 2023</w:t>
      </w:r>
      <w:r w:rsidRPr="00F409FA">
        <w:t>)”.</w:t>
      </w:r>
    </w:p>
    <w:p w14:paraId="0C5724D0" w14:textId="77777777" w:rsidR="008F7F30" w:rsidRDefault="008F7F30" w:rsidP="008F7F30"/>
    <w:p w14:paraId="062BF8BD" w14:textId="77777777" w:rsidR="008F7F30" w:rsidRDefault="008F7F30" w:rsidP="008F7F30">
      <w:pPr>
        <w:pStyle w:val="AssentBk"/>
        <w:keepNext/>
      </w:pPr>
    </w:p>
    <w:p w14:paraId="5FF20E79" w14:textId="77777777" w:rsidR="008F7F30" w:rsidRDefault="008F7F30" w:rsidP="008F7F30">
      <w:pPr>
        <w:pStyle w:val="AssentBk"/>
        <w:keepNext/>
      </w:pPr>
    </w:p>
    <w:p w14:paraId="6422316A" w14:textId="77777777" w:rsidR="008F7F30" w:rsidRDefault="008F7F30" w:rsidP="008F7F30">
      <w:pPr>
        <w:pStyle w:val="2ndRd"/>
        <w:keepNext/>
        <w:pBdr>
          <w:top w:val="single" w:sz="2" w:space="1" w:color="auto"/>
        </w:pBdr>
      </w:pPr>
    </w:p>
    <w:p w14:paraId="22E86E4B" w14:textId="77777777" w:rsidR="006A119E" w:rsidRDefault="006A119E" w:rsidP="006A119E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9DBEF57" w14:textId="77777777" w:rsidR="006A119E" w:rsidRDefault="006A119E" w:rsidP="006A119E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August 2023</w:t>
      </w:r>
    </w:p>
    <w:p w14:paraId="1579AA02" w14:textId="77777777" w:rsidR="006A119E" w:rsidRDefault="006A119E" w:rsidP="006A119E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September 2023</w:t>
      </w:r>
      <w:r>
        <w:t>]</w:t>
      </w:r>
    </w:p>
    <w:p w14:paraId="777BDA8D" w14:textId="77777777" w:rsidR="006A119E" w:rsidRDefault="006A119E" w:rsidP="008F7F30">
      <w:pPr>
        <w:framePr w:hSpace="180" w:wrap="around" w:vAnchor="text" w:hAnchor="page" w:x="2506" w:y="1235"/>
      </w:pPr>
      <w:r>
        <w:t>(98/23)</w:t>
      </w:r>
    </w:p>
    <w:p w14:paraId="657C4C88" w14:textId="77777777" w:rsidR="006A119E" w:rsidRDefault="006A119E" w:rsidP="006A119E"/>
    <w:p w14:paraId="1B4D7D67" w14:textId="77777777" w:rsidR="006A119E" w:rsidRDefault="006A119E" w:rsidP="000A50D7">
      <w:pPr>
        <w:pBdr>
          <w:bottom w:val="single" w:sz="4" w:space="1" w:color="auto"/>
        </w:pBdr>
        <w:sectPr w:rsidR="006A119E" w:rsidSect="000A50D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2586BB9A" w14:textId="77777777" w:rsidR="006A119E" w:rsidRDefault="006A119E" w:rsidP="00A05437"/>
    <w:sectPr w:rsidR="006A119E" w:rsidSect="006A119E">
      <w:headerReference w:type="even" r:id="rId28"/>
      <w:headerReference w:type="default" r:id="rId29"/>
      <w:headerReference w:type="first" r:id="rId30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EA2E" w14:textId="77777777" w:rsidR="0013152F" w:rsidRDefault="0013152F" w:rsidP="0048364F">
      <w:pPr>
        <w:spacing w:line="240" w:lineRule="auto"/>
      </w:pPr>
      <w:r>
        <w:separator/>
      </w:r>
    </w:p>
  </w:endnote>
  <w:endnote w:type="continuationSeparator" w:id="0">
    <w:p w14:paraId="57BEDE76" w14:textId="77777777" w:rsidR="0013152F" w:rsidRDefault="001315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7F95" w14:textId="77777777" w:rsidR="0013152F" w:rsidRPr="005F1388" w:rsidRDefault="0013152F" w:rsidP="00EB51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B8ED" w14:textId="18249E51" w:rsidR="006A119E" w:rsidRDefault="006A119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40825AE" w14:textId="77777777" w:rsidR="006A119E" w:rsidRDefault="006A119E" w:rsidP="00CD12A5"/>
  <w:p w14:paraId="21E56C4A" w14:textId="453BD93C" w:rsidR="0013152F" w:rsidRDefault="0013152F" w:rsidP="00EB5160">
    <w:pPr>
      <w:pStyle w:val="Footer"/>
      <w:spacing w:before="120"/>
    </w:pPr>
  </w:p>
  <w:p w14:paraId="797804C8" w14:textId="77777777" w:rsidR="0013152F" w:rsidRPr="005F1388" w:rsidRDefault="0013152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42F4" w14:textId="77777777" w:rsidR="0013152F" w:rsidRPr="00ED79B6" w:rsidRDefault="0013152F" w:rsidP="00EB51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D365" w14:textId="77777777" w:rsidR="0013152F" w:rsidRDefault="0013152F" w:rsidP="00EB516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3152F" w14:paraId="55A39A79" w14:textId="77777777" w:rsidTr="00EB7B66">
      <w:tc>
        <w:tcPr>
          <w:tcW w:w="646" w:type="dxa"/>
        </w:tcPr>
        <w:p w14:paraId="0F937334" w14:textId="77777777" w:rsidR="0013152F" w:rsidRDefault="0013152F" w:rsidP="00EB7B6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6B75D7F" w14:textId="14916E6C" w:rsidR="0013152F" w:rsidRDefault="0013152F" w:rsidP="00EB7B6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Parliamentary Workplace Support Service (Consequential Amendments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38A8F2D" w14:textId="54BFCDFA" w:rsidR="0013152F" w:rsidRDefault="0013152F" w:rsidP="00EB7B6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No. 71,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69E7BB" w14:textId="77777777" w:rsidR="0013152F" w:rsidRDefault="0013152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5CE7" w14:textId="77777777" w:rsidR="0013152F" w:rsidRDefault="0013152F" w:rsidP="00EB516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3152F" w14:paraId="6A085B96" w14:textId="77777777" w:rsidTr="00EB7B66">
      <w:tc>
        <w:tcPr>
          <w:tcW w:w="1247" w:type="dxa"/>
        </w:tcPr>
        <w:p w14:paraId="1E04EE8D" w14:textId="05C91447" w:rsidR="0013152F" w:rsidRDefault="0013152F" w:rsidP="00EB7B6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No. 71,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E404887" w14:textId="560921C0" w:rsidR="0013152F" w:rsidRDefault="0013152F" w:rsidP="00EB7B6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Parliamentary Workplace Support Service (Consequential Amendments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32B2A73" w14:textId="77777777" w:rsidR="0013152F" w:rsidRDefault="0013152F" w:rsidP="00EB7B6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E7337" w14:textId="77777777" w:rsidR="0013152F" w:rsidRPr="00ED79B6" w:rsidRDefault="0013152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C8B3" w14:textId="77777777" w:rsidR="0013152F" w:rsidRPr="00A961C4" w:rsidRDefault="0013152F" w:rsidP="00EB516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3152F" w14:paraId="111F2FB1" w14:textId="77777777" w:rsidTr="009669D9">
      <w:tc>
        <w:tcPr>
          <w:tcW w:w="646" w:type="dxa"/>
        </w:tcPr>
        <w:p w14:paraId="76FD7322" w14:textId="77777777" w:rsidR="0013152F" w:rsidRDefault="0013152F" w:rsidP="00EB7B6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36E625" w14:textId="6B370051" w:rsidR="0013152F" w:rsidRDefault="0013152F" w:rsidP="00EB7B6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Parliamentary Workplace Support Service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92810F3" w14:textId="78026C5E" w:rsidR="0013152F" w:rsidRDefault="0013152F" w:rsidP="00EB7B6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No. 71,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475650D" w14:textId="77777777" w:rsidR="0013152F" w:rsidRPr="00A961C4" w:rsidRDefault="0013152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C4D9" w14:textId="77777777" w:rsidR="0013152F" w:rsidRPr="00A961C4" w:rsidRDefault="0013152F" w:rsidP="00EB516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3152F" w14:paraId="24911877" w14:textId="77777777" w:rsidTr="009669D9">
      <w:tc>
        <w:tcPr>
          <w:tcW w:w="1247" w:type="dxa"/>
        </w:tcPr>
        <w:p w14:paraId="091374EE" w14:textId="7305C662" w:rsidR="0013152F" w:rsidRDefault="0013152F" w:rsidP="00EB7B6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No. 71,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797580" w14:textId="0C28E568" w:rsidR="0013152F" w:rsidRDefault="0013152F" w:rsidP="00EB7B6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Parliamentary Workplace Support Service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09D7B54" w14:textId="77777777" w:rsidR="0013152F" w:rsidRDefault="0013152F" w:rsidP="00EB7B6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D6443A0" w14:textId="77777777" w:rsidR="0013152F" w:rsidRPr="00055B5C" w:rsidRDefault="0013152F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2EC0" w14:textId="77777777" w:rsidR="0013152F" w:rsidRPr="00A961C4" w:rsidRDefault="0013152F" w:rsidP="00EB516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3152F" w14:paraId="6BD8F086" w14:textId="77777777" w:rsidTr="009669D9">
      <w:tc>
        <w:tcPr>
          <w:tcW w:w="1247" w:type="dxa"/>
        </w:tcPr>
        <w:p w14:paraId="3D974A20" w14:textId="4005CA43" w:rsidR="0013152F" w:rsidRDefault="0013152F" w:rsidP="00EB7B6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No. 71,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0038750" w14:textId="1229E23F" w:rsidR="0013152F" w:rsidRDefault="0013152F" w:rsidP="00EB7B6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F7F30">
            <w:rPr>
              <w:i/>
              <w:sz w:val="18"/>
            </w:rPr>
            <w:t>Parliamentary Workplace Support Service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26AF229" w14:textId="77777777" w:rsidR="0013152F" w:rsidRDefault="0013152F" w:rsidP="00EB7B6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C903884" w14:textId="77777777" w:rsidR="0013152F" w:rsidRPr="00A961C4" w:rsidRDefault="0013152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F6670" w14:textId="77777777" w:rsidR="0013152F" w:rsidRDefault="0013152F" w:rsidP="0048364F">
      <w:pPr>
        <w:spacing w:line="240" w:lineRule="auto"/>
      </w:pPr>
      <w:r>
        <w:separator/>
      </w:r>
    </w:p>
  </w:footnote>
  <w:footnote w:type="continuationSeparator" w:id="0">
    <w:p w14:paraId="120CF76F" w14:textId="77777777" w:rsidR="0013152F" w:rsidRDefault="001315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A663" w14:textId="77777777" w:rsidR="0013152F" w:rsidRPr="005F1388" w:rsidRDefault="0013152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2414B" w14:textId="7CCDF6EC" w:rsidR="000A50D7" w:rsidRPr="00A961C4" w:rsidRDefault="000A50D7" w:rsidP="0048364F">
    <w:pPr>
      <w:rPr>
        <w:b/>
        <w:sz w:val="20"/>
      </w:rPr>
    </w:pPr>
  </w:p>
  <w:p w14:paraId="6A2F91D7" w14:textId="0863834B" w:rsidR="000A50D7" w:rsidRPr="00A961C4" w:rsidRDefault="000A50D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DFADCC4" w14:textId="77777777" w:rsidR="000A50D7" w:rsidRPr="00A961C4" w:rsidRDefault="000A50D7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D37C" w14:textId="2AD089FC" w:rsidR="000A50D7" w:rsidRPr="00A961C4" w:rsidRDefault="000A50D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8F7F30">
      <w:rPr>
        <w:noProof/>
        <w:sz w:val="20"/>
      </w:rPr>
      <w:t>Repeal of review function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7F30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14:paraId="24A428EB" w14:textId="703A8B9B" w:rsidR="000A50D7" w:rsidRPr="00A961C4" w:rsidRDefault="000A50D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8C2964A" w14:textId="77777777" w:rsidR="000A50D7" w:rsidRPr="00A961C4" w:rsidRDefault="000A50D7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F1A7" w14:textId="77777777" w:rsidR="000A50D7" w:rsidRPr="00A961C4" w:rsidRDefault="000A50D7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0ED6" w14:textId="77777777" w:rsidR="0013152F" w:rsidRPr="005F1388" w:rsidRDefault="0013152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C77A" w14:textId="77777777" w:rsidR="0013152F" w:rsidRPr="005F1388" w:rsidRDefault="0013152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7B5C" w14:textId="77777777" w:rsidR="0013152F" w:rsidRPr="00ED79B6" w:rsidRDefault="0013152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4AAE" w14:textId="77777777" w:rsidR="0013152F" w:rsidRPr="00ED79B6" w:rsidRDefault="0013152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FC6F" w14:textId="77777777" w:rsidR="0013152F" w:rsidRPr="00ED79B6" w:rsidRDefault="0013152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F452" w14:textId="76F6E999" w:rsidR="0013152F" w:rsidRPr="00A961C4" w:rsidRDefault="001315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635BEF0" w14:textId="477771C7" w:rsidR="0013152F" w:rsidRPr="00A961C4" w:rsidRDefault="001315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6EACC29" w14:textId="77777777" w:rsidR="0013152F" w:rsidRPr="00A961C4" w:rsidRDefault="0013152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923A" w14:textId="4CB52CC1" w:rsidR="0013152F" w:rsidRPr="00A961C4" w:rsidRDefault="0013152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330B6">
      <w:rPr>
        <w:sz w:val="20"/>
      </w:rPr>
      <w:fldChar w:fldCharType="separate"/>
    </w:r>
    <w:r w:rsidR="00A330B6">
      <w:rPr>
        <w:noProof/>
        <w:sz w:val="20"/>
      </w:rPr>
      <w:t>Repeal of review function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330B6">
      <w:rPr>
        <w:b/>
        <w:sz w:val="20"/>
      </w:rPr>
      <w:fldChar w:fldCharType="separate"/>
    </w:r>
    <w:r w:rsidR="00A330B6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14:paraId="614C7956" w14:textId="1BC6C44D" w:rsidR="0013152F" w:rsidRPr="00A961C4" w:rsidRDefault="0013152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D7AFE9" w14:textId="77777777" w:rsidR="0013152F" w:rsidRPr="00A961C4" w:rsidRDefault="0013152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1DCC" w14:textId="77777777" w:rsidR="0013152F" w:rsidRPr="00A961C4" w:rsidRDefault="0013152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7345"/>
    <w:rsid w:val="000031EB"/>
    <w:rsid w:val="000042DB"/>
    <w:rsid w:val="00005D25"/>
    <w:rsid w:val="000113BC"/>
    <w:rsid w:val="000136AF"/>
    <w:rsid w:val="00024163"/>
    <w:rsid w:val="000326EE"/>
    <w:rsid w:val="00033C59"/>
    <w:rsid w:val="000417C9"/>
    <w:rsid w:val="00053986"/>
    <w:rsid w:val="00055B5C"/>
    <w:rsid w:val="00056391"/>
    <w:rsid w:val="0006083B"/>
    <w:rsid w:val="00060FF9"/>
    <w:rsid w:val="000614BF"/>
    <w:rsid w:val="00062865"/>
    <w:rsid w:val="00065B31"/>
    <w:rsid w:val="000676EE"/>
    <w:rsid w:val="0007708B"/>
    <w:rsid w:val="000822CF"/>
    <w:rsid w:val="00084E8C"/>
    <w:rsid w:val="00085224"/>
    <w:rsid w:val="00093F9E"/>
    <w:rsid w:val="000A0BA5"/>
    <w:rsid w:val="000A50D7"/>
    <w:rsid w:val="000A633B"/>
    <w:rsid w:val="000B1ADE"/>
    <w:rsid w:val="000B1FD2"/>
    <w:rsid w:val="000C5FAA"/>
    <w:rsid w:val="000C6436"/>
    <w:rsid w:val="000D05EF"/>
    <w:rsid w:val="000D6A25"/>
    <w:rsid w:val="000E1488"/>
    <w:rsid w:val="000F180A"/>
    <w:rsid w:val="000F21C1"/>
    <w:rsid w:val="000F316E"/>
    <w:rsid w:val="001013BB"/>
    <w:rsid w:val="00101D90"/>
    <w:rsid w:val="00102124"/>
    <w:rsid w:val="00103A93"/>
    <w:rsid w:val="0010745C"/>
    <w:rsid w:val="00113BD1"/>
    <w:rsid w:val="00115C51"/>
    <w:rsid w:val="00122206"/>
    <w:rsid w:val="00127C9C"/>
    <w:rsid w:val="0013152F"/>
    <w:rsid w:val="0013735E"/>
    <w:rsid w:val="00137373"/>
    <w:rsid w:val="00140E1F"/>
    <w:rsid w:val="00155214"/>
    <w:rsid w:val="0015588F"/>
    <w:rsid w:val="001562A1"/>
    <w:rsid w:val="0015646E"/>
    <w:rsid w:val="001643C9"/>
    <w:rsid w:val="00165568"/>
    <w:rsid w:val="00166C2F"/>
    <w:rsid w:val="001716C9"/>
    <w:rsid w:val="00173363"/>
    <w:rsid w:val="00173B94"/>
    <w:rsid w:val="001752CA"/>
    <w:rsid w:val="0018375D"/>
    <w:rsid w:val="001854B4"/>
    <w:rsid w:val="00187EB6"/>
    <w:rsid w:val="001939E1"/>
    <w:rsid w:val="00195382"/>
    <w:rsid w:val="001A35B5"/>
    <w:rsid w:val="001A3658"/>
    <w:rsid w:val="001A6160"/>
    <w:rsid w:val="001A6D6A"/>
    <w:rsid w:val="001A759A"/>
    <w:rsid w:val="001A786D"/>
    <w:rsid w:val="001B457E"/>
    <w:rsid w:val="001B633C"/>
    <w:rsid w:val="001B7A5D"/>
    <w:rsid w:val="001C2418"/>
    <w:rsid w:val="001C69C4"/>
    <w:rsid w:val="001D053B"/>
    <w:rsid w:val="001D1044"/>
    <w:rsid w:val="001D6569"/>
    <w:rsid w:val="001D71FF"/>
    <w:rsid w:val="001E0446"/>
    <w:rsid w:val="001E22DF"/>
    <w:rsid w:val="001E3590"/>
    <w:rsid w:val="001E732C"/>
    <w:rsid w:val="001E7407"/>
    <w:rsid w:val="001F09DF"/>
    <w:rsid w:val="001F6C5B"/>
    <w:rsid w:val="00201D27"/>
    <w:rsid w:val="00202618"/>
    <w:rsid w:val="00211FAC"/>
    <w:rsid w:val="0021492D"/>
    <w:rsid w:val="00216AE9"/>
    <w:rsid w:val="0022070C"/>
    <w:rsid w:val="0023212E"/>
    <w:rsid w:val="00240749"/>
    <w:rsid w:val="0024193D"/>
    <w:rsid w:val="00252E2D"/>
    <w:rsid w:val="00263820"/>
    <w:rsid w:val="00275197"/>
    <w:rsid w:val="00283111"/>
    <w:rsid w:val="00284DCC"/>
    <w:rsid w:val="00291F68"/>
    <w:rsid w:val="00292997"/>
    <w:rsid w:val="00293B89"/>
    <w:rsid w:val="00294F50"/>
    <w:rsid w:val="00297ECB"/>
    <w:rsid w:val="002A1C0F"/>
    <w:rsid w:val="002B5A30"/>
    <w:rsid w:val="002D0252"/>
    <w:rsid w:val="002D043A"/>
    <w:rsid w:val="002D2AF4"/>
    <w:rsid w:val="002D395A"/>
    <w:rsid w:val="002D503F"/>
    <w:rsid w:val="002D5941"/>
    <w:rsid w:val="002D721E"/>
    <w:rsid w:val="002E610C"/>
    <w:rsid w:val="002F3549"/>
    <w:rsid w:val="002F5A80"/>
    <w:rsid w:val="003141DC"/>
    <w:rsid w:val="00317087"/>
    <w:rsid w:val="00325300"/>
    <w:rsid w:val="00325824"/>
    <w:rsid w:val="003415D3"/>
    <w:rsid w:val="00343AC7"/>
    <w:rsid w:val="00350417"/>
    <w:rsid w:val="00350668"/>
    <w:rsid w:val="00350F79"/>
    <w:rsid w:val="003518B5"/>
    <w:rsid w:val="00352B0F"/>
    <w:rsid w:val="00356993"/>
    <w:rsid w:val="00361D53"/>
    <w:rsid w:val="003645E2"/>
    <w:rsid w:val="00373874"/>
    <w:rsid w:val="00373A3B"/>
    <w:rsid w:val="00373B22"/>
    <w:rsid w:val="00375C6C"/>
    <w:rsid w:val="00383F69"/>
    <w:rsid w:val="00384BEF"/>
    <w:rsid w:val="00385579"/>
    <w:rsid w:val="003855FD"/>
    <w:rsid w:val="00387639"/>
    <w:rsid w:val="003A7B3C"/>
    <w:rsid w:val="003B4E3D"/>
    <w:rsid w:val="003C0F60"/>
    <w:rsid w:val="003C2D8C"/>
    <w:rsid w:val="003C5F2B"/>
    <w:rsid w:val="003C7CA2"/>
    <w:rsid w:val="003D0BFE"/>
    <w:rsid w:val="003D51CB"/>
    <w:rsid w:val="003D5700"/>
    <w:rsid w:val="003E5389"/>
    <w:rsid w:val="003F1926"/>
    <w:rsid w:val="0040229B"/>
    <w:rsid w:val="00404060"/>
    <w:rsid w:val="004042EC"/>
    <w:rsid w:val="00405579"/>
    <w:rsid w:val="0041007B"/>
    <w:rsid w:val="00410B8E"/>
    <w:rsid w:val="004116CD"/>
    <w:rsid w:val="0041306D"/>
    <w:rsid w:val="00416EA4"/>
    <w:rsid w:val="004215F4"/>
    <w:rsid w:val="00421FC1"/>
    <w:rsid w:val="004229C7"/>
    <w:rsid w:val="00424CA9"/>
    <w:rsid w:val="00425F7A"/>
    <w:rsid w:val="00425F8D"/>
    <w:rsid w:val="0043089A"/>
    <w:rsid w:val="00430B36"/>
    <w:rsid w:val="00434E12"/>
    <w:rsid w:val="00436785"/>
    <w:rsid w:val="00436BD5"/>
    <w:rsid w:val="00437E4B"/>
    <w:rsid w:val="0044291A"/>
    <w:rsid w:val="004442DB"/>
    <w:rsid w:val="0045335C"/>
    <w:rsid w:val="0046732B"/>
    <w:rsid w:val="0047438A"/>
    <w:rsid w:val="0048196B"/>
    <w:rsid w:val="0048364F"/>
    <w:rsid w:val="00486A3F"/>
    <w:rsid w:val="00486D05"/>
    <w:rsid w:val="00496F97"/>
    <w:rsid w:val="004A196D"/>
    <w:rsid w:val="004B0227"/>
    <w:rsid w:val="004C2D4B"/>
    <w:rsid w:val="004C4932"/>
    <w:rsid w:val="004C7C8C"/>
    <w:rsid w:val="004E2A4A"/>
    <w:rsid w:val="004E5186"/>
    <w:rsid w:val="004F0986"/>
    <w:rsid w:val="004F0D23"/>
    <w:rsid w:val="004F1FAC"/>
    <w:rsid w:val="004F2F68"/>
    <w:rsid w:val="004F71E9"/>
    <w:rsid w:val="00504278"/>
    <w:rsid w:val="005067BF"/>
    <w:rsid w:val="00510D4A"/>
    <w:rsid w:val="00511FE0"/>
    <w:rsid w:val="00516B8D"/>
    <w:rsid w:val="00522F95"/>
    <w:rsid w:val="00527FE2"/>
    <w:rsid w:val="005352D5"/>
    <w:rsid w:val="00537FBC"/>
    <w:rsid w:val="005401B9"/>
    <w:rsid w:val="00543469"/>
    <w:rsid w:val="00545D52"/>
    <w:rsid w:val="00547687"/>
    <w:rsid w:val="00551B54"/>
    <w:rsid w:val="00581AFC"/>
    <w:rsid w:val="005835FB"/>
    <w:rsid w:val="005842F8"/>
    <w:rsid w:val="00584811"/>
    <w:rsid w:val="00586013"/>
    <w:rsid w:val="00593AA6"/>
    <w:rsid w:val="00594161"/>
    <w:rsid w:val="00594749"/>
    <w:rsid w:val="005A0D92"/>
    <w:rsid w:val="005A27A1"/>
    <w:rsid w:val="005A4E1D"/>
    <w:rsid w:val="005A50FA"/>
    <w:rsid w:val="005A7EC9"/>
    <w:rsid w:val="005B0884"/>
    <w:rsid w:val="005B38DE"/>
    <w:rsid w:val="005B4067"/>
    <w:rsid w:val="005C371A"/>
    <w:rsid w:val="005C3F41"/>
    <w:rsid w:val="005D3F47"/>
    <w:rsid w:val="005E152A"/>
    <w:rsid w:val="005E1536"/>
    <w:rsid w:val="005E4054"/>
    <w:rsid w:val="005E78AA"/>
    <w:rsid w:val="005F11B1"/>
    <w:rsid w:val="00600219"/>
    <w:rsid w:val="0060592D"/>
    <w:rsid w:val="00614AA7"/>
    <w:rsid w:val="00615BAA"/>
    <w:rsid w:val="006167FD"/>
    <w:rsid w:val="00616DFB"/>
    <w:rsid w:val="006207A3"/>
    <w:rsid w:val="006252DF"/>
    <w:rsid w:val="00641DE5"/>
    <w:rsid w:val="00651909"/>
    <w:rsid w:val="00656927"/>
    <w:rsid w:val="00656F0C"/>
    <w:rsid w:val="00672DDB"/>
    <w:rsid w:val="00677CC2"/>
    <w:rsid w:val="00681B4F"/>
    <w:rsid w:val="00681F92"/>
    <w:rsid w:val="006842C2"/>
    <w:rsid w:val="00685F42"/>
    <w:rsid w:val="0069092F"/>
    <w:rsid w:val="0069207B"/>
    <w:rsid w:val="006954C5"/>
    <w:rsid w:val="006A119E"/>
    <w:rsid w:val="006A1B87"/>
    <w:rsid w:val="006A473B"/>
    <w:rsid w:val="006A4B23"/>
    <w:rsid w:val="006B7E42"/>
    <w:rsid w:val="006C2874"/>
    <w:rsid w:val="006C7F8C"/>
    <w:rsid w:val="006D380D"/>
    <w:rsid w:val="006E0135"/>
    <w:rsid w:val="006E303A"/>
    <w:rsid w:val="006E65CA"/>
    <w:rsid w:val="006F2A4B"/>
    <w:rsid w:val="006F7E19"/>
    <w:rsid w:val="00700B2C"/>
    <w:rsid w:val="00712D8D"/>
    <w:rsid w:val="00713084"/>
    <w:rsid w:val="00714B26"/>
    <w:rsid w:val="00720E76"/>
    <w:rsid w:val="00721B49"/>
    <w:rsid w:val="00725BC3"/>
    <w:rsid w:val="00731E00"/>
    <w:rsid w:val="00742232"/>
    <w:rsid w:val="007440B7"/>
    <w:rsid w:val="0075553E"/>
    <w:rsid w:val="00762C58"/>
    <w:rsid w:val="00762ECF"/>
    <w:rsid w:val="007634AD"/>
    <w:rsid w:val="007715C9"/>
    <w:rsid w:val="00774EDD"/>
    <w:rsid w:val="007755FF"/>
    <w:rsid w:val="007757EC"/>
    <w:rsid w:val="00776C5A"/>
    <w:rsid w:val="00791880"/>
    <w:rsid w:val="007A0E40"/>
    <w:rsid w:val="007A1399"/>
    <w:rsid w:val="007B04F8"/>
    <w:rsid w:val="007B1E8F"/>
    <w:rsid w:val="007B30AA"/>
    <w:rsid w:val="007B680B"/>
    <w:rsid w:val="007C417D"/>
    <w:rsid w:val="007D5F99"/>
    <w:rsid w:val="007E5594"/>
    <w:rsid w:val="007E7D4A"/>
    <w:rsid w:val="007F7FEC"/>
    <w:rsid w:val="008006CC"/>
    <w:rsid w:val="008013CF"/>
    <w:rsid w:val="00803CF5"/>
    <w:rsid w:val="00807F18"/>
    <w:rsid w:val="00813C13"/>
    <w:rsid w:val="00827E7D"/>
    <w:rsid w:val="00831E8D"/>
    <w:rsid w:val="00847E3C"/>
    <w:rsid w:val="00856A31"/>
    <w:rsid w:val="00857D6B"/>
    <w:rsid w:val="00866A99"/>
    <w:rsid w:val="008754D0"/>
    <w:rsid w:val="00876322"/>
    <w:rsid w:val="00877D01"/>
    <w:rsid w:val="00877D48"/>
    <w:rsid w:val="00883781"/>
    <w:rsid w:val="0088535A"/>
    <w:rsid w:val="00885570"/>
    <w:rsid w:val="008873D8"/>
    <w:rsid w:val="00893958"/>
    <w:rsid w:val="00895A93"/>
    <w:rsid w:val="008A165F"/>
    <w:rsid w:val="008A2E77"/>
    <w:rsid w:val="008C049D"/>
    <w:rsid w:val="008C6F6F"/>
    <w:rsid w:val="008D0EE0"/>
    <w:rsid w:val="008D26C8"/>
    <w:rsid w:val="008D3E94"/>
    <w:rsid w:val="008D5AA4"/>
    <w:rsid w:val="008D7AD5"/>
    <w:rsid w:val="008E631C"/>
    <w:rsid w:val="008F4F1C"/>
    <w:rsid w:val="008F77C4"/>
    <w:rsid w:val="008F7F30"/>
    <w:rsid w:val="00907F73"/>
    <w:rsid w:val="009103F3"/>
    <w:rsid w:val="00917292"/>
    <w:rsid w:val="009218D6"/>
    <w:rsid w:val="00932377"/>
    <w:rsid w:val="009332B4"/>
    <w:rsid w:val="00935C16"/>
    <w:rsid w:val="00943221"/>
    <w:rsid w:val="009539C1"/>
    <w:rsid w:val="00964A6E"/>
    <w:rsid w:val="009669D9"/>
    <w:rsid w:val="00967042"/>
    <w:rsid w:val="009721BA"/>
    <w:rsid w:val="00973F1E"/>
    <w:rsid w:val="00977E28"/>
    <w:rsid w:val="00981B12"/>
    <w:rsid w:val="0098255A"/>
    <w:rsid w:val="009845BE"/>
    <w:rsid w:val="0099645E"/>
    <w:rsid w:val="009969C9"/>
    <w:rsid w:val="009A218E"/>
    <w:rsid w:val="009A78E9"/>
    <w:rsid w:val="009E186E"/>
    <w:rsid w:val="009E5B7A"/>
    <w:rsid w:val="009F221C"/>
    <w:rsid w:val="009F3909"/>
    <w:rsid w:val="009F7BD0"/>
    <w:rsid w:val="00A00A55"/>
    <w:rsid w:val="00A048FF"/>
    <w:rsid w:val="00A05437"/>
    <w:rsid w:val="00A0617F"/>
    <w:rsid w:val="00A10775"/>
    <w:rsid w:val="00A11637"/>
    <w:rsid w:val="00A161C4"/>
    <w:rsid w:val="00A16F0D"/>
    <w:rsid w:val="00A213DA"/>
    <w:rsid w:val="00A231E2"/>
    <w:rsid w:val="00A31D66"/>
    <w:rsid w:val="00A330B6"/>
    <w:rsid w:val="00A36C48"/>
    <w:rsid w:val="00A41E0B"/>
    <w:rsid w:val="00A4276E"/>
    <w:rsid w:val="00A468DC"/>
    <w:rsid w:val="00A51891"/>
    <w:rsid w:val="00A55631"/>
    <w:rsid w:val="00A61407"/>
    <w:rsid w:val="00A64912"/>
    <w:rsid w:val="00A66348"/>
    <w:rsid w:val="00A70A74"/>
    <w:rsid w:val="00A73B2E"/>
    <w:rsid w:val="00A73FA2"/>
    <w:rsid w:val="00A763AD"/>
    <w:rsid w:val="00A80A26"/>
    <w:rsid w:val="00A82486"/>
    <w:rsid w:val="00A82F0B"/>
    <w:rsid w:val="00A84A53"/>
    <w:rsid w:val="00A865C0"/>
    <w:rsid w:val="00A93EED"/>
    <w:rsid w:val="00AA3795"/>
    <w:rsid w:val="00AC1E75"/>
    <w:rsid w:val="00AC7FB2"/>
    <w:rsid w:val="00AD06C5"/>
    <w:rsid w:val="00AD5641"/>
    <w:rsid w:val="00AE1088"/>
    <w:rsid w:val="00AE1F62"/>
    <w:rsid w:val="00AE431D"/>
    <w:rsid w:val="00AE671B"/>
    <w:rsid w:val="00AE7631"/>
    <w:rsid w:val="00AF14BD"/>
    <w:rsid w:val="00AF1BA4"/>
    <w:rsid w:val="00AF4FC3"/>
    <w:rsid w:val="00AF5F73"/>
    <w:rsid w:val="00B032D8"/>
    <w:rsid w:val="00B06F68"/>
    <w:rsid w:val="00B23439"/>
    <w:rsid w:val="00B25C5B"/>
    <w:rsid w:val="00B305F4"/>
    <w:rsid w:val="00B30669"/>
    <w:rsid w:val="00B32BE2"/>
    <w:rsid w:val="00B335B4"/>
    <w:rsid w:val="00B33B3C"/>
    <w:rsid w:val="00B4785B"/>
    <w:rsid w:val="00B53246"/>
    <w:rsid w:val="00B57E30"/>
    <w:rsid w:val="00B6382D"/>
    <w:rsid w:val="00B67200"/>
    <w:rsid w:val="00B74502"/>
    <w:rsid w:val="00B81180"/>
    <w:rsid w:val="00B841EC"/>
    <w:rsid w:val="00B97523"/>
    <w:rsid w:val="00BA5026"/>
    <w:rsid w:val="00BB21B5"/>
    <w:rsid w:val="00BB40BF"/>
    <w:rsid w:val="00BC0CD1"/>
    <w:rsid w:val="00BD49F0"/>
    <w:rsid w:val="00BE29F2"/>
    <w:rsid w:val="00BE719A"/>
    <w:rsid w:val="00BE720A"/>
    <w:rsid w:val="00BF0461"/>
    <w:rsid w:val="00BF4944"/>
    <w:rsid w:val="00BF56D4"/>
    <w:rsid w:val="00C04409"/>
    <w:rsid w:val="00C067E5"/>
    <w:rsid w:val="00C143A5"/>
    <w:rsid w:val="00C150CF"/>
    <w:rsid w:val="00C164CA"/>
    <w:rsid w:val="00C176CF"/>
    <w:rsid w:val="00C243D2"/>
    <w:rsid w:val="00C24E72"/>
    <w:rsid w:val="00C24EE9"/>
    <w:rsid w:val="00C271CA"/>
    <w:rsid w:val="00C27B0A"/>
    <w:rsid w:val="00C304D5"/>
    <w:rsid w:val="00C34742"/>
    <w:rsid w:val="00C361F5"/>
    <w:rsid w:val="00C36D59"/>
    <w:rsid w:val="00C42BF8"/>
    <w:rsid w:val="00C435C7"/>
    <w:rsid w:val="00C460AE"/>
    <w:rsid w:val="00C46824"/>
    <w:rsid w:val="00C50043"/>
    <w:rsid w:val="00C519A9"/>
    <w:rsid w:val="00C54E84"/>
    <w:rsid w:val="00C65047"/>
    <w:rsid w:val="00C669FD"/>
    <w:rsid w:val="00C70437"/>
    <w:rsid w:val="00C7573B"/>
    <w:rsid w:val="00C76CF3"/>
    <w:rsid w:val="00C76DB9"/>
    <w:rsid w:val="00C901FD"/>
    <w:rsid w:val="00C93D89"/>
    <w:rsid w:val="00CA7A5D"/>
    <w:rsid w:val="00CB27EF"/>
    <w:rsid w:val="00CC18DD"/>
    <w:rsid w:val="00CC545D"/>
    <w:rsid w:val="00CD023E"/>
    <w:rsid w:val="00CD53BA"/>
    <w:rsid w:val="00CD73E8"/>
    <w:rsid w:val="00CE17E6"/>
    <w:rsid w:val="00CE1E31"/>
    <w:rsid w:val="00CF0BB2"/>
    <w:rsid w:val="00CF1419"/>
    <w:rsid w:val="00D00EAA"/>
    <w:rsid w:val="00D067D9"/>
    <w:rsid w:val="00D10F04"/>
    <w:rsid w:val="00D13441"/>
    <w:rsid w:val="00D142B4"/>
    <w:rsid w:val="00D1446C"/>
    <w:rsid w:val="00D15221"/>
    <w:rsid w:val="00D178A4"/>
    <w:rsid w:val="00D243A3"/>
    <w:rsid w:val="00D338A9"/>
    <w:rsid w:val="00D34D45"/>
    <w:rsid w:val="00D42E2A"/>
    <w:rsid w:val="00D44412"/>
    <w:rsid w:val="00D477C3"/>
    <w:rsid w:val="00D52EFE"/>
    <w:rsid w:val="00D553DA"/>
    <w:rsid w:val="00D62BA8"/>
    <w:rsid w:val="00D63EF6"/>
    <w:rsid w:val="00D706F9"/>
    <w:rsid w:val="00D70DFB"/>
    <w:rsid w:val="00D73029"/>
    <w:rsid w:val="00D741D9"/>
    <w:rsid w:val="00D766DF"/>
    <w:rsid w:val="00D87345"/>
    <w:rsid w:val="00D91847"/>
    <w:rsid w:val="00D92083"/>
    <w:rsid w:val="00D940E6"/>
    <w:rsid w:val="00DB56AF"/>
    <w:rsid w:val="00DC6232"/>
    <w:rsid w:val="00DC6534"/>
    <w:rsid w:val="00DD3F15"/>
    <w:rsid w:val="00DE2002"/>
    <w:rsid w:val="00DE65BD"/>
    <w:rsid w:val="00DF05D5"/>
    <w:rsid w:val="00DF5228"/>
    <w:rsid w:val="00DF7AE9"/>
    <w:rsid w:val="00E019B9"/>
    <w:rsid w:val="00E04A2F"/>
    <w:rsid w:val="00E05704"/>
    <w:rsid w:val="00E06C11"/>
    <w:rsid w:val="00E11349"/>
    <w:rsid w:val="00E17D30"/>
    <w:rsid w:val="00E21D7B"/>
    <w:rsid w:val="00E24D66"/>
    <w:rsid w:val="00E34D80"/>
    <w:rsid w:val="00E37760"/>
    <w:rsid w:val="00E41A4C"/>
    <w:rsid w:val="00E54292"/>
    <w:rsid w:val="00E556DD"/>
    <w:rsid w:val="00E572B4"/>
    <w:rsid w:val="00E65D0C"/>
    <w:rsid w:val="00E74DC7"/>
    <w:rsid w:val="00E81BDB"/>
    <w:rsid w:val="00E84ECA"/>
    <w:rsid w:val="00E87699"/>
    <w:rsid w:val="00E947C6"/>
    <w:rsid w:val="00E9490F"/>
    <w:rsid w:val="00EA64B0"/>
    <w:rsid w:val="00EB510C"/>
    <w:rsid w:val="00EB5160"/>
    <w:rsid w:val="00EB73B6"/>
    <w:rsid w:val="00EB7B66"/>
    <w:rsid w:val="00EC23A6"/>
    <w:rsid w:val="00EC4FD6"/>
    <w:rsid w:val="00ED492F"/>
    <w:rsid w:val="00EE2C5D"/>
    <w:rsid w:val="00EE3E36"/>
    <w:rsid w:val="00EF2153"/>
    <w:rsid w:val="00EF2E3A"/>
    <w:rsid w:val="00EF5741"/>
    <w:rsid w:val="00F045A7"/>
    <w:rsid w:val="00F047E2"/>
    <w:rsid w:val="00F061BE"/>
    <w:rsid w:val="00F078DC"/>
    <w:rsid w:val="00F1140F"/>
    <w:rsid w:val="00F13E86"/>
    <w:rsid w:val="00F14D65"/>
    <w:rsid w:val="00F17B00"/>
    <w:rsid w:val="00F20C86"/>
    <w:rsid w:val="00F266B9"/>
    <w:rsid w:val="00F37E0E"/>
    <w:rsid w:val="00F5119A"/>
    <w:rsid w:val="00F53CEE"/>
    <w:rsid w:val="00F60DB6"/>
    <w:rsid w:val="00F64B58"/>
    <w:rsid w:val="00F674BE"/>
    <w:rsid w:val="00F677A9"/>
    <w:rsid w:val="00F8084A"/>
    <w:rsid w:val="00F819D3"/>
    <w:rsid w:val="00F84CF5"/>
    <w:rsid w:val="00F850B0"/>
    <w:rsid w:val="00F92447"/>
    <w:rsid w:val="00F92D35"/>
    <w:rsid w:val="00FA111F"/>
    <w:rsid w:val="00FA420B"/>
    <w:rsid w:val="00FC3C6C"/>
    <w:rsid w:val="00FC7AE4"/>
    <w:rsid w:val="00FD1E13"/>
    <w:rsid w:val="00FD7EB1"/>
    <w:rsid w:val="00FE039A"/>
    <w:rsid w:val="00FE41C9"/>
    <w:rsid w:val="00FE7F93"/>
    <w:rsid w:val="00FF1D6A"/>
    <w:rsid w:val="00FF662B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,"/>
  <w14:docId w14:val="37EFF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51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0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0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0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0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0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0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0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0D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5160"/>
  </w:style>
  <w:style w:type="paragraph" w:customStyle="1" w:styleId="OPCParaBase">
    <w:name w:val="OPCParaBase"/>
    <w:qFormat/>
    <w:rsid w:val="00EB51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51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51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51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51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51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51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51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51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51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51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5160"/>
  </w:style>
  <w:style w:type="paragraph" w:customStyle="1" w:styleId="Blocks">
    <w:name w:val="Blocks"/>
    <w:aliases w:val="bb"/>
    <w:basedOn w:val="OPCParaBase"/>
    <w:qFormat/>
    <w:rsid w:val="00EB51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51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51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5160"/>
    <w:rPr>
      <w:i/>
    </w:rPr>
  </w:style>
  <w:style w:type="paragraph" w:customStyle="1" w:styleId="BoxList">
    <w:name w:val="BoxList"/>
    <w:aliases w:val="bl"/>
    <w:basedOn w:val="BoxText"/>
    <w:qFormat/>
    <w:rsid w:val="00EB51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51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51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5160"/>
    <w:pPr>
      <w:ind w:left="1985" w:hanging="851"/>
    </w:pPr>
  </w:style>
  <w:style w:type="character" w:customStyle="1" w:styleId="CharAmPartNo">
    <w:name w:val="CharAmPartNo"/>
    <w:basedOn w:val="OPCCharBase"/>
    <w:qFormat/>
    <w:rsid w:val="00EB5160"/>
  </w:style>
  <w:style w:type="character" w:customStyle="1" w:styleId="CharAmPartText">
    <w:name w:val="CharAmPartText"/>
    <w:basedOn w:val="OPCCharBase"/>
    <w:qFormat/>
    <w:rsid w:val="00EB5160"/>
  </w:style>
  <w:style w:type="character" w:customStyle="1" w:styleId="CharAmSchNo">
    <w:name w:val="CharAmSchNo"/>
    <w:basedOn w:val="OPCCharBase"/>
    <w:qFormat/>
    <w:rsid w:val="00EB5160"/>
  </w:style>
  <w:style w:type="character" w:customStyle="1" w:styleId="CharAmSchText">
    <w:name w:val="CharAmSchText"/>
    <w:basedOn w:val="OPCCharBase"/>
    <w:qFormat/>
    <w:rsid w:val="00EB5160"/>
  </w:style>
  <w:style w:type="character" w:customStyle="1" w:styleId="CharBoldItalic">
    <w:name w:val="CharBoldItalic"/>
    <w:basedOn w:val="OPCCharBase"/>
    <w:uiPriority w:val="1"/>
    <w:qFormat/>
    <w:rsid w:val="00EB51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5160"/>
  </w:style>
  <w:style w:type="character" w:customStyle="1" w:styleId="CharChapText">
    <w:name w:val="CharChapText"/>
    <w:basedOn w:val="OPCCharBase"/>
    <w:uiPriority w:val="1"/>
    <w:qFormat/>
    <w:rsid w:val="00EB5160"/>
  </w:style>
  <w:style w:type="character" w:customStyle="1" w:styleId="CharDivNo">
    <w:name w:val="CharDivNo"/>
    <w:basedOn w:val="OPCCharBase"/>
    <w:uiPriority w:val="1"/>
    <w:qFormat/>
    <w:rsid w:val="00EB5160"/>
  </w:style>
  <w:style w:type="character" w:customStyle="1" w:styleId="CharDivText">
    <w:name w:val="CharDivText"/>
    <w:basedOn w:val="OPCCharBase"/>
    <w:uiPriority w:val="1"/>
    <w:qFormat/>
    <w:rsid w:val="00EB5160"/>
  </w:style>
  <w:style w:type="character" w:customStyle="1" w:styleId="CharItalic">
    <w:name w:val="CharItalic"/>
    <w:basedOn w:val="OPCCharBase"/>
    <w:uiPriority w:val="1"/>
    <w:qFormat/>
    <w:rsid w:val="00EB5160"/>
    <w:rPr>
      <w:i/>
    </w:rPr>
  </w:style>
  <w:style w:type="character" w:customStyle="1" w:styleId="CharPartNo">
    <w:name w:val="CharPartNo"/>
    <w:basedOn w:val="OPCCharBase"/>
    <w:uiPriority w:val="1"/>
    <w:qFormat/>
    <w:rsid w:val="00EB5160"/>
  </w:style>
  <w:style w:type="character" w:customStyle="1" w:styleId="CharPartText">
    <w:name w:val="CharPartText"/>
    <w:basedOn w:val="OPCCharBase"/>
    <w:uiPriority w:val="1"/>
    <w:qFormat/>
    <w:rsid w:val="00EB5160"/>
  </w:style>
  <w:style w:type="character" w:customStyle="1" w:styleId="CharSectno">
    <w:name w:val="CharSectno"/>
    <w:basedOn w:val="OPCCharBase"/>
    <w:qFormat/>
    <w:rsid w:val="00EB5160"/>
  </w:style>
  <w:style w:type="character" w:customStyle="1" w:styleId="CharSubdNo">
    <w:name w:val="CharSubdNo"/>
    <w:basedOn w:val="OPCCharBase"/>
    <w:uiPriority w:val="1"/>
    <w:qFormat/>
    <w:rsid w:val="00EB5160"/>
  </w:style>
  <w:style w:type="character" w:customStyle="1" w:styleId="CharSubdText">
    <w:name w:val="CharSubdText"/>
    <w:basedOn w:val="OPCCharBase"/>
    <w:uiPriority w:val="1"/>
    <w:qFormat/>
    <w:rsid w:val="00EB5160"/>
  </w:style>
  <w:style w:type="paragraph" w:customStyle="1" w:styleId="CTA--">
    <w:name w:val="CTA --"/>
    <w:basedOn w:val="OPCParaBase"/>
    <w:next w:val="Normal"/>
    <w:rsid w:val="00EB51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51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51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51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51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51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51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51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51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51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51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51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51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51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B51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51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51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51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51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51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51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51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51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51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51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51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51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51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51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51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51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51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51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51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51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51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51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51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51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51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51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51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51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51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51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51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51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51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51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51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51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51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51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51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51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516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516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516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51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51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51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51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51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51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51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51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5160"/>
    <w:rPr>
      <w:sz w:val="16"/>
    </w:rPr>
  </w:style>
  <w:style w:type="table" w:customStyle="1" w:styleId="CFlag">
    <w:name w:val="CFlag"/>
    <w:basedOn w:val="TableNormal"/>
    <w:uiPriority w:val="99"/>
    <w:rsid w:val="00EB516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B51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516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B51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51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B51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51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51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51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51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B5160"/>
    <w:pPr>
      <w:spacing w:before="120"/>
    </w:pPr>
  </w:style>
  <w:style w:type="paragraph" w:customStyle="1" w:styleId="TableTextEndNotes">
    <w:name w:val="TableTextEndNotes"/>
    <w:aliases w:val="Tten"/>
    <w:basedOn w:val="Normal"/>
    <w:rsid w:val="00EB516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B516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B51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51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51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51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51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51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51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51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516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B51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B5160"/>
  </w:style>
  <w:style w:type="character" w:customStyle="1" w:styleId="CharSubPartNoCASA">
    <w:name w:val="CharSubPartNo(CASA)"/>
    <w:basedOn w:val="OPCCharBase"/>
    <w:uiPriority w:val="1"/>
    <w:rsid w:val="00EB5160"/>
  </w:style>
  <w:style w:type="paragraph" w:customStyle="1" w:styleId="ENoteTTIndentHeadingSub">
    <w:name w:val="ENoteTTIndentHeadingSub"/>
    <w:aliases w:val="enTTHis"/>
    <w:basedOn w:val="OPCParaBase"/>
    <w:rsid w:val="00EB51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51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51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516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B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B51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516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51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5160"/>
    <w:rPr>
      <w:sz w:val="22"/>
    </w:rPr>
  </w:style>
  <w:style w:type="paragraph" w:customStyle="1" w:styleId="SOTextNote">
    <w:name w:val="SO TextNote"/>
    <w:aliases w:val="sont"/>
    <w:basedOn w:val="SOText"/>
    <w:qFormat/>
    <w:rsid w:val="00EB51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51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5160"/>
    <w:rPr>
      <w:sz w:val="22"/>
    </w:rPr>
  </w:style>
  <w:style w:type="paragraph" w:customStyle="1" w:styleId="FileName">
    <w:name w:val="FileName"/>
    <w:basedOn w:val="Normal"/>
    <w:rsid w:val="00EB516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51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51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51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51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51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51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51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51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51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516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B5160"/>
  </w:style>
  <w:style w:type="character" w:customStyle="1" w:styleId="Heading1Char">
    <w:name w:val="Heading 1 Char"/>
    <w:basedOn w:val="DefaultParagraphFont"/>
    <w:link w:val="Heading1"/>
    <w:uiPriority w:val="9"/>
    <w:rsid w:val="000A50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0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0D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0D7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0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0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0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0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0A50D7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A50D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A50D7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A50D7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A50D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A119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A119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A119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B0F1-620A-4BE0-B6EB-5EC8D56A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15</Pages>
  <Words>2149</Words>
  <Characters>10875</Characters>
  <Application>Microsoft Office Word</Application>
  <DocSecurity>0</DocSecurity>
  <PresentationFormat/>
  <Lines>217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2023-07-13T04:36:00Z</cp:lastPrinted>
  <dcterms:created xsi:type="dcterms:W3CDTF">2023-09-22T01:08:00Z</dcterms:created>
  <dcterms:modified xsi:type="dcterms:W3CDTF">2023-09-22T01:45:00Z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Parliamentary Workplace Support Service (Consequential Amendments and Transitional Provisions) Act 2023</vt:lpwstr>
  </property>
  <property fmtid="{D5CDD505-2E9C-101B-9397-08002B2CF9AE}" pid="3" name="ActNo">
    <vt:lpwstr>No. 71,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OPC8238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2023-09-13T06:06:18Z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de601896-5186-4bf2-90e8-f19b5169921d</vt:lpwstr>
  </property>
  <property fmtid="{D5CDD505-2E9C-101B-9397-08002B2CF9AE}" pid="18" name="MSIP_Label_234ea0fa-41da-4eb0-b95e-07c328641c0b_ContentBits">
    <vt:lpwstr>0</vt:lpwstr>
  </property>
</Properties>
</file>