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7032056"/>
    <w:p w14:paraId="18F72B83" w14:textId="512766E9" w:rsidR="00F17FBC" w:rsidRDefault="00F17FBC" w:rsidP="00F17FBC">
      <w:r>
        <w:object w:dxaOrig="2146" w:dyaOrig="1561" w14:anchorId="2AE6A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56897709" r:id="rId9"/>
        </w:object>
      </w:r>
    </w:p>
    <w:p w14:paraId="6474738F" w14:textId="77777777" w:rsidR="00F17FBC" w:rsidRDefault="00F17FBC" w:rsidP="00F17FBC"/>
    <w:p w14:paraId="66D3CA62" w14:textId="77777777" w:rsidR="00F17FBC" w:rsidRDefault="00F17FBC" w:rsidP="00F17FBC"/>
    <w:p w14:paraId="0C95503E" w14:textId="77777777" w:rsidR="00F17FBC" w:rsidRDefault="00F17FBC" w:rsidP="00F17FBC"/>
    <w:p w14:paraId="0549C2BF" w14:textId="77777777" w:rsidR="00F17FBC" w:rsidRDefault="00F17FBC" w:rsidP="00F17FBC"/>
    <w:p w14:paraId="782AB40A" w14:textId="77777777" w:rsidR="00F17FBC" w:rsidRDefault="00F17FBC" w:rsidP="00F17FBC"/>
    <w:p w14:paraId="4F2A0067" w14:textId="77777777" w:rsidR="00F17FBC" w:rsidRDefault="00F17FBC" w:rsidP="00F17FBC"/>
    <w:p w14:paraId="023E56EE" w14:textId="46F22989" w:rsidR="0048364F" w:rsidRPr="00457397" w:rsidRDefault="00F17FBC" w:rsidP="0048364F">
      <w:pPr>
        <w:pStyle w:val="ShortT"/>
      </w:pPr>
      <w:r>
        <w:t>Greenhouse and Energy Minimum Standards Amendment (Administrative Changes) Act 2023</w:t>
      </w:r>
    </w:p>
    <w:bookmarkEnd w:id="0"/>
    <w:p w14:paraId="2C99A1A2" w14:textId="77777777" w:rsidR="0048364F" w:rsidRPr="00457397" w:rsidRDefault="0048364F" w:rsidP="0048364F"/>
    <w:p w14:paraId="1CDA8E09" w14:textId="234B864B" w:rsidR="0048364F" w:rsidRPr="00457397" w:rsidRDefault="00C164CA" w:rsidP="00F17FBC">
      <w:pPr>
        <w:pStyle w:val="Actno"/>
        <w:spacing w:before="400"/>
      </w:pPr>
      <w:r w:rsidRPr="00457397">
        <w:t>No.</w:t>
      </w:r>
      <w:r w:rsidR="002B28FB">
        <w:t xml:space="preserve"> 77</w:t>
      </w:r>
      <w:r w:rsidRPr="00457397">
        <w:t xml:space="preserve">, </w:t>
      </w:r>
      <w:r w:rsidR="00005D25" w:rsidRPr="00457397">
        <w:t>2023</w:t>
      </w:r>
    </w:p>
    <w:p w14:paraId="0787B302" w14:textId="77777777" w:rsidR="0048364F" w:rsidRPr="00457397" w:rsidRDefault="0048364F" w:rsidP="0048364F"/>
    <w:p w14:paraId="44C1E231" w14:textId="77777777" w:rsidR="00E36D4D" w:rsidRDefault="00E36D4D" w:rsidP="00E36D4D">
      <w:pPr>
        <w:rPr>
          <w:lang w:eastAsia="en-AU"/>
        </w:rPr>
      </w:pPr>
    </w:p>
    <w:p w14:paraId="03AB1A1E" w14:textId="6A471A1E" w:rsidR="0048364F" w:rsidRPr="00457397" w:rsidRDefault="0048364F" w:rsidP="0048364F"/>
    <w:p w14:paraId="56159D7B" w14:textId="77777777" w:rsidR="0048364F" w:rsidRPr="00457397" w:rsidRDefault="0048364F" w:rsidP="0048364F"/>
    <w:p w14:paraId="16475473" w14:textId="77777777" w:rsidR="0048364F" w:rsidRPr="00457397" w:rsidRDefault="0048364F" w:rsidP="0048364F"/>
    <w:p w14:paraId="2C7B0B14" w14:textId="77777777" w:rsidR="00F17FBC" w:rsidRDefault="00F17FBC" w:rsidP="00F17FBC">
      <w:pPr>
        <w:pStyle w:val="LongT"/>
      </w:pPr>
      <w:r>
        <w:t xml:space="preserve">An Act to amend the </w:t>
      </w:r>
      <w:r w:rsidRPr="00F17FBC">
        <w:rPr>
          <w:i/>
        </w:rPr>
        <w:t>Greenhouse and Energy Minimum Standards Act 2012</w:t>
      </w:r>
      <w:r>
        <w:t>, and for related purposes</w:t>
      </w:r>
    </w:p>
    <w:p w14:paraId="38B79ED2" w14:textId="669CE7F2" w:rsidR="0048364F" w:rsidRPr="00B71A83" w:rsidRDefault="0048364F" w:rsidP="0048364F">
      <w:pPr>
        <w:pStyle w:val="Header"/>
        <w:tabs>
          <w:tab w:val="clear" w:pos="4150"/>
          <w:tab w:val="clear" w:pos="8307"/>
        </w:tabs>
      </w:pPr>
      <w:r w:rsidRPr="00B71A83">
        <w:rPr>
          <w:rStyle w:val="CharAmSchNo"/>
        </w:rPr>
        <w:t xml:space="preserve"> </w:t>
      </w:r>
      <w:r w:rsidRPr="00B71A83">
        <w:rPr>
          <w:rStyle w:val="CharAmSchText"/>
        </w:rPr>
        <w:t xml:space="preserve"> </w:t>
      </w:r>
    </w:p>
    <w:p w14:paraId="7754BB1F" w14:textId="77777777" w:rsidR="0048364F" w:rsidRPr="00B71A83" w:rsidRDefault="0048364F" w:rsidP="0048364F">
      <w:pPr>
        <w:pStyle w:val="Header"/>
        <w:tabs>
          <w:tab w:val="clear" w:pos="4150"/>
          <w:tab w:val="clear" w:pos="8307"/>
        </w:tabs>
      </w:pPr>
      <w:r w:rsidRPr="00B71A83">
        <w:rPr>
          <w:rStyle w:val="CharAmPartNo"/>
        </w:rPr>
        <w:t xml:space="preserve"> </w:t>
      </w:r>
      <w:r w:rsidRPr="00B71A83">
        <w:rPr>
          <w:rStyle w:val="CharAmPartText"/>
        </w:rPr>
        <w:t xml:space="preserve"> </w:t>
      </w:r>
    </w:p>
    <w:p w14:paraId="089B967E" w14:textId="77777777" w:rsidR="0048364F" w:rsidRPr="00457397" w:rsidRDefault="0048364F" w:rsidP="0048364F">
      <w:pPr>
        <w:sectPr w:rsidR="0048364F" w:rsidRPr="00457397" w:rsidSect="00F17FB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3E9078F" w14:textId="77777777" w:rsidR="0048364F" w:rsidRPr="00457397" w:rsidRDefault="0048364F" w:rsidP="0048364F">
      <w:pPr>
        <w:outlineLvl w:val="0"/>
        <w:rPr>
          <w:sz w:val="36"/>
        </w:rPr>
      </w:pPr>
      <w:r w:rsidRPr="00457397">
        <w:rPr>
          <w:sz w:val="36"/>
        </w:rPr>
        <w:lastRenderedPageBreak/>
        <w:t>Contents</w:t>
      </w:r>
    </w:p>
    <w:p w14:paraId="2AB1F9E8" w14:textId="537D45E7" w:rsidR="00C60CCE" w:rsidRDefault="00C60C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60CCE">
        <w:rPr>
          <w:noProof/>
        </w:rPr>
        <w:tab/>
      </w:r>
      <w:r w:rsidRPr="00C60CCE">
        <w:rPr>
          <w:noProof/>
        </w:rPr>
        <w:fldChar w:fldCharType="begin"/>
      </w:r>
      <w:r w:rsidRPr="00C60CCE">
        <w:rPr>
          <w:noProof/>
        </w:rPr>
        <w:instrText xml:space="preserve"> PAGEREF _Toc146284894 \h </w:instrText>
      </w:r>
      <w:r w:rsidRPr="00C60CCE">
        <w:rPr>
          <w:noProof/>
        </w:rPr>
      </w:r>
      <w:r w:rsidRPr="00C60CCE">
        <w:rPr>
          <w:noProof/>
        </w:rPr>
        <w:fldChar w:fldCharType="separate"/>
      </w:r>
      <w:r w:rsidRPr="00C60CCE">
        <w:rPr>
          <w:noProof/>
        </w:rPr>
        <w:t>2</w:t>
      </w:r>
      <w:r w:rsidRPr="00C60CCE">
        <w:rPr>
          <w:noProof/>
        </w:rPr>
        <w:fldChar w:fldCharType="end"/>
      </w:r>
    </w:p>
    <w:p w14:paraId="08CD094F" w14:textId="0F5D9E1D" w:rsidR="00C60CCE" w:rsidRDefault="00C60CCE">
      <w:pPr>
        <w:pStyle w:val="TOC5"/>
        <w:rPr>
          <w:rFonts w:asciiTheme="minorHAnsi" w:eastAsiaTheme="minorEastAsia" w:hAnsiTheme="minorHAnsi" w:cstheme="minorBidi"/>
          <w:noProof/>
          <w:kern w:val="0"/>
          <w:sz w:val="22"/>
          <w:szCs w:val="22"/>
        </w:rPr>
      </w:pPr>
      <w:r>
        <w:rPr>
          <w:noProof/>
        </w:rPr>
        <w:t>2</w:t>
      </w:r>
      <w:r>
        <w:rPr>
          <w:noProof/>
        </w:rPr>
        <w:tab/>
        <w:t>Commencement</w:t>
      </w:r>
      <w:r w:rsidRPr="00C60CCE">
        <w:rPr>
          <w:noProof/>
        </w:rPr>
        <w:tab/>
      </w:r>
      <w:r w:rsidRPr="00C60CCE">
        <w:rPr>
          <w:noProof/>
        </w:rPr>
        <w:fldChar w:fldCharType="begin"/>
      </w:r>
      <w:r w:rsidRPr="00C60CCE">
        <w:rPr>
          <w:noProof/>
        </w:rPr>
        <w:instrText xml:space="preserve"> PAGEREF _Toc146284895 \h </w:instrText>
      </w:r>
      <w:r w:rsidRPr="00C60CCE">
        <w:rPr>
          <w:noProof/>
        </w:rPr>
      </w:r>
      <w:r w:rsidRPr="00C60CCE">
        <w:rPr>
          <w:noProof/>
        </w:rPr>
        <w:fldChar w:fldCharType="separate"/>
      </w:r>
      <w:r w:rsidRPr="00C60CCE">
        <w:rPr>
          <w:noProof/>
        </w:rPr>
        <w:t>2</w:t>
      </w:r>
      <w:r w:rsidRPr="00C60CCE">
        <w:rPr>
          <w:noProof/>
        </w:rPr>
        <w:fldChar w:fldCharType="end"/>
      </w:r>
    </w:p>
    <w:p w14:paraId="3CEACEE0" w14:textId="06B7FF94" w:rsidR="00C60CCE" w:rsidRDefault="00C60CCE">
      <w:pPr>
        <w:pStyle w:val="TOC5"/>
        <w:rPr>
          <w:rFonts w:asciiTheme="minorHAnsi" w:eastAsiaTheme="minorEastAsia" w:hAnsiTheme="minorHAnsi" w:cstheme="minorBidi"/>
          <w:noProof/>
          <w:kern w:val="0"/>
          <w:sz w:val="22"/>
          <w:szCs w:val="22"/>
        </w:rPr>
      </w:pPr>
      <w:r>
        <w:rPr>
          <w:noProof/>
        </w:rPr>
        <w:t>3</w:t>
      </w:r>
      <w:r>
        <w:rPr>
          <w:noProof/>
        </w:rPr>
        <w:tab/>
        <w:t>Schedules</w:t>
      </w:r>
      <w:r w:rsidRPr="00C60CCE">
        <w:rPr>
          <w:noProof/>
        </w:rPr>
        <w:tab/>
      </w:r>
      <w:r w:rsidRPr="00C60CCE">
        <w:rPr>
          <w:noProof/>
        </w:rPr>
        <w:fldChar w:fldCharType="begin"/>
      </w:r>
      <w:r w:rsidRPr="00C60CCE">
        <w:rPr>
          <w:noProof/>
        </w:rPr>
        <w:instrText xml:space="preserve"> PAGEREF _Toc146284896 \h </w:instrText>
      </w:r>
      <w:r w:rsidRPr="00C60CCE">
        <w:rPr>
          <w:noProof/>
        </w:rPr>
      </w:r>
      <w:r w:rsidRPr="00C60CCE">
        <w:rPr>
          <w:noProof/>
        </w:rPr>
        <w:fldChar w:fldCharType="separate"/>
      </w:r>
      <w:r w:rsidRPr="00C60CCE">
        <w:rPr>
          <w:noProof/>
        </w:rPr>
        <w:t>2</w:t>
      </w:r>
      <w:r w:rsidRPr="00C60CCE">
        <w:rPr>
          <w:noProof/>
        </w:rPr>
        <w:fldChar w:fldCharType="end"/>
      </w:r>
    </w:p>
    <w:p w14:paraId="170F438A" w14:textId="4948A758" w:rsidR="00C60CCE" w:rsidRDefault="00C60CCE">
      <w:pPr>
        <w:pStyle w:val="TOC6"/>
        <w:rPr>
          <w:rFonts w:asciiTheme="minorHAnsi" w:eastAsiaTheme="minorEastAsia" w:hAnsiTheme="minorHAnsi" w:cstheme="minorBidi"/>
          <w:b w:val="0"/>
          <w:noProof/>
          <w:kern w:val="0"/>
          <w:sz w:val="22"/>
          <w:szCs w:val="22"/>
        </w:rPr>
      </w:pPr>
      <w:r>
        <w:rPr>
          <w:noProof/>
        </w:rPr>
        <w:t>Schedule 1—Amendments</w:t>
      </w:r>
      <w:r w:rsidRPr="00C60CCE">
        <w:rPr>
          <w:b w:val="0"/>
          <w:noProof/>
          <w:sz w:val="18"/>
        </w:rPr>
        <w:tab/>
      </w:r>
      <w:r w:rsidRPr="00C60CCE">
        <w:rPr>
          <w:b w:val="0"/>
          <w:noProof/>
          <w:sz w:val="18"/>
        </w:rPr>
        <w:fldChar w:fldCharType="begin"/>
      </w:r>
      <w:r w:rsidRPr="00C60CCE">
        <w:rPr>
          <w:b w:val="0"/>
          <w:noProof/>
          <w:sz w:val="18"/>
        </w:rPr>
        <w:instrText xml:space="preserve"> PAGEREF _Toc146284897 \h </w:instrText>
      </w:r>
      <w:r w:rsidRPr="00C60CCE">
        <w:rPr>
          <w:b w:val="0"/>
          <w:noProof/>
          <w:sz w:val="18"/>
        </w:rPr>
      </w:r>
      <w:r w:rsidRPr="00C60CCE">
        <w:rPr>
          <w:b w:val="0"/>
          <w:noProof/>
          <w:sz w:val="18"/>
        </w:rPr>
        <w:fldChar w:fldCharType="separate"/>
      </w:r>
      <w:r w:rsidRPr="00C60CCE">
        <w:rPr>
          <w:b w:val="0"/>
          <w:noProof/>
          <w:sz w:val="18"/>
        </w:rPr>
        <w:t>3</w:t>
      </w:r>
      <w:r w:rsidRPr="00C60CCE">
        <w:rPr>
          <w:b w:val="0"/>
          <w:noProof/>
          <w:sz w:val="18"/>
        </w:rPr>
        <w:fldChar w:fldCharType="end"/>
      </w:r>
    </w:p>
    <w:p w14:paraId="3F9EC8A5" w14:textId="7F55E215" w:rsidR="00C60CCE" w:rsidRDefault="00C60CCE">
      <w:pPr>
        <w:pStyle w:val="TOC7"/>
        <w:rPr>
          <w:rFonts w:asciiTheme="minorHAnsi" w:eastAsiaTheme="minorEastAsia" w:hAnsiTheme="minorHAnsi" w:cstheme="minorBidi"/>
          <w:noProof/>
          <w:kern w:val="0"/>
          <w:sz w:val="22"/>
          <w:szCs w:val="22"/>
        </w:rPr>
      </w:pPr>
      <w:r>
        <w:rPr>
          <w:noProof/>
        </w:rPr>
        <w:t>Part 1—Customised products</w:t>
      </w:r>
      <w:r w:rsidRPr="00C60CCE">
        <w:rPr>
          <w:noProof/>
          <w:sz w:val="18"/>
        </w:rPr>
        <w:tab/>
      </w:r>
      <w:r w:rsidRPr="00C60CCE">
        <w:rPr>
          <w:noProof/>
          <w:sz w:val="18"/>
        </w:rPr>
        <w:fldChar w:fldCharType="begin"/>
      </w:r>
      <w:r w:rsidRPr="00C60CCE">
        <w:rPr>
          <w:noProof/>
          <w:sz w:val="18"/>
        </w:rPr>
        <w:instrText xml:space="preserve"> PAGEREF _Toc146284898 \h </w:instrText>
      </w:r>
      <w:r w:rsidRPr="00C60CCE">
        <w:rPr>
          <w:noProof/>
          <w:sz w:val="18"/>
        </w:rPr>
      </w:r>
      <w:r w:rsidRPr="00C60CCE">
        <w:rPr>
          <w:noProof/>
          <w:sz w:val="18"/>
        </w:rPr>
        <w:fldChar w:fldCharType="separate"/>
      </w:r>
      <w:r w:rsidRPr="00C60CCE">
        <w:rPr>
          <w:noProof/>
          <w:sz w:val="18"/>
        </w:rPr>
        <w:t>3</w:t>
      </w:r>
      <w:r w:rsidRPr="00C60CCE">
        <w:rPr>
          <w:noProof/>
          <w:sz w:val="18"/>
        </w:rPr>
        <w:fldChar w:fldCharType="end"/>
      </w:r>
    </w:p>
    <w:p w14:paraId="49842EAB" w14:textId="16B22DCA"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_Toc146284899 \h </w:instrText>
      </w:r>
      <w:r w:rsidRPr="00C60CCE">
        <w:rPr>
          <w:i w:val="0"/>
          <w:noProof/>
          <w:sz w:val="18"/>
        </w:rPr>
      </w:r>
      <w:r w:rsidRPr="00C60CCE">
        <w:rPr>
          <w:i w:val="0"/>
          <w:noProof/>
          <w:sz w:val="18"/>
        </w:rPr>
        <w:fldChar w:fldCharType="separate"/>
      </w:r>
      <w:r w:rsidRPr="00C60CCE">
        <w:rPr>
          <w:i w:val="0"/>
          <w:noProof/>
          <w:sz w:val="18"/>
        </w:rPr>
        <w:t>3</w:t>
      </w:r>
      <w:r w:rsidRPr="00C60CCE">
        <w:rPr>
          <w:i w:val="0"/>
          <w:noProof/>
          <w:sz w:val="18"/>
        </w:rPr>
        <w:fldChar w:fldCharType="end"/>
      </w:r>
    </w:p>
    <w:p w14:paraId="6EFF2FF5" w14:textId="7C3BA2A4" w:rsidR="00C60CCE" w:rsidRDefault="00C60CCE">
      <w:pPr>
        <w:pStyle w:val="TOC7"/>
        <w:rPr>
          <w:rFonts w:asciiTheme="minorHAnsi" w:eastAsiaTheme="minorEastAsia" w:hAnsiTheme="minorHAnsi" w:cstheme="minorBidi"/>
          <w:noProof/>
          <w:kern w:val="0"/>
          <w:sz w:val="22"/>
          <w:szCs w:val="22"/>
        </w:rPr>
      </w:pPr>
      <w:r>
        <w:rPr>
          <w:noProof/>
        </w:rPr>
        <w:t>Part 2—Deemed compliance</w:t>
      </w:r>
      <w:r w:rsidRPr="00C60CCE">
        <w:rPr>
          <w:noProof/>
          <w:sz w:val="18"/>
        </w:rPr>
        <w:tab/>
      </w:r>
      <w:r w:rsidRPr="00C60CCE">
        <w:rPr>
          <w:noProof/>
          <w:sz w:val="18"/>
        </w:rPr>
        <w:fldChar w:fldCharType="begin"/>
      </w:r>
      <w:r w:rsidRPr="00C60CCE">
        <w:rPr>
          <w:noProof/>
          <w:sz w:val="18"/>
        </w:rPr>
        <w:instrText xml:space="preserve"> PAGEREF _Toc146284900 \h </w:instrText>
      </w:r>
      <w:r w:rsidRPr="00C60CCE">
        <w:rPr>
          <w:noProof/>
          <w:sz w:val="18"/>
        </w:rPr>
      </w:r>
      <w:r w:rsidRPr="00C60CCE">
        <w:rPr>
          <w:noProof/>
          <w:sz w:val="18"/>
        </w:rPr>
        <w:fldChar w:fldCharType="separate"/>
      </w:r>
      <w:r w:rsidRPr="00C60CCE">
        <w:rPr>
          <w:noProof/>
          <w:sz w:val="18"/>
        </w:rPr>
        <w:t>5</w:t>
      </w:r>
      <w:r w:rsidRPr="00C60CCE">
        <w:rPr>
          <w:noProof/>
          <w:sz w:val="18"/>
        </w:rPr>
        <w:fldChar w:fldCharType="end"/>
      </w:r>
    </w:p>
    <w:p w14:paraId="4EDFC20A" w14:textId="3BBC35C2"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_Toc146284901 \h </w:instrText>
      </w:r>
      <w:r w:rsidRPr="00C60CCE">
        <w:rPr>
          <w:i w:val="0"/>
          <w:noProof/>
          <w:sz w:val="18"/>
        </w:rPr>
      </w:r>
      <w:r w:rsidRPr="00C60CCE">
        <w:rPr>
          <w:i w:val="0"/>
          <w:noProof/>
          <w:sz w:val="18"/>
        </w:rPr>
        <w:fldChar w:fldCharType="separate"/>
      </w:r>
      <w:r w:rsidRPr="00C60CCE">
        <w:rPr>
          <w:i w:val="0"/>
          <w:noProof/>
          <w:sz w:val="18"/>
        </w:rPr>
        <w:t>5</w:t>
      </w:r>
      <w:r w:rsidRPr="00C60CCE">
        <w:rPr>
          <w:i w:val="0"/>
          <w:noProof/>
          <w:sz w:val="18"/>
        </w:rPr>
        <w:fldChar w:fldCharType="end"/>
      </w:r>
    </w:p>
    <w:p w14:paraId="51434477" w14:textId="418459CC" w:rsidR="00C60CCE" w:rsidRDefault="00C60CCE">
      <w:pPr>
        <w:pStyle w:val="TOC7"/>
        <w:rPr>
          <w:rFonts w:asciiTheme="minorHAnsi" w:eastAsiaTheme="minorEastAsia" w:hAnsiTheme="minorHAnsi" w:cstheme="minorBidi"/>
          <w:noProof/>
          <w:kern w:val="0"/>
          <w:sz w:val="22"/>
          <w:szCs w:val="22"/>
        </w:rPr>
      </w:pPr>
      <w:r>
        <w:rPr>
          <w:noProof/>
        </w:rPr>
        <w:t>Part 3—Enabling timely and more targeted exemptions</w:t>
      </w:r>
      <w:r w:rsidRPr="00C60CCE">
        <w:rPr>
          <w:noProof/>
          <w:sz w:val="18"/>
        </w:rPr>
        <w:tab/>
      </w:r>
      <w:r w:rsidRPr="00C60CCE">
        <w:rPr>
          <w:noProof/>
          <w:sz w:val="18"/>
        </w:rPr>
        <w:fldChar w:fldCharType="begin"/>
      </w:r>
      <w:r w:rsidRPr="00C60CCE">
        <w:rPr>
          <w:noProof/>
          <w:sz w:val="18"/>
        </w:rPr>
        <w:instrText xml:space="preserve"> PAGEREF _Toc146284904 \h </w:instrText>
      </w:r>
      <w:r w:rsidRPr="00C60CCE">
        <w:rPr>
          <w:noProof/>
          <w:sz w:val="18"/>
        </w:rPr>
      </w:r>
      <w:r w:rsidRPr="00C60CCE">
        <w:rPr>
          <w:noProof/>
          <w:sz w:val="18"/>
        </w:rPr>
        <w:fldChar w:fldCharType="separate"/>
      </w:r>
      <w:r w:rsidRPr="00C60CCE">
        <w:rPr>
          <w:noProof/>
          <w:sz w:val="18"/>
        </w:rPr>
        <w:t>7</w:t>
      </w:r>
      <w:r w:rsidRPr="00C60CCE">
        <w:rPr>
          <w:noProof/>
          <w:sz w:val="18"/>
        </w:rPr>
        <w:fldChar w:fldCharType="end"/>
      </w:r>
      <w:bookmarkStart w:id="1" w:name="_GoBack"/>
      <w:bookmarkEnd w:id="1"/>
    </w:p>
    <w:p w14:paraId="1CA663F9" w14:textId="67964672"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_Toc146284905 \h </w:instrText>
      </w:r>
      <w:r w:rsidRPr="00C60CCE">
        <w:rPr>
          <w:i w:val="0"/>
          <w:noProof/>
          <w:sz w:val="18"/>
        </w:rPr>
      </w:r>
      <w:r w:rsidRPr="00C60CCE">
        <w:rPr>
          <w:i w:val="0"/>
          <w:noProof/>
          <w:sz w:val="18"/>
        </w:rPr>
        <w:fldChar w:fldCharType="separate"/>
      </w:r>
      <w:r w:rsidRPr="00C60CCE">
        <w:rPr>
          <w:i w:val="0"/>
          <w:noProof/>
          <w:sz w:val="18"/>
        </w:rPr>
        <w:t>7</w:t>
      </w:r>
      <w:r w:rsidRPr="00C60CCE">
        <w:rPr>
          <w:i w:val="0"/>
          <w:noProof/>
          <w:sz w:val="18"/>
        </w:rPr>
        <w:fldChar w:fldCharType="end"/>
      </w:r>
    </w:p>
    <w:p w14:paraId="3655F9A9" w14:textId="244EF9AD" w:rsidR="00C60CCE" w:rsidRDefault="00C60CCE">
      <w:pPr>
        <w:pStyle w:val="TOC7"/>
        <w:rPr>
          <w:rFonts w:asciiTheme="minorHAnsi" w:eastAsiaTheme="minorEastAsia" w:hAnsiTheme="minorHAnsi" w:cstheme="minorBidi"/>
          <w:noProof/>
          <w:kern w:val="0"/>
          <w:sz w:val="22"/>
          <w:szCs w:val="22"/>
        </w:rPr>
      </w:pPr>
      <w:r>
        <w:rPr>
          <w:noProof/>
        </w:rPr>
        <w:t>Part 4—Product classes</w:t>
      </w:r>
      <w:r w:rsidRPr="00C60CCE">
        <w:rPr>
          <w:noProof/>
          <w:sz w:val="18"/>
        </w:rPr>
        <w:tab/>
      </w:r>
      <w:r w:rsidRPr="00C60CCE">
        <w:rPr>
          <w:noProof/>
          <w:sz w:val="18"/>
        </w:rPr>
        <w:fldChar w:fldCharType="begin"/>
      </w:r>
      <w:r w:rsidRPr="00C60CCE">
        <w:rPr>
          <w:noProof/>
          <w:sz w:val="18"/>
        </w:rPr>
        <w:instrText xml:space="preserve"> PAGEREF _Toc146284906 \h </w:instrText>
      </w:r>
      <w:r w:rsidRPr="00C60CCE">
        <w:rPr>
          <w:noProof/>
          <w:sz w:val="18"/>
        </w:rPr>
      </w:r>
      <w:r w:rsidRPr="00C60CCE">
        <w:rPr>
          <w:noProof/>
          <w:sz w:val="18"/>
        </w:rPr>
        <w:fldChar w:fldCharType="separate"/>
      </w:r>
      <w:r w:rsidRPr="00C60CCE">
        <w:rPr>
          <w:noProof/>
          <w:sz w:val="18"/>
        </w:rPr>
        <w:t>8</w:t>
      </w:r>
      <w:r w:rsidRPr="00C60CCE">
        <w:rPr>
          <w:noProof/>
          <w:sz w:val="18"/>
        </w:rPr>
        <w:fldChar w:fldCharType="end"/>
      </w:r>
    </w:p>
    <w:p w14:paraId="1B5796B2" w14:textId="28C79DA5"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_Toc146284907 \h </w:instrText>
      </w:r>
      <w:r w:rsidRPr="00C60CCE">
        <w:rPr>
          <w:i w:val="0"/>
          <w:noProof/>
          <w:sz w:val="18"/>
        </w:rPr>
      </w:r>
      <w:r w:rsidRPr="00C60CCE">
        <w:rPr>
          <w:i w:val="0"/>
          <w:noProof/>
          <w:sz w:val="18"/>
        </w:rPr>
        <w:fldChar w:fldCharType="separate"/>
      </w:r>
      <w:r w:rsidRPr="00C60CCE">
        <w:rPr>
          <w:i w:val="0"/>
          <w:noProof/>
          <w:sz w:val="18"/>
        </w:rPr>
        <w:t>8</w:t>
      </w:r>
      <w:r w:rsidRPr="00C60CCE">
        <w:rPr>
          <w:i w:val="0"/>
          <w:noProof/>
          <w:sz w:val="18"/>
        </w:rPr>
        <w:fldChar w:fldCharType="end"/>
      </w:r>
    </w:p>
    <w:p w14:paraId="0A3CFD63" w14:textId="6836DACF" w:rsidR="00C60CCE" w:rsidRDefault="00C60CCE">
      <w:pPr>
        <w:pStyle w:val="TOC7"/>
        <w:rPr>
          <w:rFonts w:asciiTheme="minorHAnsi" w:eastAsiaTheme="minorEastAsia" w:hAnsiTheme="minorHAnsi" w:cstheme="minorBidi"/>
          <w:noProof/>
          <w:kern w:val="0"/>
          <w:sz w:val="22"/>
          <w:szCs w:val="22"/>
        </w:rPr>
      </w:pPr>
      <w:r>
        <w:rPr>
          <w:noProof/>
        </w:rPr>
        <w:t>Part 5—Requirements in GEMS determinations (other requirements)</w:t>
      </w:r>
      <w:r w:rsidRPr="00C60CCE">
        <w:rPr>
          <w:noProof/>
          <w:sz w:val="18"/>
        </w:rPr>
        <w:tab/>
      </w:r>
      <w:r w:rsidRPr="00C60CCE">
        <w:rPr>
          <w:noProof/>
          <w:sz w:val="18"/>
        </w:rPr>
        <w:fldChar w:fldCharType="begin"/>
      </w:r>
      <w:r w:rsidRPr="00C60CCE">
        <w:rPr>
          <w:noProof/>
          <w:sz w:val="18"/>
        </w:rPr>
        <w:instrText xml:space="preserve"> PAGEREF _Toc146284908 \h </w:instrText>
      </w:r>
      <w:r w:rsidRPr="00C60CCE">
        <w:rPr>
          <w:noProof/>
          <w:sz w:val="18"/>
        </w:rPr>
      </w:r>
      <w:r w:rsidRPr="00C60CCE">
        <w:rPr>
          <w:noProof/>
          <w:sz w:val="18"/>
        </w:rPr>
        <w:fldChar w:fldCharType="separate"/>
      </w:r>
      <w:r w:rsidRPr="00C60CCE">
        <w:rPr>
          <w:noProof/>
          <w:sz w:val="18"/>
        </w:rPr>
        <w:t>9</w:t>
      </w:r>
      <w:r w:rsidRPr="00C60CCE">
        <w:rPr>
          <w:noProof/>
          <w:sz w:val="18"/>
        </w:rPr>
        <w:fldChar w:fldCharType="end"/>
      </w:r>
    </w:p>
    <w:p w14:paraId="60D186D2" w14:textId="3A4CDB4C"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_Toc146284909 \h </w:instrText>
      </w:r>
      <w:r w:rsidRPr="00C60CCE">
        <w:rPr>
          <w:i w:val="0"/>
          <w:noProof/>
          <w:sz w:val="18"/>
        </w:rPr>
      </w:r>
      <w:r w:rsidRPr="00C60CCE">
        <w:rPr>
          <w:i w:val="0"/>
          <w:noProof/>
          <w:sz w:val="18"/>
        </w:rPr>
        <w:fldChar w:fldCharType="separate"/>
      </w:r>
      <w:r w:rsidRPr="00C60CCE">
        <w:rPr>
          <w:i w:val="0"/>
          <w:noProof/>
          <w:sz w:val="18"/>
        </w:rPr>
        <w:t>9</w:t>
      </w:r>
      <w:r w:rsidRPr="00C60CCE">
        <w:rPr>
          <w:i w:val="0"/>
          <w:noProof/>
          <w:sz w:val="18"/>
        </w:rPr>
        <w:fldChar w:fldCharType="end"/>
      </w:r>
    </w:p>
    <w:p w14:paraId="612E078B" w14:textId="562E70D4" w:rsidR="00C60CCE" w:rsidRDefault="00C60CCE">
      <w:pPr>
        <w:pStyle w:val="TOC7"/>
        <w:rPr>
          <w:rFonts w:asciiTheme="minorHAnsi" w:eastAsiaTheme="minorEastAsia" w:hAnsiTheme="minorHAnsi" w:cstheme="minorBidi"/>
          <w:noProof/>
          <w:kern w:val="0"/>
          <w:sz w:val="22"/>
          <w:szCs w:val="22"/>
        </w:rPr>
      </w:pPr>
      <w:r>
        <w:rPr>
          <w:noProof/>
        </w:rPr>
        <w:t>Part 6—GEMS Regulator</w:t>
      </w:r>
      <w:r w:rsidRPr="00C60CCE">
        <w:rPr>
          <w:noProof/>
          <w:sz w:val="18"/>
        </w:rPr>
        <w:tab/>
      </w:r>
      <w:r w:rsidRPr="00C60CCE">
        <w:rPr>
          <w:noProof/>
          <w:sz w:val="18"/>
        </w:rPr>
        <w:fldChar w:fldCharType="begin"/>
      </w:r>
      <w:r w:rsidRPr="00C60CCE">
        <w:rPr>
          <w:noProof/>
          <w:sz w:val="18"/>
        </w:rPr>
        <w:instrText xml:space="preserve"> PAGEREF _Toc146284910 \h </w:instrText>
      </w:r>
      <w:r w:rsidRPr="00C60CCE">
        <w:rPr>
          <w:noProof/>
          <w:sz w:val="18"/>
        </w:rPr>
      </w:r>
      <w:r w:rsidRPr="00C60CCE">
        <w:rPr>
          <w:noProof/>
          <w:sz w:val="18"/>
        </w:rPr>
        <w:fldChar w:fldCharType="separate"/>
      </w:r>
      <w:r w:rsidRPr="00C60CCE">
        <w:rPr>
          <w:noProof/>
          <w:sz w:val="18"/>
        </w:rPr>
        <w:t>10</w:t>
      </w:r>
      <w:r w:rsidRPr="00C60CCE">
        <w:rPr>
          <w:noProof/>
          <w:sz w:val="18"/>
        </w:rPr>
        <w:fldChar w:fldCharType="end"/>
      </w:r>
    </w:p>
    <w:p w14:paraId="3DE456DB" w14:textId="108AFBF3"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_Toc146284911 \h </w:instrText>
      </w:r>
      <w:r w:rsidRPr="00C60CCE">
        <w:rPr>
          <w:i w:val="0"/>
          <w:noProof/>
          <w:sz w:val="18"/>
        </w:rPr>
      </w:r>
      <w:r w:rsidRPr="00C60CCE">
        <w:rPr>
          <w:i w:val="0"/>
          <w:noProof/>
          <w:sz w:val="18"/>
        </w:rPr>
        <w:fldChar w:fldCharType="separate"/>
      </w:r>
      <w:r w:rsidRPr="00C60CCE">
        <w:rPr>
          <w:i w:val="0"/>
          <w:noProof/>
          <w:sz w:val="18"/>
        </w:rPr>
        <w:t>10</w:t>
      </w:r>
      <w:r w:rsidRPr="00C60CCE">
        <w:rPr>
          <w:i w:val="0"/>
          <w:noProof/>
          <w:sz w:val="18"/>
        </w:rPr>
        <w:fldChar w:fldCharType="end"/>
      </w:r>
    </w:p>
    <w:p w14:paraId="7BE4F6F5" w14:textId="5D5826FD" w:rsidR="00C60CCE" w:rsidRDefault="00C60CCE">
      <w:pPr>
        <w:pStyle w:val="TOC7"/>
        <w:rPr>
          <w:rFonts w:asciiTheme="minorHAnsi" w:eastAsiaTheme="minorEastAsia" w:hAnsiTheme="minorHAnsi" w:cstheme="minorBidi"/>
          <w:noProof/>
          <w:kern w:val="0"/>
          <w:sz w:val="22"/>
          <w:szCs w:val="22"/>
        </w:rPr>
      </w:pPr>
      <w:r>
        <w:rPr>
          <w:noProof/>
        </w:rPr>
        <w:t>Part 7</w:t>
      </w:r>
      <w:r w:rsidRPr="001C09A5">
        <w:rPr>
          <w:rFonts w:cs="Arial"/>
          <w:noProof/>
        </w:rPr>
        <w:t>—</w:t>
      </w:r>
      <w:r>
        <w:rPr>
          <w:noProof/>
        </w:rPr>
        <w:t>Grandfathering of compliant products</w:t>
      </w:r>
      <w:r w:rsidRPr="00C60CCE">
        <w:rPr>
          <w:noProof/>
          <w:sz w:val="18"/>
        </w:rPr>
        <w:tab/>
      </w:r>
      <w:r w:rsidRPr="00C60CCE">
        <w:rPr>
          <w:noProof/>
          <w:sz w:val="18"/>
        </w:rPr>
        <w:fldChar w:fldCharType="begin"/>
      </w:r>
      <w:r w:rsidRPr="00C60CCE">
        <w:rPr>
          <w:noProof/>
          <w:sz w:val="18"/>
        </w:rPr>
        <w:instrText xml:space="preserve"> PAGEREF _Toc146284912 \h </w:instrText>
      </w:r>
      <w:r w:rsidRPr="00C60CCE">
        <w:rPr>
          <w:noProof/>
          <w:sz w:val="18"/>
        </w:rPr>
      </w:r>
      <w:r w:rsidRPr="00C60CCE">
        <w:rPr>
          <w:noProof/>
          <w:sz w:val="18"/>
        </w:rPr>
        <w:fldChar w:fldCharType="separate"/>
      </w:r>
      <w:r w:rsidRPr="00C60CCE">
        <w:rPr>
          <w:noProof/>
          <w:sz w:val="18"/>
        </w:rPr>
        <w:t>11</w:t>
      </w:r>
      <w:r w:rsidRPr="00C60CCE">
        <w:rPr>
          <w:noProof/>
          <w:sz w:val="18"/>
        </w:rPr>
        <w:fldChar w:fldCharType="end"/>
      </w:r>
    </w:p>
    <w:p w14:paraId="19E30852" w14:textId="0D20DF7B"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_Toc146284913 \h </w:instrText>
      </w:r>
      <w:r w:rsidRPr="00C60CCE">
        <w:rPr>
          <w:i w:val="0"/>
          <w:noProof/>
          <w:sz w:val="18"/>
        </w:rPr>
      </w:r>
      <w:r w:rsidRPr="00C60CCE">
        <w:rPr>
          <w:i w:val="0"/>
          <w:noProof/>
          <w:sz w:val="18"/>
        </w:rPr>
        <w:fldChar w:fldCharType="separate"/>
      </w:r>
      <w:r w:rsidRPr="00C60CCE">
        <w:rPr>
          <w:i w:val="0"/>
          <w:noProof/>
          <w:sz w:val="18"/>
        </w:rPr>
        <w:t>11</w:t>
      </w:r>
      <w:r w:rsidRPr="00C60CCE">
        <w:rPr>
          <w:i w:val="0"/>
          <w:noProof/>
          <w:sz w:val="18"/>
        </w:rPr>
        <w:fldChar w:fldCharType="end"/>
      </w:r>
    </w:p>
    <w:p w14:paraId="35C2FA3F" w14:textId="25F8003D" w:rsidR="00C60CCE" w:rsidRDefault="00C60CCE">
      <w:pPr>
        <w:pStyle w:val="TOC7"/>
        <w:rPr>
          <w:rFonts w:asciiTheme="minorHAnsi" w:eastAsiaTheme="minorEastAsia" w:hAnsiTheme="minorHAnsi" w:cstheme="minorBidi"/>
          <w:noProof/>
          <w:kern w:val="0"/>
          <w:sz w:val="22"/>
          <w:szCs w:val="22"/>
        </w:rPr>
      </w:pPr>
      <w:r>
        <w:rPr>
          <w:noProof/>
        </w:rPr>
        <w:t>Part 8—Extension of time to pay fees</w:t>
      </w:r>
      <w:r w:rsidRPr="00C60CCE">
        <w:rPr>
          <w:noProof/>
          <w:sz w:val="18"/>
        </w:rPr>
        <w:tab/>
      </w:r>
      <w:r w:rsidRPr="00C60CCE">
        <w:rPr>
          <w:noProof/>
          <w:sz w:val="18"/>
        </w:rPr>
        <w:fldChar w:fldCharType="begin"/>
      </w:r>
      <w:r w:rsidRPr="00C60CCE">
        <w:rPr>
          <w:noProof/>
          <w:sz w:val="18"/>
        </w:rPr>
        <w:instrText xml:space="preserve"> PAGEREF _Toc146284914 \h </w:instrText>
      </w:r>
      <w:r w:rsidRPr="00C60CCE">
        <w:rPr>
          <w:noProof/>
          <w:sz w:val="18"/>
        </w:rPr>
      </w:r>
      <w:r w:rsidRPr="00C60CCE">
        <w:rPr>
          <w:noProof/>
          <w:sz w:val="18"/>
        </w:rPr>
        <w:fldChar w:fldCharType="separate"/>
      </w:r>
      <w:r w:rsidRPr="00C60CCE">
        <w:rPr>
          <w:noProof/>
          <w:sz w:val="18"/>
        </w:rPr>
        <w:t>13</w:t>
      </w:r>
      <w:r w:rsidRPr="00C60CCE">
        <w:rPr>
          <w:noProof/>
          <w:sz w:val="18"/>
        </w:rPr>
        <w:fldChar w:fldCharType="end"/>
      </w:r>
    </w:p>
    <w:p w14:paraId="14070F2B" w14:textId="1BF2E3AD"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_Toc146284915 \h </w:instrText>
      </w:r>
      <w:r w:rsidRPr="00C60CCE">
        <w:rPr>
          <w:i w:val="0"/>
          <w:noProof/>
          <w:sz w:val="18"/>
        </w:rPr>
      </w:r>
      <w:r w:rsidRPr="00C60CCE">
        <w:rPr>
          <w:i w:val="0"/>
          <w:noProof/>
          <w:sz w:val="18"/>
        </w:rPr>
        <w:fldChar w:fldCharType="separate"/>
      </w:r>
      <w:r w:rsidRPr="00C60CCE">
        <w:rPr>
          <w:i w:val="0"/>
          <w:noProof/>
          <w:sz w:val="18"/>
        </w:rPr>
        <w:t>13</w:t>
      </w:r>
      <w:r w:rsidRPr="00C60CCE">
        <w:rPr>
          <w:i w:val="0"/>
          <w:noProof/>
          <w:sz w:val="18"/>
        </w:rPr>
        <w:fldChar w:fldCharType="end"/>
      </w:r>
    </w:p>
    <w:p w14:paraId="6DDD94A6" w14:textId="18A1B313" w:rsidR="00C60CCE" w:rsidRDefault="00C60CCE">
      <w:pPr>
        <w:pStyle w:val="TOC7"/>
        <w:rPr>
          <w:rFonts w:asciiTheme="minorHAnsi" w:eastAsiaTheme="minorEastAsia" w:hAnsiTheme="minorHAnsi" w:cstheme="minorBidi"/>
          <w:noProof/>
          <w:kern w:val="0"/>
          <w:sz w:val="22"/>
          <w:szCs w:val="22"/>
        </w:rPr>
      </w:pPr>
      <w:r>
        <w:rPr>
          <w:noProof/>
        </w:rPr>
        <w:t>Part 9—Other amendments</w:t>
      </w:r>
      <w:r w:rsidRPr="00C60CCE">
        <w:rPr>
          <w:noProof/>
          <w:sz w:val="18"/>
        </w:rPr>
        <w:tab/>
      </w:r>
      <w:r w:rsidRPr="00C60CCE">
        <w:rPr>
          <w:noProof/>
          <w:sz w:val="18"/>
        </w:rPr>
        <w:fldChar w:fldCharType="begin"/>
      </w:r>
      <w:r w:rsidRPr="00C60CCE">
        <w:rPr>
          <w:noProof/>
          <w:sz w:val="18"/>
        </w:rPr>
        <w:instrText xml:space="preserve"> PAGEREF _Toc146284916 \h </w:instrText>
      </w:r>
      <w:r w:rsidRPr="00C60CCE">
        <w:rPr>
          <w:noProof/>
          <w:sz w:val="18"/>
        </w:rPr>
      </w:r>
      <w:r w:rsidRPr="00C60CCE">
        <w:rPr>
          <w:noProof/>
          <w:sz w:val="18"/>
        </w:rPr>
        <w:fldChar w:fldCharType="separate"/>
      </w:r>
      <w:r w:rsidRPr="00C60CCE">
        <w:rPr>
          <w:noProof/>
          <w:sz w:val="18"/>
        </w:rPr>
        <w:t>15</w:t>
      </w:r>
      <w:r w:rsidRPr="00C60CCE">
        <w:rPr>
          <w:noProof/>
          <w:sz w:val="18"/>
        </w:rPr>
        <w:fldChar w:fldCharType="end"/>
      </w:r>
    </w:p>
    <w:p w14:paraId="689C8EB3" w14:textId="106A3714" w:rsidR="00C60CCE" w:rsidRDefault="00C60CCE">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C60CCE">
        <w:rPr>
          <w:i w:val="0"/>
          <w:noProof/>
          <w:sz w:val="18"/>
        </w:rPr>
        <w:tab/>
      </w:r>
      <w:r w:rsidRPr="00C60CCE">
        <w:rPr>
          <w:i w:val="0"/>
          <w:noProof/>
          <w:sz w:val="18"/>
        </w:rPr>
        <w:fldChar w:fldCharType="begin"/>
      </w:r>
      <w:r w:rsidRPr="00C60CCE">
        <w:rPr>
          <w:i w:val="0"/>
          <w:noProof/>
          <w:sz w:val="18"/>
        </w:rPr>
        <w:instrText xml:space="preserve"> PAGEREF _Toc146284917 \h </w:instrText>
      </w:r>
      <w:r w:rsidRPr="00C60CCE">
        <w:rPr>
          <w:i w:val="0"/>
          <w:noProof/>
          <w:sz w:val="18"/>
        </w:rPr>
      </w:r>
      <w:r w:rsidRPr="00C60CCE">
        <w:rPr>
          <w:i w:val="0"/>
          <w:noProof/>
          <w:sz w:val="18"/>
        </w:rPr>
        <w:fldChar w:fldCharType="separate"/>
      </w:r>
      <w:r w:rsidRPr="00C60CCE">
        <w:rPr>
          <w:i w:val="0"/>
          <w:noProof/>
          <w:sz w:val="18"/>
        </w:rPr>
        <w:t>15</w:t>
      </w:r>
      <w:r w:rsidRPr="00C60CCE">
        <w:rPr>
          <w:i w:val="0"/>
          <w:noProof/>
          <w:sz w:val="18"/>
        </w:rPr>
        <w:fldChar w:fldCharType="end"/>
      </w:r>
    </w:p>
    <w:p w14:paraId="5C494E94" w14:textId="13EC09A2" w:rsidR="00060FF9" w:rsidRPr="00457397" w:rsidRDefault="00C60CCE" w:rsidP="0048364F">
      <w:r>
        <w:fldChar w:fldCharType="end"/>
      </w:r>
    </w:p>
    <w:p w14:paraId="03587D9A" w14:textId="77777777" w:rsidR="00FE7F93" w:rsidRPr="00457397" w:rsidRDefault="00FE7F93" w:rsidP="0048364F">
      <w:pPr>
        <w:sectPr w:rsidR="00FE7F93" w:rsidRPr="00457397" w:rsidSect="00F17FB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7F05379" w14:textId="77777777" w:rsidR="00F17FBC" w:rsidRDefault="00F17FBC">
      <w:r>
        <w:object w:dxaOrig="2146" w:dyaOrig="1561" w14:anchorId="3E33E54B">
          <v:shape id="_x0000_i1027" type="#_x0000_t75" alt="Commonwealth Coat of Arms of Australia" style="width:110.25pt;height:80.25pt" o:ole="" fillcolor="window">
            <v:imagedata r:id="rId8" o:title=""/>
          </v:shape>
          <o:OLEObject Type="Embed" ProgID="Word.Picture.8" ShapeID="_x0000_i1027" DrawAspect="Content" ObjectID="_1756897710" r:id="rId21"/>
        </w:object>
      </w:r>
    </w:p>
    <w:p w14:paraId="09BF3203" w14:textId="77777777" w:rsidR="00F17FBC" w:rsidRDefault="00F17FBC"/>
    <w:p w14:paraId="06EE4388" w14:textId="77777777" w:rsidR="00F17FBC" w:rsidRDefault="00F17FBC" w:rsidP="000178F8">
      <w:pPr>
        <w:spacing w:line="240" w:lineRule="auto"/>
      </w:pPr>
    </w:p>
    <w:p w14:paraId="7DA172D9" w14:textId="55022730" w:rsidR="00F17FBC" w:rsidRDefault="009D2F91" w:rsidP="000178F8">
      <w:pPr>
        <w:pStyle w:val="ShortTP1"/>
      </w:pPr>
      <w:fldSimple w:instr=" STYLEREF ShortT ">
        <w:r w:rsidR="00C60CCE">
          <w:rPr>
            <w:noProof/>
          </w:rPr>
          <w:t>Greenhouse and Energy Minimum Standards Amendment (Administrative Changes) Act 2023</w:t>
        </w:r>
      </w:fldSimple>
    </w:p>
    <w:p w14:paraId="35BFE2BF" w14:textId="5D00CAFC" w:rsidR="00F17FBC" w:rsidRDefault="009D2F91" w:rsidP="000178F8">
      <w:pPr>
        <w:pStyle w:val="ActNoP1"/>
      </w:pPr>
      <w:fldSimple w:instr=" STYLEREF Actno ">
        <w:r w:rsidR="00C60CCE">
          <w:rPr>
            <w:noProof/>
          </w:rPr>
          <w:t>No. 77, 2023</w:t>
        </w:r>
      </w:fldSimple>
    </w:p>
    <w:p w14:paraId="1D6A933A" w14:textId="77777777" w:rsidR="00F17FBC" w:rsidRPr="009A0728" w:rsidRDefault="00F17FBC" w:rsidP="009A0728">
      <w:pPr>
        <w:pBdr>
          <w:bottom w:val="single" w:sz="6" w:space="0" w:color="auto"/>
        </w:pBdr>
        <w:spacing w:before="400" w:line="240" w:lineRule="auto"/>
        <w:rPr>
          <w:rFonts w:eastAsia="Times New Roman"/>
          <w:b/>
          <w:sz w:val="28"/>
        </w:rPr>
      </w:pPr>
    </w:p>
    <w:p w14:paraId="1C9EE9BF" w14:textId="77777777" w:rsidR="00F17FBC" w:rsidRPr="009A0728" w:rsidRDefault="00F17FBC" w:rsidP="009A0728">
      <w:pPr>
        <w:spacing w:line="40" w:lineRule="exact"/>
        <w:rPr>
          <w:rFonts w:eastAsia="Calibri"/>
          <w:b/>
          <w:sz w:val="28"/>
        </w:rPr>
      </w:pPr>
    </w:p>
    <w:p w14:paraId="1779F76A" w14:textId="77777777" w:rsidR="00F17FBC" w:rsidRPr="009A0728" w:rsidRDefault="00F17FBC" w:rsidP="009A0728">
      <w:pPr>
        <w:pBdr>
          <w:top w:val="single" w:sz="12" w:space="0" w:color="auto"/>
        </w:pBdr>
        <w:spacing w:line="240" w:lineRule="auto"/>
        <w:rPr>
          <w:rFonts w:eastAsia="Times New Roman"/>
          <w:b/>
          <w:sz w:val="28"/>
        </w:rPr>
      </w:pPr>
    </w:p>
    <w:p w14:paraId="48BA4BA2" w14:textId="77777777" w:rsidR="00F17FBC" w:rsidRDefault="00F17FBC" w:rsidP="00F17FBC">
      <w:pPr>
        <w:pStyle w:val="Page1"/>
        <w:spacing w:before="400"/>
      </w:pPr>
      <w:r>
        <w:t xml:space="preserve">An Act to amend the </w:t>
      </w:r>
      <w:r w:rsidRPr="00F17FBC">
        <w:rPr>
          <w:i/>
        </w:rPr>
        <w:t>Greenhouse and Energy Minimum Standards Act 2012</w:t>
      </w:r>
      <w:r>
        <w:t>, and for related purposes</w:t>
      </w:r>
    </w:p>
    <w:p w14:paraId="0BD12125" w14:textId="55C1A336" w:rsidR="002B28FB" w:rsidRDefault="002B28FB" w:rsidP="000C5962">
      <w:pPr>
        <w:pStyle w:val="AssentDt"/>
        <w:spacing w:before="240"/>
        <w:rPr>
          <w:sz w:val="24"/>
        </w:rPr>
      </w:pPr>
      <w:r>
        <w:rPr>
          <w:sz w:val="24"/>
        </w:rPr>
        <w:t>[</w:t>
      </w:r>
      <w:r>
        <w:rPr>
          <w:i/>
          <w:sz w:val="24"/>
        </w:rPr>
        <w:t>Assented to 20 September 2023</w:t>
      </w:r>
      <w:r>
        <w:rPr>
          <w:sz w:val="24"/>
        </w:rPr>
        <w:t>]</w:t>
      </w:r>
    </w:p>
    <w:p w14:paraId="006919E4" w14:textId="5084A595" w:rsidR="0048364F" w:rsidRPr="00457397" w:rsidRDefault="0048364F" w:rsidP="00457397">
      <w:pPr>
        <w:spacing w:before="240" w:line="240" w:lineRule="auto"/>
        <w:rPr>
          <w:sz w:val="32"/>
        </w:rPr>
      </w:pPr>
      <w:r w:rsidRPr="00457397">
        <w:rPr>
          <w:sz w:val="32"/>
        </w:rPr>
        <w:t>The Parliament of Australia enacts:</w:t>
      </w:r>
    </w:p>
    <w:p w14:paraId="5B12EE35" w14:textId="77777777" w:rsidR="0048364F" w:rsidRPr="00457397" w:rsidRDefault="0048364F" w:rsidP="00457397">
      <w:pPr>
        <w:pStyle w:val="ActHead5"/>
      </w:pPr>
      <w:bookmarkStart w:id="2" w:name="_Toc146284894"/>
      <w:r w:rsidRPr="00B71A83">
        <w:rPr>
          <w:rStyle w:val="CharSectno"/>
        </w:rPr>
        <w:lastRenderedPageBreak/>
        <w:t>1</w:t>
      </w:r>
      <w:r w:rsidRPr="00457397">
        <w:t xml:space="preserve">  Short title</w:t>
      </w:r>
      <w:bookmarkEnd w:id="2"/>
    </w:p>
    <w:p w14:paraId="004951CF" w14:textId="77777777" w:rsidR="0048364F" w:rsidRPr="00457397" w:rsidRDefault="0048364F" w:rsidP="00457397">
      <w:pPr>
        <w:pStyle w:val="subsection"/>
      </w:pPr>
      <w:r w:rsidRPr="00457397">
        <w:tab/>
      </w:r>
      <w:r w:rsidRPr="00457397">
        <w:tab/>
        <w:t xml:space="preserve">This Act </w:t>
      </w:r>
      <w:r w:rsidR="00275197" w:rsidRPr="00457397">
        <w:t xml:space="preserve">is </w:t>
      </w:r>
      <w:r w:rsidRPr="00457397">
        <w:t xml:space="preserve">the </w:t>
      </w:r>
      <w:r w:rsidR="005F4965" w:rsidRPr="00457397">
        <w:rPr>
          <w:i/>
        </w:rPr>
        <w:t>Greenhouse and Energy Minimum Standards Amendment</w:t>
      </w:r>
      <w:r w:rsidR="00EE3E36" w:rsidRPr="00457397">
        <w:rPr>
          <w:i/>
        </w:rPr>
        <w:t xml:space="preserve"> </w:t>
      </w:r>
      <w:r w:rsidR="00EA6754" w:rsidRPr="00457397">
        <w:rPr>
          <w:i/>
        </w:rPr>
        <w:t xml:space="preserve">(Administrative Changes) </w:t>
      </w:r>
      <w:r w:rsidR="00EE3E36" w:rsidRPr="00457397">
        <w:rPr>
          <w:i/>
        </w:rPr>
        <w:t xml:space="preserve">Act </w:t>
      </w:r>
      <w:r w:rsidR="00005D25" w:rsidRPr="00457397">
        <w:rPr>
          <w:i/>
        </w:rPr>
        <w:t>2023</w:t>
      </w:r>
      <w:r w:rsidRPr="00457397">
        <w:t>.</w:t>
      </w:r>
    </w:p>
    <w:p w14:paraId="17D418F1" w14:textId="77777777" w:rsidR="0048364F" w:rsidRPr="00457397" w:rsidRDefault="0048364F" w:rsidP="00457397">
      <w:pPr>
        <w:pStyle w:val="ActHead5"/>
      </w:pPr>
      <w:bookmarkStart w:id="3" w:name="_Toc146284895"/>
      <w:r w:rsidRPr="00B71A83">
        <w:rPr>
          <w:rStyle w:val="CharSectno"/>
        </w:rPr>
        <w:t>2</w:t>
      </w:r>
      <w:r w:rsidRPr="00457397">
        <w:t xml:space="preserve">  Commencement</w:t>
      </w:r>
      <w:bookmarkEnd w:id="3"/>
    </w:p>
    <w:p w14:paraId="3ECD8582" w14:textId="77777777" w:rsidR="0048364F" w:rsidRPr="00457397" w:rsidRDefault="0048364F" w:rsidP="00457397">
      <w:pPr>
        <w:pStyle w:val="subsection"/>
      </w:pPr>
      <w:r w:rsidRPr="00457397">
        <w:tab/>
        <w:t>(1)</w:t>
      </w:r>
      <w:r w:rsidRPr="00457397">
        <w:tab/>
        <w:t>Each provision of this Act specified in column 1 of the table commences, or is taken to have commenced, in accordance with column 2 of the table. Any other statement in column 2 has effect according to its terms.</w:t>
      </w:r>
    </w:p>
    <w:p w14:paraId="6D8797A8" w14:textId="77777777" w:rsidR="0048364F" w:rsidRPr="00457397" w:rsidRDefault="0048364F" w:rsidP="0045739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57397" w14:paraId="663F2FC8" w14:textId="77777777" w:rsidTr="00A34C44">
        <w:trPr>
          <w:tblHeader/>
        </w:trPr>
        <w:tc>
          <w:tcPr>
            <w:tcW w:w="7111" w:type="dxa"/>
            <w:gridSpan w:val="3"/>
            <w:tcBorders>
              <w:top w:val="single" w:sz="12" w:space="0" w:color="auto"/>
              <w:bottom w:val="single" w:sz="6" w:space="0" w:color="auto"/>
            </w:tcBorders>
            <w:shd w:val="clear" w:color="auto" w:fill="auto"/>
          </w:tcPr>
          <w:p w14:paraId="05D20CBC" w14:textId="77777777" w:rsidR="0048364F" w:rsidRPr="00457397" w:rsidRDefault="0048364F" w:rsidP="00457397">
            <w:pPr>
              <w:pStyle w:val="TableHeading"/>
            </w:pPr>
            <w:r w:rsidRPr="00457397">
              <w:t>Commencement information</w:t>
            </w:r>
          </w:p>
        </w:tc>
      </w:tr>
      <w:tr w:rsidR="0048364F" w:rsidRPr="00457397" w14:paraId="523A2A4E" w14:textId="77777777" w:rsidTr="00A34C44">
        <w:trPr>
          <w:tblHeader/>
        </w:trPr>
        <w:tc>
          <w:tcPr>
            <w:tcW w:w="1701" w:type="dxa"/>
            <w:tcBorders>
              <w:top w:val="single" w:sz="6" w:space="0" w:color="auto"/>
              <w:bottom w:val="single" w:sz="6" w:space="0" w:color="auto"/>
            </w:tcBorders>
            <w:shd w:val="clear" w:color="auto" w:fill="auto"/>
          </w:tcPr>
          <w:p w14:paraId="2119014C" w14:textId="77777777" w:rsidR="0048364F" w:rsidRPr="00457397" w:rsidRDefault="0048364F" w:rsidP="00457397">
            <w:pPr>
              <w:pStyle w:val="TableHeading"/>
            </w:pPr>
            <w:r w:rsidRPr="00457397">
              <w:t>Column 1</w:t>
            </w:r>
          </w:p>
        </w:tc>
        <w:tc>
          <w:tcPr>
            <w:tcW w:w="3828" w:type="dxa"/>
            <w:tcBorders>
              <w:top w:val="single" w:sz="6" w:space="0" w:color="auto"/>
              <w:bottom w:val="single" w:sz="6" w:space="0" w:color="auto"/>
            </w:tcBorders>
            <w:shd w:val="clear" w:color="auto" w:fill="auto"/>
          </w:tcPr>
          <w:p w14:paraId="57537AD4" w14:textId="77777777" w:rsidR="0048364F" w:rsidRPr="00457397" w:rsidRDefault="0048364F" w:rsidP="00457397">
            <w:pPr>
              <w:pStyle w:val="TableHeading"/>
            </w:pPr>
            <w:r w:rsidRPr="00457397">
              <w:t>Column 2</w:t>
            </w:r>
          </w:p>
        </w:tc>
        <w:tc>
          <w:tcPr>
            <w:tcW w:w="1582" w:type="dxa"/>
            <w:tcBorders>
              <w:top w:val="single" w:sz="6" w:space="0" w:color="auto"/>
              <w:bottom w:val="single" w:sz="6" w:space="0" w:color="auto"/>
            </w:tcBorders>
            <w:shd w:val="clear" w:color="auto" w:fill="auto"/>
          </w:tcPr>
          <w:p w14:paraId="389BF607" w14:textId="77777777" w:rsidR="0048364F" w:rsidRPr="00457397" w:rsidRDefault="0048364F" w:rsidP="00457397">
            <w:pPr>
              <w:pStyle w:val="TableHeading"/>
            </w:pPr>
            <w:r w:rsidRPr="00457397">
              <w:t>Column 3</w:t>
            </w:r>
          </w:p>
        </w:tc>
      </w:tr>
      <w:tr w:rsidR="0048364F" w:rsidRPr="00457397" w14:paraId="1E04CC4C" w14:textId="77777777" w:rsidTr="00A34C44">
        <w:trPr>
          <w:tblHeader/>
        </w:trPr>
        <w:tc>
          <w:tcPr>
            <w:tcW w:w="1701" w:type="dxa"/>
            <w:tcBorders>
              <w:top w:val="single" w:sz="6" w:space="0" w:color="auto"/>
              <w:bottom w:val="single" w:sz="12" w:space="0" w:color="auto"/>
            </w:tcBorders>
            <w:shd w:val="clear" w:color="auto" w:fill="auto"/>
          </w:tcPr>
          <w:p w14:paraId="1C75E248" w14:textId="77777777" w:rsidR="0048364F" w:rsidRPr="00457397" w:rsidRDefault="0048364F" w:rsidP="00457397">
            <w:pPr>
              <w:pStyle w:val="TableHeading"/>
            </w:pPr>
            <w:r w:rsidRPr="00457397">
              <w:t>Provisions</w:t>
            </w:r>
          </w:p>
        </w:tc>
        <w:tc>
          <w:tcPr>
            <w:tcW w:w="3828" w:type="dxa"/>
            <w:tcBorders>
              <w:top w:val="single" w:sz="6" w:space="0" w:color="auto"/>
              <w:bottom w:val="single" w:sz="12" w:space="0" w:color="auto"/>
            </w:tcBorders>
            <w:shd w:val="clear" w:color="auto" w:fill="auto"/>
          </w:tcPr>
          <w:p w14:paraId="7176A5DE" w14:textId="77777777" w:rsidR="0048364F" w:rsidRPr="00457397" w:rsidRDefault="0048364F" w:rsidP="00457397">
            <w:pPr>
              <w:pStyle w:val="TableHeading"/>
            </w:pPr>
            <w:r w:rsidRPr="00457397">
              <w:t>Commencement</w:t>
            </w:r>
          </w:p>
        </w:tc>
        <w:tc>
          <w:tcPr>
            <w:tcW w:w="1582" w:type="dxa"/>
            <w:tcBorders>
              <w:top w:val="single" w:sz="6" w:space="0" w:color="auto"/>
              <w:bottom w:val="single" w:sz="12" w:space="0" w:color="auto"/>
            </w:tcBorders>
            <w:shd w:val="clear" w:color="auto" w:fill="auto"/>
          </w:tcPr>
          <w:p w14:paraId="6FC61AF3" w14:textId="77777777" w:rsidR="0048364F" w:rsidRPr="00457397" w:rsidRDefault="0048364F" w:rsidP="00457397">
            <w:pPr>
              <w:pStyle w:val="TableHeading"/>
            </w:pPr>
            <w:r w:rsidRPr="00457397">
              <w:t>Date/Details</w:t>
            </w:r>
          </w:p>
        </w:tc>
      </w:tr>
      <w:tr w:rsidR="0048364F" w:rsidRPr="00457397" w14:paraId="5778649D" w14:textId="77777777" w:rsidTr="00B01C2D">
        <w:tc>
          <w:tcPr>
            <w:tcW w:w="1701" w:type="dxa"/>
            <w:tcBorders>
              <w:top w:val="single" w:sz="12" w:space="0" w:color="auto"/>
              <w:bottom w:val="single" w:sz="12" w:space="0" w:color="auto"/>
            </w:tcBorders>
            <w:shd w:val="clear" w:color="auto" w:fill="auto"/>
          </w:tcPr>
          <w:p w14:paraId="391E485E" w14:textId="77777777" w:rsidR="0048364F" w:rsidRPr="00457397" w:rsidRDefault="0048364F" w:rsidP="00457397">
            <w:pPr>
              <w:pStyle w:val="Tabletext"/>
            </w:pPr>
            <w:r w:rsidRPr="00457397">
              <w:t xml:space="preserve">1.  </w:t>
            </w:r>
            <w:r w:rsidR="00711FDA" w:rsidRPr="00457397">
              <w:t>The whole of this Act</w:t>
            </w:r>
          </w:p>
        </w:tc>
        <w:tc>
          <w:tcPr>
            <w:tcW w:w="3828" w:type="dxa"/>
            <w:tcBorders>
              <w:top w:val="single" w:sz="12" w:space="0" w:color="auto"/>
              <w:bottom w:val="single" w:sz="12" w:space="0" w:color="auto"/>
            </w:tcBorders>
            <w:shd w:val="clear" w:color="auto" w:fill="auto"/>
          </w:tcPr>
          <w:p w14:paraId="59CAFFEF" w14:textId="77777777" w:rsidR="0048364F" w:rsidRPr="00457397" w:rsidRDefault="0050060F" w:rsidP="00457397">
            <w:pPr>
              <w:pStyle w:val="Tabletext"/>
            </w:pPr>
            <w:r w:rsidRPr="00457397">
              <w:t>The day after this Act receives the Royal Assent.</w:t>
            </w:r>
          </w:p>
        </w:tc>
        <w:tc>
          <w:tcPr>
            <w:tcW w:w="1582" w:type="dxa"/>
            <w:tcBorders>
              <w:top w:val="single" w:sz="12" w:space="0" w:color="auto"/>
              <w:bottom w:val="single" w:sz="12" w:space="0" w:color="auto"/>
            </w:tcBorders>
            <w:shd w:val="clear" w:color="auto" w:fill="auto"/>
          </w:tcPr>
          <w:p w14:paraId="5BC96018" w14:textId="0C480C0C" w:rsidR="0048364F" w:rsidRPr="00457397" w:rsidRDefault="002B28FB" w:rsidP="00457397">
            <w:pPr>
              <w:pStyle w:val="Tabletext"/>
            </w:pPr>
            <w:r>
              <w:t>21 September 2023</w:t>
            </w:r>
          </w:p>
        </w:tc>
      </w:tr>
    </w:tbl>
    <w:p w14:paraId="40B8CA74" w14:textId="77777777" w:rsidR="0048364F" w:rsidRPr="00457397" w:rsidRDefault="00201D27" w:rsidP="00457397">
      <w:pPr>
        <w:pStyle w:val="notetext"/>
      </w:pPr>
      <w:r w:rsidRPr="00457397">
        <w:t>Note:</w:t>
      </w:r>
      <w:r w:rsidRPr="00457397">
        <w:tab/>
        <w:t>This table relates only to the provisions of this Act as originally enacted. It will not be amended to deal with any later amendments of this Act.</w:t>
      </w:r>
    </w:p>
    <w:p w14:paraId="0C3BA1CE" w14:textId="77777777" w:rsidR="0048364F" w:rsidRPr="00457397" w:rsidRDefault="0048364F" w:rsidP="00457397">
      <w:pPr>
        <w:pStyle w:val="subsection"/>
      </w:pPr>
      <w:r w:rsidRPr="00457397">
        <w:tab/>
        <w:t>(2)</w:t>
      </w:r>
      <w:r w:rsidRPr="00457397">
        <w:tab/>
      </w:r>
      <w:r w:rsidR="00201D27" w:rsidRPr="00457397">
        <w:t xml:space="preserve">Any information in </w:t>
      </w:r>
      <w:r w:rsidR="00877D48" w:rsidRPr="00457397">
        <w:t>c</w:t>
      </w:r>
      <w:r w:rsidR="00201D27" w:rsidRPr="00457397">
        <w:t>olumn 3 of the table is not part of this Act. Information may be inserted in this column, or information in it may be edited, in any published version of this Act.</w:t>
      </w:r>
    </w:p>
    <w:p w14:paraId="66BB1142" w14:textId="77777777" w:rsidR="0048364F" w:rsidRPr="00457397" w:rsidRDefault="0048364F" w:rsidP="00457397">
      <w:pPr>
        <w:pStyle w:val="ActHead5"/>
      </w:pPr>
      <w:bookmarkStart w:id="4" w:name="_Toc146284896"/>
      <w:r w:rsidRPr="00B71A83">
        <w:rPr>
          <w:rStyle w:val="CharSectno"/>
        </w:rPr>
        <w:t>3</w:t>
      </w:r>
      <w:r w:rsidRPr="00457397">
        <w:t xml:space="preserve">  Schedules</w:t>
      </w:r>
      <w:bookmarkEnd w:id="4"/>
    </w:p>
    <w:p w14:paraId="3191FE60" w14:textId="77777777" w:rsidR="0048364F" w:rsidRPr="00457397" w:rsidRDefault="0048364F" w:rsidP="00457397">
      <w:pPr>
        <w:pStyle w:val="subsection"/>
      </w:pPr>
      <w:r w:rsidRPr="00457397">
        <w:tab/>
      </w:r>
      <w:r w:rsidRPr="00457397">
        <w:tab/>
      </w:r>
      <w:r w:rsidR="00202618" w:rsidRPr="00457397">
        <w:t>Legislation that is specified in a Schedule to this Act is amended or repealed as set out in the applicable items in the Schedule concerned, and any other item in a Schedule to this Act has effect according to its terms.</w:t>
      </w:r>
    </w:p>
    <w:p w14:paraId="48D863D8" w14:textId="77777777" w:rsidR="003B0B50" w:rsidRPr="00457397" w:rsidRDefault="000E64C7" w:rsidP="00457397">
      <w:pPr>
        <w:pStyle w:val="ActHead6"/>
        <w:pageBreakBefore/>
      </w:pPr>
      <w:bookmarkStart w:id="5" w:name="_Toc146284897"/>
      <w:r w:rsidRPr="00B71A83">
        <w:rPr>
          <w:rStyle w:val="CharAmSchNo"/>
        </w:rPr>
        <w:lastRenderedPageBreak/>
        <w:t>Schedule 1</w:t>
      </w:r>
      <w:r w:rsidR="0048364F" w:rsidRPr="00457397">
        <w:t>—</w:t>
      </w:r>
      <w:r w:rsidR="003B0B50" w:rsidRPr="00B71A83">
        <w:rPr>
          <w:rStyle w:val="CharAmSchText"/>
        </w:rPr>
        <w:t>Amendments</w:t>
      </w:r>
      <w:bookmarkEnd w:id="5"/>
    </w:p>
    <w:p w14:paraId="307B2D70" w14:textId="77777777" w:rsidR="003B0B50" w:rsidRPr="00457397" w:rsidRDefault="003B0B50" w:rsidP="00457397">
      <w:pPr>
        <w:pStyle w:val="ActHead7"/>
      </w:pPr>
      <w:bookmarkStart w:id="6" w:name="_Toc146284898"/>
      <w:r w:rsidRPr="00B71A83">
        <w:rPr>
          <w:rStyle w:val="CharAmPartNo"/>
        </w:rPr>
        <w:t>Part 1</w:t>
      </w:r>
      <w:r w:rsidRPr="00457397">
        <w:t>—</w:t>
      </w:r>
      <w:r w:rsidRPr="00B71A83">
        <w:rPr>
          <w:rStyle w:val="CharAmPartText"/>
        </w:rPr>
        <w:t>Customised products</w:t>
      </w:r>
      <w:bookmarkEnd w:id="6"/>
    </w:p>
    <w:p w14:paraId="008ADE9C" w14:textId="77777777" w:rsidR="003B0B50" w:rsidRPr="00457397" w:rsidRDefault="003B0B50" w:rsidP="00457397">
      <w:pPr>
        <w:pStyle w:val="ActHead9"/>
      </w:pPr>
      <w:bookmarkStart w:id="7" w:name="_Toc146284899"/>
      <w:r w:rsidRPr="00457397">
        <w:t>Greenhouse and Energy Minimum Standards Act 2012</w:t>
      </w:r>
      <w:bookmarkEnd w:id="7"/>
    </w:p>
    <w:p w14:paraId="6A8AADA2" w14:textId="77777777" w:rsidR="003B0B50" w:rsidRPr="00457397" w:rsidRDefault="008E64B5" w:rsidP="00457397">
      <w:pPr>
        <w:pStyle w:val="ItemHead"/>
      </w:pPr>
      <w:r w:rsidRPr="00457397">
        <w:t>1</w:t>
      </w:r>
      <w:r w:rsidR="003B0B50" w:rsidRPr="00457397">
        <w:t xml:space="preserve">  Section 15</w:t>
      </w:r>
    </w:p>
    <w:p w14:paraId="65340B13" w14:textId="77777777" w:rsidR="003B0B50" w:rsidRPr="00457397" w:rsidRDefault="003B0B50" w:rsidP="00457397">
      <w:pPr>
        <w:pStyle w:val="Item"/>
      </w:pPr>
      <w:r w:rsidRPr="00457397">
        <w:t>After “in relation to that product class.”, insert “Furthermore, certain kinds of customised GEMS products may be offered for supply without being registered (see subsection 17(2A)).”.</w:t>
      </w:r>
    </w:p>
    <w:p w14:paraId="1899BA70" w14:textId="77777777" w:rsidR="003B0B50" w:rsidRPr="00457397" w:rsidRDefault="008E64B5" w:rsidP="00457397">
      <w:pPr>
        <w:pStyle w:val="ItemHead"/>
      </w:pPr>
      <w:r w:rsidRPr="00457397">
        <w:t>2</w:t>
      </w:r>
      <w:r w:rsidR="003B0B50" w:rsidRPr="00457397">
        <w:t xml:space="preserve">  After subsection 17(2)</w:t>
      </w:r>
    </w:p>
    <w:p w14:paraId="5C9208B1" w14:textId="77777777" w:rsidR="003B0B50" w:rsidRPr="00457397" w:rsidRDefault="003B0B50" w:rsidP="00457397">
      <w:pPr>
        <w:pStyle w:val="Item"/>
      </w:pPr>
      <w:r w:rsidRPr="00457397">
        <w:t>Insert:</w:t>
      </w:r>
    </w:p>
    <w:p w14:paraId="69645C5E" w14:textId="77777777" w:rsidR="003B0B50" w:rsidRPr="00457397" w:rsidRDefault="003B0B50" w:rsidP="00457397">
      <w:pPr>
        <w:pStyle w:val="subsection"/>
      </w:pPr>
      <w:r w:rsidRPr="00457397">
        <w:tab/>
        <w:t>(2A)</w:t>
      </w:r>
      <w:r w:rsidRPr="00457397">
        <w:tab/>
        <w:t>Subsection (1) does not apply to an offer to supply a GEMS product if the GEMS product:</w:t>
      </w:r>
    </w:p>
    <w:p w14:paraId="4A387BD5" w14:textId="77777777" w:rsidR="003B0B50" w:rsidRPr="00457397" w:rsidRDefault="003B0B50" w:rsidP="00457397">
      <w:pPr>
        <w:pStyle w:val="paragraph"/>
      </w:pPr>
      <w:r w:rsidRPr="00457397">
        <w:tab/>
        <w:t>(a)</w:t>
      </w:r>
      <w:r w:rsidRPr="00457397">
        <w:tab/>
        <w:t>is or will be manufactured or modified on request by an identified customer to customised requirements; and</w:t>
      </w:r>
    </w:p>
    <w:p w14:paraId="73F3739E" w14:textId="77777777" w:rsidR="003B0B50" w:rsidRPr="00457397" w:rsidRDefault="003B0B50" w:rsidP="00457397">
      <w:pPr>
        <w:pStyle w:val="paragraph"/>
      </w:pPr>
      <w:r w:rsidRPr="00457397">
        <w:tab/>
        <w:t>(b)</w:t>
      </w:r>
      <w:r w:rsidRPr="00457397">
        <w:tab/>
        <w:t xml:space="preserve">is covered by a GEMS determination that is prescribed under </w:t>
      </w:r>
      <w:r w:rsidR="008E64B5" w:rsidRPr="00457397">
        <w:t>subsection (</w:t>
      </w:r>
      <w:r w:rsidRPr="00457397">
        <w:t>2B); and</w:t>
      </w:r>
    </w:p>
    <w:p w14:paraId="5DA75B0C" w14:textId="77777777" w:rsidR="003B0B50" w:rsidRPr="00457397" w:rsidRDefault="003B0B50" w:rsidP="00457397">
      <w:pPr>
        <w:pStyle w:val="paragraph"/>
      </w:pPr>
      <w:r w:rsidRPr="00457397">
        <w:tab/>
        <w:t>(c)</w:t>
      </w:r>
      <w:r w:rsidRPr="00457397">
        <w:tab/>
        <w:t xml:space="preserve">meets any other requirements that are prescribed under </w:t>
      </w:r>
      <w:r w:rsidR="008E64B5" w:rsidRPr="00457397">
        <w:t>subsection (</w:t>
      </w:r>
      <w:r w:rsidR="00F2220C" w:rsidRPr="00457397">
        <w:t>2B)</w:t>
      </w:r>
      <w:r w:rsidRPr="00457397">
        <w:t>.</w:t>
      </w:r>
    </w:p>
    <w:p w14:paraId="785CD5DD" w14:textId="77777777" w:rsidR="003B0B50" w:rsidRPr="00457397" w:rsidRDefault="003B0B50" w:rsidP="00457397">
      <w:pPr>
        <w:pStyle w:val="subsection"/>
      </w:pPr>
      <w:r w:rsidRPr="00457397">
        <w:tab/>
        <w:t>(2B)</w:t>
      </w:r>
      <w:r w:rsidRPr="00457397">
        <w:tab/>
        <w:t>The GEMS Regulator may, by legislative instrument, prescribe:</w:t>
      </w:r>
    </w:p>
    <w:p w14:paraId="1C857ED1" w14:textId="77777777" w:rsidR="003B0B50" w:rsidRPr="00457397" w:rsidRDefault="003B0B50" w:rsidP="00457397">
      <w:pPr>
        <w:pStyle w:val="paragraph"/>
      </w:pPr>
      <w:r w:rsidRPr="00457397">
        <w:tab/>
        <w:t>(a)</w:t>
      </w:r>
      <w:r w:rsidRPr="00457397">
        <w:tab/>
        <w:t>GEMS determinations for the purposes of paragraph (2A)(b); or</w:t>
      </w:r>
    </w:p>
    <w:p w14:paraId="485ED165" w14:textId="77777777" w:rsidR="00881282" w:rsidRPr="00457397" w:rsidRDefault="003B0B50" w:rsidP="00457397">
      <w:pPr>
        <w:pStyle w:val="paragraph"/>
      </w:pPr>
      <w:r w:rsidRPr="00457397">
        <w:tab/>
        <w:t>(b)</w:t>
      </w:r>
      <w:r w:rsidRPr="00457397">
        <w:tab/>
        <w:t>requirements for the purposes of paragraph (2A)(c).</w:t>
      </w:r>
    </w:p>
    <w:p w14:paraId="7893F5BE" w14:textId="77777777" w:rsidR="00881282" w:rsidRPr="00457397" w:rsidRDefault="008E64B5" w:rsidP="00457397">
      <w:pPr>
        <w:pStyle w:val="ItemHead"/>
      </w:pPr>
      <w:r w:rsidRPr="00457397">
        <w:t>3</w:t>
      </w:r>
      <w:r w:rsidR="00881282" w:rsidRPr="00457397">
        <w:t xml:space="preserve">  </w:t>
      </w:r>
      <w:r w:rsidRPr="00457397">
        <w:t>Subsections 1</w:t>
      </w:r>
      <w:r w:rsidR="00881282" w:rsidRPr="00457397">
        <w:t>7(5) and (6) (at the end of note 2)</w:t>
      </w:r>
    </w:p>
    <w:p w14:paraId="5F4762FF" w14:textId="77777777" w:rsidR="00881282" w:rsidRPr="00457397" w:rsidRDefault="00881282" w:rsidP="00457397">
      <w:pPr>
        <w:pStyle w:val="Item"/>
      </w:pPr>
      <w:r w:rsidRPr="00457397">
        <w:t xml:space="preserve">Add “and </w:t>
      </w:r>
      <w:r w:rsidR="008E64B5" w:rsidRPr="00457397">
        <w:t>subsection (</w:t>
      </w:r>
      <w:r w:rsidRPr="00457397">
        <w:t xml:space="preserve">9) (evidential burden for matters in </w:t>
      </w:r>
      <w:r w:rsidR="008E64B5" w:rsidRPr="00457397">
        <w:t>subsection (</w:t>
      </w:r>
      <w:r w:rsidRPr="00457397">
        <w:t>2A))”.</w:t>
      </w:r>
    </w:p>
    <w:p w14:paraId="50ADBCE8" w14:textId="77777777" w:rsidR="003B0B50" w:rsidRPr="00457397" w:rsidRDefault="008E64B5" w:rsidP="00457397">
      <w:pPr>
        <w:pStyle w:val="ItemHead"/>
      </w:pPr>
      <w:r w:rsidRPr="00457397">
        <w:t>4</w:t>
      </w:r>
      <w:r w:rsidR="003B0B50" w:rsidRPr="00457397">
        <w:t xml:space="preserve">  At the end of section 17</w:t>
      </w:r>
    </w:p>
    <w:p w14:paraId="3434FC2E" w14:textId="77777777" w:rsidR="003B0B50" w:rsidRPr="00457397" w:rsidRDefault="003B0B50" w:rsidP="00457397">
      <w:pPr>
        <w:pStyle w:val="Item"/>
      </w:pPr>
      <w:r w:rsidRPr="00457397">
        <w:t>Add:</w:t>
      </w:r>
    </w:p>
    <w:p w14:paraId="6FBB39C3" w14:textId="77777777" w:rsidR="003B0B50" w:rsidRPr="00457397" w:rsidRDefault="003B0B50" w:rsidP="00457397">
      <w:pPr>
        <w:pStyle w:val="SubsectionHead"/>
      </w:pPr>
      <w:r w:rsidRPr="00457397">
        <w:lastRenderedPageBreak/>
        <w:t xml:space="preserve">Evidential burden for matters in </w:t>
      </w:r>
      <w:r w:rsidR="008E64B5" w:rsidRPr="00457397">
        <w:t>subsection (</w:t>
      </w:r>
      <w:r w:rsidRPr="00457397">
        <w:t>2A)</w:t>
      </w:r>
    </w:p>
    <w:p w14:paraId="7CA3F1DC" w14:textId="77777777" w:rsidR="003B0B50" w:rsidRPr="00457397" w:rsidRDefault="003B0B50" w:rsidP="00457397">
      <w:pPr>
        <w:pStyle w:val="subsection"/>
      </w:pPr>
      <w:r w:rsidRPr="00457397">
        <w:tab/>
        <w:t>(9)</w:t>
      </w:r>
      <w:r w:rsidRPr="00457397">
        <w:tab/>
        <w:t xml:space="preserve">In proceedings for a civil penalty order under the Regulatory Powers Act for a contravention of </w:t>
      </w:r>
      <w:r w:rsidR="008E64B5" w:rsidRPr="00457397">
        <w:t>subsection (</w:t>
      </w:r>
      <w:r w:rsidRPr="00457397">
        <w:t xml:space="preserve">5) or (6), a person who wishes to rely on </w:t>
      </w:r>
      <w:r w:rsidR="008E64B5" w:rsidRPr="00457397">
        <w:t>subsection (</w:t>
      </w:r>
      <w:r w:rsidRPr="00457397">
        <w:t xml:space="preserve">2A) bears an evidential burden in relation to a matter in </w:t>
      </w:r>
      <w:r w:rsidR="008E64B5" w:rsidRPr="00457397">
        <w:t>subsection (</w:t>
      </w:r>
      <w:r w:rsidR="00F2220C" w:rsidRPr="00457397">
        <w:t>2A)</w:t>
      </w:r>
      <w:r w:rsidRPr="00457397">
        <w:t>.</w:t>
      </w:r>
    </w:p>
    <w:p w14:paraId="38828739" w14:textId="77777777" w:rsidR="003B0B50" w:rsidRPr="00457397" w:rsidRDefault="003B0B50" w:rsidP="00457397">
      <w:pPr>
        <w:pStyle w:val="notetext"/>
      </w:pPr>
      <w:r w:rsidRPr="00457397">
        <w:t>Note:</w:t>
      </w:r>
      <w:r w:rsidRPr="00457397">
        <w:tab/>
        <w:t xml:space="preserve">In a prosecution for an offence against </w:t>
      </w:r>
      <w:r w:rsidR="008E64B5" w:rsidRPr="00457397">
        <w:t>subsection (</w:t>
      </w:r>
      <w:r w:rsidRPr="00457397">
        <w:t xml:space="preserve">3) or (4), a defendant bears an evidential burden in relation to a matter in </w:t>
      </w:r>
      <w:r w:rsidR="008E64B5" w:rsidRPr="00457397">
        <w:t>subsection (</w:t>
      </w:r>
      <w:r w:rsidRPr="00457397">
        <w:t>2A)</w:t>
      </w:r>
      <w:r w:rsidR="00F2220C" w:rsidRPr="00457397">
        <w:t xml:space="preserve"> </w:t>
      </w:r>
      <w:r w:rsidRPr="00457397">
        <w:t xml:space="preserve">(see subsection 13.3(3) of the </w:t>
      </w:r>
      <w:r w:rsidRPr="00457397">
        <w:rPr>
          <w:i/>
        </w:rPr>
        <w:t>Criminal Code</w:t>
      </w:r>
      <w:r w:rsidRPr="00457397">
        <w:t>).</w:t>
      </w:r>
    </w:p>
    <w:p w14:paraId="028A6AC1" w14:textId="77777777" w:rsidR="003B0B50" w:rsidRPr="00457397" w:rsidRDefault="003B0B50" w:rsidP="00457397">
      <w:pPr>
        <w:pStyle w:val="ActHead7"/>
        <w:pageBreakBefore/>
      </w:pPr>
      <w:bookmarkStart w:id="8" w:name="_Toc146284900"/>
      <w:r w:rsidRPr="00B71A83">
        <w:rPr>
          <w:rStyle w:val="CharAmPartNo"/>
        </w:rPr>
        <w:lastRenderedPageBreak/>
        <w:t>Part 2</w:t>
      </w:r>
      <w:r w:rsidRPr="00457397">
        <w:t>—</w:t>
      </w:r>
      <w:r w:rsidRPr="00B71A83">
        <w:rPr>
          <w:rStyle w:val="CharAmPartText"/>
        </w:rPr>
        <w:t>Deemed compliance</w:t>
      </w:r>
      <w:bookmarkEnd w:id="8"/>
    </w:p>
    <w:p w14:paraId="132E27D0" w14:textId="77777777" w:rsidR="003B0B50" w:rsidRPr="00457397" w:rsidRDefault="003B0B50" w:rsidP="00457397">
      <w:pPr>
        <w:pStyle w:val="ActHead9"/>
      </w:pPr>
      <w:bookmarkStart w:id="9" w:name="_Toc146284901"/>
      <w:r w:rsidRPr="00457397">
        <w:t>Greenhouse and Energy Minimum Standards Act 2012</w:t>
      </w:r>
      <w:bookmarkEnd w:id="9"/>
    </w:p>
    <w:p w14:paraId="6CBA04CB" w14:textId="77777777" w:rsidR="003B0B50" w:rsidRPr="00457397" w:rsidRDefault="008E64B5" w:rsidP="00457397">
      <w:pPr>
        <w:pStyle w:val="ItemHead"/>
      </w:pPr>
      <w:r w:rsidRPr="00457397">
        <w:t>5</w:t>
      </w:r>
      <w:r w:rsidR="003B0B50" w:rsidRPr="00457397">
        <w:t xml:space="preserve">  After section 27</w:t>
      </w:r>
    </w:p>
    <w:p w14:paraId="3756D35C" w14:textId="77777777" w:rsidR="003B0B50" w:rsidRPr="00457397" w:rsidRDefault="003B0B50" w:rsidP="00457397">
      <w:pPr>
        <w:pStyle w:val="Item"/>
      </w:pPr>
      <w:r w:rsidRPr="00457397">
        <w:t>Insert:</w:t>
      </w:r>
    </w:p>
    <w:p w14:paraId="18F754C1" w14:textId="77777777" w:rsidR="003B0B50" w:rsidRPr="00457397" w:rsidRDefault="003B0B50" w:rsidP="00457397">
      <w:pPr>
        <w:pStyle w:val="ActHead5"/>
      </w:pPr>
      <w:bookmarkStart w:id="10" w:name="_Toc146284902"/>
      <w:r w:rsidRPr="00B71A83">
        <w:rPr>
          <w:rStyle w:val="CharSectno"/>
        </w:rPr>
        <w:t>27A</w:t>
      </w:r>
      <w:r w:rsidRPr="00457397">
        <w:t xml:space="preserve">  GEMS requirements—deemed compliance</w:t>
      </w:r>
      <w:bookmarkEnd w:id="10"/>
    </w:p>
    <w:p w14:paraId="637B2BE7" w14:textId="77777777" w:rsidR="003B0B50" w:rsidRPr="00457397" w:rsidRDefault="003B0B50" w:rsidP="00457397">
      <w:pPr>
        <w:pStyle w:val="subsection"/>
      </w:pPr>
      <w:r w:rsidRPr="00457397">
        <w:tab/>
        <w:t>(1)</w:t>
      </w:r>
      <w:r w:rsidRPr="00457397">
        <w:tab/>
        <w:t xml:space="preserve">The GEMS Regulator may, by legislative instrument, declare that </w:t>
      </w:r>
      <w:r w:rsidR="00DE7A91" w:rsidRPr="00457397">
        <w:t xml:space="preserve">specified </w:t>
      </w:r>
      <w:r w:rsidRPr="00457397">
        <w:t>classes of products</w:t>
      </w:r>
      <w:r w:rsidR="005D1C4A" w:rsidRPr="00457397">
        <w:t xml:space="preserve"> or </w:t>
      </w:r>
      <w:r w:rsidR="00DE7A91" w:rsidRPr="00457397">
        <w:t>specified</w:t>
      </w:r>
      <w:r w:rsidR="005D1C4A" w:rsidRPr="00457397">
        <w:t xml:space="preserve"> models </w:t>
      </w:r>
      <w:r w:rsidR="00B67260" w:rsidRPr="00457397">
        <w:t>of</w:t>
      </w:r>
      <w:r w:rsidR="0031088E" w:rsidRPr="00457397">
        <w:t xml:space="preserve"> GEMS products</w:t>
      </w:r>
      <w:r w:rsidRPr="00457397">
        <w:t xml:space="preserve"> are taken, for the purposes of this Act, to comply with one or more requirements, or one or more aspects of one or more requirements, of a specified GEMS determination:</w:t>
      </w:r>
    </w:p>
    <w:p w14:paraId="07503B2D" w14:textId="77777777" w:rsidR="003B0B50" w:rsidRPr="00457397" w:rsidRDefault="003B0B50" w:rsidP="00457397">
      <w:pPr>
        <w:pStyle w:val="paragraph"/>
      </w:pPr>
      <w:r w:rsidRPr="00457397">
        <w:tab/>
        <w:t>(a)</w:t>
      </w:r>
      <w:r w:rsidRPr="00457397">
        <w:tab/>
        <w:t>in specified circumstances; or</w:t>
      </w:r>
    </w:p>
    <w:p w14:paraId="2BFAE34C" w14:textId="77777777" w:rsidR="003B0B50" w:rsidRPr="00457397" w:rsidRDefault="003B0B50" w:rsidP="00457397">
      <w:pPr>
        <w:pStyle w:val="paragraph"/>
      </w:pPr>
      <w:r w:rsidRPr="00457397">
        <w:tab/>
        <w:t>(b)</w:t>
      </w:r>
      <w:r w:rsidRPr="00457397">
        <w:tab/>
        <w:t>if specified conditions are complied with.</w:t>
      </w:r>
    </w:p>
    <w:p w14:paraId="52EEAC0E" w14:textId="77777777" w:rsidR="003B0B50" w:rsidRPr="00457397" w:rsidRDefault="003B0B50" w:rsidP="00457397">
      <w:pPr>
        <w:pStyle w:val="subsection"/>
      </w:pPr>
      <w:r w:rsidRPr="00457397">
        <w:tab/>
        <w:t>(2)</w:t>
      </w:r>
      <w:r w:rsidRPr="00457397">
        <w:tab/>
        <w:t xml:space="preserve">Without limiting </w:t>
      </w:r>
      <w:r w:rsidR="008E64B5" w:rsidRPr="00457397">
        <w:t>subsection (</w:t>
      </w:r>
      <w:r w:rsidRPr="00457397">
        <w:t>1), if a GEMS determination specifies requirements for conducting tests using methods specified in the determination, conditions specified for the purposes of paragraph (1)(b) may relate to meeting specified alternative requirements or using specified alternative methods.</w:t>
      </w:r>
    </w:p>
    <w:p w14:paraId="294B7FEF" w14:textId="77777777" w:rsidR="003B0B50" w:rsidRPr="00457397" w:rsidRDefault="003B0B50" w:rsidP="00457397">
      <w:pPr>
        <w:pStyle w:val="subsection"/>
      </w:pPr>
      <w:r w:rsidRPr="00457397">
        <w:tab/>
        <w:t>(3)</w:t>
      </w:r>
      <w:r w:rsidRPr="00457397">
        <w:tab/>
        <w:t xml:space="preserve">However, the GEMS Regulator must not make a declaration under </w:t>
      </w:r>
      <w:r w:rsidR="008E64B5" w:rsidRPr="00457397">
        <w:t>subsection (</w:t>
      </w:r>
      <w:r w:rsidRPr="00457397">
        <w:t>1) unless:</w:t>
      </w:r>
    </w:p>
    <w:p w14:paraId="5077CE69" w14:textId="77777777" w:rsidR="003B0B50" w:rsidRPr="00457397" w:rsidRDefault="003B0B50" w:rsidP="00457397">
      <w:pPr>
        <w:pStyle w:val="paragraph"/>
      </w:pPr>
      <w:r w:rsidRPr="00457397">
        <w:tab/>
        <w:t>(a)</w:t>
      </w:r>
      <w:r w:rsidRPr="00457397">
        <w:tab/>
        <w:t>the GEMS Regulator is satisfied that making the declaration is likely to promote the objects of this Act; and</w:t>
      </w:r>
    </w:p>
    <w:p w14:paraId="1F368324" w14:textId="77777777" w:rsidR="003B0B50" w:rsidRPr="00457397" w:rsidRDefault="003B0B50" w:rsidP="00457397">
      <w:pPr>
        <w:pStyle w:val="paragraph"/>
      </w:pPr>
      <w:r w:rsidRPr="00457397">
        <w:tab/>
        <w:t>(b)</w:t>
      </w:r>
      <w:r w:rsidRPr="00457397">
        <w:tab/>
        <w:t>the requirements (if any) prescribed by the regulations for the purposes of this paragraph are complied with.</w:t>
      </w:r>
    </w:p>
    <w:p w14:paraId="0951AC43" w14:textId="77777777" w:rsidR="003B0B50" w:rsidRPr="00457397" w:rsidRDefault="008E64B5" w:rsidP="00457397">
      <w:pPr>
        <w:pStyle w:val="ItemHead"/>
      </w:pPr>
      <w:r w:rsidRPr="00457397">
        <w:t>6</w:t>
      </w:r>
      <w:r w:rsidR="003B0B50" w:rsidRPr="00457397">
        <w:t xml:space="preserve">  At the end of Division 2 of Part 4</w:t>
      </w:r>
    </w:p>
    <w:p w14:paraId="1D4A31F3" w14:textId="77777777" w:rsidR="003B0B50" w:rsidRPr="00457397" w:rsidRDefault="003B0B50" w:rsidP="00457397">
      <w:pPr>
        <w:pStyle w:val="Item"/>
      </w:pPr>
      <w:r w:rsidRPr="00457397">
        <w:t>Add:</w:t>
      </w:r>
    </w:p>
    <w:p w14:paraId="426B062D" w14:textId="77777777" w:rsidR="003B0B50" w:rsidRPr="00457397" w:rsidRDefault="003B0B50" w:rsidP="00457397">
      <w:pPr>
        <w:pStyle w:val="ActHead5"/>
      </w:pPr>
      <w:bookmarkStart w:id="11" w:name="_Toc146284903"/>
      <w:r w:rsidRPr="00B71A83">
        <w:rPr>
          <w:rStyle w:val="CharSectno"/>
        </w:rPr>
        <w:t>34A</w:t>
      </w:r>
      <w:r w:rsidRPr="00457397">
        <w:t xml:space="preserve">  GEMS determinations—incorporation etc. of material as in force or existing from time to time</w:t>
      </w:r>
      <w:bookmarkEnd w:id="11"/>
    </w:p>
    <w:p w14:paraId="1ED8D074" w14:textId="77777777" w:rsidR="003B0B50" w:rsidRPr="00457397" w:rsidRDefault="003B0B50" w:rsidP="00457397">
      <w:pPr>
        <w:pStyle w:val="subsection"/>
      </w:pPr>
      <w:r w:rsidRPr="00457397">
        <w:tab/>
        <w:t>(1)</w:t>
      </w:r>
      <w:r w:rsidRPr="00457397">
        <w:tab/>
        <w:t>This section applies if:</w:t>
      </w:r>
    </w:p>
    <w:p w14:paraId="7EC1BF63" w14:textId="77777777" w:rsidR="003B0B50" w:rsidRPr="00457397" w:rsidRDefault="003B0B50" w:rsidP="00457397">
      <w:pPr>
        <w:pStyle w:val="paragraph"/>
      </w:pPr>
      <w:r w:rsidRPr="00457397">
        <w:lastRenderedPageBreak/>
        <w:tab/>
        <w:t>(a)</w:t>
      </w:r>
      <w:r w:rsidRPr="00457397">
        <w:tab/>
        <w:t xml:space="preserve">a GEMS determination makes provision in relation to a matter by applying, adopting or incorporating, with or without modification, any matter contained in any other instrument or other writing (the </w:t>
      </w:r>
      <w:r w:rsidRPr="00457397">
        <w:rPr>
          <w:b/>
          <w:i/>
        </w:rPr>
        <w:t>incorporated instrument</w:t>
      </w:r>
      <w:r w:rsidRPr="00457397">
        <w:t>) as in force at a particular time; and</w:t>
      </w:r>
    </w:p>
    <w:p w14:paraId="69D84394" w14:textId="77777777" w:rsidR="003B0B50" w:rsidRPr="00457397" w:rsidRDefault="003B0B50" w:rsidP="00457397">
      <w:pPr>
        <w:pStyle w:val="paragraph"/>
      </w:pPr>
      <w:r w:rsidRPr="00457397">
        <w:tab/>
        <w:t>(b)</w:t>
      </w:r>
      <w:r w:rsidRPr="00457397">
        <w:tab/>
        <w:t>there are one or more changes to the incorporated instrument after that time that the GEMS Regulator is satisfied are of a minor nature.</w:t>
      </w:r>
    </w:p>
    <w:p w14:paraId="28A58678" w14:textId="77777777" w:rsidR="003B0B50" w:rsidRPr="00457397" w:rsidRDefault="003B0B50" w:rsidP="00457397">
      <w:pPr>
        <w:pStyle w:val="subsection"/>
      </w:pPr>
      <w:r w:rsidRPr="00457397">
        <w:tab/>
        <w:t>(2)</w:t>
      </w:r>
      <w:r w:rsidRPr="00457397">
        <w:tab/>
        <w:t>The GEMS Regulator may, by legislative instrument, declare that the incorporated instrument has effect in relation to the GEMS determination as if the incorporated instrument contained the changes specified in the declaration.</w:t>
      </w:r>
    </w:p>
    <w:p w14:paraId="71246D2D" w14:textId="77777777" w:rsidR="003B0B50" w:rsidRPr="00457397" w:rsidRDefault="003B0B50" w:rsidP="00457397">
      <w:pPr>
        <w:pStyle w:val="ActHead7"/>
        <w:pageBreakBefore/>
      </w:pPr>
      <w:bookmarkStart w:id="12" w:name="_Toc146284904"/>
      <w:r w:rsidRPr="00B71A83">
        <w:rPr>
          <w:rStyle w:val="CharAmPartNo"/>
        </w:rPr>
        <w:lastRenderedPageBreak/>
        <w:t>Part 3</w:t>
      </w:r>
      <w:r w:rsidRPr="00457397">
        <w:t>—</w:t>
      </w:r>
      <w:r w:rsidRPr="00B71A83">
        <w:rPr>
          <w:rStyle w:val="CharAmPartText"/>
        </w:rPr>
        <w:t>E</w:t>
      </w:r>
      <w:r w:rsidR="009A6306" w:rsidRPr="00B71A83">
        <w:rPr>
          <w:rStyle w:val="CharAmPartText"/>
        </w:rPr>
        <w:t>nabling timely and more targeted e</w:t>
      </w:r>
      <w:r w:rsidRPr="00B71A83">
        <w:rPr>
          <w:rStyle w:val="CharAmPartText"/>
        </w:rPr>
        <w:t>xemptions</w:t>
      </w:r>
      <w:bookmarkEnd w:id="12"/>
    </w:p>
    <w:p w14:paraId="1D7D5169" w14:textId="77777777" w:rsidR="003B0B50" w:rsidRPr="00457397" w:rsidRDefault="003B0B50" w:rsidP="00457397">
      <w:pPr>
        <w:pStyle w:val="ActHead9"/>
      </w:pPr>
      <w:bookmarkStart w:id="13" w:name="_Toc146284905"/>
      <w:r w:rsidRPr="00457397">
        <w:t>Greenhouse and Energy Minimum Standards Act 2012</w:t>
      </w:r>
      <w:bookmarkEnd w:id="13"/>
    </w:p>
    <w:p w14:paraId="6BA8D892" w14:textId="77777777" w:rsidR="003B0B50" w:rsidRPr="00457397" w:rsidRDefault="008E64B5" w:rsidP="00457397">
      <w:pPr>
        <w:pStyle w:val="ItemHead"/>
      </w:pPr>
      <w:r w:rsidRPr="00457397">
        <w:t>7</w:t>
      </w:r>
      <w:r w:rsidR="003B0B50" w:rsidRPr="00457397">
        <w:t xml:space="preserve">  Section 22</w:t>
      </w:r>
    </w:p>
    <w:p w14:paraId="4789586B" w14:textId="77777777" w:rsidR="003B0B50" w:rsidRPr="00457397" w:rsidRDefault="003B0B50" w:rsidP="00457397">
      <w:pPr>
        <w:pStyle w:val="Item"/>
      </w:pPr>
      <w:r w:rsidRPr="00457397">
        <w:t>After “from requirements”, insert “, or aspects of requirements,”.</w:t>
      </w:r>
    </w:p>
    <w:p w14:paraId="7B11D29D" w14:textId="77777777" w:rsidR="003B0B50" w:rsidRPr="00457397" w:rsidRDefault="008E64B5" w:rsidP="00457397">
      <w:pPr>
        <w:pStyle w:val="ItemHead"/>
      </w:pPr>
      <w:r w:rsidRPr="00457397">
        <w:t>8</w:t>
      </w:r>
      <w:r w:rsidR="003B0B50" w:rsidRPr="00457397">
        <w:t xml:space="preserve">  Subsection 37(1)</w:t>
      </w:r>
    </w:p>
    <w:p w14:paraId="75C9D7C1" w14:textId="77777777" w:rsidR="003B0B50" w:rsidRPr="00457397" w:rsidRDefault="003B0B50" w:rsidP="00457397">
      <w:pPr>
        <w:pStyle w:val="Item"/>
      </w:pPr>
      <w:r w:rsidRPr="00457397">
        <w:t>After “requirements”, insert “, or one or more aspects of one or more requirements,”.</w:t>
      </w:r>
    </w:p>
    <w:p w14:paraId="5B66F7BB" w14:textId="77777777" w:rsidR="003B0B50" w:rsidRPr="00457397" w:rsidRDefault="008E64B5" w:rsidP="00457397">
      <w:pPr>
        <w:pStyle w:val="ItemHead"/>
      </w:pPr>
      <w:r w:rsidRPr="00457397">
        <w:t>9</w:t>
      </w:r>
      <w:r w:rsidR="003B0B50" w:rsidRPr="00457397">
        <w:t xml:space="preserve">  After subsection 37(1)</w:t>
      </w:r>
    </w:p>
    <w:p w14:paraId="183A9B13" w14:textId="77777777" w:rsidR="003B0B50" w:rsidRPr="00457397" w:rsidRDefault="003B0B50" w:rsidP="00457397">
      <w:pPr>
        <w:pStyle w:val="Item"/>
      </w:pPr>
      <w:r w:rsidRPr="00457397">
        <w:t>Insert:</w:t>
      </w:r>
    </w:p>
    <w:p w14:paraId="1B5BEF16" w14:textId="77777777" w:rsidR="003B0B50" w:rsidRPr="00457397" w:rsidRDefault="003B0B50" w:rsidP="00457397">
      <w:pPr>
        <w:pStyle w:val="subsection"/>
      </w:pPr>
      <w:r w:rsidRPr="00457397">
        <w:tab/>
        <w:t>(1A)</w:t>
      </w:r>
      <w:r w:rsidRPr="00457397">
        <w:tab/>
        <w:t>An exemption in relation to a GEMS determination may be made at any time after the determination is made.</w:t>
      </w:r>
    </w:p>
    <w:p w14:paraId="30EFE7E6" w14:textId="77777777" w:rsidR="003B0B50" w:rsidRPr="00457397" w:rsidRDefault="003B0B50" w:rsidP="00457397">
      <w:pPr>
        <w:pStyle w:val="ActHead7"/>
        <w:pageBreakBefore/>
      </w:pPr>
      <w:bookmarkStart w:id="14" w:name="_Toc146284906"/>
      <w:r w:rsidRPr="00B71A83">
        <w:rPr>
          <w:rStyle w:val="CharAmPartNo"/>
        </w:rPr>
        <w:lastRenderedPageBreak/>
        <w:t>Part 4</w:t>
      </w:r>
      <w:r w:rsidRPr="00457397">
        <w:t>—</w:t>
      </w:r>
      <w:r w:rsidRPr="00B71A83">
        <w:rPr>
          <w:rStyle w:val="CharAmPartText"/>
        </w:rPr>
        <w:t>Product classes</w:t>
      </w:r>
      <w:bookmarkEnd w:id="14"/>
    </w:p>
    <w:p w14:paraId="7EA03246" w14:textId="77777777" w:rsidR="003B0B50" w:rsidRPr="00457397" w:rsidRDefault="003B0B50" w:rsidP="00457397">
      <w:pPr>
        <w:pStyle w:val="ActHead9"/>
      </w:pPr>
      <w:bookmarkStart w:id="15" w:name="_Hlk124426173"/>
      <w:bookmarkStart w:id="16" w:name="_Toc146284907"/>
      <w:r w:rsidRPr="00457397">
        <w:t>Greenhouse and Energy Minimum Standards Act 2012</w:t>
      </w:r>
      <w:bookmarkEnd w:id="16"/>
    </w:p>
    <w:bookmarkEnd w:id="15"/>
    <w:p w14:paraId="62B5B1D2" w14:textId="77777777" w:rsidR="003B0B50" w:rsidRPr="00457397" w:rsidRDefault="008E64B5" w:rsidP="00457397">
      <w:pPr>
        <w:pStyle w:val="ItemHead"/>
      </w:pPr>
      <w:r w:rsidRPr="00457397">
        <w:t>10</w:t>
      </w:r>
      <w:r w:rsidR="003B0B50" w:rsidRPr="00457397">
        <w:t xml:space="preserve">  Subsection 11(2) (note 1)</w:t>
      </w:r>
    </w:p>
    <w:p w14:paraId="6F73B202" w14:textId="77777777" w:rsidR="003B0B50" w:rsidRPr="00457397" w:rsidRDefault="003B0B50" w:rsidP="00457397">
      <w:pPr>
        <w:pStyle w:val="Item"/>
      </w:pPr>
      <w:r w:rsidRPr="00457397">
        <w:t>Repeal the note.</w:t>
      </w:r>
    </w:p>
    <w:p w14:paraId="4480E612" w14:textId="77777777" w:rsidR="003B0B50" w:rsidRPr="00457397" w:rsidRDefault="008E64B5" w:rsidP="00457397">
      <w:pPr>
        <w:pStyle w:val="ItemHead"/>
      </w:pPr>
      <w:r w:rsidRPr="00457397">
        <w:t>11</w:t>
      </w:r>
      <w:r w:rsidR="003B0B50" w:rsidRPr="00457397">
        <w:t xml:space="preserve">  Subsection 11(2) (note 2)</w:t>
      </w:r>
    </w:p>
    <w:p w14:paraId="20071762" w14:textId="77777777" w:rsidR="003B0B50" w:rsidRPr="00457397" w:rsidRDefault="003B0B50" w:rsidP="00457397">
      <w:pPr>
        <w:pStyle w:val="Item"/>
      </w:pPr>
      <w:r w:rsidRPr="00457397">
        <w:t>Omit “Note 2”, substitute “Note”.</w:t>
      </w:r>
    </w:p>
    <w:p w14:paraId="4B18D215" w14:textId="77777777" w:rsidR="003B0B50" w:rsidRPr="00457397" w:rsidRDefault="008E64B5" w:rsidP="00457397">
      <w:pPr>
        <w:pStyle w:val="ItemHead"/>
      </w:pPr>
      <w:r w:rsidRPr="00457397">
        <w:t>12</w:t>
      </w:r>
      <w:r w:rsidR="003B0B50" w:rsidRPr="00457397">
        <w:t xml:space="preserve">  After subsection 11(2)</w:t>
      </w:r>
    </w:p>
    <w:p w14:paraId="12405469" w14:textId="77777777" w:rsidR="003B0B50" w:rsidRPr="00457397" w:rsidRDefault="003B0B50" w:rsidP="00457397">
      <w:pPr>
        <w:pStyle w:val="Item"/>
      </w:pPr>
      <w:r w:rsidRPr="00457397">
        <w:t>Insert:</w:t>
      </w:r>
    </w:p>
    <w:p w14:paraId="48F2FF62" w14:textId="77777777" w:rsidR="003B0B50" w:rsidRPr="00457397" w:rsidRDefault="003B0B50" w:rsidP="00457397">
      <w:pPr>
        <w:pStyle w:val="subsection"/>
      </w:pPr>
      <w:r w:rsidRPr="00457397">
        <w:tab/>
        <w:t>(2A)</w:t>
      </w:r>
      <w:r w:rsidRPr="00457397">
        <w:tab/>
        <w:t>For the purposes of paragraph (2)(a), a GEMS determination may specify a class of product in any way including, but not limited to, by reference to the following:</w:t>
      </w:r>
    </w:p>
    <w:p w14:paraId="2D3C3822" w14:textId="77777777" w:rsidR="003B0B50" w:rsidRPr="00457397" w:rsidRDefault="003B0B50" w:rsidP="00457397">
      <w:pPr>
        <w:pStyle w:val="paragraph"/>
      </w:pPr>
      <w:r w:rsidRPr="00457397">
        <w:tab/>
        <w:t>(a)</w:t>
      </w:r>
      <w:r w:rsidRPr="00457397">
        <w:tab/>
        <w:t>the function the products perform;</w:t>
      </w:r>
    </w:p>
    <w:p w14:paraId="7A42288B" w14:textId="77777777" w:rsidR="003B0B50" w:rsidRPr="00457397" w:rsidRDefault="003B0B50" w:rsidP="00457397">
      <w:pPr>
        <w:pStyle w:val="paragraph"/>
      </w:pPr>
      <w:r w:rsidRPr="00457397">
        <w:tab/>
        <w:t>(b)</w:t>
      </w:r>
      <w:r w:rsidRPr="00457397">
        <w:tab/>
        <w:t>the materials from which the products are manufactured;</w:t>
      </w:r>
    </w:p>
    <w:p w14:paraId="571A658A" w14:textId="77777777" w:rsidR="003B0B50" w:rsidRPr="00457397" w:rsidRDefault="003B0B50" w:rsidP="00457397">
      <w:pPr>
        <w:pStyle w:val="paragraph"/>
      </w:pPr>
      <w:r w:rsidRPr="00457397">
        <w:tab/>
        <w:t>(c)</w:t>
      </w:r>
      <w:r w:rsidRPr="00457397">
        <w:tab/>
        <w:t>the size or capacity of the products;</w:t>
      </w:r>
    </w:p>
    <w:p w14:paraId="2AB64184" w14:textId="77777777" w:rsidR="003B0B50" w:rsidRPr="00457397" w:rsidRDefault="003B0B50" w:rsidP="00457397">
      <w:pPr>
        <w:pStyle w:val="paragraph"/>
      </w:pPr>
      <w:r w:rsidRPr="00457397">
        <w:tab/>
        <w:t>(d)</w:t>
      </w:r>
      <w:r w:rsidRPr="00457397">
        <w:tab/>
        <w:t>whether the products contain a particular feature or are capable of operating in different modes;</w:t>
      </w:r>
    </w:p>
    <w:p w14:paraId="2CFC2B63" w14:textId="77777777" w:rsidR="003B0B50" w:rsidRPr="00457397" w:rsidRDefault="003B0B50" w:rsidP="00457397">
      <w:pPr>
        <w:pStyle w:val="paragraph"/>
      </w:pPr>
      <w:r w:rsidRPr="00457397">
        <w:tab/>
        <w:t>(e)</w:t>
      </w:r>
      <w:r w:rsidRPr="00457397">
        <w:tab/>
      </w:r>
      <w:bookmarkStart w:id="17" w:name="_Hlk124424699"/>
      <w:r w:rsidRPr="00457397">
        <w:t>the intended or expected end use of the products</w:t>
      </w:r>
      <w:bookmarkEnd w:id="17"/>
      <w:r w:rsidRPr="00457397">
        <w:t>.</w:t>
      </w:r>
    </w:p>
    <w:p w14:paraId="611944E9" w14:textId="77777777" w:rsidR="00B056B7" w:rsidRPr="00457397" w:rsidRDefault="008E64B5" w:rsidP="00457397">
      <w:pPr>
        <w:pStyle w:val="ItemHead"/>
      </w:pPr>
      <w:r w:rsidRPr="00457397">
        <w:t>13</w:t>
      </w:r>
      <w:r w:rsidR="00B056B7" w:rsidRPr="00457397">
        <w:t xml:space="preserve">  After paragraph 26(2)(c)</w:t>
      </w:r>
    </w:p>
    <w:p w14:paraId="21759795" w14:textId="77777777" w:rsidR="00B056B7" w:rsidRPr="00457397" w:rsidRDefault="00B056B7" w:rsidP="00457397">
      <w:pPr>
        <w:pStyle w:val="Item"/>
      </w:pPr>
      <w:r w:rsidRPr="00457397">
        <w:t>Insert:</w:t>
      </w:r>
    </w:p>
    <w:p w14:paraId="3744E90D" w14:textId="77777777" w:rsidR="00B056B7" w:rsidRPr="00457397" w:rsidRDefault="00B056B7" w:rsidP="00457397">
      <w:pPr>
        <w:pStyle w:val="paragraph"/>
      </w:pPr>
      <w:bookmarkStart w:id="18" w:name="_Hlk125984537"/>
      <w:r w:rsidRPr="00457397">
        <w:tab/>
        <w:t>; or (d)</w:t>
      </w:r>
      <w:r w:rsidRPr="00457397">
        <w:tab/>
        <w:t>ensuring that, if the product class is specified by reference to the intended or expected end use of the products, the intended or expected end use is communicated in connection with supplying or offering to supply products in that product class.</w:t>
      </w:r>
      <w:bookmarkEnd w:id="18"/>
    </w:p>
    <w:p w14:paraId="69AD5ADB" w14:textId="77777777" w:rsidR="003B0B50" w:rsidRPr="00457397" w:rsidRDefault="003B0B50" w:rsidP="00457397">
      <w:pPr>
        <w:pStyle w:val="ActHead7"/>
        <w:pageBreakBefore/>
      </w:pPr>
      <w:bookmarkStart w:id="19" w:name="_Toc146284908"/>
      <w:r w:rsidRPr="00B71A83">
        <w:rPr>
          <w:rStyle w:val="CharAmPartNo"/>
        </w:rPr>
        <w:lastRenderedPageBreak/>
        <w:t>Part 5</w:t>
      </w:r>
      <w:r w:rsidRPr="00457397">
        <w:t>—</w:t>
      </w:r>
      <w:r w:rsidR="008537ED" w:rsidRPr="00B71A83">
        <w:rPr>
          <w:rStyle w:val="CharAmPartText"/>
        </w:rPr>
        <w:t>Requirements in GEMS determinations</w:t>
      </w:r>
      <w:r w:rsidR="00DA6751" w:rsidRPr="00B71A83">
        <w:rPr>
          <w:rStyle w:val="CharAmPartText"/>
        </w:rPr>
        <w:t xml:space="preserve"> (other requirements)</w:t>
      </w:r>
      <w:bookmarkEnd w:id="19"/>
    </w:p>
    <w:p w14:paraId="3A837A2C" w14:textId="77777777" w:rsidR="003B0B50" w:rsidRPr="00457397" w:rsidRDefault="003B0B50" w:rsidP="00457397">
      <w:pPr>
        <w:pStyle w:val="ActHead9"/>
      </w:pPr>
      <w:bookmarkStart w:id="20" w:name="_Toc146284909"/>
      <w:r w:rsidRPr="00457397">
        <w:t>Greenhouse and Energy Minimum Standards Act 2012</w:t>
      </w:r>
      <w:bookmarkEnd w:id="20"/>
    </w:p>
    <w:p w14:paraId="60F2B210" w14:textId="77777777" w:rsidR="003B0B50" w:rsidRPr="00457397" w:rsidRDefault="008E64B5" w:rsidP="00457397">
      <w:pPr>
        <w:pStyle w:val="ItemHead"/>
      </w:pPr>
      <w:r w:rsidRPr="00457397">
        <w:t>14</w:t>
      </w:r>
      <w:r w:rsidR="003B0B50" w:rsidRPr="00457397">
        <w:t xml:space="preserve">  Subsection 27(3)</w:t>
      </w:r>
    </w:p>
    <w:p w14:paraId="59A605F9" w14:textId="77777777" w:rsidR="003B0B50" w:rsidRPr="00457397" w:rsidRDefault="003B0B50" w:rsidP="00457397">
      <w:pPr>
        <w:pStyle w:val="Item"/>
      </w:pPr>
      <w:r w:rsidRPr="00457397">
        <w:t>Repeal the subsection, substitute:</w:t>
      </w:r>
    </w:p>
    <w:p w14:paraId="51400C74" w14:textId="77777777" w:rsidR="003B0B50" w:rsidRPr="00457397" w:rsidRDefault="003B0B50" w:rsidP="00457397">
      <w:pPr>
        <w:pStyle w:val="subsection"/>
      </w:pPr>
      <w:r w:rsidRPr="00457397">
        <w:tab/>
        <w:t>(3)</w:t>
      </w:r>
      <w:r w:rsidRPr="00457397">
        <w:tab/>
        <w:t xml:space="preserve">Requirements may be specified in relation to a product class under paragraph (1)(b) (product performance) or (c) (impact of products on environment or human health) </w:t>
      </w:r>
      <w:r w:rsidR="008E39A5" w:rsidRPr="00457397">
        <w:t xml:space="preserve">only </w:t>
      </w:r>
      <w:r w:rsidRPr="00457397">
        <w:t>if:</w:t>
      </w:r>
    </w:p>
    <w:p w14:paraId="212AA6AB" w14:textId="77777777" w:rsidR="003B0B50" w:rsidRPr="00457397" w:rsidRDefault="003B0B50" w:rsidP="00457397">
      <w:pPr>
        <w:pStyle w:val="paragraph"/>
      </w:pPr>
      <w:r w:rsidRPr="00457397">
        <w:tab/>
        <w:t>(a)</w:t>
      </w:r>
      <w:r w:rsidRPr="00457397">
        <w:tab/>
        <w:t>the GEMS determination also specifies GEMS level requirements for the product class; or</w:t>
      </w:r>
    </w:p>
    <w:p w14:paraId="7C48B081" w14:textId="77777777" w:rsidR="003B0B50" w:rsidRPr="00457397" w:rsidRDefault="003B0B50" w:rsidP="00457397">
      <w:pPr>
        <w:pStyle w:val="paragraph"/>
      </w:pPr>
      <w:r w:rsidRPr="00457397">
        <w:tab/>
        <w:t>(b)</w:t>
      </w:r>
      <w:r w:rsidRPr="00457397">
        <w:tab/>
        <w:t>all of the following apply:</w:t>
      </w:r>
    </w:p>
    <w:p w14:paraId="0BA84286" w14:textId="77777777" w:rsidR="003B0B50" w:rsidRPr="00457397" w:rsidRDefault="003B0B50" w:rsidP="00457397">
      <w:pPr>
        <w:pStyle w:val="paragraphsub"/>
      </w:pPr>
      <w:r w:rsidRPr="00457397">
        <w:tab/>
        <w:t>(</w:t>
      </w:r>
      <w:proofErr w:type="spellStart"/>
      <w:r w:rsidRPr="00457397">
        <w:t>i</w:t>
      </w:r>
      <w:proofErr w:type="spellEnd"/>
      <w:r w:rsidRPr="00457397">
        <w:t>)</w:t>
      </w:r>
      <w:r w:rsidRPr="00457397">
        <w:tab/>
        <w:t>the GEMS determination also specifies GEMS labelling requirements for the product class;</w:t>
      </w:r>
    </w:p>
    <w:p w14:paraId="510CB352" w14:textId="77777777" w:rsidR="003B0B50" w:rsidRPr="00457397" w:rsidRDefault="003B0B50" w:rsidP="00457397">
      <w:pPr>
        <w:pStyle w:val="paragraphsub"/>
      </w:pPr>
      <w:r w:rsidRPr="00457397">
        <w:tab/>
        <w:t>(ii)</w:t>
      </w:r>
      <w:r w:rsidRPr="00457397">
        <w:tab/>
        <w:t>the requirements specified under paragraph (1)(b) or (c) enhance the efficacy of the specified GEMS labelling requirements;</w:t>
      </w:r>
    </w:p>
    <w:p w14:paraId="6F4823CF" w14:textId="77777777" w:rsidR="003B0B50" w:rsidRPr="00457397" w:rsidRDefault="003B0B50" w:rsidP="00457397">
      <w:pPr>
        <w:pStyle w:val="paragraphsub"/>
      </w:pPr>
      <w:r w:rsidRPr="00457397">
        <w:tab/>
        <w:t>(iii)</w:t>
      </w:r>
      <w:r w:rsidRPr="00457397">
        <w:tab/>
        <w:t xml:space="preserve">the specified GEMS labelling requirements relate to one or more of the matters specified in any of the paragraphs in </w:t>
      </w:r>
      <w:r w:rsidR="008E64B5" w:rsidRPr="00457397">
        <w:t>subsection (</w:t>
      </w:r>
      <w:r w:rsidRPr="00457397">
        <w:t>2).</w:t>
      </w:r>
    </w:p>
    <w:p w14:paraId="3D929FEE" w14:textId="77777777" w:rsidR="003B0B50" w:rsidRPr="00457397" w:rsidRDefault="008815D6" w:rsidP="00457397">
      <w:pPr>
        <w:pStyle w:val="ActHead7"/>
        <w:pageBreakBefore/>
      </w:pPr>
      <w:bookmarkStart w:id="21" w:name="_Toc146284910"/>
      <w:r w:rsidRPr="00B71A83">
        <w:rPr>
          <w:rStyle w:val="CharAmPartNo"/>
        </w:rPr>
        <w:lastRenderedPageBreak/>
        <w:t>Part 6</w:t>
      </w:r>
      <w:r w:rsidR="003B0B50" w:rsidRPr="00457397">
        <w:t>—</w:t>
      </w:r>
      <w:r w:rsidR="003B0B50" w:rsidRPr="00B71A83">
        <w:rPr>
          <w:rStyle w:val="CharAmPartText"/>
        </w:rPr>
        <w:t>GEMS Regulator</w:t>
      </w:r>
      <w:bookmarkEnd w:id="21"/>
    </w:p>
    <w:p w14:paraId="3D0E3E4F" w14:textId="77777777" w:rsidR="003B0B50" w:rsidRPr="00457397" w:rsidRDefault="003B0B50" w:rsidP="00457397">
      <w:pPr>
        <w:pStyle w:val="ActHead9"/>
      </w:pPr>
      <w:bookmarkStart w:id="22" w:name="_Toc146284911"/>
      <w:r w:rsidRPr="00457397">
        <w:t>Greenhouse and Energy Minimum Standards Act 2012</w:t>
      </w:r>
      <w:bookmarkEnd w:id="22"/>
    </w:p>
    <w:p w14:paraId="66793629" w14:textId="77777777" w:rsidR="00497873" w:rsidRPr="00457397" w:rsidRDefault="008E64B5" w:rsidP="00457397">
      <w:pPr>
        <w:pStyle w:val="ItemHead"/>
      </w:pPr>
      <w:r w:rsidRPr="00457397">
        <w:t>15</w:t>
      </w:r>
      <w:r w:rsidR="00497873" w:rsidRPr="00457397">
        <w:t xml:space="preserve">  Subsections 39(2), 40(2), 43(2), (3) and (4), 46(3) and (4), 47(5) and (6) and 53(1)</w:t>
      </w:r>
    </w:p>
    <w:p w14:paraId="531FBE73" w14:textId="77777777" w:rsidR="00497873" w:rsidRPr="00457397" w:rsidRDefault="00497873" w:rsidP="00457397">
      <w:pPr>
        <w:pStyle w:val="Item"/>
      </w:pPr>
      <w:r w:rsidRPr="00457397">
        <w:t>Omit “he or she”, substitute “the GEMS Regulator”.</w:t>
      </w:r>
    </w:p>
    <w:p w14:paraId="03DA2FC7" w14:textId="77777777" w:rsidR="003B0B50" w:rsidRPr="00457397" w:rsidRDefault="008E64B5" w:rsidP="00457397">
      <w:pPr>
        <w:pStyle w:val="ItemHead"/>
      </w:pPr>
      <w:r w:rsidRPr="00457397">
        <w:t>16</w:t>
      </w:r>
      <w:r w:rsidR="003B0B50" w:rsidRPr="00457397">
        <w:t xml:space="preserve">  Section 69</w:t>
      </w:r>
    </w:p>
    <w:p w14:paraId="64678B48" w14:textId="77777777" w:rsidR="003B0B50" w:rsidRPr="00457397" w:rsidRDefault="003B0B50" w:rsidP="00457397">
      <w:pPr>
        <w:pStyle w:val="Item"/>
      </w:pPr>
      <w:r w:rsidRPr="00457397">
        <w:t>After “an SES employee”, insert “, or acting SES employee,”.</w:t>
      </w:r>
    </w:p>
    <w:p w14:paraId="73572684" w14:textId="77777777" w:rsidR="003B0B50" w:rsidRPr="00457397" w:rsidRDefault="008E64B5" w:rsidP="00457397">
      <w:pPr>
        <w:pStyle w:val="ItemHead"/>
      </w:pPr>
      <w:r w:rsidRPr="00457397">
        <w:t>17</w:t>
      </w:r>
      <w:r w:rsidR="003B0B50" w:rsidRPr="00457397">
        <w:t xml:space="preserve">  At the end of subsection 70(2)</w:t>
      </w:r>
    </w:p>
    <w:p w14:paraId="716D7C3A" w14:textId="77777777" w:rsidR="003B0B50" w:rsidRPr="00457397" w:rsidRDefault="003B0B50" w:rsidP="00457397">
      <w:pPr>
        <w:pStyle w:val="Item"/>
      </w:pPr>
      <w:r w:rsidRPr="00457397">
        <w:t>Add “or acting SES employee”.</w:t>
      </w:r>
    </w:p>
    <w:p w14:paraId="1043BB07" w14:textId="77777777" w:rsidR="003B0B50" w:rsidRPr="00457397" w:rsidRDefault="008E64B5" w:rsidP="00457397">
      <w:pPr>
        <w:pStyle w:val="ItemHead"/>
      </w:pPr>
      <w:r w:rsidRPr="00457397">
        <w:t>18</w:t>
      </w:r>
      <w:r w:rsidR="003B0B50" w:rsidRPr="00457397">
        <w:t xml:space="preserve">  Subsection 70(3)</w:t>
      </w:r>
    </w:p>
    <w:p w14:paraId="116ABC0F" w14:textId="77777777" w:rsidR="003B0B50" w:rsidRPr="00457397" w:rsidRDefault="003B0B50" w:rsidP="00457397">
      <w:pPr>
        <w:pStyle w:val="Item"/>
      </w:pPr>
      <w:r w:rsidRPr="00457397">
        <w:t>After “SES employee”, insert “or acting SES employee”.</w:t>
      </w:r>
    </w:p>
    <w:p w14:paraId="46BD4DFC" w14:textId="77777777" w:rsidR="003B0B50" w:rsidRPr="00457397" w:rsidRDefault="008E64B5" w:rsidP="00457397">
      <w:pPr>
        <w:pStyle w:val="ItemHead"/>
      </w:pPr>
      <w:r w:rsidRPr="00457397">
        <w:t>19</w:t>
      </w:r>
      <w:r w:rsidR="003B0B50" w:rsidRPr="00457397">
        <w:t xml:space="preserve">  Section 76 (note)</w:t>
      </w:r>
    </w:p>
    <w:p w14:paraId="6765A1C6" w14:textId="77777777" w:rsidR="008D3E94" w:rsidRPr="00457397" w:rsidRDefault="003B0B50" w:rsidP="00457397">
      <w:pPr>
        <w:pStyle w:val="Item"/>
      </w:pPr>
      <w:r w:rsidRPr="00457397">
        <w:t>After “SES employee”, insert “, or acting SES employee,”.</w:t>
      </w:r>
    </w:p>
    <w:p w14:paraId="40FC11FB" w14:textId="77777777" w:rsidR="00497873" w:rsidRPr="00457397" w:rsidRDefault="008E64B5" w:rsidP="00457397">
      <w:pPr>
        <w:pStyle w:val="ItemHead"/>
      </w:pPr>
      <w:r w:rsidRPr="00457397">
        <w:t>20</w:t>
      </w:r>
      <w:r w:rsidR="00497873" w:rsidRPr="00457397">
        <w:t xml:space="preserve">  Sections 77, 78 and 80</w:t>
      </w:r>
    </w:p>
    <w:p w14:paraId="214A96FD" w14:textId="77777777" w:rsidR="00497873" w:rsidRPr="00457397" w:rsidRDefault="00497873" w:rsidP="00457397">
      <w:pPr>
        <w:pStyle w:val="Item"/>
      </w:pPr>
      <w:r w:rsidRPr="00457397">
        <w:t>Omit “his or her” (wherever occurring), substitute “the GEMS Regulator’s”.</w:t>
      </w:r>
    </w:p>
    <w:p w14:paraId="458F225B" w14:textId="77777777" w:rsidR="00497873" w:rsidRPr="00457397" w:rsidRDefault="008E64B5" w:rsidP="00457397">
      <w:pPr>
        <w:pStyle w:val="ItemHead"/>
      </w:pPr>
      <w:r w:rsidRPr="00457397">
        <w:t>21</w:t>
      </w:r>
      <w:r w:rsidR="00497873" w:rsidRPr="00457397">
        <w:t xml:space="preserve">  Subsections 87(8), 88(7) and 130(4)</w:t>
      </w:r>
    </w:p>
    <w:p w14:paraId="1F25CA9D" w14:textId="77777777" w:rsidR="00497873" w:rsidRPr="00457397" w:rsidRDefault="00497873" w:rsidP="00457397">
      <w:pPr>
        <w:pStyle w:val="Item"/>
      </w:pPr>
      <w:r w:rsidRPr="00457397">
        <w:t>Omit “his or her”, substitute “the GEMS Regulator’s”.</w:t>
      </w:r>
    </w:p>
    <w:p w14:paraId="07DA9C71" w14:textId="77777777" w:rsidR="00497873" w:rsidRPr="00457397" w:rsidRDefault="008E64B5" w:rsidP="00457397">
      <w:pPr>
        <w:pStyle w:val="ItemHead"/>
      </w:pPr>
      <w:r w:rsidRPr="00457397">
        <w:t>22</w:t>
      </w:r>
      <w:r w:rsidR="00497873" w:rsidRPr="00457397">
        <w:t xml:space="preserve">  Subsection 162(1)</w:t>
      </w:r>
    </w:p>
    <w:p w14:paraId="68B03F64" w14:textId="77777777" w:rsidR="00497873" w:rsidRPr="00457397" w:rsidRDefault="00497873" w:rsidP="00457397">
      <w:pPr>
        <w:pStyle w:val="Item"/>
      </w:pPr>
      <w:r w:rsidRPr="00457397">
        <w:t>Omit “he or she”, substitute “the GEMS Regulator”.</w:t>
      </w:r>
    </w:p>
    <w:p w14:paraId="4C7CBCD7" w14:textId="77777777" w:rsidR="00B056B7" w:rsidRPr="00457397" w:rsidRDefault="000F6076" w:rsidP="00457397">
      <w:pPr>
        <w:pStyle w:val="ActHead7"/>
        <w:pageBreakBefore/>
      </w:pPr>
      <w:bookmarkStart w:id="23" w:name="_Toc146284912"/>
      <w:r w:rsidRPr="00B71A83">
        <w:rPr>
          <w:rStyle w:val="CharAmPartNo"/>
        </w:rPr>
        <w:lastRenderedPageBreak/>
        <w:t>Part 7</w:t>
      </w:r>
      <w:r w:rsidR="00B056B7" w:rsidRPr="00457397">
        <w:rPr>
          <w:rFonts w:cs="Arial"/>
        </w:rPr>
        <w:t>—</w:t>
      </w:r>
      <w:r w:rsidR="00B056B7" w:rsidRPr="00B71A83">
        <w:rPr>
          <w:rStyle w:val="CharAmPartText"/>
        </w:rPr>
        <w:t>Grandfathering of compliant products</w:t>
      </w:r>
      <w:bookmarkEnd w:id="23"/>
    </w:p>
    <w:p w14:paraId="686551F4" w14:textId="77777777" w:rsidR="00B056B7" w:rsidRPr="00457397" w:rsidRDefault="00B056B7" w:rsidP="00457397">
      <w:pPr>
        <w:pStyle w:val="ActHead9"/>
      </w:pPr>
      <w:bookmarkStart w:id="24" w:name="_Toc146284913"/>
      <w:r w:rsidRPr="00457397">
        <w:t>Greenhouse and Energy Minimum Standards Act 2012</w:t>
      </w:r>
      <w:bookmarkEnd w:id="24"/>
    </w:p>
    <w:p w14:paraId="1205F348" w14:textId="77777777" w:rsidR="00B056B7" w:rsidRPr="00457397" w:rsidRDefault="008E64B5" w:rsidP="00457397">
      <w:pPr>
        <w:pStyle w:val="ItemHead"/>
      </w:pPr>
      <w:r w:rsidRPr="00457397">
        <w:t>23</w:t>
      </w:r>
      <w:r w:rsidR="00B056B7" w:rsidRPr="00457397">
        <w:t xml:space="preserve">  At the end of subsection 17(2)</w:t>
      </w:r>
    </w:p>
    <w:p w14:paraId="0952CB61" w14:textId="77777777" w:rsidR="00B056B7" w:rsidRPr="00457397" w:rsidRDefault="00B056B7" w:rsidP="00457397">
      <w:pPr>
        <w:pStyle w:val="Item"/>
      </w:pPr>
      <w:r w:rsidRPr="00457397">
        <w:t>Add:</w:t>
      </w:r>
    </w:p>
    <w:p w14:paraId="485100E2" w14:textId="77777777" w:rsidR="00B056B7" w:rsidRPr="00457397" w:rsidRDefault="00B056B7" w:rsidP="00457397">
      <w:pPr>
        <w:pStyle w:val="paragraph"/>
      </w:pPr>
      <w:bookmarkStart w:id="25" w:name="_Hlk127373462"/>
      <w:r w:rsidRPr="00457397">
        <w:tab/>
        <w:t>; or (c)</w:t>
      </w:r>
      <w:r w:rsidRPr="00457397">
        <w:tab/>
        <w:t>the following conditions are satisfied:</w:t>
      </w:r>
    </w:p>
    <w:p w14:paraId="669BC43A" w14:textId="77777777" w:rsidR="00B056B7" w:rsidRPr="00457397" w:rsidRDefault="00B056B7" w:rsidP="00457397">
      <w:pPr>
        <w:pStyle w:val="paragraphsub"/>
      </w:pPr>
      <w:r w:rsidRPr="00457397">
        <w:tab/>
        <w:t>(</w:t>
      </w:r>
      <w:proofErr w:type="spellStart"/>
      <w:r w:rsidRPr="00457397">
        <w:t>i</w:t>
      </w:r>
      <w:proofErr w:type="spellEnd"/>
      <w:r w:rsidRPr="00457397">
        <w:t>)</w:t>
      </w:r>
      <w:r w:rsidRPr="00457397">
        <w:tab/>
        <w:t xml:space="preserve">the product is imported into, or the product’s last process of manufacture is performed in, Australia at a time (the </w:t>
      </w:r>
      <w:r w:rsidRPr="00457397">
        <w:rPr>
          <w:b/>
          <w:i/>
        </w:rPr>
        <w:t>earlier time</w:t>
      </w:r>
      <w:r w:rsidRPr="00457397">
        <w:t>) before the GEMS determination comes into force;</w:t>
      </w:r>
    </w:p>
    <w:p w14:paraId="00C3D504" w14:textId="77777777" w:rsidR="00B056B7" w:rsidRPr="00457397" w:rsidRDefault="00B056B7" w:rsidP="00457397">
      <w:pPr>
        <w:pStyle w:val="paragraphsub"/>
      </w:pPr>
      <w:r w:rsidRPr="00457397">
        <w:tab/>
        <w:t>(ii)</w:t>
      </w:r>
      <w:r w:rsidRPr="00457397">
        <w:tab/>
        <w:t>if there is a limited grandfathering period under the GEMS determination for the product class (see section 31)—the supply or offer occurs before the end of that period;</w:t>
      </w:r>
    </w:p>
    <w:p w14:paraId="73CFBC2A" w14:textId="77777777" w:rsidR="00B056B7" w:rsidRPr="00457397" w:rsidRDefault="00B056B7" w:rsidP="00457397">
      <w:pPr>
        <w:pStyle w:val="paragraphsub"/>
      </w:pPr>
      <w:r w:rsidRPr="00457397">
        <w:tab/>
        <w:t>(iii)</w:t>
      </w:r>
      <w:r w:rsidRPr="00457397">
        <w:tab/>
        <w:t>all transitional GEMS labelling requirements of the GEMS determination are complied with in supplying or offering to supply the product;</w:t>
      </w:r>
    </w:p>
    <w:p w14:paraId="03727C91" w14:textId="77777777" w:rsidR="00B056B7" w:rsidRPr="00457397" w:rsidRDefault="00B056B7" w:rsidP="00457397">
      <w:pPr>
        <w:pStyle w:val="paragraphsub"/>
      </w:pPr>
      <w:r w:rsidRPr="00457397">
        <w:tab/>
        <w:t>(iv)</w:t>
      </w:r>
      <w:r w:rsidRPr="00457397">
        <w:tab/>
        <w:t>the product currently complies with any pre</w:t>
      </w:r>
      <w:r w:rsidR="00457397">
        <w:noBreakHyphen/>
      </w:r>
      <w:r w:rsidRPr="00457397">
        <w:t>existing GEMS determination that was in force at the earlier time;</w:t>
      </w:r>
    </w:p>
    <w:p w14:paraId="5A217581" w14:textId="77777777" w:rsidR="00B056B7" w:rsidRPr="00457397" w:rsidRDefault="00B056B7" w:rsidP="00457397">
      <w:pPr>
        <w:pStyle w:val="paragraphsub"/>
      </w:pPr>
      <w:r w:rsidRPr="00457397">
        <w:tab/>
        <w:t>(v)</w:t>
      </w:r>
      <w:r w:rsidRPr="00457397">
        <w:tab/>
        <w:t>if there was no such pre</w:t>
      </w:r>
      <w:r w:rsidR="00457397">
        <w:noBreakHyphen/>
      </w:r>
      <w:r w:rsidRPr="00457397">
        <w:t>existing GEMS determination—the supply of the product (or an offer to supply the product) in a State or Territory at the earlier time would not have contravened a law of the State or Territory relating to energy use by products, or greenhouse gases resulting from operating products.</w:t>
      </w:r>
    </w:p>
    <w:bookmarkEnd w:id="25"/>
    <w:p w14:paraId="50A5C3DB" w14:textId="77777777" w:rsidR="00B056B7" w:rsidRPr="00457397" w:rsidRDefault="008E64B5" w:rsidP="00457397">
      <w:pPr>
        <w:pStyle w:val="ItemHead"/>
      </w:pPr>
      <w:r w:rsidRPr="00457397">
        <w:t>24</w:t>
      </w:r>
      <w:r w:rsidR="00B056B7" w:rsidRPr="00457397">
        <w:t xml:space="preserve">  Subsection 17(7)</w:t>
      </w:r>
    </w:p>
    <w:p w14:paraId="02579B47" w14:textId="77777777" w:rsidR="00B056B7" w:rsidRPr="00457397" w:rsidRDefault="00B056B7" w:rsidP="00457397">
      <w:pPr>
        <w:pStyle w:val="Item"/>
      </w:pPr>
      <w:r w:rsidRPr="00457397">
        <w:t>Omit “a matter in paragraph (2)(b)”, substitute “</w:t>
      </w:r>
      <w:bookmarkStart w:id="26" w:name="_Hlk127373463"/>
      <w:r w:rsidRPr="00457397">
        <w:t>the matters in paragraphs (2)(b) and (c)</w:t>
      </w:r>
      <w:bookmarkEnd w:id="26"/>
      <w:r w:rsidRPr="00457397">
        <w:t>”.</w:t>
      </w:r>
    </w:p>
    <w:p w14:paraId="75ECA9CA" w14:textId="77777777" w:rsidR="00B056B7" w:rsidRPr="00457397" w:rsidRDefault="008E64B5" w:rsidP="00457397">
      <w:pPr>
        <w:pStyle w:val="ItemHead"/>
      </w:pPr>
      <w:r w:rsidRPr="00457397">
        <w:t>25</w:t>
      </w:r>
      <w:r w:rsidR="00B056B7" w:rsidRPr="00457397">
        <w:t xml:space="preserve">  Paragraph 17(8)(b)</w:t>
      </w:r>
    </w:p>
    <w:p w14:paraId="133A90AA" w14:textId="77777777" w:rsidR="00B056B7" w:rsidRPr="00457397" w:rsidRDefault="00B056B7" w:rsidP="00457397">
      <w:pPr>
        <w:pStyle w:val="Item"/>
      </w:pPr>
      <w:r w:rsidRPr="00457397">
        <w:t>Omit “a matter in paragraph (2)(b)”, substitute “</w:t>
      </w:r>
      <w:bookmarkStart w:id="27" w:name="_Hlk127373464"/>
      <w:r w:rsidRPr="00457397">
        <w:t>the matters in paragraphs (2)(b) and (c)</w:t>
      </w:r>
      <w:bookmarkEnd w:id="27"/>
      <w:r w:rsidRPr="00457397">
        <w:t>”.</w:t>
      </w:r>
    </w:p>
    <w:p w14:paraId="48CC91EA" w14:textId="77777777" w:rsidR="00B056B7" w:rsidRPr="00457397" w:rsidRDefault="008E64B5" w:rsidP="00457397">
      <w:pPr>
        <w:pStyle w:val="ItemHead"/>
      </w:pPr>
      <w:r w:rsidRPr="00457397">
        <w:lastRenderedPageBreak/>
        <w:t>26</w:t>
      </w:r>
      <w:r w:rsidR="00B056B7" w:rsidRPr="00457397">
        <w:t xml:space="preserve">  At the end of subsection 19(2)</w:t>
      </w:r>
    </w:p>
    <w:p w14:paraId="6B0694C6" w14:textId="77777777" w:rsidR="00B056B7" w:rsidRPr="00457397" w:rsidRDefault="00B056B7" w:rsidP="00457397">
      <w:pPr>
        <w:pStyle w:val="Item"/>
      </w:pPr>
      <w:r w:rsidRPr="00457397">
        <w:t>Add:</w:t>
      </w:r>
    </w:p>
    <w:p w14:paraId="768656CE" w14:textId="77777777" w:rsidR="00B056B7" w:rsidRPr="00457397" w:rsidRDefault="00B056B7" w:rsidP="00457397">
      <w:pPr>
        <w:pStyle w:val="paragraph"/>
      </w:pPr>
      <w:bookmarkStart w:id="28" w:name="_Hlk127373492"/>
      <w:r w:rsidRPr="00457397">
        <w:tab/>
        <w:t>; or (d)</w:t>
      </w:r>
      <w:r w:rsidRPr="00457397">
        <w:tab/>
        <w:t>the following conditions are satisfied:</w:t>
      </w:r>
    </w:p>
    <w:p w14:paraId="1ABD05D0" w14:textId="77777777" w:rsidR="00B056B7" w:rsidRPr="00457397" w:rsidRDefault="00B056B7" w:rsidP="00457397">
      <w:pPr>
        <w:pStyle w:val="paragraphsub"/>
      </w:pPr>
      <w:r w:rsidRPr="00457397">
        <w:tab/>
        <w:t>(</w:t>
      </w:r>
      <w:proofErr w:type="spellStart"/>
      <w:r w:rsidRPr="00457397">
        <w:t>i</w:t>
      </w:r>
      <w:proofErr w:type="spellEnd"/>
      <w:r w:rsidRPr="00457397">
        <w:t>)</w:t>
      </w:r>
      <w:r w:rsidRPr="00457397">
        <w:tab/>
        <w:t xml:space="preserve">the product is imported into, or the product’s last process of manufacture is performed in, Australia at a time (the </w:t>
      </w:r>
      <w:r w:rsidRPr="00457397">
        <w:rPr>
          <w:b/>
          <w:i/>
        </w:rPr>
        <w:t>earlier time</w:t>
      </w:r>
      <w:r w:rsidRPr="00457397">
        <w:t>) before the GEMS determination comes into force;</w:t>
      </w:r>
    </w:p>
    <w:p w14:paraId="6094C278" w14:textId="77777777" w:rsidR="00B056B7" w:rsidRPr="00457397" w:rsidRDefault="00B056B7" w:rsidP="00457397">
      <w:pPr>
        <w:pStyle w:val="paragraphsub"/>
      </w:pPr>
      <w:r w:rsidRPr="00457397">
        <w:tab/>
        <w:t>(ii)</w:t>
      </w:r>
      <w:r w:rsidRPr="00457397">
        <w:tab/>
        <w:t>if there is a limited grandfathering period under the GEMS determination for the product class (see section 31)—the use of the product occurs before the end of that period;</w:t>
      </w:r>
    </w:p>
    <w:p w14:paraId="45F5617E" w14:textId="77777777" w:rsidR="00B056B7" w:rsidRPr="00457397" w:rsidRDefault="00B056B7" w:rsidP="00457397">
      <w:pPr>
        <w:pStyle w:val="paragraphsub"/>
      </w:pPr>
      <w:r w:rsidRPr="00457397">
        <w:tab/>
        <w:t>(iii)</w:t>
      </w:r>
      <w:r w:rsidRPr="00457397">
        <w:tab/>
        <w:t>the product currently complies with any pre</w:t>
      </w:r>
      <w:r w:rsidR="00457397">
        <w:noBreakHyphen/>
      </w:r>
      <w:r w:rsidRPr="00457397">
        <w:t>existing GEMS determination that was in force at the earlier time;</w:t>
      </w:r>
    </w:p>
    <w:p w14:paraId="71A9E7D3" w14:textId="77777777" w:rsidR="00B056B7" w:rsidRPr="00457397" w:rsidRDefault="00B056B7" w:rsidP="00457397">
      <w:pPr>
        <w:pStyle w:val="paragraphsub"/>
      </w:pPr>
      <w:r w:rsidRPr="00457397">
        <w:tab/>
        <w:t>(iv)</w:t>
      </w:r>
      <w:r w:rsidRPr="00457397">
        <w:tab/>
        <w:t>if there was no such pre</w:t>
      </w:r>
      <w:r w:rsidR="00457397">
        <w:noBreakHyphen/>
      </w:r>
      <w:r w:rsidRPr="00457397">
        <w:t>existing GEMS determination—the use of the product for a commercial purpose in a State or Territory at the earlier time would not have contravened a law of the State or Territory relating to energy use by products, or greenhouse gases resulting from operating products.</w:t>
      </w:r>
    </w:p>
    <w:bookmarkEnd w:id="28"/>
    <w:p w14:paraId="1E2F8DAE" w14:textId="77777777" w:rsidR="00B056B7" w:rsidRPr="00457397" w:rsidRDefault="008E64B5" w:rsidP="00457397">
      <w:pPr>
        <w:pStyle w:val="ItemHead"/>
      </w:pPr>
      <w:r w:rsidRPr="00457397">
        <w:t>27</w:t>
      </w:r>
      <w:r w:rsidR="00B056B7" w:rsidRPr="00457397">
        <w:t xml:space="preserve">  Subsection 19(7)</w:t>
      </w:r>
    </w:p>
    <w:p w14:paraId="215B01C9" w14:textId="77777777" w:rsidR="00B056B7" w:rsidRPr="00457397" w:rsidRDefault="00B056B7" w:rsidP="00457397">
      <w:pPr>
        <w:pStyle w:val="Item"/>
      </w:pPr>
      <w:r w:rsidRPr="00457397">
        <w:t>Omit “a matter in paragraph (2)(c)”, substitute “</w:t>
      </w:r>
      <w:bookmarkStart w:id="29" w:name="_Hlk127373493"/>
      <w:r w:rsidRPr="00457397">
        <w:t>the matters in paragraphs (2)(c) and (d)</w:t>
      </w:r>
      <w:bookmarkEnd w:id="29"/>
      <w:r w:rsidRPr="00457397">
        <w:t>”.</w:t>
      </w:r>
    </w:p>
    <w:p w14:paraId="3B6050FD" w14:textId="77777777" w:rsidR="00B056B7" w:rsidRPr="00457397" w:rsidRDefault="008E64B5" w:rsidP="00457397">
      <w:pPr>
        <w:pStyle w:val="ItemHead"/>
      </w:pPr>
      <w:r w:rsidRPr="00457397">
        <w:t>28</w:t>
      </w:r>
      <w:r w:rsidR="00B056B7" w:rsidRPr="00457397">
        <w:t xml:space="preserve">  Paragraph 19(8)(b)</w:t>
      </w:r>
    </w:p>
    <w:p w14:paraId="790FD2FF" w14:textId="77777777" w:rsidR="00B056B7" w:rsidRPr="00457397" w:rsidRDefault="00B056B7" w:rsidP="00457397">
      <w:pPr>
        <w:pStyle w:val="Item"/>
      </w:pPr>
      <w:r w:rsidRPr="00457397">
        <w:t>Omit “a matter in paragraph (2)(c)”, substitute “</w:t>
      </w:r>
      <w:bookmarkStart w:id="30" w:name="_Hlk127373494"/>
      <w:r w:rsidRPr="00457397">
        <w:t>the matters in paragraphs (2)(c) and (d)</w:t>
      </w:r>
      <w:bookmarkEnd w:id="30"/>
      <w:r w:rsidRPr="00457397">
        <w:t>”.</w:t>
      </w:r>
    </w:p>
    <w:p w14:paraId="6F1E7FB6" w14:textId="77777777" w:rsidR="00A4395B" w:rsidRPr="00457397" w:rsidRDefault="00A4395B" w:rsidP="00457397">
      <w:pPr>
        <w:pStyle w:val="ActHead7"/>
        <w:pageBreakBefore/>
      </w:pPr>
      <w:bookmarkStart w:id="31" w:name="_Toc146284914"/>
      <w:r w:rsidRPr="00B71A83">
        <w:rPr>
          <w:rStyle w:val="CharAmPartNo"/>
        </w:rPr>
        <w:lastRenderedPageBreak/>
        <w:t>Part 8</w:t>
      </w:r>
      <w:r w:rsidRPr="00457397">
        <w:t>—</w:t>
      </w:r>
      <w:r w:rsidRPr="00B71A83">
        <w:rPr>
          <w:rStyle w:val="CharAmPartText"/>
        </w:rPr>
        <w:t>Extension of time to pay fees</w:t>
      </w:r>
      <w:bookmarkEnd w:id="31"/>
    </w:p>
    <w:p w14:paraId="00166BB9" w14:textId="77777777" w:rsidR="00A4395B" w:rsidRPr="00457397" w:rsidRDefault="00A4395B" w:rsidP="00457397">
      <w:pPr>
        <w:pStyle w:val="ActHead9"/>
      </w:pPr>
      <w:bookmarkStart w:id="32" w:name="_Toc146284915"/>
      <w:r w:rsidRPr="00457397">
        <w:t>Greenhouse and Energy Minimum Standards Act 2012</w:t>
      </w:r>
      <w:bookmarkEnd w:id="32"/>
    </w:p>
    <w:p w14:paraId="772F3C65" w14:textId="77777777" w:rsidR="00A4395B" w:rsidRPr="00457397" w:rsidRDefault="008E64B5" w:rsidP="00457397">
      <w:pPr>
        <w:pStyle w:val="ItemHead"/>
      </w:pPr>
      <w:r w:rsidRPr="00457397">
        <w:t>29</w:t>
      </w:r>
      <w:r w:rsidR="00A4395B" w:rsidRPr="00457397">
        <w:t xml:space="preserve">  Before paragraph 49(a)</w:t>
      </w:r>
    </w:p>
    <w:p w14:paraId="6A2CE4A1" w14:textId="77777777" w:rsidR="00A4395B" w:rsidRPr="00457397" w:rsidRDefault="00A4395B" w:rsidP="00457397">
      <w:pPr>
        <w:pStyle w:val="Item"/>
      </w:pPr>
      <w:r w:rsidRPr="00457397">
        <w:t>Insert:</w:t>
      </w:r>
    </w:p>
    <w:p w14:paraId="574BD85E" w14:textId="77777777" w:rsidR="00A4395B" w:rsidRPr="00457397" w:rsidRDefault="00A4395B" w:rsidP="00457397">
      <w:pPr>
        <w:pStyle w:val="paragraph"/>
      </w:pPr>
      <w:r w:rsidRPr="00457397">
        <w:tab/>
        <w:t>(aa)</w:t>
      </w:r>
      <w:r w:rsidRPr="00457397">
        <w:tab/>
        <w:t xml:space="preserve">an amount </w:t>
      </w:r>
      <w:bookmarkStart w:id="33" w:name="_Hlk127959090"/>
      <w:r w:rsidRPr="00457397">
        <w:t>payable under this Act in relation to the application for the registration is not paid</w:t>
      </w:r>
      <w:bookmarkEnd w:id="33"/>
      <w:r w:rsidRPr="00457397">
        <w:t>; or</w:t>
      </w:r>
    </w:p>
    <w:p w14:paraId="13B86CDC" w14:textId="77777777" w:rsidR="00A4395B" w:rsidRPr="00457397" w:rsidRDefault="008E64B5" w:rsidP="00457397">
      <w:pPr>
        <w:pStyle w:val="ItemHead"/>
      </w:pPr>
      <w:r w:rsidRPr="00457397">
        <w:t>30</w:t>
      </w:r>
      <w:r w:rsidR="00A4395B" w:rsidRPr="00457397">
        <w:t xml:space="preserve">  Subsection 54(1)</w:t>
      </w:r>
    </w:p>
    <w:p w14:paraId="2534FE2E" w14:textId="77777777" w:rsidR="00A4395B" w:rsidRPr="00457397" w:rsidRDefault="00A4395B" w:rsidP="00457397">
      <w:pPr>
        <w:pStyle w:val="Item"/>
      </w:pPr>
      <w:r w:rsidRPr="00457397">
        <w:t>Omit “the GEMS Regulator is satisfied that”.</w:t>
      </w:r>
    </w:p>
    <w:p w14:paraId="7D07DE68" w14:textId="77777777" w:rsidR="00A4395B" w:rsidRPr="00457397" w:rsidRDefault="008E64B5" w:rsidP="00457397">
      <w:pPr>
        <w:pStyle w:val="ItemHead"/>
      </w:pPr>
      <w:r w:rsidRPr="00457397">
        <w:t>31</w:t>
      </w:r>
      <w:r w:rsidR="00A4395B" w:rsidRPr="00457397">
        <w:t xml:space="preserve">  Before paragraph 54(1)(a)</w:t>
      </w:r>
    </w:p>
    <w:p w14:paraId="31EC48B9" w14:textId="77777777" w:rsidR="00A4395B" w:rsidRPr="00457397" w:rsidRDefault="00A4395B" w:rsidP="00457397">
      <w:pPr>
        <w:pStyle w:val="Item"/>
      </w:pPr>
      <w:r w:rsidRPr="00457397">
        <w:t>Insert:</w:t>
      </w:r>
    </w:p>
    <w:p w14:paraId="50AEAE4F" w14:textId="77777777" w:rsidR="00A4395B" w:rsidRPr="00457397" w:rsidRDefault="00A4395B" w:rsidP="00457397">
      <w:pPr>
        <w:pStyle w:val="paragraph"/>
      </w:pPr>
      <w:r w:rsidRPr="00457397">
        <w:tab/>
        <w:t>(aa)</w:t>
      </w:r>
      <w:r w:rsidRPr="00457397">
        <w:tab/>
        <w:t>an amount payable under this Act in relation to the application for the registration is not paid; or</w:t>
      </w:r>
    </w:p>
    <w:p w14:paraId="5861E304" w14:textId="77777777" w:rsidR="00A4395B" w:rsidRPr="00457397" w:rsidRDefault="008E64B5" w:rsidP="00457397">
      <w:pPr>
        <w:pStyle w:val="ItemHead"/>
      </w:pPr>
      <w:r w:rsidRPr="00457397">
        <w:t>32</w:t>
      </w:r>
      <w:r w:rsidR="00A4395B" w:rsidRPr="00457397">
        <w:t xml:space="preserve">  Paragraph 54(1)(a)</w:t>
      </w:r>
    </w:p>
    <w:p w14:paraId="3E4EF3E2" w14:textId="77777777" w:rsidR="00A4395B" w:rsidRPr="00457397" w:rsidRDefault="00A4395B" w:rsidP="00457397">
      <w:pPr>
        <w:pStyle w:val="Item"/>
      </w:pPr>
      <w:r w:rsidRPr="00457397">
        <w:t>Before “the model does”, insert “the GEMS Regulator is satisfied that”.</w:t>
      </w:r>
    </w:p>
    <w:p w14:paraId="75EF005C" w14:textId="77777777" w:rsidR="00A4395B" w:rsidRPr="00457397" w:rsidRDefault="008E64B5" w:rsidP="00457397">
      <w:pPr>
        <w:pStyle w:val="ItemHead"/>
      </w:pPr>
      <w:r w:rsidRPr="00457397">
        <w:t>33</w:t>
      </w:r>
      <w:r w:rsidR="00A4395B" w:rsidRPr="00457397">
        <w:t xml:space="preserve">  Paragraph 54(1)(b)</w:t>
      </w:r>
    </w:p>
    <w:p w14:paraId="6CEDD2C3" w14:textId="77777777" w:rsidR="00A4395B" w:rsidRPr="00457397" w:rsidRDefault="00A4395B" w:rsidP="00457397">
      <w:pPr>
        <w:pStyle w:val="Item"/>
      </w:pPr>
      <w:r w:rsidRPr="00457397">
        <w:t>Before “the registrant”, insert “the GEMS Regulator is satisfied that”.</w:t>
      </w:r>
    </w:p>
    <w:p w14:paraId="7ABB8117" w14:textId="77777777" w:rsidR="00A4395B" w:rsidRPr="00457397" w:rsidRDefault="008E64B5" w:rsidP="00457397">
      <w:pPr>
        <w:pStyle w:val="ItemHead"/>
      </w:pPr>
      <w:r w:rsidRPr="00457397">
        <w:t>34</w:t>
      </w:r>
      <w:r w:rsidR="00A4395B" w:rsidRPr="00457397">
        <w:t xml:space="preserve">  Paragraph 54(1)(c)</w:t>
      </w:r>
    </w:p>
    <w:p w14:paraId="0654521C" w14:textId="77777777" w:rsidR="00A4395B" w:rsidRPr="00457397" w:rsidRDefault="00A4395B" w:rsidP="00457397">
      <w:pPr>
        <w:pStyle w:val="Item"/>
      </w:pPr>
      <w:r w:rsidRPr="00457397">
        <w:t>Before “any of”, insert “the GEMS Regulator is satisfied that”.</w:t>
      </w:r>
    </w:p>
    <w:p w14:paraId="6BDEAE4C" w14:textId="77777777" w:rsidR="00A4395B" w:rsidRPr="00457397" w:rsidRDefault="008E64B5" w:rsidP="00457397">
      <w:pPr>
        <w:pStyle w:val="ItemHead"/>
      </w:pPr>
      <w:r w:rsidRPr="00457397">
        <w:t>35</w:t>
      </w:r>
      <w:r w:rsidR="00A4395B" w:rsidRPr="00457397">
        <w:t xml:space="preserve">  Paragraph 54(1)(d)</w:t>
      </w:r>
    </w:p>
    <w:p w14:paraId="58D1874E" w14:textId="77777777" w:rsidR="00A4395B" w:rsidRPr="00457397" w:rsidRDefault="00A4395B" w:rsidP="00457397">
      <w:pPr>
        <w:pStyle w:val="Item"/>
      </w:pPr>
      <w:r w:rsidRPr="00457397">
        <w:t>Before “changes”, insert “the GEMS Regulator is satisfied that”.</w:t>
      </w:r>
    </w:p>
    <w:p w14:paraId="7940922D" w14:textId="77777777" w:rsidR="00A4395B" w:rsidRPr="00457397" w:rsidRDefault="008E64B5" w:rsidP="00457397">
      <w:pPr>
        <w:pStyle w:val="ItemHead"/>
      </w:pPr>
      <w:r w:rsidRPr="00457397">
        <w:t>36</w:t>
      </w:r>
      <w:r w:rsidR="00A4395B" w:rsidRPr="00457397">
        <w:t xml:space="preserve">  Paragraph 54(1)(e)</w:t>
      </w:r>
    </w:p>
    <w:p w14:paraId="3D34B631" w14:textId="77777777" w:rsidR="00A4395B" w:rsidRPr="00457397" w:rsidRDefault="00A4395B" w:rsidP="00457397">
      <w:pPr>
        <w:pStyle w:val="Item"/>
      </w:pPr>
      <w:r w:rsidRPr="00457397">
        <w:t>Before “the registrant”, insert “the GEMS Regulator is satisfied that”.</w:t>
      </w:r>
    </w:p>
    <w:p w14:paraId="2A3E5ABB" w14:textId="77777777" w:rsidR="00A4395B" w:rsidRPr="00457397" w:rsidRDefault="008E64B5" w:rsidP="00457397">
      <w:pPr>
        <w:pStyle w:val="ItemHead"/>
      </w:pPr>
      <w:r w:rsidRPr="00457397">
        <w:t>37</w:t>
      </w:r>
      <w:r w:rsidR="00A4395B" w:rsidRPr="00457397">
        <w:t xml:space="preserve">  After subsection 64(5)</w:t>
      </w:r>
    </w:p>
    <w:p w14:paraId="352B851C" w14:textId="77777777" w:rsidR="00A4395B" w:rsidRPr="00457397" w:rsidRDefault="00A4395B" w:rsidP="00457397">
      <w:pPr>
        <w:pStyle w:val="Item"/>
      </w:pPr>
      <w:r w:rsidRPr="00457397">
        <w:t>Insert:</w:t>
      </w:r>
    </w:p>
    <w:p w14:paraId="619E6075" w14:textId="77777777" w:rsidR="00A4395B" w:rsidRPr="00457397" w:rsidRDefault="00A4395B" w:rsidP="00457397">
      <w:pPr>
        <w:pStyle w:val="subsection"/>
      </w:pPr>
      <w:r w:rsidRPr="00457397">
        <w:lastRenderedPageBreak/>
        <w:tab/>
        <w:t>(5A)</w:t>
      </w:r>
      <w:r w:rsidRPr="00457397">
        <w:tab/>
        <w:t>The GEMS Regulator may, in a particular case or in particular classes of cases, extend the time for payment of the whole or a part of a fee that, at the time when an application under this Part is made, would otherwise be payable in relation to the application, for such period as the GEMS Regulator determines.</w:t>
      </w:r>
    </w:p>
    <w:p w14:paraId="13E747D1" w14:textId="77777777" w:rsidR="00A4395B" w:rsidRPr="00457397" w:rsidRDefault="00A4395B" w:rsidP="00457397">
      <w:pPr>
        <w:pStyle w:val="subsection"/>
      </w:pPr>
      <w:r w:rsidRPr="00457397">
        <w:tab/>
        <w:t>(5B)</w:t>
      </w:r>
      <w:r w:rsidRPr="00457397">
        <w:tab/>
        <w:t xml:space="preserve">If the GEMS Regulator, under </w:t>
      </w:r>
      <w:r w:rsidR="008E64B5" w:rsidRPr="00457397">
        <w:t>subsection (</w:t>
      </w:r>
      <w:r w:rsidRPr="00457397">
        <w:t>5A), extends the time for payment of an amount in relation to an application under this Part:</w:t>
      </w:r>
    </w:p>
    <w:p w14:paraId="2ABAD234" w14:textId="77777777" w:rsidR="00A4395B" w:rsidRPr="00457397" w:rsidRDefault="00A4395B" w:rsidP="00457397">
      <w:pPr>
        <w:pStyle w:val="paragraph"/>
      </w:pPr>
      <w:r w:rsidRPr="00457397">
        <w:tab/>
        <w:t>(a)</w:t>
      </w:r>
      <w:r w:rsidRPr="00457397">
        <w:tab/>
        <w:t>the amount is payable accordingly; and</w:t>
      </w:r>
    </w:p>
    <w:p w14:paraId="5C1ECDFC" w14:textId="77777777" w:rsidR="00A4395B" w:rsidRPr="00457397" w:rsidRDefault="00A4395B" w:rsidP="00457397">
      <w:pPr>
        <w:pStyle w:val="paragraph"/>
      </w:pPr>
      <w:r w:rsidRPr="00457397">
        <w:tab/>
        <w:t>(b)</w:t>
      </w:r>
      <w:r w:rsidRPr="00457397">
        <w:tab/>
        <w:t>despite paragraphs (1)(b) and (1)(c), the application is not required to be accompanied by the amount.</w:t>
      </w:r>
    </w:p>
    <w:p w14:paraId="24D1261F" w14:textId="77777777" w:rsidR="00A4395B" w:rsidRPr="00457397" w:rsidRDefault="008E64B5" w:rsidP="00457397">
      <w:pPr>
        <w:pStyle w:val="ItemHead"/>
      </w:pPr>
      <w:r w:rsidRPr="00457397">
        <w:t>38</w:t>
      </w:r>
      <w:r w:rsidR="00A4395B" w:rsidRPr="00457397">
        <w:t xml:space="preserve">  Before paragraph 66(1)(a)</w:t>
      </w:r>
    </w:p>
    <w:p w14:paraId="06B04A7B" w14:textId="77777777" w:rsidR="00A4395B" w:rsidRPr="00457397" w:rsidRDefault="00A4395B" w:rsidP="00457397">
      <w:pPr>
        <w:pStyle w:val="Item"/>
      </w:pPr>
      <w:r w:rsidRPr="00457397">
        <w:t>Insert:</w:t>
      </w:r>
    </w:p>
    <w:p w14:paraId="342614A5" w14:textId="77777777" w:rsidR="00A4395B" w:rsidRPr="00457397" w:rsidRDefault="00A4395B" w:rsidP="00457397">
      <w:pPr>
        <w:pStyle w:val="paragraph"/>
      </w:pPr>
      <w:r w:rsidRPr="00457397">
        <w:tab/>
        <w:t>(aa)</w:t>
      </w:r>
      <w:r w:rsidRPr="00457397">
        <w:tab/>
        <w:t>an amount payable under this Act in relation to the application is not paid;</w:t>
      </w:r>
    </w:p>
    <w:p w14:paraId="33F2CE1E" w14:textId="77777777" w:rsidR="00A4395B" w:rsidRPr="00457397" w:rsidRDefault="008E64B5" w:rsidP="00457397">
      <w:pPr>
        <w:pStyle w:val="Transitional"/>
      </w:pPr>
      <w:r w:rsidRPr="00457397">
        <w:t>39</w:t>
      </w:r>
      <w:r w:rsidR="00A4395B" w:rsidRPr="00457397">
        <w:t xml:space="preserve">  Application provisions</w:t>
      </w:r>
    </w:p>
    <w:p w14:paraId="04DA1604" w14:textId="77777777" w:rsidR="00A4395B" w:rsidRPr="00457397" w:rsidRDefault="00A4395B" w:rsidP="00457397">
      <w:pPr>
        <w:pStyle w:val="Subitem"/>
      </w:pPr>
      <w:r w:rsidRPr="00457397">
        <w:t>(1)</w:t>
      </w:r>
      <w:r w:rsidRPr="00457397">
        <w:tab/>
      </w:r>
      <w:bookmarkStart w:id="34" w:name="_Hlk130296375"/>
      <w:r w:rsidRPr="00457397">
        <w:t xml:space="preserve">Paragraphs 49(aa) and 54(1)(aa) of the </w:t>
      </w:r>
      <w:r w:rsidRPr="00457397">
        <w:rPr>
          <w:i/>
        </w:rPr>
        <w:t>Greenhouse and Energy Minimum Standards Act 2012</w:t>
      </w:r>
      <w:r w:rsidRPr="00457397">
        <w:t xml:space="preserve"> as amended by this Part apply in relation to </w:t>
      </w:r>
      <w:bookmarkEnd w:id="34"/>
      <w:r w:rsidRPr="00457397">
        <w:t>a registration that results from an application made on or after the commencement of this item.</w:t>
      </w:r>
    </w:p>
    <w:p w14:paraId="3D8B4503" w14:textId="77777777" w:rsidR="00A4395B" w:rsidRPr="00457397" w:rsidRDefault="00A4395B" w:rsidP="00457397">
      <w:pPr>
        <w:pStyle w:val="Subitem"/>
      </w:pPr>
      <w:r w:rsidRPr="00457397">
        <w:t>(2)</w:t>
      </w:r>
      <w:r w:rsidRPr="00457397">
        <w:tab/>
        <w:t xml:space="preserve">Subsections 64(5A) and 64(5B) and paragraph 66(1)(aa) of the </w:t>
      </w:r>
      <w:r w:rsidRPr="00457397">
        <w:rPr>
          <w:i/>
        </w:rPr>
        <w:t>Greenhouse and Energy Minimum Standards Act 2012</w:t>
      </w:r>
      <w:r w:rsidRPr="00457397">
        <w:t xml:space="preserve"> as amended by this Part apply in relation to an application made on or after the commencement of this item.</w:t>
      </w:r>
    </w:p>
    <w:p w14:paraId="22E3485A" w14:textId="77777777" w:rsidR="00247BDD" w:rsidRPr="00457397" w:rsidRDefault="00247BDD" w:rsidP="00457397">
      <w:pPr>
        <w:pStyle w:val="ActHead7"/>
        <w:pageBreakBefore/>
      </w:pPr>
      <w:bookmarkStart w:id="35" w:name="_Toc146284916"/>
      <w:r w:rsidRPr="00B71A83">
        <w:rPr>
          <w:rStyle w:val="CharAmPartNo"/>
        </w:rPr>
        <w:lastRenderedPageBreak/>
        <w:t>Part 9</w:t>
      </w:r>
      <w:r w:rsidRPr="00457397">
        <w:t>—</w:t>
      </w:r>
      <w:r w:rsidRPr="00B71A83">
        <w:rPr>
          <w:rStyle w:val="CharAmPartText"/>
        </w:rPr>
        <w:t>Other amendments</w:t>
      </w:r>
      <w:bookmarkEnd w:id="35"/>
    </w:p>
    <w:p w14:paraId="045B6A62" w14:textId="77777777" w:rsidR="00497873" w:rsidRPr="00457397" w:rsidRDefault="00497873" w:rsidP="00457397">
      <w:pPr>
        <w:pStyle w:val="ActHead9"/>
      </w:pPr>
      <w:bookmarkStart w:id="36" w:name="_Toc146284917"/>
      <w:r w:rsidRPr="00457397">
        <w:t>Greenhouse and Energy Minimum Standards Act 2012</w:t>
      </w:r>
      <w:bookmarkEnd w:id="36"/>
    </w:p>
    <w:p w14:paraId="420CE23B" w14:textId="77777777" w:rsidR="00497873" w:rsidRPr="00457397" w:rsidRDefault="008E64B5" w:rsidP="00457397">
      <w:pPr>
        <w:pStyle w:val="ItemHead"/>
      </w:pPr>
      <w:r w:rsidRPr="00457397">
        <w:t>40</w:t>
      </w:r>
      <w:r w:rsidR="00497873" w:rsidRPr="00457397">
        <w:t xml:space="preserve">  After paragraph 4(aa)</w:t>
      </w:r>
    </w:p>
    <w:p w14:paraId="034FC6DB" w14:textId="77777777" w:rsidR="00497873" w:rsidRPr="00457397" w:rsidRDefault="00497873" w:rsidP="00457397">
      <w:pPr>
        <w:pStyle w:val="Item"/>
      </w:pPr>
      <w:r w:rsidRPr="00457397">
        <w:t>Insert:</w:t>
      </w:r>
    </w:p>
    <w:p w14:paraId="268C75BC" w14:textId="77777777" w:rsidR="00497873" w:rsidRDefault="00497873" w:rsidP="00457397">
      <w:pPr>
        <w:pStyle w:val="paragraph"/>
      </w:pPr>
      <w:r w:rsidRPr="00457397">
        <w:tab/>
        <w:t>(ab)</w:t>
      </w:r>
      <w:r w:rsidRPr="00457397">
        <w:tab/>
        <w:t>to facilitate the operation of an intergovernmental scheme involving the Commonwealth and one or more other participating jurisdictions in relation to equipment</w:t>
      </w:r>
      <w:r w:rsidRPr="00457397">
        <w:rPr>
          <w:i/>
        </w:rPr>
        <w:t xml:space="preserve"> </w:t>
      </w:r>
      <w:r w:rsidRPr="00457397">
        <w:t>energy efficiency; and</w:t>
      </w:r>
    </w:p>
    <w:p w14:paraId="53A5C122" w14:textId="77777777" w:rsidR="002B28FB" w:rsidRPr="00F02B56" w:rsidRDefault="002B28FB" w:rsidP="002B28FB"/>
    <w:p w14:paraId="18EF0E72" w14:textId="77777777" w:rsidR="002B28FB" w:rsidRDefault="002B28FB" w:rsidP="002B28FB">
      <w:pPr>
        <w:pStyle w:val="AssentBk"/>
        <w:keepNext/>
      </w:pPr>
    </w:p>
    <w:p w14:paraId="2609DDC5" w14:textId="77777777" w:rsidR="002B28FB" w:rsidRDefault="002B28FB" w:rsidP="002B28FB">
      <w:pPr>
        <w:pStyle w:val="AssentBk"/>
        <w:keepNext/>
      </w:pPr>
    </w:p>
    <w:p w14:paraId="638D8470" w14:textId="77777777" w:rsidR="002B28FB" w:rsidRDefault="002B28FB" w:rsidP="002B28FB">
      <w:pPr>
        <w:pStyle w:val="2ndRd"/>
        <w:keepNext/>
        <w:pBdr>
          <w:top w:val="single" w:sz="2" w:space="1" w:color="auto"/>
        </w:pBdr>
      </w:pPr>
    </w:p>
    <w:p w14:paraId="74E477E9" w14:textId="77777777" w:rsidR="002B28FB" w:rsidRDefault="002B28FB" w:rsidP="000C5962">
      <w:pPr>
        <w:pStyle w:val="2ndRd"/>
        <w:keepNext/>
        <w:spacing w:line="260" w:lineRule="atLeast"/>
        <w:rPr>
          <w:i/>
        </w:rPr>
      </w:pPr>
      <w:r>
        <w:t>[</w:t>
      </w:r>
      <w:r>
        <w:rPr>
          <w:i/>
        </w:rPr>
        <w:t>Minister’s second reading speech made in—</w:t>
      </w:r>
    </w:p>
    <w:p w14:paraId="7BD90BC5" w14:textId="2CF65519" w:rsidR="002B28FB" w:rsidRDefault="002B28FB" w:rsidP="000C5962">
      <w:pPr>
        <w:pStyle w:val="2ndRd"/>
        <w:keepNext/>
        <w:spacing w:line="260" w:lineRule="atLeast"/>
      </w:pPr>
      <w:r>
        <w:rPr>
          <w:i/>
        </w:rPr>
        <w:t>Senate on 15 June 2023</w:t>
      </w:r>
    </w:p>
    <w:p w14:paraId="50A57495" w14:textId="30DF706D" w:rsidR="002B28FB" w:rsidRDefault="002B28FB" w:rsidP="000C5962">
      <w:pPr>
        <w:pStyle w:val="2ndRd"/>
        <w:keepNext/>
        <w:spacing w:line="260" w:lineRule="atLeast"/>
        <w:rPr>
          <w:i/>
        </w:rPr>
      </w:pPr>
      <w:r>
        <w:rPr>
          <w:i/>
        </w:rPr>
        <w:t>House of Representatives on 11 September 2023</w:t>
      </w:r>
      <w:r>
        <w:t>]</w:t>
      </w:r>
    </w:p>
    <w:p w14:paraId="7676673F" w14:textId="77777777" w:rsidR="002B28FB" w:rsidRDefault="002B28FB" w:rsidP="000C5962"/>
    <w:p w14:paraId="0A59C948" w14:textId="64A82206" w:rsidR="00F17FBC" w:rsidRPr="002B28FB" w:rsidRDefault="002B28FB" w:rsidP="002B28FB">
      <w:pPr>
        <w:framePr w:hSpace="181" w:wrap="around" w:vAnchor="page" w:hAnchor="page" w:x="2433" w:y="12078"/>
      </w:pPr>
      <w:r>
        <w:t>(72/23)</w:t>
      </w:r>
    </w:p>
    <w:p w14:paraId="05A34C05" w14:textId="77777777" w:rsidR="002B28FB" w:rsidRDefault="002B28FB"/>
    <w:sectPr w:rsidR="002B28FB" w:rsidSect="00F17FB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DFF8" w14:textId="77777777" w:rsidR="003C3C73" w:rsidRDefault="003C3C73" w:rsidP="0048364F">
      <w:pPr>
        <w:spacing w:line="240" w:lineRule="auto"/>
      </w:pPr>
      <w:r>
        <w:separator/>
      </w:r>
    </w:p>
  </w:endnote>
  <w:endnote w:type="continuationSeparator" w:id="0">
    <w:p w14:paraId="49827539" w14:textId="77777777" w:rsidR="003C3C73" w:rsidRDefault="003C3C7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13BE" w14:textId="77777777" w:rsidR="003C3C73" w:rsidRPr="005F1388" w:rsidRDefault="003C3C73" w:rsidP="004573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7BC7" w14:textId="203C8A27" w:rsidR="002B28FB" w:rsidRDefault="002B28FB" w:rsidP="00CD12A5">
    <w:pPr>
      <w:pStyle w:val="ScalePlusRef"/>
    </w:pPr>
    <w:r>
      <w:t>Note: An electronic version of this Act is available on the Federal Register of Legislation (</w:t>
    </w:r>
    <w:hyperlink r:id="rId1" w:history="1">
      <w:r>
        <w:t>https://www.legislation.gov.au/</w:t>
      </w:r>
    </w:hyperlink>
    <w:r>
      <w:t>)</w:t>
    </w:r>
  </w:p>
  <w:p w14:paraId="516163BF" w14:textId="77777777" w:rsidR="002B28FB" w:rsidRDefault="002B28FB" w:rsidP="00CD12A5"/>
  <w:p w14:paraId="59AA9FBA" w14:textId="2220FBCC" w:rsidR="003C3C73" w:rsidRDefault="003C3C73" w:rsidP="00457397">
    <w:pPr>
      <w:pStyle w:val="Footer"/>
      <w:spacing w:before="120"/>
    </w:pPr>
  </w:p>
  <w:p w14:paraId="01BE851B" w14:textId="77777777" w:rsidR="003C3C73" w:rsidRPr="005F1388" w:rsidRDefault="003C3C7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D28C" w14:textId="77777777" w:rsidR="003C3C73" w:rsidRPr="00ED79B6" w:rsidRDefault="003C3C73" w:rsidP="004573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E7BA" w14:textId="77777777" w:rsidR="003C3C73" w:rsidRDefault="003C3C73" w:rsidP="004573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C73" w14:paraId="2E7CBCB0" w14:textId="77777777" w:rsidTr="005F4965">
      <w:tc>
        <w:tcPr>
          <w:tcW w:w="646" w:type="dxa"/>
        </w:tcPr>
        <w:p w14:paraId="506AADB3" w14:textId="77777777" w:rsidR="003C3C73" w:rsidRDefault="003C3C73" w:rsidP="005F496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79691DB" w14:textId="4283920D" w:rsidR="003C3C73" w:rsidRDefault="003C3C73" w:rsidP="005F496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0CCE">
            <w:rPr>
              <w:i/>
              <w:sz w:val="18"/>
            </w:rPr>
            <w:t>Greenhouse and Energy Minimum Standards Amendment (Administrative Changes) Act 2023</w:t>
          </w:r>
          <w:r w:rsidRPr="00ED79B6">
            <w:rPr>
              <w:i/>
              <w:sz w:val="18"/>
            </w:rPr>
            <w:fldChar w:fldCharType="end"/>
          </w:r>
        </w:p>
      </w:tc>
      <w:tc>
        <w:tcPr>
          <w:tcW w:w="1270" w:type="dxa"/>
        </w:tcPr>
        <w:p w14:paraId="566652A1" w14:textId="6DE1CCF6" w:rsidR="003C3C73" w:rsidRDefault="003C3C73" w:rsidP="005F496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0CCE">
            <w:rPr>
              <w:i/>
              <w:sz w:val="18"/>
            </w:rPr>
            <w:t>No. 77, 2023</w:t>
          </w:r>
          <w:r w:rsidRPr="00ED79B6">
            <w:rPr>
              <w:i/>
              <w:sz w:val="18"/>
            </w:rPr>
            <w:fldChar w:fldCharType="end"/>
          </w:r>
        </w:p>
      </w:tc>
    </w:tr>
  </w:tbl>
  <w:p w14:paraId="025F6962" w14:textId="77777777" w:rsidR="003C3C73" w:rsidRDefault="003C3C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BC90" w14:textId="77777777" w:rsidR="003C3C73" w:rsidRDefault="003C3C73" w:rsidP="004573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C73" w14:paraId="55077C8A" w14:textId="77777777" w:rsidTr="005F4965">
      <w:tc>
        <w:tcPr>
          <w:tcW w:w="1247" w:type="dxa"/>
        </w:tcPr>
        <w:p w14:paraId="3798AAA4" w14:textId="102FB095" w:rsidR="003C3C73" w:rsidRDefault="003C3C73" w:rsidP="005F496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0CCE">
            <w:rPr>
              <w:i/>
              <w:sz w:val="18"/>
            </w:rPr>
            <w:t>No. 77, 2023</w:t>
          </w:r>
          <w:r w:rsidRPr="00ED79B6">
            <w:rPr>
              <w:i/>
              <w:sz w:val="18"/>
            </w:rPr>
            <w:fldChar w:fldCharType="end"/>
          </w:r>
        </w:p>
      </w:tc>
      <w:tc>
        <w:tcPr>
          <w:tcW w:w="5387" w:type="dxa"/>
        </w:tcPr>
        <w:p w14:paraId="76D7369B" w14:textId="6703478D" w:rsidR="003C3C73" w:rsidRDefault="003C3C73" w:rsidP="005F496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0CCE">
            <w:rPr>
              <w:i/>
              <w:sz w:val="18"/>
            </w:rPr>
            <w:t>Greenhouse and Energy Minimum Standards Amendment (Administrative Changes) Act 2023</w:t>
          </w:r>
          <w:r w:rsidRPr="00ED79B6">
            <w:rPr>
              <w:i/>
              <w:sz w:val="18"/>
            </w:rPr>
            <w:fldChar w:fldCharType="end"/>
          </w:r>
        </w:p>
      </w:tc>
      <w:tc>
        <w:tcPr>
          <w:tcW w:w="669" w:type="dxa"/>
        </w:tcPr>
        <w:p w14:paraId="3956E121" w14:textId="77777777" w:rsidR="003C3C73" w:rsidRDefault="003C3C73" w:rsidP="005F496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B4193E6" w14:textId="77777777" w:rsidR="003C3C73" w:rsidRPr="00ED79B6" w:rsidRDefault="003C3C7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B898" w14:textId="77777777" w:rsidR="003C3C73" w:rsidRPr="00A961C4" w:rsidRDefault="003C3C73" w:rsidP="004573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C73" w14:paraId="38A0C638" w14:textId="77777777" w:rsidTr="00DA5097">
      <w:tc>
        <w:tcPr>
          <w:tcW w:w="646" w:type="dxa"/>
        </w:tcPr>
        <w:p w14:paraId="0D924BBB" w14:textId="77777777" w:rsidR="003C3C73" w:rsidRDefault="003C3C73" w:rsidP="005F496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06FF45D" w14:textId="626B3BEE" w:rsidR="003C3C73" w:rsidRDefault="003C3C73" w:rsidP="005F49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0CCE">
            <w:rPr>
              <w:i/>
              <w:sz w:val="18"/>
            </w:rPr>
            <w:t>Greenhouse and Energy Minimum Standards Amendment (Administrative Changes) Act 2023</w:t>
          </w:r>
          <w:r w:rsidRPr="007A1328">
            <w:rPr>
              <w:i/>
              <w:sz w:val="18"/>
            </w:rPr>
            <w:fldChar w:fldCharType="end"/>
          </w:r>
        </w:p>
      </w:tc>
      <w:tc>
        <w:tcPr>
          <w:tcW w:w="1270" w:type="dxa"/>
        </w:tcPr>
        <w:p w14:paraId="21FE6CCD" w14:textId="28B118E0" w:rsidR="003C3C73" w:rsidRDefault="003C3C73" w:rsidP="005F496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0CCE">
            <w:rPr>
              <w:i/>
              <w:sz w:val="18"/>
            </w:rPr>
            <w:t>No. 77, 2023</w:t>
          </w:r>
          <w:r w:rsidRPr="007A1328">
            <w:rPr>
              <w:i/>
              <w:sz w:val="18"/>
            </w:rPr>
            <w:fldChar w:fldCharType="end"/>
          </w:r>
        </w:p>
      </w:tc>
    </w:tr>
  </w:tbl>
  <w:p w14:paraId="0AE132B5" w14:textId="77777777" w:rsidR="003C3C73" w:rsidRPr="00A961C4" w:rsidRDefault="003C3C7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ED43" w14:textId="77777777" w:rsidR="003C3C73" w:rsidRPr="00A961C4" w:rsidRDefault="003C3C73" w:rsidP="004573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C73" w14:paraId="5A75402A" w14:textId="77777777" w:rsidTr="00DA5097">
      <w:tc>
        <w:tcPr>
          <w:tcW w:w="1247" w:type="dxa"/>
        </w:tcPr>
        <w:p w14:paraId="34C41229" w14:textId="74845598" w:rsidR="003C3C73" w:rsidRDefault="003C3C73" w:rsidP="005F49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0CCE">
            <w:rPr>
              <w:i/>
              <w:sz w:val="18"/>
            </w:rPr>
            <w:t>No. 77, 2023</w:t>
          </w:r>
          <w:r w:rsidRPr="007A1328">
            <w:rPr>
              <w:i/>
              <w:sz w:val="18"/>
            </w:rPr>
            <w:fldChar w:fldCharType="end"/>
          </w:r>
        </w:p>
      </w:tc>
      <w:tc>
        <w:tcPr>
          <w:tcW w:w="5387" w:type="dxa"/>
        </w:tcPr>
        <w:p w14:paraId="60F97B3F" w14:textId="60342A38" w:rsidR="003C3C73" w:rsidRDefault="003C3C73" w:rsidP="005F49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0CCE">
            <w:rPr>
              <w:i/>
              <w:sz w:val="18"/>
            </w:rPr>
            <w:t>Greenhouse and Energy Minimum Standards Amendment (Administrative Changes) Act 2023</w:t>
          </w:r>
          <w:r w:rsidRPr="007A1328">
            <w:rPr>
              <w:i/>
              <w:sz w:val="18"/>
            </w:rPr>
            <w:fldChar w:fldCharType="end"/>
          </w:r>
        </w:p>
      </w:tc>
      <w:tc>
        <w:tcPr>
          <w:tcW w:w="669" w:type="dxa"/>
        </w:tcPr>
        <w:p w14:paraId="5DF9FD3F" w14:textId="77777777" w:rsidR="003C3C73" w:rsidRDefault="003C3C73" w:rsidP="005F49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F2B62C6" w14:textId="77777777" w:rsidR="003C3C73" w:rsidRPr="00055B5C" w:rsidRDefault="003C3C7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D2AC" w14:textId="77777777" w:rsidR="003C3C73" w:rsidRPr="00A961C4" w:rsidRDefault="003C3C73" w:rsidP="004573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3C73" w14:paraId="228615B7" w14:textId="77777777" w:rsidTr="00DA5097">
      <w:tc>
        <w:tcPr>
          <w:tcW w:w="1247" w:type="dxa"/>
        </w:tcPr>
        <w:p w14:paraId="2262CF0D" w14:textId="7CCAE7AA" w:rsidR="003C3C73" w:rsidRDefault="003C3C73" w:rsidP="005F49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0CCE">
            <w:rPr>
              <w:i/>
              <w:sz w:val="18"/>
            </w:rPr>
            <w:t>No. 77, 2023</w:t>
          </w:r>
          <w:r w:rsidRPr="007A1328">
            <w:rPr>
              <w:i/>
              <w:sz w:val="18"/>
            </w:rPr>
            <w:fldChar w:fldCharType="end"/>
          </w:r>
        </w:p>
      </w:tc>
      <w:tc>
        <w:tcPr>
          <w:tcW w:w="5387" w:type="dxa"/>
        </w:tcPr>
        <w:p w14:paraId="43ADF2E7" w14:textId="4BFC8592" w:rsidR="003C3C73" w:rsidRDefault="003C3C73" w:rsidP="005F49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0CCE">
            <w:rPr>
              <w:i/>
              <w:sz w:val="18"/>
            </w:rPr>
            <w:t>Greenhouse and Energy Minimum Standards Amendment (Administrative Changes) Act 2023</w:t>
          </w:r>
          <w:r w:rsidRPr="007A1328">
            <w:rPr>
              <w:i/>
              <w:sz w:val="18"/>
            </w:rPr>
            <w:fldChar w:fldCharType="end"/>
          </w:r>
        </w:p>
      </w:tc>
      <w:tc>
        <w:tcPr>
          <w:tcW w:w="669" w:type="dxa"/>
        </w:tcPr>
        <w:p w14:paraId="034C55D9" w14:textId="77777777" w:rsidR="003C3C73" w:rsidRDefault="003C3C73" w:rsidP="005F49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CFBC396" w14:textId="77777777" w:rsidR="003C3C73" w:rsidRPr="00A961C4" w:rsidRDefault="003C3C7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7F02" w14:textId="77777777" w:rsidR="003C3C73" w:rsidRDefault="003C3C73" w:rsidP="0048364F">
      <w:pPr>
        <w:spacing w:line="240" w:lineRule="auto"/>
      </w:pPr>
      <w:r>
        <w:separator/>
      </w:r>
    </w:p>
  </w:footnote>
  <w:footnote w:type="continuationSeparator" w:id="0">
    <w:p w14:paraId="05F61DC4" w14:textId="77777777" w:rsidR="003C3C73" w:rsidRDefault="003C3C7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1CAE" w14:textId="77777777" w:rsidR="003C3C73" w:rsidRPr="005F1388" w:rsidRDefault="003C3C7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AAE9" w14:textId="77777777" w:rsidR="003C3C73" w:rsidRPr="005F1388" w:rsidRDefault="003C3C7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BBA3" w14:textId="77777777" w:rsidR="003C3C73" w:rsidRPr="005F1388" w:rsidRDefault="003C3C7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01D6" w14:textId="77777777" w:rsidR="003C3C73" w:rsidRPr="00ED79B6" w:rsidRDefault="003C3C7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14E6" w14:textId="77777777" w:rsidR="003C3C73" w:rsidRPr="00ED79B6" w:rsidRDefault="003C3C7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267C" w14:textId="77777777" w:rsidR="003C3C73" w:rsidRPr="00ED79B6" w:rsidRDefault="003C3C7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74B1" w14:textId="403E314A" w:rsidR="003C3C73" w:rsidRPr="00A961C4" w:rsidRDefault="003C3C73" w:rsidP="0048364F">
    <w:pPr>
      <w:rPr>
        <w:b/>
        <w:sz w:val="20"/>
      </w:rPr>
    </w:pPr>
    <w:r>
      <w:rPr>
        <w:b/>
        <w:sz w:val="20"/>
      </w:rPr>
      <w:fldChar w:fldCharType="begin"/>
    </w:r>
    <w:r>
      <w:rPr>
        <w:b/>
        <w:sz w:val="20"/>
      </w:rPr>
      <w:instrText xml:space="preserve"> STYLEREF CharAmSchNo </w:instrText>
    </w:r>
    <w:r w:rsidR="00C60CCE">
      <w:rPr>
        <w:b/>
        <w:sz w:val="20"/>
      </w:rPr>
      <w:fldChar w:fldCharType="separate"/>
    </w:r>
    <w:r w:rsidR="00C60C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60CCE">
      <w:rPr>
        <w:sz w:val="20"/>
      </w:rPr>
      <w:fldChar w:fldCharType="separate"/>
    </w:r>
    <w:r w:rsidR="00C60CCE">
      <w:rPr>
        <w:noProof/>
        <w:sz w:val="20"/>
      </w:rPr>
      <w:t>Amendments</w:t>
    </w:r>
    <w:r>
      <w:rPr>
        <w:sz w:val="20"/>
      </w:rPr>
      <w:fldChar w:fldCharType="end"/>
    </w:r>
  </w:p>
  <w:p w14:paraId="45976B7D" w14:textId="769392FE" w:rsidR="003C3C73" w:rsidRPr="00A961C4" w:rsidRDefault="003C3C73" w:rsidP="0048364F">
    <w:pPr>
      <w:rPr>
        <w:b/>
        <w:sz w:val="20"/>
      </w:rPr>
    </w:pPr>
    <w:r>
      <w:rPr>
        <w:b/>
        <w:sz w:val="20"/>
      </w:rPr>
      <w:fldChar w:fldCharType="begin"/>
    </w:r>
    <w:r>
      <w:rPr>
        <w:b/>
        <w:sz w:val="20"/>
      </w:rPr>
      <w:instrText xml:space="preserve"> STYLEREF CharAmPartNo </w:instrText>
    </w:r>
    <w:r w:rsidR="00C60CCE">
      <w:rPr>
        <w:b/>
        <w:sz w:val="20"/>
      </w:rPr>
      <w:fldChar w:fldCharType="separate"/>
    </w:r>
    <w:r w:rsidR="00C60CCE">
      <w:rPr>
        <w:b/>
        <w:noProof/>
        <w:sz w:val="20"/>
      </w:rPr>
      <w:t>Part 8</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60CCE">
      <w:rPr>
        <w:sz w:val="20"/>
      </w:rPr>
      <w:fldChar w:fldCharType="separate"/>
    </w:r>
    <w:r w:rsidR="00C60CCE">
      <w:rPr>
        <w:noProof/>
        <w:sz w:val="20"/>
      </w:rPr>
      <w:t>Extension of time to pay fees</w:t>
    </w:r>
    <w:r>
      <w:rPr>
        <w:sz w:val="20"/>
      </w:rPr>
      <w:fldChar w:fldCharType="end"/>
    </w:r>
  </w:p>
  <w:p w14:paraId="5D03754C" w14:textId="77777777" w:rsidR="003C3C73" w:rsidRPr="00A961C4" w:rsidRDefault="003C3C7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DD97" w14:textId="7E5F350A" w:rsidR="003C3C73" w:rsidRPr="00A961C4" w:rsidRDefault="003C3C73" w:rsidP="0048364F">
    <w:pPr>
      <w:jc w:val="right"/>
      <w:rPr>
        <w:sz w:val="20"/>
      </w:rPr>
    </w:pPr>
    <w:r w:rsidRPr="00A961C4">
      <w:rPr>
        <w:sz w:val="20"/>
      </w:rPr>
      <w:fldChar w:fldCharType="begin"/>
    </w:r>
    <w:r w:rsidRPr="00A961C4">
      <w:rPr>
        <w:sz w:val="20"/>
      </w:rPr>
      <w:instrText xml:space="preserve"> STYLEREF CharAmSchText </w:instrText>
    </w:r>
    <w:r w:rsidR="00C60CCE">
      <w:rPr>
        <w:sz w:val="20"/>
      </w:rPr>
      <w:fldChar w:fldCharType="separate"/>
    </w:r>
    <w:r w:rsidR="00C60CC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60CCE">
      <w:rPr>
        <w:b/>
        <w:sz w:val="20"/>
      </w:rPr>
      <w:fldChar w:fldCharType="separate"/>
    </w:r>
    <w:r w:rsidR="00C60CCE">
      <w:rPr>
        <w:b/>
        <w:noProof/>
        <w:sz w:val="20"/>
      </w:rPr>
      <w:t>Schedule 1</w:t>
    </w:r>
    <w:r>
      <w:rPr>
        <w:b/>
        <w:sz w:val="20"/>
      </w:rPr>
      <w:fldChar w:fldCharType="end"/>
    </w:r>
  </w:p>
  <w:p w14:paraId="58FCE3B0" w14:textId="60FC7301" w:rsidR="003C3C73" w:rsidRPr="00A961C4" w:rsidRDefault="003C3C73" w:rsidP="0048364F">
    <w:pPr>
      <w:jc w:val="right"/>
      <w:rPr>
        <w:b/>
        <w:sz w:val="20"/>
      </w:rPr>
    </w:pPr>
    <w:r w:rsidRPr="00A961C4">
      <w:rPr>
        <w:sz w:val="20"/>
      </w:rPr>
      <w:fldChar w:fldCharType="begin"/>
    </w:r>
    <w:r w:rsidRPr="00A961C4">
      <w:rPr>
        <w:sz w:val="20"/>
      </w:rPr>
      <w:instrText xml:space="preserve"> STYLEREF CharAmPartText </w:instrText>
    </w:r>
    <w:r w:rsidR="00C60CCE">
      <w:rPr>
        <w:sz w:val="20"/>
      </w:rPr>
      <w:fldChar w:fldCharType="separate"/>
    </w:r>
    <w:r w:rsidR="00C60CCE">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60CCE">
      <w:rPr>
        <w:b/>
        <w:sz w:val="20"/>
      </w:rPr>
      <w:fldChar w:fldCharType="separate"/>
    </w:r>
    <w:r w:rsidR="00C60CCE">
      <w:rPr>
        <w:b/>
        <w:noProof/>
        <w:sz w:val="20"/>
      </w:rPr>
      <w:t>Part 9</w:t>
    </w:r>
    <w:r w:rsidRPr="00A961C4">
      <w:rPr>
        <w:b/>
        <w:sz w:val="20"/>
      </w:rPr>
      <w:fldChar w:fldCharType="end"/>
    </w:r>
  </w:p>
  <w:p w14:paraId="78B7BE43" w14:textId="77777777" w:rsidR="003C3C73" w:rsidRPr="00A961C4" w:rsidRDefault="003C3C7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8FE5" w14:textId="77777777" w:rsidR="003C3C73" w:rsidRPr="00A961C4" w:rsidRDefault="003C3C7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2680B48"/>
    <w:multiLevelType w:val="hybridMultilevel"/>
    <w:tmpl w:val="DBDC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A50099"/>
    <w:multiLevelType w:val="hybridMultilevel"/>
    <w:tmpl w:val="4906D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5"/>
    <w:rsid w:val="000029D1"/>
    <w:rsid w:val="00005D25"/>
    <w:rsid w:val="00007CAD"/>
    <w:rsid w:val="000113BC"/>
    <w:rsid w:val="000136AF"/>
    <w:rsid w:val="00016DFA"/>
    <w:rsid w:val="0002500E"/>
    <w:rsid w:val="000417C9"/>
    <w:rsid w:val="00055B5C"/>
    <w:rsid w:val="00056391"/>
    <w:rsid w:val="00060FF9"/>
    <w:rsid w:val="000614BF"/>
    <w:rsid w:val="00061C96"/>
    <w:rsid w:val="000678C6"/>
    <w:rsid w:val="00075D94"/>
    <w:rsid w:val="00085A2F"/>
    <w:rsid w:val="000923AA"/>
    <w:rsid w:val="000B1FD2"/>
    <w:rsid w:val="000B5996"/>
    <w:rsid w:val="000D05EF"/>
    <w:rsid w:val="000D5CC9"/>
    <w:rsid w:val="000E5471"/>
    <w:rsid w:val="000E64C7"/>
    <w:rsid w:val="000F21C1"/>
    <w:rsid w:val="000F316E"/>
    <w:rsid w:val="000F49D0"/>
    <w:rsid w:val="000F6076"/>
    <w:rsid w:val="00101D90"/>
    <w:rsid w:val="0010745C"/>
    <w:rsid w:val="00113BD1"/>
    <w:rsid w:val="00122206"/>
    <w:rsid w:val="00131653"/>
    <w:rsid w:val="0015646E"/>
    <w:rsid w:val="00160680"/>
    <w:rsid w:val="001643C9"/>
    <w:rsid w:val="00165568"/>
    <w:rsid w:val="00166C2F"/>
    <w:rsid w:val="001716C9"/>
    <w:rsid w:val="00173363"/>
    <w:rsid w:val="00173B94"/>
    <w:rsid w:val="001755EB"/>
    <w:rsid w:val="001854B4"/>
    <w:rsid w:val="00186B0B"/>
    <w:rsid w:val="001939E1"/>
    <w:rsid w:val="00195382"/>
    <w:rsid w:val="001A3658"/>
    <w:rsid w:val="001A50F0"/>
    <w:rsid w:val="001A759A"/>
    <w:rsid w:val="001B633C"/>
    <w:rsid w:val="001B6C5D"/>
    <w:rsid w:val="001B7A5D"/>
    <w:rsid w:val="001C210C"/>
    <w:rsid w:val="001C2418"/>
    <w:rsid w:val="001C2DFC"/>
    <w:rsid w:val="001C49B1"/>
    <w:rsid w:val="001C69C4"/>
    <w:rsid w:val="001E3590"/>
    <w:rsid w:val="001E7407"/>
    <w:rsid w:val="001E7CDE"/>
    <w:rsid w:val="00201D27"/>
    <w:rsid w:val="00202618"/>
    <w:rsid w:val="00211C08"/>
    <w:rsid w:val="002345B1"/>
    <w:rsid w:val="00240749"/>
    <w:rsid w:val="00241633"/>
    <w:rsid w:val="00244F98"/>
    <w:rsid w:val="00247BDD"/>
    <w:rsid w:val="00261959"/>
    <w:rsid w:val="00263820"/>
    <w:rsid w:val="00267F11"/>
    <w:rsid w:val="002736F4"/>
    <w:rsid w:val="00275197"/>
    <w:rsid w:val="00291F3A"/>
    <w:rsid w:val="00293B89"/>
    <w:rsid w:val="00295260"/>
    <w:rsid w:val="00297ECB"/>
    <w:rsid w:val="002B28FB"/>
    <w:rsid w:val="002B3FA0"/>
    <w:rsid w:val="002B5A30"/>
    <w:rsid w:val="002C37EE"/>
    <w:rsid w:val="002D043A"/>
    <w:rsid w:val="002D395A"/>
    <w:rsid w:val="002F5A80"/>
    <w:rsid w:val="002F7EBF"/>
    <w:rsid w:val="00303A7D"/>
    <w:rsid w:val="0031088E"/>
    <w:rsid w:val="00312FFB"/>
    <w:rsid w:val="003415D3"/>
    <w:rsid w:val="00350417"/>
    <w:rsid w:val="00352B0F"/>
    <w:rsid w:val="00365D1B"/>
    <w:rsid w:val="00373874"/>
    <w:rsid w:val="00375C6C"/>
    <w:rsid w:val="003A2C02"/>
    <w:rsid w:val="003A35A4"/>
    <w:rsid w:val="003A7B3C"/>
    <w:rsid w:val="003B0B50"/>
    <w:rsid w:val="003B4E3D"/>
    <w:rsid w:val="003C1C1C"/>
    <w:rsid w:val="003C3C73"/>
    <w:rsid w:val="003C5F2B"/>
    <w:rsid w:val="003D0BFE"/>
    <w:rsid w:val="003D0EFF"/>
    <w:rsid w:val="003D5700"/>
    <w:rsid w:val="003E50E3"/>
    <w:rsid w:val="003F0FDA"/>
    <w:rsid w:val="003F792B"/>
    <w:rsid w:val="00405579"/>
    <w:rsid w:val="00410B8E"/>
    <w:rsid w:val="004116CD"/>
    <w:rsid w:val="004172CB"/>
    <w:rsid w:val="00421FC1"/>
    <w:rsid w:val="004229C7"/>
    <w:rsid w:val="00424CA9"/>
    <w:rsid w:val="00431EDC"/>
    <w:rsid w:val="00436785"/>
    <w:rsid w:val="00436BD5"/>
    <w:rsid w:val="004378BB"/>
    <w:rsid w:val="00437E4B"/>
    <w:rsid w:val="0044291A"/>
    <w:rsid w:val="00444EDD"/>
    <w:rsid w:val="00445594"/>
    <w:rsid w:val="00457397"/>
    <w:rsid w:val="004739D1"/>
    <w:rsid w:val="0048196B"/>
    <w:rsid w:val="0048364F"/>
    <w:rsid w:val="00486D05"/>
    <w:rsid w:val="00487F56"/>
    <w:rsid w:val="00490E8C"/>
    <w:rsid w:val="00496F97"/>
    <w:rsid w:val="00497873"/>
    <w:rsid w:val="004A63B0"/>
    <w:rsid w:val="004C7C8C"/>
    <w:rsid w:val="004E2A4A"/>
    <w:rsid w:val="004E709D"/>
    <w:rsid w:val="004E747A"/>
    <w:rsid w:val="004F0D23"/>
    <w:rsid w:val="004F1FAC"/>
    <w:rsid w:val="004F7B7B"/>
    <w:rsid w:val="0050060F"/>
    <w:rsid w:val="00516B8D"/>
    <w:rsid w:val="00521B27"/>
    <w:rsid w:val="00523ED2"/>
    <w:rsid w:val="00536378"/>
    <w:rsid w:val="00537FBC"/>
    <w:rsid w:val="005424A4"/>
    <w:rsid w:val="00543469"/>
    <w:rsid w:val="00543C6B"/>
    <w:rsid w:val="00545B07"/>
    <w:rsid w:val="00545D52"/>
    <w:rsid w:val="00551B54"/>
    <w:rsid w:val="00581E32"/>
    <w:rsid w:val="00584811"/>
    <w:rsid w:val="00590439"/>
    <w:rsid w:val="0059058F"/>
    <w:rsid w:val="00593AA6"/>
    <w:rsid w:val="00594161"/>
    <w:rsid w:val="00594749"/>
    <w:rsid w:val="005A0D92"/>
    <w:rsid w:val="005B4067"/>
    <w:rsid w:val="005B4484"/>
    <w:rsid w:val="005C2F45"/>
    <w:rsid w:val="005C3F41"/>
    <w:rsid w:val="005D1C4A"/>
    <w:rsid w:val="005D25D1"/>
    <w:rsid w:val="005E152A"/>
    <w:rsid w:val="005E373F"/>
    <w:rsid w:val="005F11B1"/>
    <w:rsid w:val="005F4965"/>
    <w:rsid w:val="00600219"/>
    <w:rsid w:val="00601668"/>
    <w:rsid w:val="006167FD"/>
    <w:rsid w:val="00621636"/>
    <w:rsid w:val="00641DE5"/>
    <w:rsid w:val="00656F0C"/>
    <w:rsid w:val="00675724"/>
    <w:rsid w:val="00677CC2"/>
    <w:rsid w:val="00681F92"/>
    <w:rsid w:val="006842C2"/>
    <w:rsid w:val="00685F42"/>
    <w:rsid w:val="0069207B"/>
    <w:rsid w:val="006A4B23"/>
    <w:rsid w:val="006B2D20"/>
    <w:rsid w:val="006C2874"/>
    <w:rsid w:val="006C7F8C"/>
    <w:rsid w:val="006D3095"/>
    <w:rsid w:val="006D380D"/>
    <w:rsid w:val="006E0135"/>
    <w:rsid w:val="006E303A"/>
    <w:rsid w:val="006F7E19"/>
    <w:rsid w:val="00700B2C"/>
    <w:rsid w:val="00711FDA"/>
    <w:rsid w:val="00712D8D"/>
    <w:rsid w:val="00713084"/>
    <w:rsid w:val="00714042"/>
    <w:rsid w:val="00714B26"/>
    <w:rsid w:val="007254DD"/>
    <w:rsid w:val="00726167"/>
    <w:rsid w:val="00731E00"/>
    <w:rsid w:val="00743572"/>
    <w:rsid w:val="007440B7"/>
    <w:rsid w:val="007502AE"/>
    <w:rsid w:val="007634AD"/>
    <w:rsid w:val="0076664E"/>
    <w:rsid w:val="007715C9"/>
    <w:rsid w:val="00774EDD"/>
    <w:rsid w:val="007757EC"/>
    <w:rsid w:val="00783033"/>
    <w:rsid w:val="00783A4D"/>
    <w:rsid w:val="007878A2"/>
    <w:rsid w:val="007907FC"/>
    <w:rsid w:val="00791529"/>
    <w:rsid w:val="007A1379"/>
    <w:rsid w:val="007A7AD3"/>
    <w:rsid w:val="007B30AA"/>
    <w:rsid w:val="007D5DDA"/>
    <w:rsid w:val="007E2041"/>
    <w:rsid w:val="007E7D4A"/>
    <w:rsid w:val="008006CC"/>
    <w:rsid w:val="0080339D"/>
    <w:rsid w:val="00807F18"/>
    <w:rsid w:val="00810BB8"/>
    <w:rsid w:val="00826491"/>
    <w:rsid w:val="00831E8D"/>
    <w:rsid w:val="00835027"/>
    <w:rsid w:val="00841F39"/>
    <w:rsid w:val="008537ED"/>
    <w:rsid w:val="00856A31"/>
    <w:rsid w:val="00857D6B"/>
    <w:rsid w:val="008754D0"/>
    <w:rsid w:val="00876322"/>
    <w:rsid w:val="00877D48"/>
    <w:rsid w:val="00881282"/>
    <w:rsid w:val="008815D6"/>
    <w:rsid w:val="00883781"/>
    <w:rsid w:val="00885570"/>
    <w:rsid w:val="00893958"/>
    <w:rsid w:val="008A2E77"/>
    <w:rsid w:val="008B0B74"/>
    <w:rsid w:val="008B3AB5"/>
    <w:rsid w:val="008C6F6F"/>
    <w:rsid w:val="008D0EE0"/>
    <w:rsid w:val="008D3D85"/>
    <w:rsid w:val="008D3E94"/>
    <w:rsid w:val="008E39A5"/>
    <w:rsid w:val="008E64B5"/>
    <w:rsid w:val="008F0621"/>
    <w:rsid w:val="008F4F1C"/>
    <w:rsid w:val="008F77C4"/>
    <w:rsid w:val="00904F44"/>
    <w:rsid w:val="009103F3"/>
    <w:rsid w:val="00922941"/>
    <w:rsid w:val="00924E25"/>
    <w:rsid w:val="009311A6"/>
    <w:rsid w:val="00932377"/>
    <w:rsid w:val="00943221"/>
    <w:rsid w:val="00943CF8"/>
    <w:rsid w:val="00964068"/>
    <w:rsid w:val="00967042"/>
    <w:rsid w:val="009813DC"/>
    <w:rsid w:val="0098255A"/>
    <w:rsid w:val="009845BE"/>
    <w:rsid w:val="009969C9"/>
    <w:rsid w:val="009A6306"/>
    <w:rsid w:val="009C0686"/>
    <w:rsid w:val="009C1B23"/>
    <w:rsid w:val="009D2F91"/>
    <w:rsid w:val="009E186E"/>
    <w:rsid w:val="009E295D"/>
    <w:rsid w:val="009E2C6B"/>
    <w:rsid w:val="009F7BD0"/>
    <w:rsid w:val="00A048FF"/>
    <w:rsid w:val="00A10775"/>
    <w:rsid w:val="00A12DCF"/>
    <w:rsid w:val="00A16F0D"/>
    <w:rsid w:val="00A231E2"/>
    <w:rsid w:val="00A34C44"/>
    <w:rsid w:val="00A36C48"/>
    <w:rsid w:val="00A41E0B"/>
    <w:rsid w:val="00A4395B"/>
    <w:rsid w:val="00A55631"/>
    <w:rsid w:val="00A64912"/>
    <w:rsid w:val="00A70A74"/>
    <w:rsid w:val="00A7575F"/>
    <w:rsid w:val="00A84213"/>
    <w:rsid w:val="00A90071"/>
    <w:rsid w:val="00A912B8"/>
    <w:rsid w:val="00AA3795"/>
    <w:rsid w:val="00AA7B28"/>
    <w:rsid w:val="00AC1E75"/>
    <w:rsid w:val="00AD5641"/>
    <w:rsid w:val="00AD6066"/>
    <w:rsid w:val="00AD759F"/>
    <w:rsid w:val="00AE1088"/>
    <w:rsid w:val="00AF1BA4"/>
    <w:rsid w:val="00AF5D17"/>
    <w:rsid w:val="00B01C2D"/>
    <w:rsid w:val="00B032D8"/>
    <w:rsid w:val="00B056B7"/>
    <w:rsid w:val="00B12ACF"/>
    <w:rsid w:val="00B1373A"/>
    <w:rsid w:val="00B32BE2"/>
    <w:rsid w:val="00B334A1"/>
    <w:rsid w:val="00B33B3C"/>
    <w:rsid w:val="00B36AD1"/>
    <w:rsid w:val="00B413FA"/>
    <w:rsid w:val="00B42876"/>
    <w:rsid w:val="00B44DD6"/>
    <w:rsid w:val="00B539EE"/>
    <w:rsid w:val="00B6382D"/>
    <w:rsid w:val="00B67260"/>
    <w:rsid w:val="00B71A83"/>
    <w:rsid w:val="00B80963"/>
    <w:rsid w:val="00B80AD5"/>
    <w:rsid w:val="00B84BE3"/>
    <w:rsid w:val="00B965EC"/>
    <w:rsid w:val="00BA5026"/>
    <w:rsid w:val="00BB40BF"/>
    <w:rsid w:val="00BC0CD1"/>
    <w:rsid w:val="00BC2A36"/>
    <w:rsid w:val="00BD4E6F"/>
    <w:rsid w:val="00BE719A"/>
    <w:rsid w:val="00BE720A"/>
    <w:rsid w:val="00BF0461"/>
    <w:rsid w:val="00BF1F85"/>
    <w:rsid w:val="00BF4944"/>
    <w:rsid w:val="00BF56D4"/>
    <w:rsid w:val="00BF752B"/>
    <w:rsid w:val="00C00C6D"/>
    <w:rsid w:val="00C01BB0"/>
    <w:rsid w:val="00C04409"/>
    <w:rsid w:val="00C04BBC"/>
    <w:rsid w:val="00C067E5"/>
    <w:rsid w:val="00C164CA"/>
    <w:rsid w:val="00C16DFA"/>
    <w:rsid w:val="00C176CF"/>
    <w:rsid w:val="00C24EE9"/>
    <w:rsid w:val="00C31D69"/>
    <w:rsid w:val="00C42BF8"/>
    <w:rsid w:val="00C45059"/>
    <w:rsid w:val="00C460AE"/>
    <w:rsid w:val="00C47BEC"/>
    <w:rsid w:val="00C50043"/>
    <w:rsid w:val="00C51AFF"/>
    <w:rsid w:val="00C54E84"/>
    <w:rsid w:val="00C60CCE"/>
    <w:rsid w:val="00C64F31"/>
    <w:rsid w:val="00C7573B"/>
    <w:rsid w:val="00C76CF3"/>
    <w:rsid w:val="00CE07FB"/>
    <w:rsid w:val="00CE1E31"/>
    <w:rsid w:val="00CF0BB2"/>
    <w:rsid w:val="00D00EAA"/>
    <w:rsid w:val="00D07175"/>
    <w:rsid w:val="00D13441"/>
    <w:rsid w:val="00D243A3"/>
    <w:rsid w:val="00D37FD3"/>
    <w:rsid w:val="00D477C3"/>
    <w:rsid w:val="00D5252A"/>
    <w:rsid w:val="00D52EFE"/>
    <w:rsid w:val="00D62FDA"/>
    <w:rsid w:val="00D633F6"/>
    <w:rsid w:val="00D63B52"/>
    <w:rsid w:val="00D63EF6"/>
    <w:rsid w:val="00D70327"/>
    <w:rsid w:val="00D70DFB"/>
    <w:rsid w:val="00D73029"/>
    <w:rsid w:val="00D766DF"/>
    <w:rsid w:val="00D94FB5"/>
    <w:rsid w:val="00DA5097"/>
    <w:rsid w:val="00DA6751"/>
    <w:rsid w:val="00DC0460"/>
    <w:rsid w:val="00DC2410"/>
    <w:rsid w:val="00DC384B"/>
    <w:rsid w:val="00DD3225"/>
    <w:rsid w:val="00DE2002"/>
    <w:rsid w:val="00DE7A91"/>
    <w:rsid w:val="00DF7AE9"/>
    <w:rsid w:val="00E05704"/>
    <w:rsid w:val="00E10B71"/>
    <w:rsid w:val="00E24D66"/>
    <w:rsid w:val="00E31C76"/>
    <w:rsid w:val="00E36D4D"/>
    <w:rsid w:val="00E37760"/>
    <w:rsid w:val="00E405DB"/>
    <w:rsid w:val="00E4179B"/>
    <w:rsid w:val="00E50912"/>
    <w:rsid w:val="00E54292"/>
    <w:rsid w:val="00E56F77"/>
    <w:rsid w:val="00E57B3B"/>
    <w:rsid w:val="00E74DC7"/>
    <w:rsid w:val="00E84ECA"/>
    <w:rsid w:val="00E8611B"/>
    <w:rsid w:val="00E87699"/>
    <w:rsid w:val="00E947C6"/>
    <w:rsid w:val="00E96F34"/>
    <w:rsid w:val="00EA6754"/>
    <w:rsid w:val="00EB37A4"/>
    <w:rsid w:val="00EB510C"/>
    <w:rsid w:val="00EC5580"/>
    <w:rsid w:val="00ED492F"/>
    <w:rsid w:val="00ED5DCE"/>
    <w:rsid w:val="00EE3E36"/>
    <w:rsid w:val="00EF2E3A"/>
    <w:rsid w:val="00F047E2"/>
    <w:rsid w:val="00F078DC"/>
    <w:rsid w:val="00F13E86"/>
    <w:rsid w:val="00F17B00"/>
    <w:rsid w:val="00F17FBC"/>
    <w:rsid w:val="00F2220C"/>
    <w:rsid w:val="00F316DE"/>
    <w:rsid w:val="00F43158"/>
    <w:rsid w:val="00F60965"/>
    <w:rsid w:val="00F66E67"/>
    <w:rsid w:val="00F677A9"/>
    <w:rsid w:val="00F84CF5"/>
    <w:rsid w:val="00F87233"/>
    <w:rsid w:val="00F92D35"/>
    <w:rsid w:val="00F93E03"/>
    <w:rsid w:val="00F94A5C"/>
    <w:rsid w:val="00FA420B"/>
    <w:rsid w:val="00FD1E13"/>
    <w:rsid w:val="00FD2536"/>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22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7397"/>
    <w:pPr>
      <w:spacing w:line="260" w:lineRule="atLeast"/>
    </w:pPr>
    <w:rPr>
      <w:sz w:val="22"/>
    </w:rPr>
  </w:style>
  <w:style w:type="paragraph" w:styleId="Heading1">
    <w:name w:val="heading 1"/>
    <w:basedOn w:val="Normal"/>
    <w:next w:val="Normal"/>
    <w:link w:val="Heading1Char"/>
    <w:uiPriority w:val="9"/>
    <w:qFormat/>
    <w:rsid w:val="00500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06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06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06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060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06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06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06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06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7397"/>
  </w:style>
  <w:style w:type="paragraph" w:customStyle="1" w:styleId="OPCParaBase">
    <w:name w:val="OPCParaBase"/>
    <w:qFormat/>
    <w:rsid w:val="00457397"/>
    <w:pPr>
      <w:spacing w:line="260" w:lineRule="atLeast"/>
    </w:pPr>
    <w:rPr>
      <w:rFonts w:eastAsia="Times New Roman" w:cs="Times New Roman"/>
      <w:sz w:val="22"/>
      <w:lang w:eastAsia="en-AU"/>
    </w:rPr>
  </w:style>
  <w:style w:type="paragraph" w:customStyle="1" w:styleId="ShortT">
    <w:name w:val="ShortT"/>
    <w:basedOn w:val="OPCParaBase"/>
    <w:next w:val="Normal"/>
    <w:qFormat/>
    <w:rsid w:val="00457397"/>
    <w:pPr>
      <w:spacing w:line="240" w:lineRule="auto"/>
    </w:pPr>
    <w:rPr>
      <w:b/>
      <w:sz w:val="40"/>
    </w:rPr>
  </w:style>
  <w:style w:type="paragraph" w:customStyle="1" w:styleId="ActHead1">
    <w:name w:val="ActHead 1"/>
    <w:aliases w:val="c"/>
    <w:basedOn w:val="OPCParaBase"/>
    <w:next w:val="Normal"/>
    <w:qFormat/>
    <w:rsid w:val="004573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3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73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3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73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3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3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3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3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7397"/>
  </w:style>
  <w:style w:type="paragraph" w:customStyle="1" w:styleId="Blocks">
    <w:name w:val="Blocks"/>
    <w:aliases w:val="bb"/>
    <w:basedOn w:val="OPCParaBase"/>
    <w:qFormat/>
    <w:rsid w:val="00457397"/>
    <w:pPr>
      <w:spacing w:line="240" w:lineRule="auto"/>
    </w:pPr>
    <w:rPr>
      <w:sz w:val="24"/>
    </w:rPr>
  </w:style>
  <w:style w:type="paragraph" w:customStyle="1" w:styleId="BoxText">
    <w:name w:val="BoxText"/>
    <w:aliases w:val="bt"/>
    <w:basedOn w:val="OPCParaBase"/>
    <w:qFormat/>
    <w:rsid w:val="004573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397"/>
    <w:rPr>
      <w:b/>
    </w:rPr>
  </w:style>
  <w:style w:type="paragraph" w:customStyle="1" w:styleId="BoxHeadItalic">
    <w:name w:val="BoxHeadItalic"/>
    <w:aliases w:val="bhi"/>
    <w:basedOn w:val="BoxText"/>
    <w:next w:val="BoxStep"/>
    <w:qFormat/>
    <w:rsid w:val="00457397"/>
    <w:rPr>
      <w:i/>
    </w:rPr>
  </w:style>
  <w:style w:type="paragraph" w:customStyle="1" w:styleId="BoxList">
    <w:name w:val="BoxList"/>
    <w:aliases w:val="bl"/>
    <w:basedOn w:val="BoxText"/>
    <w:qFormat/>
    <w:rsid w:val="00457397"/>
    <w:pPr>
      <w:ind w:left="1559" w:hanging="425"/>
    </w:pPr>
  </w:style>
  <w:style w:type="paragraph" w:customStyle="1" w:styleId="BoxNote">
    <w:name w:val="BoxNote"/>
    <w:aliases w:val="bn"/>
    <w:basedOn w:val="BoxText"/>
    <w:qFormat/>
    <w:rsid w:val="00457397"/>
    <w:pPr>
      <w:tabs>
        <w:tab w:val="left" w:pos="1985"/>
      </w:tabs>
      <w:spacing w:before="122" w:line="198" w:lineRule="exact"/>
      <w:ind w:left="2948" w:hanging="1814"/>
    </w:pPr>
    <w:rPr>
      <w:sz w:val="18"/>
    </w:rPr>
  </w:style>
  <w:style w:type="paragraph" w:customStyle="1" w:styleId="BoxPara">
    <w:name w:val="BoxPara"/>
    <w:aliases w:val="bp"/>
    <w:basedOn w:val="BoxText"/>
    <w:qFormat/>
    <w:rsid w:val="00457397"/>
    <w:pPr>
      <w:tabs>
        <w:tab w:val="right" w:pos="2268"/>
      </w:tabs>
      <w:ind w:left="2552" w:hanging="1418"/>
    </w:pPr>
  </w:style>
  <w:style w:type="paragraph" w:customStyle="1" w:styleId="BoxStep">
    <w:name w:val="BoxStep"/>
    <w:aliases w:val="bs"/>
    <w:basedOn w:val="BoxText"/>
    <w:qFormat/>
    <w:rsid w:val="00457397"/>
    <w:pPr>
      <w:ind w:left="1985" w:hanging="851"/>
    </w:pPr>
  </w:style>
  <w:style w:type="character" w:customStyle="1" w:styleId="CharAmPartNo">
    <w:name w:val="CharAmPartNo"/>
    <w:basedOn w:val="OPCCharBase"/>
    <w:qFormat/>
    <w:rsid w:val="00457397"/>
  </w:style>
  <w:style w:type="character" w:customStyle="1" w:styleId="CharAmPartText">
    <w:name w:val="CharAmPartText"/>
    <w:basedOn w:val="OPCCharBase"/>
    <w:qFormat/>
    <w:rsid w:val="00457397"/>
  </w:style>
  <w:style w:type="character" w:customStyle="1" w:styleId="CharAmSchNo">
    <w:name w:val="CharAmSchNo"/>
    <w:basedOn w:val="OPCCharBase"/>
    <w:qFormat/>
    <w:rsid w:val="00457397"/>
  </w:style>
  <w:style w:type="character" w:customStyle="1" w:styleId="CharAmSchText">
    <w:name w:val="CharAmSchText"/>
    <w:basedOn w:val="OPCCharBase"/>
    <w:qFormat/>
    <w:rsid w:val="00457397"/>
  </w:style>
  <w:style w:type="character" w:customStyle="1" w:styleId="CharBoldItalic">
    <w:name w:val="CharBoldItalic"/>
    <w:basedOn w:val="OPCCharBase"/>
    <w:uiPriority w:val="1"/>
    <w:qFormat/>
    <w:rsid w:val="00457397"/>
    <w:rPr>
      <w:b/>
      <w:i/>
    </w:rPr>
  </w:style>
  <w:style w:type="character" w:customStyle="1" w:styleId="CharChapNo">
    <w:name w:val="CharChapNo"/>
    <w:basedOn w:val="OPCCharBase"/>
    <w:uiPriority w:val="1"/>
    <w:qFormat/>
    <w:rsid w:val="00457397"/>
  </w:style>
  <w:style w:type="character" w:customStyle="1" w:styleId="CharChapText">
    <w:name w:val="CharChapText"/>
    <w:basedOn w:val="OPCCharBase"/>
    <w:uiPriority w:val="1"/>
    <w:qFormat/>
    <w:rsid w:val="00457397"/>
  </w:style>
  <w:style w:type="character" w:customStyle="1" w:styleId="CharDivNo">
    <w:name w:val="CharDivNo"/>
    <w:basedOn w:val="OPCCharBase"/>
    <w:uiPriority w:val="1"/>
    <w:qFormat/>
    <w:rsid w:val="00457397"/>
  </w:style>
  <w:style w:type="character" w:customStyle="1" w:styleId="CharDivText">
    <w:name w:val="CharDivText"/>
    <w:basedOn w:val="OPCCharBase"/>
    <w:uiPriority w:val="1"/>
    <w:qFormat/>
    <w:rsid w:val="00457397"/>
  </w:style>
  <w:style w:type="character" w:customStyle="1" w:styleId="CharItalic">
    <w:name w:val="CharItalic"/>
    <w:basedOn w:val="OPCCharBase"/>
    <w:uiPriority w:val="1"/>
    <w:qFormat/>
    <w:rsid w:val="00457397"/>
    <w:rPr>
      <w:i/>
    </w:rPr>
  </w:style>
  <w:style w:type="character" w:customStyle="1" w:styleId="CharPartNo">
    <w:name w:val="CharPartNo"/>
    <w:basedOn w:val="OPCCharBase"/>
    <w:uiPriority w:val="1"/>
    <w:qFormat/>
    <w:rsid w:val="00457397"/>
  </w:style>
  <w:style w:type="character" w:customStyle="1" w:styleId="CharPartText">
    <w:name w:val="CharPartText"/>
    <w:basedOn w:val="OPCCharBase"/>
    <w:uiPriority w:val="1"/>
    <w:qFormat/>
    <w:rsid w:val="00457397"/>
  </w:style>
  <w:style w:type="character" w:customStyle="1" w:styleId="CharSectno">
    <w:name w:val="CharSectno"/>
    <w:basedOn w:val="OPCCharBase"/>
    <w:qFormat/>
    <w:rsid w:val="00457397"/>
  </w:style>
  <w:style w:type="character" w:customStyle="1" w:styleId="CharSubdNo">
    <w:name w:val="CharSubdNo"/>
    <w:basedOn w:val="OPCCharBase"/>
    <w:uiPriority w:val="1"/>
    <w:qFormat/>
    <w:rsid w:val="00457397"/>
  </w:style>
  <w:style w:type="character" w:customStyle="1" w:styleId="CharSubdText">
    <w:name w:val="CharSubdText"/>
    <w:basedOn w:val="OPCCharBase"/>
    <w:uiPriority w:val="1"/>
    <w:qFormat/>
    <w:rsid w:val="00457397"/>
  </w:style>
  <w:style w:type="paragraph" w:customStyle="1" w:styleId="CTA--">
    <w:name w:val="CTA --"/>
    <w:basedOn w:val="OPCParaBase"/>
    <w:next w:val="Normal"/>
    <w:rsid w:val="00457397"/>
    <w:pPr>
      <w:spacing w:before="60" w:line="240" w:lineRule="atLeast"/>
      <w:ind w:left="142" w:hanging="142"/>
    </w:pPr>
    <w:rPr>
      <w:sz w:val="20"/>
    </w:rPr>
  </w:style>
  <w:style w:type="paragraph" w:customStyle="1" w:styleId="CTA-">
    <w:name w:val="CTA -"/>
    <w:basedOn w:val="OPCParaBase"/>
    <w:rsid w:val="00457397"/>
    <w:pPr>
      <w:spacing w:before="60" w:line="240" w:lineRule="atLeast"/>
      <w:ind w:left="85" w:hanging="85"/>
    </w:pPr>
    <w:rPr>
      <w:sz w:val="20"/>
    </w:rPr>
  </w:style>
  <w:style w:type="paragraph" w:customStyle="1" w:styleId="CTA---">
    <w:name w:val="CTA ---"/>
    <w:basedOn w:val="OPCParaBase"/>
    <w:next w:val="Normal"/>
    <w:rsid w:val="00457397"/>
    <w:pPr>
      <w:spacing w:before="60" w:line="240" w:lineRule="atLeast"/>
      <w:ind w:left="198" w:hanging="198"/>
    </w:pPr>
    <w:rPr>
      <w:sz w:val="20"/>
    </w:rPr>
  </w:style>
  <w:style w:type="paragraph" w:customStyle="1" w:styleId="CTA----">
    <w:name w:val="CTA ----"/>
    <w:basedOn w:val="OPCParaBase"/>
    <w:next w:val="Normal"/>
    <w:rsid w:val="00457397"/>
    <w:pPr>
      <w:spacing w:before="60" w:line="240" w:lineRule="atLeast"/>
      <w:ind w:left="255" w:hanging="255"/>
    </w:pPr>
    <w:rPr>
      <w:sz w:val="20"/>
    </w:rPr>
  </w:style>
  <w:style w:type="paragraph" w:customStyle="1" w:styleId="CTA1a">
    <w:name w:val="CTA 1(a)"/>
    <w:basedOn w:val="OPCParaBase"/>
    <w:rsid w:val="00457397"/>
    <w:pPr>
      <w:tabs>
        <w:tab w:val="right" w:pos="414"/>
      </w:tabs>
      <w:spacing w:before="40" w:line="240" w:lineRule="atLeast"/>
      <w:ind w:left="675" w:hanging="675"/>
    </w:pPr>
    <w:rPr>
      <w:sz w:val="20"/>
    </w:rPr>
  </w:style>
  <w:style w:type="paragraph" w:customStyle="1" w:styleId="CTA1ai">
    <w:name w:val="CTA 1(a)(i)"/>
    <w:basedOn w:val="OPCParaBase"/>
    <w:rsid w:val="00457397"/>
    <w:pPr>
      <w:tabs>
        <w:tab w:val="right" w:pos="1004"/>
      </w:tabs>
      <w:spacing w:before="40" w:line="240" w:lineRule="atLeast"/>
      <w:ind w:left="1253" w:hanging="1253"/>
    </w:pPr>
    <w:rPr>
      <w:sz w:val="20"/>
    </w:rPr>
  </w:style>
  <w:style w:type="paragraph" w:customStyle="1" w:styleId="CTA2a">
    <w:name w:val="CTA 2(a)"/>
    <w:basedOn w:val="OPCParaBase"/>
    <w:rsid w:val="00457397"/>
    <w:pPr>
      <w:tabs>
        <w:tab w:val="right" w:pos="482"/>
      </w:tabs>
      <w:spacing w:before="40" w:line="240" w:lineRule="atLeast"/>
      <w:ind w:left="748" w:hanging="748"/>
    </w:pPr>
    <w:rPr>
      <w:sz w:val="20"/>
    </w:rPr>
  </w:style>
  <w:style w:type="paragraph" w:customStyle="1" w:styleId="CTA2ai">
    <w:name w:val="CTA 2(a)(i)"/>
    <w:basedOn w:val="OPCParaBase"/>
    <w:rsid w:val="00457397"/>
    <w:pPr>
      <w:tabs>
        <w:tab w:val="right" w:pos="1089"/>
      </w:tabs>
      <w:spacing w:before="40" w:line="240" w:lineRule="atLeast"/>
      <w:ind w:left="1327" w:hanging="1327"/>
    </w:pPr>
    <w:rPr>
      <w:sz w:val="20"/>
    </w:rPr>
  </w:style>
  <w:style w:type="paragraph" w:customStyle="1" w:styleId="CTA3a">
    <w:name w:val="CTA 3(a)"/>
    <w:basedOn w:val="OPCParaBase"/>
    <w:rsid w:val="00457397"/>
    <w:pPr>
      <w:tabs>
        <w:tab w:val="right" w:pos="556"/>
      </w:tabs>
      <w:spacing w:before="40" w:line="240" w:lineRule="atLeast"/>
      <w:ind w:left="805" w:hanging="805"/>
    </w:pPr>
    <w:rPr>
      <w:sz w:val="20"/>
    </w:rPr>
  </w:style>
  <w:style w:type="paragraph" w:customStyle="1" w:styleId="CTA3ai">
    <w:name w:val="CTA 3(a)(i)"/>
    <w:basedOn w:val="OPCParaBase"/>
    <w:rsid w:val="00457397"/>
    <w:pPr>
      <w:tabs>
        <w:tab w:val="right" w:pos="1140"/>
      </w:tabs>
      <w:spacing w:before="40" w:line="240" w:lineRule="atLeast"/>
      <w:ind w:left="1361" w:hanging="1361"/>
    </w:pPr>
    <w:rPr>
      <w:sz w:val="20"/>
    </w:rPr>
  </w:style>
  <w:style w:type="paragraph" w:customStyle="1" w:styleId="CTA4a">
    <w:name w:val="CTA 4(a)"/>
    <w:basedOn w:val="OPCParaBase"/>
    <w:rsid w:val="00457397"/>
    <w:pPr>
      <w:tabs>
        <w:tab w:val="right" w:pos="624"/>
      </w:tabs>
      <w:spacing w:before="40" w:line="240" w:lineRule="atLeast"/>
      <w:ind w:left="873" w:hanging="873"/>
    </w:pPr>
    <w:rPr>
      <w:sz w:val="20"/>
    </w:rPr>
  </w:style>
  <w:style w:type="paragraph" w:customStyle="1" w:styleId="CTA4ai">
    <w:name w:val="CTA 4(a)(i)"/>
    <w:basedOn w:val="OPCParaBase"/>
    <w:rsid w:val="00457397"/>
    <w:pPr>
      <w:tabs>
        <w:tab w:val="right" w:pos="1213"/>
      </w:tabs>
      <w:spacing w:before="40" w:line="240" w:lineRule="atLeast"/>
      <w:ind w:left="1452" w:hanging="1452"/>
    </w:pPr>
    <w:rPr>
      <w:sz w:val="20"/>
    </w:rPr>
  </w:style>
  <w:style w:type="paragraph" w:customStyle="1" w:styleId="CTACAPS">
    <w:name w:val="CTA CAPS"/>
    <w:basedOn w:val="OPCParaBase"/>
    <w:rsid w:val="00457397"/>
    <w:pPr>
      <w:spacing w:before="60" w:line="240" w:lineRule="atLeast"/>
    </w:pPr>
    <w:rPr>
      <w:sz w:val="20"/>
    </w:rPr>
  </w:style>
  <w:style w:type="paragraph" w:customStyle="1" w:styleId="CTAright">
    <w:name w:val="CTA right"/>
    <w:basedOn w:val="OPCParaBase"/>
    <w:rsid w:val="00457397"/>
    <w:pPr>
      <w:spacing w:before="60" w:line="240" w:lineRule="auto"/>
      <w:jc w:val="right"/>
    </w:pPr>
    <w:rPr>
      <w:sz w:val="20"/>
    </w:rPr>
  </w:style>
  <w:style w:type="paragraph" w:customStyle="1" w:styleId="subsection">
    <w:name w:val="subsection"/>
    <w:aliases w:val="ss"/>
    <w:basedOn w:val="OPCParaBase"/>
    <w:link w:val="subsectionChar"/>
    <w:rsid w:val="00457397"/>
    <w:pPr>
      <w:tabs>
        <w:tab w:val="right" w:pos="1021"/>
      </w:tabs>
      <w:spacing w:before="180" w:line="240" w:lineRule="auto"/>
      <w:ind w:left="1134" w:hanging="1134"/>
    </w:pPr>
  </w:style>
  <w:style w:type="paragraph" w:customStyle="1" w:styleId="Definition">
    <w:name w:val="Definition"/>
    <w:aliases w:val="dd"/>
    <w:basedOn w:val="OPCParaBase"/>
    <w:rsid w:val="00457397"/>
    <w:pPr>
      <w:spacing w:before="180" w:line="240" w:lineRule="auto"/>
      <w:ind w:left="1134"/>
    </w:pPr>
  </w:style>
  <w:style w:type="paragraph" w:customStyle="1" w:styleId="ETAsubitem">
    <w:name w:val="ETA(subitem)"/>
    <w:basedOn w:val="OPCParaBase"/>
    <w:rsid w:val="00457397"/>
    <w:pPr>
      <w:tabs>
        <w:tab w:val="right" w:pos="340"/>
      </w:tabs>
      <w:spacing w:before="60" w:line="240" w:lineRule="auto"/>
      <w:ind w:left="454" w:hanging="454"/>
    </w:pPr>
    <w:rPr>
      <w:sz w:val="20"/>
    </w:rPr>
  </w:style>
  <w:style w:type="paragraph" w:customStyle="1" w:styleId="ETApara">
    <w:name w:val="ETA(para)"/>
    <w:basedOn w:val="OPCParaBase"/>
    <w:rsid w:val="00457397"/>
    <w:pPr>
      <w:tabs>
        <w:tab w:val="right" w:pos="754"/>
      </w:tabs>
      <w:spacing w:before="60" w:line="240" w:lineRule="auto"/>
      <w:ind w:left="828" w:hanging="828"/>
    </w:pPr>
    <w:rPr>
      <w:sz w:val="20"/>
    </w:rPr>
  </w:style>
  <w:style w:type="paragraph" w:customStyle="1" w:styleId="ETAsubpara">
    <w:name w:val="ETA(subpara)"/>
    <w:basedOn w:val="OPCParaBase"/>
    <w:rsid w:val="00457397"/>
    <w:pPr>
      <w:tabs>
        <w:tab w:val="right" w:pos="1083"/>
      </w:tabs>
      <w:spacing w:before="60" w:line="240" w:lineRule="auto"/>
      <w:ind w:left="1191" w:hanging="1191"/>
    </w:pPr>
    <w:rPr>
      <w:sz w:val="20"/>
    </w:rPr>
  </w:style>
  <w:style w:type="paragraph" w:customStyle="1" w:styleId="ETAsub-subpara">
    <w:name w:val="ETA(sub-subpara)"/>
    <w:basedOn w:val="OPCParaBase"/>
    <w:rsid w:val="00457397"/>
    <w:pPr>
      <w:tabs>
        <w:tab w:val="right" w:pos="1412"/>
      </w:tabs>
      <w:spacing w:before="60" w:line="240" w:lineRule="auto"/>
      <w:ind w:left="1525" w:hanging="1525"/>
    </w:pPr>
    <w:rPr>
      <w:sz w:val="20"/>
    </w:rPr>
  </w:style>
  <w:style w:type="paragraph" w:customStyle="1" w:styleId="Formula">
    <w:name w:val="Formula"/>
    <w:basedOn w:val="OPCParaBase"/>
    <w:rsid w:val="00457397"/>
    <w:pPr>
      <w:spacing w:line="240" w:lineRule="auto"/>
      <w:ind w:left="1134"/>
    </w:pPr>
    <w:rPr>
      <w:sz w:val="20"/>
    </w:rPr>
  </w:style>
  <w:style w:type="paragraph" w:styleId="Header">
    <w:name w:val="header"/>
    <w:basedOn w:val="OPCParaBase"/>
    <w:link w:val="HeaderChar"/>
    <w:unhideWhenUsed/>
    <w:rsid w:val="004573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7397"/>
    <w:rPr>
      <w:rFonts w:eastAsia="Times New Roman" w:cs="Times New Roman"/>
      <w:sz w:val="16"/>
      <w:lang w:eastAsia="en-AU"/>
    </w:rPr>
  </w:style>
  <w:style w:type="paragraph" w:customStyle="1" w:styleId="House">
    <w:name w:val="House"/>
    <w:basedOn w:val="OPCParaBase"/>
    <w:rsid w:val="00457397"/>
    <w:pPr>
      <w:spacing w:line="240" w:lineRule="auto"/>
    </w:pPr>
    <w:rPr>
      <w:sz w:val="28"/>
    </w:rPr>
  </w:style>
  <w:style w:type="paragraph" w:customStyle="1" w:styleId="Item">
    <w:name w:val="Item"/>
    <w:aliases w:val="i"/>
    <w:basedOn w:val="OPCParaBase"/>
    <w:next w:val="ItemHead"/>
    <w:rsid w:val="00457397"/>
    <w:pPr>
      <w:keepLines/>
      <w:spacing w:before="80" w:line="240" w:lineRule="auto"/>
      <w:ind w:left="709"/>
    </w:pPr>
  </w:style>
  <w:style w:type="paragraph" w:customStyle="1" w:styleId="ItemHead">
    <w:name w:val="ItemHead"/>
    <w:aliases w:val="ih"/>
    <w:basedOn w:val="OPCParaBase"/>
    <w:next w:val="Item"/>
    <w:link w:val="ItemHeadChar"/>
    <w:rsid w:val="004573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7397"/>
    <w:pPr>
      <w:spacing w:line="240" w:lineRule="auto"/>
    </w:pPr>
    <w:rPr>
      <w:b/>
      <w:sz w:val="32"/>
    </w:rPr>
  </w:style>
  <w:style w:type="paragraph" w:customStyle="1" w:styleId="notedraft">
    <w:name w:val="note(draft)"/>
    <w:aliases w:val="nd"/>
    <w:basedOn w:val="OPCParaBase"/>
    <w:rsid w:val="00457397"/>
    <w:pPr>
      <w:spacing w:before="240" w:line="240" w:lineRule="auto"/>
      <w:ind w:left="284" w:hanging="284"/>
    </w:pPr>
    <w:rPr>
      <w:i/>
      <w:sz w:val="24"/>
    </w:rPr>
  </w:style>
  <w:style w:type="paragraph" w:customStyle="1" w:styleId="notemargin">
    <w:name w:val="note(margin)"/>
    <w:aliases w:val="nm"/>
    <w:basedOn w:val="OPCParaBase"/>
    <w:rsid w:val="00457397"/>
    <w:pPr>
      <w:tabs>
        <w:tab w:val="left" w:pos="709"/>
      </w:tabs>
      <w:spacing w:before="122" w:line="198" w:lineRule="exact"/>
      <w:ind w:left="709" w:hanging="709"/>
    </w:pPr>
    <w:rPr>
      <w:sz w:val="18"/>
    </w:rPr>
  </w:style>
  <w:style w:type="paragraph" w:customStyle="1" w:styleId="noteToPara">
    <w:name w:val="noteToPara"/>
    <w:aliases w:val="ntp"/>
    <w:basedOn w:val="OPCParaBase"/>
    <w:rsid w:val="00457397"/>
    <w:pPr>
      <w:spacing w:before="122" w:line="198" w:lineRule="exact"/>
      <w:ind w:left="2353" w:hanging="709"/>
    </w:pPr>
    <w:rPr>
      <w:sz w:val="18"/>
    </w:rPr>
  </w:style>
  <w:style w:type="paragraph" w:customStyle="1" w:styleId="noteParlAmend">
    <w:name w:val="note(ParlAmend)"/>
    <w:aliases w:val="npp"/>
    <w:basedOn w:val="OPCParaBase"/>
    <w:next w:val="ParlAmend"/>
    <w:rsid w:val="00457397"/>
    <w:pPr>
      <w:spacing w:line="240" w:lineRule="auto"/>
      <w:jc w:val="right"/>
    </w:pPr>
    <w:rPr>
      <w:rFonts w:ascii="Arial" w:hAnsi="Arial"/>
      <w:b/>
      <w:i/>
    </w:rPr>
  </w:style>
  <w:style w:type="paragraph" w:customStyle="1" w:styleId="Page1">
    <w:name w:val="Page1"/>
    <w:basedOn w:val="OPCParaBase"/>
    <w:rsid w:val="00457397"/>
    <w:pPr>
      <w:spacing w:before="5600" w:line="240" w:lineRule="auto"/>
    </w:pPr>
    <w:rPr>
      <w:b/>
      <w:sz w:val="32"/>
    </w:rPr>
  </w:style>
  <w:style w:type="paragraph" w:customStyle="1" w:styleId="PageBreak">
    <w:name w:val="PageBreak"/>
    <w:aliases w:val="pb"/>
    <w:basedOn w:val="OPCParaBase"/>
    <w:rsid w:val="00457397"/>
    <w:pPr>
      <w:spacing w:line="240" w:lineRule="auto"/>
    </w:pPr>
    <w:rPr>
      <w:sz w:val="20"/>
    </w:rPr>
  </w:style>
  <w:style w:type="paragraph" w:customStyle="1" w:styleId="paragraphsub">
    <w:name w:val="paragraph(sub)"/>
    <w:aliases w:val="aa"/>
    <w:basedOn w:val="OPCParaBase"/>
    <w:rsid w:val="00457397"/>
    <w:pPr>
      <w:tabs>
        <w:tab w:val="right" w:pos="1985"/>
      </w:tabs>
      <w:spacing w:before="40" w:line="240" w:lineRule="auto"/>
      <w:ind w:left="2098" w:hanging="2098"/>
    </w:pPr>
  </w:style>
  <w:style w:type="paragraph" w:customStyle="1" w:styleId="paragraphsub-sub">
    <w:name w:val="paragraph(sub-sub)"/>
    <w:aliases w:val="aaa"/>
    <w:basedOn w:val="OPCParaBase"/>
    <w:rsid w:val="00457397"/>
    <w:pPr>
      <w:tabs>
        <w:tab w:val="right" w:pos="2722"/>
      </w:tabs>
      <w:spacing w:before="40" w:line="240" w:lineRule="auto"/>
      <w:ind w:left="2835" w:hanging="2835"/>
    </w:pPr>
  </w:style>
  <w:style w:type="paragraph" w:customStyle="1" w:styleId="paragraph">
    <w:name w:val="paragraph"/>
    <w:aliases w:val="a"/>
    <w:basedOn w:val="OPCParaBase"/>
    <w:link w:val="paragraphChar"/>
    <w:rsid w:val="00457397"/>
    <w:pPr>
      <w:tabs>
        <w:tab w:val="right" w:pos="1531"/>
      </w:tabs>
      <w:spacing w:before="40" w:line="240" w:lineRule="auto"/>
      <w:ind w:left="1644" w:hanging="1644"/>
    </w:pPr>
  </w:style>
  <w:style w:type="paragraph" w:customStyle="1" w:styleId="ParlAmend">
    <w:name w:val="ParlAmend"/>
    <w:aliases w:val="pp"/>
    <w:basedOn w:val="OPCParaBase"/>
    <w:rsid w:val="00457397"/>
    <w:pPr>
      <w:spacing w:before="240" w:line="240" w:lineRule="atLeast"/>
      <w:ind w:hanging="567"/>
    </w:pPr>
    <w:rPr>
      <w:sz w:val="24"/>
    </w:rPr>
  </w:style>
  <w:style w:type="paragraph" w:customStyle="1" w:styleId="Penalty">
    <w:name w:val="Penalty"/>
    <w:basedOn w:val="OPCParaBase"/>
    <w:rsid w:val="00457397"/>
    <w:pPr>
      <w:tabs>
        <w:tab w:val="left" w:pos="2977"/>
      </w:tabs>
      <w:spacing w:before="180" w:line="240" w:lineRule="auto"/>
      <w:ind w:left="1985" w:hanging="851"/>
    </w:pPr>
  </w:style>
  <w:style w:type="paragraph" w:customStyle="1" w:styleId="Portfolio">
    <w:name w:val="Portfolio"/>
    <w:basedOn w:val="OPCParaBase"/>
    <w:rsid w:val="00457397"/>
    <w:pPr>
      <w:spacing w:line="240" w:lineRule="auto"/>
    </w:pPr>
    <w:rPr>
      <w:i/>
      <w:sz w:val="20"/>
    </w:rPr>
  </w:style>
  <w:style w:type="paragraph" w:customStyle="1" w:styleId="Preamble">
    <w:name w:val="Preamble"/>
    <w:basedOn w:val="OPCParaBase"/>
    <w:next w:val="Normal"/>
    <w:rsid w:val="004573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397"/>
    <w:pPr>
      <w:spacing w:line="240" w:lineRule="auto"/>
    </w:pPr>
    <w:rPr>
      <w:i/>
      <w:sz w:val="20"/>
    </w:rPr>
  </w:style>
  <w:style w:type="paragraph" w:customStyle="1" w:styleId="Session">
    <w:name w:val="Session"/>
    <w:basedOn w:val="OPCParaBase"/>
    <w:rsid w:val="00457397"/>
    <w:pPr>
      <w:spacing w:line="240" w:lineRule="auto"/>
    </w:pPr>
    <w:rPr>
      <w:sz w:val="28"/>
    </w:rPr>
  </w:style>
  <w:style w:type="paragraph" w:customStyle="1" w:styleId="Sponsor">
    <w:name w:val="Sponsor"/>
    <w:basedOn w:val="OPCParaBase"/>
    <w:rsid w:val="00457397"/>
    <w:pPr>
      <w:spacing w:line="240" w:lineRule="auto"/>
    </w:pPr>
    <w:rPr>
      <w:i/>
    </w:rPr>
  </w:style>
  <w:style w:type="paragraph" w:customStyle="1" w:styleId="Subitem">
    <w:name w:val="Subitem"/>
    <w:aliases w:val="iss"/>
    <w:basedOn w:val="OPCParaBase"/>
    <w:rsid w:val="00457397"/>
    <w:pPr>
      <w:spacing w:before="180" w:line="240" w:lineRule="auto"/>
      <w:ind w:left="709" w:hanging="709"/>
    </w:pPr>
  </w:style>
  <w:style w:type="paragraph" w:customStyle="1" w:styleId="SubitemHead">
    <w:name w:val="SubitemHead"/>
    <w:aliases w:val="issh"/>
    <w:basedOn w:val="OPCParaBase"/>
    <w:rsid w:val="004573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397"/>
    <w:pPr>
      <w:spacing w:before="40" w:line="240" w:lineRule="auto"/>
      <w:ind w:left="1134"/>
    </w:pPr>
  </w:style>
  <w:style w:type="paragraph" w:customStyle="1" w:styleId="SubsectionHead">
    <w:name w:val="SubsectionHead"/>
    <w:aliases w:val="ssh"/>
    <w:basedOn w:val="OPCParaBase"/>
    <w:next w:val="subsection"/>
    <w:rsid w:val="00457397"/>
    <w:pPr>
      <w:keepNext/>
      <w:keepLines/>
      <w:spacing w:before="240" w:line="240" w:lineRule="auto"/>
      <w:ind w:left="1134"/>
    </w:pPr>
    <w:rPr>
      <w:i/>
    </w:rPr>
  </w:style>
  <w:style w:type="paragraph" w:customStyle="1" w:styleId="Tablea">
    <w:name w:val="Table(a)"/>
    <w:aliases w:val="ta"/>
    <w:basedOn w:val="OPCParaBase"/>
    <w:rsid w:val="00457397"/>
    <w:pPr>
      <w:spacing w:before="60" w:line="240" w:lineRule="auto"/>
      <w:ind w:left="284" w:hanging="284"/>
    </w:pPr>
    <w:rPr>
      <w:sz w:val="20"/>
    </w:rPr>
  </w:style>
  <w:style w:type="paragraph" w:customStyle="1" w:styleId="TableAA">
    <w:name w:val="Table(AA)"/>
    <w:aliases w:val="taaa"/>
    <w:basedOn w:val="OPCParaBase"/>
    <w:rsid w:val="004573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73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7397"/>
    <w:pPr>
      <w:spacing w:before="60" w:line="240" w:lineRule="atLeast"/>
    </w:pPr>
    <w:rPr>
      <w:sz w:val="20"/>
    </w:rPr>
  </w:style>
  <w:style w:type="paragraph" w:customStyle="1" w:styleId="TLPBoxTextnote">
    <w:name w:val="TLPBoxText(note"/>
    <w:aliases w:val="right)"/>
    <w:basedOn w:val="OPCParaBase"/>
    <w:rsid w:val="004573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3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397"/>
    <w:pPr>
      <w:spacing w:before="122" w:line="198" w:lineRule="exact"/>
      <w:ind w:left="1985" w:hanging="851"/>
      <w:jc w:val="right"/>
    </w:pPr>
    <w:rPr>
      <w:sz w:val="18"/>
    </w:rPr>
  </w:style>
  <w:style w:type="paragraph" w:customStyle="1" w:styleId="TLPTableBullet">
    <w:name w:val="TLPTableBullet"/>
    <w:aliases w:val="ttb"/>
    <w:basedOn w:val="OPCParaBase"/>
    <w:rsid w:val="00457397"/>
    <w:pPr>
      <w:spacing w:line="240" w:lineRule="exact"/>
      <w:ind w:left="284" w:hanging="284"/>
    </w:pPr>
    <w:rPr>
      <w:sz w:val="20"/>
    </w:rPr>
  </w:style>
  <w:style w:type="paragraph" w:styleId="TOC1">
    <w:name w:val="toc 1"/>
    <w:basedOn w:val="OPCParaBase"/>
    <w:next w:val="Normal"/>
    <w:uiPriority w:val="39"/>
    <w:semiHidden/>
    <w:unhideWhenUsed/>
    <w:rsid w:val="004573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73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73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73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73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73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73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73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73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7397"/>
    <w:pPr>
      <w:keepLines/>
      <w:spacing w:before="240" w:after="120" w:line="240" w:lineRule="auto"/>
      <w:ind w:left="794"/>
    </w:pPr>
    <w:rPr>
      <w:b/>
      <w:kern w:val="28"/>
      <w:sz w:val="20"/>
    </w:rPr>
  </w:style>
  <w:style w:type="paragraph" w:customStyle="1" w:styleId="TofSectsHeading">
    <w:name w:val="TofSects(Heading)"/>
    <w:basedOn w:val="OPCParaBase"/>
    <w:rsid w:val="00457397"/>
    <w:pPr>
      <w:spacing w:before="240" w:after="120" w:line="240" w:lineRule="auto"/>
    </w:pPr>
    <w:rPr>
      <w:b/>
      <w:sz w:val="24"/>
    </w:rPr>
  </w:style>
  <w:style w:type="paragraph" w:customStyle="1" w:styleId="TofSectsSection">
    <w:name w:val="TofSects(Section)"/>
    <w:basedOn w:val="OPCParaBase"/>
    <w:rsid w:val="00457397"/>
    <w:pPr>
      <w:keepLines/>
      <w:spacing w:before="40" w:line="240" w:lineRule="auto"/>
      <w:ind w:left="1588" w:hanging="794"/>
    </w:pPr>
    <w:rPr>
      <w:kern w:val="28"/>
      <w:sz w:val="18"/>
    </w:rPr>
  </w:style>
  <w:style w:type="paragraph" w:customStyle="1" w:styleId="TofSectsSubdiv">
    <w:name w:val="TofSects(Subdiv)"/>
    <w:basedOn w:val="OPCParaBase"/>
    <w:rsid w:val="00457397"/>
    <w:pPr>
      <w:keepLines/>
      <w:spacing w:before="80" w:line="240" w:lineRule="auto"/>
      <w:ind w:left="1588" w:hanging="794"/>
    </w:pPr>
    <w:rPr>
      <w:kern w:val="28"/>
    </w:rPr>
  </w:style>
  <w:style w:type="paragraph" w:customStyle="1" w:styleId="WRStyle">
    <w:name w:val="WR Style"/>
    <w:aliases w:val="WR"/>
    <w:basedOn w:val="OPCParaBase"/>
    <w:rsid w:val="00457397"/>
    <w:pPr>
      <w:spacing w:before="240" w:line="240" w:lineRule="auto"/>
      <w:ind w:left="284" w:hanging="284"/>
    </w:pPr>
    <w:rPr>
      <w:b/>
      <w:i/>
      <w:kern w:val="28"/>
      <w:sz w:val="24"/>
    </w:rPr>
  </w:style>
  <w:style w:type="paragraph" w:customStyle="1" w:styleId="notepara">
    <w:name w:val="note(para)"/>
    <w:aliases w:val="na"/>
    <w:basedOn w:val="OPCParaBase"/>
    <w:rsid w:val="00457397"/>
    <w:pPr>
      <w:spacing w:before="40" w:line="198" w:lineRule="exact"/>
      <w:ind w:left="2354" w:hanging="369"/>
    </w:pPr>
    <w:rPr>
      <w:sz w:val="18"/>
    </w:rPr>
  </w:style>
  <w:style w:type="paragraph" w:styleId="Footer">
    <w:name w:val="footer"/>
    <w:link w:val="FooterChar"/>
    <w:rsid w:val="004573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7397"/>
    <w:rPr>
      <w:rFonts w:eastAsia="Times New Roman" w:cs="Times New Roman"/>
      <w:sz w:val="22"/>
      <w:szCs w:val="24"/>
      <w:lang w:eastAsia="en-AU"/>
    </w:rPr>
  </w:style>
  <w:style w:type="character" w:styleId="LineNumber">
    <w:name w:val="line number"/>
    <w:basedOn w:val="OPCCharBase"/>
    <w:uiPriority w:val="99"/>
    <w:semiHidden/>
    <w:unhideWhenUsed/>
    <w:rsid w:val="00457397"/>
    <w:rPr>
      <w:sz w:val="16"/>
    </w:rPr>
  </w:style>
  <w:style w:type="table" w:customStyle="1" w:styleId="CFlag">
    <w:name w:val="CFlag"/>
    <w:basedOn w:val="TableNormal"/>
    <w:uiPriority w:val="99"/>
    <w:rsid w:val="00457397"/>
    <w:rPr>
      <w:rFonts w:eastAsia="Times New Roman" w:cs="Times New Roman"/>
      <w:lang w:eastAsia="en-AU"/>
    </w:rPr>
    <w:tblPr/>
  </w:style>
  <w:style w:type="paragraph" w:customStyle="1" w:styleId="NotesHeading1">
    <w:name w:val="NotesHeading 1"/>
    <w:basedOn w:val="OPCParaBase"/>
    <w:next w:val="Normal"/>
    <w:rsid w:val="00457397"/>
    <w:rPr>
      <w:b/>
      <w:sz w:val="28"/>
      <w:szCs w:val="28"/>
    </w:rPr>
  </w:style>
  <w:style w:type="paragraph" w:customStyle="1" w:styleId="NotesHeading2">
    <w:name w:val="NotesHeading 2"/>
    <w:basedOn w:val="OPCParaBase"/>
    <w:next w:val="Normal"/>
    <w:rsid w:val="00457397"/>
    <w:rPr>
      <w:b/>
      <w:sz w:val="28"/>
      <w:szCs w:val="28"/>
    </w:rPr>
  </w:style>
  <w:style w:type="paragraph" w:customStyle="1" w:styleId="SignCoverPageEnd">
    <w:name w:val="SignCoverPageEnd"/>
    <w:basedOn w:val="OPCParaBase"/>
    <w:next w:val="Normal"/>
    <w:rsid w:val="004573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397"/>
    <w:pPr>
      <w:pBdr>
        <w:top w:val="single" w:sz="4" w:space="1" w:color="auto"/>
      </w:pBdr>
      <w:spacing w:before="360"/>
      <w:ind w:right="397"/>
      <w:jc w:val="both"/>
    </w:pPr>
  </w:style>
  <w:style w:type="paragraph" w:customStyle="1" w:styleId="Paragraphsub-sub-sub">
    <w:name w:val="Paragraph(sub-sub-sub)"/>
    <w:aliases w:val="aaaa"/>
    <w:basedOn w:val="OPCParaBase"/>
    <w:rsid w:val="004573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73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3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3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3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7397"/>
    <w:pPr>
      <w:spacing w:before="120"/>
    </w:pPr>
  </w:style>
  <w:style w:type="paragraph" w:customStyle="1" w:styleId="TableTextEndNotes">
    <w:name w:val="TableTextEndNotes"/>
    <w:aliases w:val="Tten"/>
    <w:basedOn w:val="Normal"/>
    <w:rsid w:val="00457397"/>
    <w:pPr>
      <w:spacing w:before="60" w:line="240" w:lineRule="auto"/>
    </w:pPr>
    <w:rPr>
      <w:rFonts w:cs="Arial"/>
      <w:sz w:val="20"/>
      <w:szCs w:val="22"/>
    </w:rPr>
  </w:style>
  <w:style w:type="paragraph" w:customStyle="1" w:styleId="TableHeading">
    <w:name w:val="TableHeading"/>
    <w:aliases w:val="th"/>
    <w:basedOn w:val="OPCParaBase"/>
    <w:next w:val="Tabletext"/>
    <w:rsid w:val="00457397"/>
    <w:pPr>
      <w:keepNext/>
      <w:spacing w:before="60" w:line="240" w:lineRule="atLeast"/>
    </w:pPr>
    <w:rPr>
      <w:b/>
      <w:sz w:val="20"/>
    </w:rPr>
  </w:style>
  <w:style w:type="paragraph" w:customStyle="1" w:styleId="NoteToSubpara">
    <w:name w:val="NoteToSubpara"/>
    <w:aliases w:val="nts"/>
    <w:basedOn w:val="OPCParaBase"/>
    <w:rsid w:val="00457397"/>
    <w:pPr>
      <w:spacing w:before="40" w:line="198" w:lineRule="exact"/>
      <w:ind w:left="2835" w:hanging="709"/>
    </w:pPr>
    <w:rPr>
      <w:sz w:val="18"/>
    </w:rPr>
  </w:style>
  <w:style w:type="paragraph" w:customStyle="1" w:styleId="ENoteTableHeading">
    <w:name w:val="ENoteTableHeading"/>
    <w:aliases w:val="enth"/>
    <w:basedOn w:val="OPCParaBase"/>
    <w:rsid w:val="00457397"/>
    <w:pPr>
      <w:keepNext/>
      <w:spacing w:before="60" w:line="240" w:lineRule="atLeast"/>
    </w:pPr>
    <w:rPr>
      <w:rFonts w:ascii="Arial" w:hAnsi="Arial"/>
      <w:b/>
      <w:sz w:val="16"/>
    </w:rPr>
  </w:style>
  <w:style w:type="paragraph" w:customStyle="1" w:styleId="ENoteTTi">
    <w:name w:val="ENoteTTi"/>
    <w:aliases w:val="entti"/>
    <w:basedOn w:val="OPCParaBase"/>
    <w:rsid w:val="00457397"/>
    <w:pPr>
      <w:keepNext/>
      <w:spacing w:before="60" w:line="240" w:lineRule="atLeast"/>
      <w:ind w:left="170"/>
    </w:pPr>
    <w:rPr>
      <w:sz w:val="16"/>
    </w:rPr>
  </w:style>
  <w:style w:type="paragraph" w:customStyle="1" w:styleId="ENotesHeading1">
    <w:name w:val="ENotesHeading 1"/>
    <w:aliases w:val="Enh1"/>
    <w:basedOn w:val="OPCParaBase"/>
    <w:next w:val="Normal"/>
    <w:rsid w:val="00457397"/>
    <w:pPr>
      <w:spacing w:before="120"/>
      <w:outlineLvl w:val="1"/>
    </w:pPr>
    <w:rPr>
      <w:b/>
      <w:sz w:val="28"/>
      <w:szCs w:val="28"/>
    </w:rPr>
  </w:style>
  <w:style w:type="paragraph" w:customStyle="1" w:styleId="ENotesHeading2">
    <w:name w:val="ENotesHeading 2"/>
    <w:aliases w:val="Enh2"/>
    <w:basedOn w:val="OPCParaBase"/>
    <w:next w:val="Normal"/>
    <w:rsid w:val="00457397"/>
    <w:pPr>
      <w:spacing w:before="120" w:after="120"/>
      <w:outlineLvl w:val="2"/>
    </w:pPr>
    <w:rPr>
      <w:b/>
      <w:sz w:val="24"/>
      <w:szCs w:val="28"/>
    </w:rPr>
  </w:style>
  <w:style w:type="paragraph" w:customStyle="1" w:styleId="ENoteTTIndentHeading">
    <w:name w:val="ENoteTTIndentHeading"/>
    <w:aliases w:val="enTTHi"/>
    <w:basedOn w:val="OPCParaBase"/>
    <w:rsid w:val="004573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7397"/>
    <w:pPr>
      <w:spacing w:before="60" w:line="240" w:lineRule="atLeast"/>
    </w:pPr>
    <w:rPr>
      <w:sz w:val="16"/>
    </w:rPr>
  </w:style>
  <w:style w:type="paragraph" w:customStyle="1" w:styleId="MadeunderText">
    <w:name w:val="MadeunderText"/>
    <w:basedOn w:val="OPCParaBase"/>
    <w:next w:val="Normal"/>
    <w:rsid w:val="00457397"/>
    <w:pPr>
      <w:spacing w:before="240"/>
    </w:pPr>
    <w:rPr>
      <w:sz w:val="24"/>
      <w:szCs w:val="24"/>
    </w:rPr>
  </w:style>
  <w:style w:type="paragraph" w:customStyle="1" w:styleId="ENotesHeading3">
    <w:name w:val="ENotesHeading 3"/>
    <w:aliases w:val="Enh3"/>
    <w:basedOn w:val="OPCParaBase"/>
    <w:next w:val="Normal"/>
    <w:rsid w:val="00457397"/>
    <w:pPr>
      <w:keepNext/>
      <w:spacing w:before="120" w:line="240" w:lineRule="auto"/>
      <w:outlineLvl w:val="4"/>
    </w:pPr>
    <w:rPr>
      <w:b/>
      <w:szCs w:val="24"/>
    </w:rPr>
  </w:style>
  <w:style w:type="paragraph" w:customStyle="1" w:styleId="SubPartCASA">
    <w:name w:val="SubPart(CASA)"/>
    <w:aliases w:val="csp"/>
    <w:basedOn w:val="OPCParaBase"/>
    <w:next w:val="ActHead3"/>
    <w:rsid w:val="004573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7397"/>
  </w:style>
  <w:style w:type="character" w:customStyle="1" w:styleId="CharSubPartNoCASA">
    <w:name w:val="CharSubPartNo(CASA)"/>
    <w:basedOn w:val="OPCCharBase"/>
    <w:uiPriority w:val="1"/>
    <w:rsid w:val="00457397"/>
  </w:style>
  <w:style w:type="paragraph" w:customStyle="1" w:styleId="ENoteTTIndentHeadingSub">
    <w:name w:val="ENoteTTIndentHeadingSub"/>
    <w:aliases w:val="enTTHis"/>
    <w:basedOn w:val="OPCParaBase"/>
    <w:rsid w:val="00457397"/>
    <w:pPr>
      <w:keepNext/>
      <w:spacing w:before="60" w:line="240" w:lineRule="atLeast"/>
      <w:ind w:left="340"/>
    </w:pPr>
    <w:rPr>
      <w:b/>
      <w:sz w:val="16"/>
    </w:rPr>
  </w:style>
  <w:style w:type="paragraph" w:customStyle="1" w:styleId="ENoteTTiSub">
    <w:name w:val="ENoteTTiSub"/>
    <w:aliases w:val="enttis"/>
    <w:basedOn w:val="OPCParaBase"/>
    <w:rsid w:val="00457397"/>
    <w:pPr>
      <w:keepNext/>
      <w:spacing w:before="60" w:line="240" w:lineRule="atLeast"/>
      <w:ind w:left="340"/>
    </w:pPr>
    <w:rPr>
      <w:sz w:val="16"/>
    </w:rPr>
  </w:style>
  <w:style w:type="paragraph" w:customStyle="1" w:styleId="SubDivisionMigration">
    <w:name w:val="SubDivisionMigration"/>
    <w:aliases w:val="sdm"/>
    <w:basedOn w:val="OPCParaBase"/>
    <w:rsid w:val="004573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397"/>
    <w:pPr>
      <w:keepNext/>
      <w:keepLines/>
      <w:spacing w:before="240" w:line="240" w:lineRule="auto"/>
      <w:ind w:left="1134" w:hanging="1134"/>
    </w:pPr>
    <w:rPr>
      <w:b/>
      <w:sz w:val="28"/>
    </w:rPr>
  </w:style>
  <w:style w:type="table" w:styleId="TableGrid">
    <w:name w:val="Table Grid"/>
    <w:basedOn w:val="TableNormal"/>
    <w:uiPriority w:val="59"/>
    <w:rsid w:val="0045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57397"/>
    <w:pPr>
      <w:spacing w:before="122" w:line="240" w:lineRule="auto"/>
      <w:ind w:left="1985" w:hanging="851"/>
    </w:pPr>
    <w:rPr>
      <w:sz w:val="18"/>
    </w:rPr>
  </w:style>
  <w:style w:type="paragraph" w:customStyle="1" w:styleId="FreeForm">
    <w:name w:val="FreeForm"/>
    <w:rsid w:val="00457397"/>
    <w:rPr>
      <w:rFonts w:ascii="Arial" w:hAnsi="Arial"/>
      <w:sz w:val="22"/>
    </w:rPr>
  </w:style>
  <w:style w:type="paragraph" w:customStyle="1" w:styleId="SOText">
    <w:name w:val="SO Text"/>
    <w:aliases w:val="sot"/>
    <w:link w:val="SOTextChar"/>
    <w:rsid w:val="004573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7397"/>
    <w:rPr>
      <w:sz w:val="22"/>
    </w:rPr>
  </w:style>
  <w:style w:type="paragraph" w:customStyle="1" w:styleId="SOTextNote">
    <w:name w:val="SO TextNote"/>
    <w:aliases w:val="sont"/>
    <w:basedOn w:val="SOText"/>
    <w:qFormat/>
    <w:rsid w:val="00457397"/>
    <w:pPr>
      <w:spacing w:before="122" w:line="198" w:lineRule="exact"/>
      <w:ind w:left="1843" w:hanging="709"/>
    </w:pPr>
    <w:rPr>
      <w:sz w:val="18"/>
    </w:rPr>
  </w:style>
  <w:style w:type="paragraph" w:customStyle="1" w:styleId="SOPara">
    <w:name w:val="SO Para"/>
    <w:aliases w:val="soa"/>
    <w:basedOn w:val="SOText"/>
    <w:link w:val="SOParaChar"/>
    <w:qFormat/>
    <w:rsid w:val="00457397"/>
    <w:pPr>
      <w:tabs>
        <w:tab w:val="right" w:pos="1786"/>
      </w:tabs>
      <w:spacing w:before="40"/>
      <w:ind w:left="2070" w:hanging="936"/>
    </w:pPr>
  </w:style>
  <w:style w:type="character" w:customStyle="1" w:styleId="SOParaChar">
    <w:name w:val="SO Para Char"/>
    <w:aliases w:val="soa Char"/>
    <w:basedOn w:val="DefaultParagraphFont"/>
    <w:link w:val="SOPara"/>
    <w:rsid w:val="00457397"/>
    <w:rPr>
      <w:sz w:val="22"/>
    </w:rPr>
  </w:style>
  <w:style w:type="paragraph" w:customStyle="1" w:styleId="FileName">
    <w:name w:val="FileName"/>
    <w:basedOn w:val="Normal"/>
    <w:rsid w:val="00457397"/>
  </w:style>
  <w:style w:type="paragraph" w:customStyle="1" w:styleId="SOHeadBold">
    <w:name w:val="SO HeadBold"/>
    <w:aliases w:val="sohb"/>
    <w:basedOn w:val="SOText"/>
    <w:next w:val="SOText"/>
    <w:link w:val="SOHeadBoldChar"/>
    <w:qFormat/>
    <w:rsid w:val="00457397"/>
    <w:rPr>
      <w:b/>
    </w:rPr>
  </w:style>
  <w:style w:type="character" w:customStyle="1" w:styleId="SOHeadBoldChar">
    <w:name w:val="SO HeadBold Char"/>
    <w:aliases w:val="sohb Char"/>
    <w:basedOn w:val="DefaultParagraphFont"/>
    <w:link w:val="SOHeadBold"/>
    <w:rsid w:val="00457397"/>
    <w:rPr>
      <w:b/>
      <w:sz w:val="22"/>
    </w:rPr>
  </w:style>
  <w:style w:type="paragraph" w:customStyle="1" w:styleId="SOHeadItalic">
    <w:name w:val="SO HeadItalic"/>
    <w:aliases w:val="sohi"/>
    <w:basedOn w:val="SOText"/>
    <w:next w:val="SOText"/>
    <w:link w:val="SOHeadItalicChar"/>
    <w:qFormat/>
    <w:rsid w:val="00457397"/>
    <w:rPr>
      <w:i/>
    </w:rPr>
  </w:style>
  <w:style w:type="character" w:customStyle="1" w:styleId="SOHeadItalicChar">
    <w:name w:val="SO HeadItalic Char"/>
    <w:aliases w:val="sohi Char"/>
    <w:basedOn w:val="DefaultParagraphFont"/>
    <w:link w:val="SOHeadItalic"/>
    <w:rsid w:val="00457397"/>
    <w:rPr>
      <w:i/>
      <w:sz w:val="22"/>
    </w:rPr>
  </w:style>
  <w:style w:type="paragraph" w:customStyle="1" w:styleId="SOBullet">
    <w:name w:val="SO Bullet"/>
    <w:aliases w:val="sotb"/>
    <w:basedOn w:val="SOText"/>
    <w:link w:val="SOBulletChar"/>
    <w:qFormat/>
    <w:rsid w:val="00457397"/>
    <w:pPr>
      <w:ind w:left="1559" w:hanging="425"/>
    </w:pPr>
  </w:style>
  <w:style w:type="character" w:customStyle="1" w:styleId="SOBulletChar">
    <w:name w:val="SO Bullet Char"/>
    <w:aliases w:val="sotb Char"/>
    <w:basedOn w:val="DefaultParagraphFont"/>
    <w:link w:val="SOBullet"/>
    <w:rsid w:val="00457397"/>
    <w:rPr>
      <w:sz w:val="22"/>
    </w:rPr>
  </w:style>
  <w:style w:type="paragraph" w:customStyle="1" w:styleId="SOBulletNote">
    <w:name w:val="SO BulletNote"/>
    <w:aliases w:val="sonb"/>
    <w:basedOn w:val="SOTextNote"/>
    <w:link w:val="SOBulletNoteChar"/>
    <w:qFormat/>
    <w:rsid w:val="00457397"/>
    <w:pPr>
      <w:tabs>
        <w:tab w:val="left" w:pos="1560"/>
      </w:tabs>
      <w:ind w:left="2268" w:hanging="1134"/>
    </w:pPr>
  </w:style>
  <w:style w:type="character" w:customStyle="1" w:styleId="SOBulletNoteChar">
    <w:name w:val="SO BulletNote Char"/>
    <w:aliases w:val="sonb Char"/>
    <w:basedOn w:val="DefaultParagraphFont"/>
    <w:link w:val="SOBulletNote"/>
    <w:rsid w:val="00457397"/>
    <w:rPr>
      <w:sz w:val="18"/>
    </w:rPr>
  </w:style>
  <w:style w:type="paragraph" w:customStyle="1" w:styleId="SOText2">
    <w:name w:val="SO Text2"/>
    <w:aliases w:val="sot2"/>
    <w:basedOn w:val="Normal"/>
    <w:next w:val="SOText"/>
    <w:link w:val="SOText2Char"/>
    <w:rsid w:val="004573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7397"/>
    <w:rPr>
      <w:sz w:val="22"/>
    </w:rPr>
  </w:style>
  <w:style w:type="paragraph" w:customStyle="1" w:styleId="Transitional">
    <w:name w:val="Transitional"/>
    <w:aliases w:val="tr"/>
    <w:basedOn w:val="ItemHead"/>
    <w:next w:val="Item"/>
    <w:rsid w:val="00457397"/>
  </w:style>
  <w:style w:type="character" w:customStyle="1" w:styleId="paragraphChar">
    <w:name w:val="paragraph Char"/>
    <w:aliases w:val="a Char"/>
    <w:link w:val="paragraph"/>
    <w:locked/>
    <w:rsid w:val="003B0B50"/>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3B0B50"/>
    <w:rPr>
      <w:rFonts w:eastAsia="Times New Roman" w:cs="Times New Roman"/>
      <w:sz w:val="22"/>
      <w:lang w:eastAsia="en-AU"/>
    </w:rPr>
  </w:style>
  <w:style w:type="character" w:customStyle="1" w:styleId="notetextChar">
    <w:name w:val="note(text) Char"/>
    <w:aliases w:val="n Char"/>
    <w:link w:val="notetext"/>
    <w:rsid w:val="003B0B50"/>
    <w:rPr>
      <w:rFonts w:eastAsia="Times New Roman" w:cs="Times New Roman"/>
      <w:sz w:val="18"/>
      <w:lang w:eastAsia="en-AU"/>
    </w:rPr>
  </w:style>
  <w:style w:type="character" w:customStyle="1" w:styleId="ItemHeadChar">
    <w:name w:val="ItemHead Char"/>
    <w:aliases w:val="ih Char"/>
    <w:basedOn w:val="DefaultParagraphFont"/>
    <w:link w:val="ItemHead"/>
    <w:rsid w:val="003B0B50"/>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5006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06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06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060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0060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0060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0060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006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060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F17FBC"/>
    <w:pPr>
      <w:spacing w:before="800"/>
    </w:pPr>
  </w:style>
  <w:style w:type="character" w:customStyle="1" w:styleId="ShortTP1Char">
    <w:name w:val="ShortTP1 Char"/>
    <w:basedOn w:val="DefaultParagraphFont"/>
    <w:link w:val="ShortTP1"/>
    <w:rsid w:val="00F17FBC"/>
    <w:rPr>
      <w:rFonts w:eastAsia="Times New Roman" w:cs="Times New Roman"/>
      <w:b/>
      <w:sz w:val="40"/>
      <w:lang w:eastAsia="en-AU"/>
    </w:rPr>
  </w:style>
  <w:style w:type="paragraph" w:customStyle="1" w:styleId="ActNoP1">
    <w:name w:val="ActNoP1"/>
    <w:basedOn w:val="Actno"/>
    <w:link w:val="ActNoP1Char"/>
    <w:rsid w:val="00F17FBC"/>
    <w:pPr>
      <w:spacing w:before="800"/>
    </w:pPr>
    <w:rPr>
      <w:sz w:val="28"/>
    </w:rPr>
  </w:style>
  <w:style w:type="character" w:customStyle="1" w:styleId="ActNoP1Char">
    <w:name w:val="ActNoP1 Char"/>
    <w:basedOn w:val="DefaultParagraphFont"/>
    <w:link w:val="ActNoP1"/>
    <w:rsid w:val="00F17FBC"/>
    <w:rPr>
      <w:rFonts w:eastAsia="Times New Roman" w:cs="Times New Roman"/>
      <w:b/>
      <w:sz w:val="28"/>
      <w:lang w:eastAsia="en-AU"/>
    </w:rPr>
  </w:style>
  <w:style w:type="paragraph" w:customStyle="1" w:styleId="AssentBk">
    <w:name w:val="AssentBk"/>
    <w:basedOn w:val="Normal"/>
    <w:rsid w:val="00F17FBC"/>
    <w:pPr>
      <w:spacing w:line="240" w:lineRule="auto"/>
    </w:pPr>
    <w:rPr>
      <w:rFonts w:eastAsia="Times New Roman" w:cs="Times New Roman"/>
      <w:sz w:val="20"/>
      <w:lang w:eastAsia="en-AU"/>
    </w:rPr>
  </w:style>
  <w:style w:type="paragraph" w:customStyle="1" w:styleId="AssentDt">
    <w:name w:val="AssentDt"/>
    <w:basedOn w:val="Normal"/>
    <w:rsid w:val="002B28FB"/>
    <w:pPr>
      <w:spacing w:line="240" w:lineRule="auto"/>
    </w:pPr>
    <w:rPr>
      <w:rFonts w:eastAsia="Times New Roman" w:cs="Times New Roman"/>
      <w:sz w:val="20"/>
      <w:lang w:eastAsia="en-AU"/>
    </w:rPr>
  </w:style>
  <w:style w:type="paragraph" w:customStyle="1" w:styleId="2ndRd">
    <w:name w:val="2ndRd"/>
    <w:basedOn w:val="Normal"/>
    <w:rsid w:val="002B28FB"/>
    <w:pPr>
      <w:spacing w:line="240" w:lineRule="auto"/>
    </w:pPr>
    <w:rPr>
      <w:rFonts w:eastAsia="Times New Roman" w:cs="Times New Roman"/>
      <w:sz w:val="20"/>
      <w:lang w:eastAsia="en-AU"/>
    </w:rPr>
  </w:style>
  <w:style w:type="paragraph" w:customStyle="1" w:styleId="ScalePlusRef">
    <w:name w:val="ScalePlusRef"/>
    <w:basedOn w:val="Normal"/>
    <w:rsid w:val="002B28F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DB55-4C90-48AA-8386-65EA2265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19</Pages>
  <Words>2514</Words>
  <Characters>12299</Characters>
  <Application>Microsoft Office Word</Application>
  <DocSecurity>0</DocSecurity>
  <PresentationFormat/>
  <Lines>455</Lines>
  <Paragraphs>370</Paragraphs>
  <ScaleCrop>false</ScaleCrop>
  <HeadingPairs>
    <vt:vector size="2" baseType="variant">
      <vt:variant>
        <vt:lpstr>Title</vt:lpstr>
      </vt:variant>
      <vt:variant>
        <vt:i4>1</vt:i4>
      </vt:variant>
    </vt:vector>
  </HeadingPairs>
  <TitlesOfParts>
    <vt:vector size="1" baseType="lpstr">
      <vt:lpstr>Greenhouse and Energy Minimum Standards Amendment (Administrative Changes) Bill 2023</vt:lpstr>
    </vt:vector>
  </TitlesOfParts>
  <Manager/>
  <Company/>
  <LinksUpToDate>false</LinksUpToDate>
  <CharactersWithSpaces>14443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2023-06-07T06:32:00Z</dcterms:created>
  <dcterms:modified xsi:type="dcterms:W3CDTF">2023-09-22T04:21:00Z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Greenhouse and Energy Minimum Standards Amendment (Administrative Changes) Act 2023</vt:lpwstr>
  </property>
  <property fmtid="{D5CDD505-2E9C-101B-9397-08002B2CF9AE}" pid="3" name="ActNo">
    <vt:lpwstr>No. 77,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OPC8045</vt:lpwstr>
  </property>
  <property fmtid="{D5CDD505-2E9C-101B-9397-08002B2CF9AE}" pid="10" name="DoNotAsk">
    <vt:lpwstr>0</vt:lpwstr>
  </property>
  <property fmtid="{D5CDD505-2E9C-101B-9397-08002B2CF9AE}" pid="11" name="ChangedTitle">
    <vt:lpwstr/>
  </property>
</Properties>
</file>