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EA23" w14:textId="77777777" w:rsidR="00C55306" w:rsidRDefault="00C55306" w:rsidP="002B4F08">
      <w:pPr>
        <w:jc w:val="center"/>
        <w:rPr>
          <w:b/>
          <w:bCs/>
        </w:rPr>
      </w:pPr>
    </w:p>
    <w:p w14:paraId="576C5C8E" w14:textId="6FF5165D" w:rsidR="00CD236A" w:rsidRPr="00A6757D" w:rsidRDefault="00537EE2" w:rsidP="00CD236A">
      <w:pPr>
        <w:jc w:val="center"/>
        <w:rPr>
          <w:rFonts w:cstheme="minorHAnsi"/>
          <w:b/>
          <w:bCs/>
        </w:rPr>
      </w:pPr>
      <w:r>
        <w:rPr>
          <w:rFonts w:cstheme="minorHAnsi"/>
          <w:b/>
          <w:bCs/>
        </w:rPr>
        <w:t xml:space="preserve">HEAD OF </w:t>
      </w:r>
      <w:r w:rsidR="00037C1A" w:rsidRPr="00A6757D">
        <w:rPr>
          <w:rFonts w:cstheme="minorHAnsi"/>
          <w:b/>
          <w:bCs/>
        </w:rPr>
        <w:t>DIVISION</w:t>
      </w:r>
      <w:r w:rsidR="00CD236A" w:rsidRPr="00A6757D">
        <w:rPr>
          <w:rFonts w:cstheme="minorHAnsi"/>
          <w:b/>
          <w:bCs/>
        </w:rPr>
        <w:t xml:space="preserve">, </w:t>
      </w:r>
      <w:r w:rsidR="001426CB" w:rsidRPr="00A6757D">
        <w:rPr>
          <w:rFonts w:cstheme="minorHAnsi"/>
          <w:b/>
          <w:bCs/>
        </w:rPr>
        <w:t>GAS AND LIQUID FUELS DIVISION</w:t>
      </w:r>
    </w:p>
    <w:p w14:paraId="7327A254" w14:textId="47102E64" w:rsidR="00CD236A" w:rsidRPr="00A6757D" w:rsidRDefault="00CD236A" w:rsidP="00CD236A">
      <w:pPr>
        <w:spacing w:after="0"/>
        <w:jc w:val="center"/>
        <w:rPr>
          <w:rFonts w:cstheme="minorHAnsi"/>
          <w:b/>
          <w:bCs/>
        </w:rPr>
      </w:pPr>
      <w:r w:rsidRPr="00A6757D">
        <w:rPr>
          <w:rFonts w:cstheme="minorHAnsi"/>
          <w:b/>
          <w:bCs/>
        </w:rPr>
        <w:t xml:space="preserve">DEPARTMENT OF </w:t>
      </w:r>
      <w:r w:rsidR="001426CB" w:rsidRPr="00A6757D">
        <w:rPr>
          <w:rFonts w:cstheme="minorHAnsi"/>
          <w:b/>
          <w:bCs/>
        </w:rPr>
        <w:t>CLIMATE CHANGE, ENERGY, THE ENVIRONMENT AND WATER</w:t>
      </w:r>
      <w:r w:rsidRPr="00A6757D">
        <w:rPr>
          <w:rFonts w:cstheme="minorHAnsi"/>
          <w:b/>
          <w:bCs/>
        </w:rPr>
        <w:t xml:space="preserve"> </w:t>
      </w:r>
    </w:p>
    <w:p w14:paraId="528B5C30" w14:textId="1DC12F31" w:rsidR="00CD236A" w:rsidRPr="00A6757D" w:rsidRDefault="00CD236A" w:rsidP="00CD236A">
      <w:pPr>
        <w:spacing w:after="0"/>
        <w:rPr>
          <w:rFonts w:cstheme="minorHAnsi"/>
          <w:b/>
          <w:bCs/>
        </w:rPr>
      </w:pPr>
      <w:r w:rsidRPr="00A6757D">
        <w:rPr>
          <w:rFonts w:cstheme="minorHAnsi"/>
          <w:b/>
          <w:bCs/>
        </w:rPr>
        <w:br/>
        <w:t xml:space="preserve">NOTICE UNDER SECTION 17A OF THE </w:t>
      </w:r>
      <w:r w:rsidRPr="00A6757D">
        <w:rPr>
          <w:rFonts w:cstheme="minorHAnsi"/>
          <w:b/>
          <w:bCs/>
          <w:i/>
        </w:rPr>
        <w:t>FUEL QUALITY STANDARDS ACT 2000</w:t>
      </w:r>
      <w:r w:rsidRPr="00A6757D">
        <w:rPr>
          <w:rFonts w:cstheme="minorHAnsi"/>
          <w:b/>
          <w:bCs/>
        </w:rPr>
        <w:t xml:space="preserve"> FOR VARIATION OF THE FUEL QUALITY STANDARDS (</w:t>
      </w:r>
      <w:r w:rsidR="001426CB" w:rsidRPr="00A6757D">
        <w:rPr>
          <w:rFonts w:cstheme="minorHAnsi"/>
          <w:b/>
          <w:bCs/>
        </w:rPr>
        <w:t>AUTOMOTIVE DIESEL) DETERMINATION 2019 –</w:t>
      </w:r>
      <w:r w:rsidRPr="00A6757D">
        <w:rPr>
          <w:rFonts w:cstheme="minorHAnsi"/>
          <w:b/>
          <w:bCs/>
        </w:rPr>
        <w:t xml:space="preserve"> </w:t>
      </w:r>
      <w:r w:rsidR="0075170B">
        <w:rPr>
          <w:rFonts w:cstheme="minorHAnsi"/>
          <w:b/>
          <w:bCs/>
        </w:rPr>
        <w:t>VIVA ENERGY AUSTRALIA</w:t>
      </w:r>
      <w:r w:rsidR="00683887">
        <w:rPr>
          <w:rFonts w:cstheme="minorHAnsi"/>
          <w:b/>
          <w:bCs/>
        </w:rPr>
        <w:t xml:space="preserve"> PTY LTD</w:t>
      </w:r>
      <w:r w:rsidRPr="00A6757D">
        <w:rPr>
          <w:rFonts w:cstheme="minorHAnsi"/>
          <w:b/>
          <w:bCs/>
        </w:rPr>
        <w:t xml:space="preserve"> (EXPIRY </w:t>
      </w:r>
      <w:r w:rsidR="001426CB" w:rsidRPr="00A6757D">
        <w:rPr>
          <w:rFonts w:cstheme="minorHAnsi"/>
          <w:b/>
          <w:bCs/>
        </w:rPr>
        <w:t>31</w:t>
      </w:r>
      <w:r w:rsidR="00EA1AFA">
        <w:rPr>
          <w:rFonts w:cstheme="minorHAnsi"/>
          <w:b/>
          <w:bCs/>
        </w:rPr>
        <w:t> </w:t>
      </w:r>
      <w:r w:rsidR="00683887">
        <w:rPr>
          <w:rFonts w:cstheme="minorHAnsi"/>
          <w:b/>
          <w:bCs/>
        </w:rPr>
        <w:t>DECEMBER 2024</w:t>
      </w:r>
      <w:r w:rsidRPr="00A6757D">
        <w:rPr>
          <w:rFonts w:cstheme="minorHAnsi"/>
          <w:b/>
          <w:bCs/>
        </w:rPr>
        <w:t>)</w:t>
      </w:r>
    </w:p>
    <w:p w14:paraId="475C7807" w14:textId="77777777" w:rsidR="00CD236A" w:rsidRPr="005E2CA5" w:rsidRDefault="00CD236A" w:rsidP="00CD236A">
      <w:pPr>
        <w:spacing w:after="0"/>
        <w:jc w:val="center"/>
        <w:rPr>
          <w:rFonts w:ascii="Arial" w:hAnsi="Arial" w:cs="Arial"/>
          <w:b/>
          <w:bCs/>
          <w:iCs/>
          <w:sz w:val="20"/>
          <w:szCs w:val="20"/>
        </w:rPr>
      </w:pPr>
    </w:p>
    <w:p w14:paraId="41756F2C" w14:textId="7E898BC2" w:rsidR="00CD236A" w:rsidRPr="00A6757D" w:rsidRDefault="00CD236A" w:rsidP="00CD236A">
      <w:pPr>
        <w:rPr>
          <w:rFonts w:cstheme="minorHAnsi"/>
        </w:rPr>
      </w:pPr>
      <w:r w:rsidRPr="00A6757D">
        <w:rPr>
          <w:rFonts w:cstheme="minorHAnsi"/>
          <w:bCs/>
        </w:rPr>
        <w:t xml:space="preserve">I, </w:t>
      </w:r>
      <w:r w:rsidR="001426CB" w:rsidRPr="00A6757D">
        <w:rPr>
          <w:rFonts w:cstheme="minorHAnsi"/>
          <w:bCs/>
        </w:rPr>
        <w:t xml:space="preserve">Michelle Croker, </w:t>
      </w:r>
      <w:r w:rsidR="00C3589D">
        <w:rPr>
          <w:rFonts w:cstheme="minorHAnsi"/>
          <w:bCs/>
        </w:rPr>
        <w:t>Head of Division</w:t>
      </w:r>
      <w:r w:rsidR="001426CB" w:rsidRPr="00A6757D">
        <w:rPr>
          <w:rFonts w:cstheme="minorHAnsi"/>
          <w:bCs/>
        </w:rPr>
        <w:t>,</w:t>
      </w:r>
      <w:r w:rsidRPr="00A6757D">
        <w:rPr>
          <w:rFonts w:cstheme="minorHAnsi"/>
          <w:bCs/>
        </w:rPr>
        <w:t xml:space="preserve"> </w:t>
      </w:r>
      <w:r w:rsidR="001426CB" w:rsidRPr="00A6757D">
        <w:rPr>
          <w:rFonts w:cstheme="minorHAnsi"/>
          <w:bCs/>
        </w:rPr>
        <w:t xml:space="preserve">Gas and Liquid Fuels </w:t>
      </w:r>
      <w:r w:rsidRPr="00A6757D">
        <w:rPr>
          <w:rFonts w:cstheme="minorHAnsi"/>
          <w:bCs/>
        </w:rPr>
        <w:t>Division, delegate of the Minister</w:t>
      </w:r>
      <w:r w:rsidR="001426CB" w:rsidRPr="00A6757D">
        <w:rPr>
          <w:rFonts w:cstheme="minorHAnsi"/>
          <w:bCs/>
        </w:rPr>
        <w:t xml:space="preserve"> for Climate Change and Energy</w:t>
      </w:r>
      <w:r w:rsidRPr="00A6757D">
        <w:rPr>
          <w:rFonts w:cstheme="minorHAnsi"/>
          <w:bCs/>
        </w:rPr>
        <w:t xml:space="preserve">, provide the following information concerning my decision to </w:t>
      </w:r>
      <w:r w:rsidR="0030294B">
        <w:rPr>
          <w:rFonts w:cstheme="minorHAnsi"/>
          <w:bCs/>
        </w:rPr>
        <w:t xml:space="preserve">vary </w:t>
      </w:r>
      <w:r w:rsidRPr="00A6757D">
        <w:rPr>
          <w:rFonts w:cstheme="minorHAnsi"/>
          <w:bCs/>
        </w:rPr>
        <w:t xml:space="preserve">an </w:t>
      </w:r>
      <w:r w:rsidR="0030294B">
        <w:rPr>
          <w:rFonts w:cstheme="minorHAnsi"/>
          <w:bCs/>
        </w:rPr>
        <w:t xml:space="preserve">existing </w:t>
      </w:r>
      <w:r w:rsidRPr="00A6757D">
        <w:rPr>
          <w:rFonts w:cstheme="minorHAnsi"/>
          <w:bCs/>
        </w:rPr>
        <w:t>approval under section</w:t>
      </w:r>
      <w:r w:rsidR="00C3589D">
        <w:rPr>
          <w:rFonts w:cstheme="minorHAnsi"/>
          <w:bCs/>
        </w:rPr>
        <w:t> </w:t>
      </w:r>
      <w:r w:rsidRPr="00A6757D">
        <w:rPr>
          <w:rFonts w:cstheme="minorHAnsi"/>
          <w:bCs/>
        </w:rPr>
        <w:t xml:space="preserve">13 of the </w:t>
      </w:r>
      <w:r w:rsidRPr="00A6757D">
        <w:rPr>
          <w:rFonts w:cstheme="minorHAnsi"/>
          <w:bCs/>
          <w:i/>
        </w:rPr>
        <w:t>Fuel Quality Standards Act 2000</w:t>
      </w:r>
      <w:r w:rsidRPr="00A6757D">
        <w:rPr>
          <w:rFonts w:cstheme="minorHAnsi"/>
          <w:bCs/>
        </w:rPr>
        <w:t xml:space="preserve"> (the Act).  </w:t>
      </w:r>
    </w:p>
    <w:p w14:paraId="5136C187" w14:textId="77777777" w:rsidR="00CD236A" w:rsidRPr="00A6757D" w:rsidRDefault="00CD236A" w:rsidP="00CD236A">
      <w:pPr>
        <w:rPr>
          <w:rFonts w:cstheme="minorHAnsi"/>
          <w:b/>
        </w:rPr>
      </w:pPr>
      <w:r w:rsidRPr="00A6757D">
        <w:rPr>
          <w:rFonts w:cstheme="minorHAnsi"/>
          <w:b/>
        </w:rPr>
        <w:t>Name of approval holder</w:t>
      </w:r>
    </w:p>
    <w:p w14:paraId="506C5BD4" w14:textId="0A56257B" w:rsidR="00CD236A" w:rsidRPr="00A6757D" w:rsidRDefault="00C77DDE" w:rsidP="00CD236A">
      <w:pPr>
        <w:rPr>
          <w:rFonts w:cstheme="minorHAnsi"/>
        </w:rPr>
      </w:pPr>
      <w:r>
        <w:rPr>
          <w:rFonts w:cstheme="minorHAnsi"/>
        </w:rPr>
        <w:t>Viva Energy Australia</w:t>
      </w:r>
      <w:r w:rsidR="00E72F87">
        <w:rPr>
          <w:rFonts w:cstheme="minorHAnsi"/>
        </w:rPr>
        <w:t xml:space="preserve"> Pty Ltd</w:t>
      </w:r>
      <w:r w:rsidR="00CD236A" w:rsidRPr="00A6757D">
        <w:rPr>
          <w:rFonts w:cstheme="minorHAnsi"/>
        </w:rPr>
        <w:t xml:space="preserve"> (ABN </w:t>
      </w:r>
      <w:r>
        <w:rPr>
          <w:rFonts w:cstheme="minorHAnsi"/>
        </w:rPr>
        <w:t>46 004 610 459</w:t>
      </w:r>
      <w:r w:rsidR="00CD236A" w:rsidRPr="00A6757D">
        <w:rPr>
          <w:rFonts w:cstheme="minorHAnsi"/>
        </w:rPr>
        <w:t>)</w:t>
      </w:r>
    </w:p>
    <w:p w14:paraId="0D77AA5B" w14:textId="680BB8F1" w:rsidR="00CD236A" w:rsidRPr="00A6757D" w:rsidRDefault="00CD236A" w:rsidP="00CD236A">
      <w:pPr>
        <w:rPr>
          <w:rFonts w:cstheme="minorHAnsi"/>
        </w:rPr>
      </w:pPr>
      <w:r w:rsidRPr="00A6757D">
        <w:rPr>
          <w:rFonts w:cstheme="minorHAnsi"/>
          <w:b/>
        </w:rPr>
        <w:t>Details of the approval</w:t>
      </w:r>
    </w:p>
    <w:p w14:paraId="2CE48F29" w14:textId="42F0358C" w:rsidR="001C5B6E" w:rsidRPr="00A6757D" w:rsidRDefault="00CD236A" w:rsidP="00CD236A">
      <w:pPr>
        <w:ind w:right="84"/>
        <w:rPr>
          <w:rFonts w:eastAsia="Calibri" w:cstheme="minorHAnsi"/>
        </w:rPr>
      </w:pPr>
      <w:r w:rsidRPr="00A6757D">
        <w:rPr>
          <w:rFonts w:eastAsia="Calibri" w:cstheme="minorHAnsi"/>
        </w:rPr>
        <w:t>The</w:t>
      </w:r>
      <w:r w:rsidR="0030294B">
        <w:rPr>
          <w:rFonts w:eastAsia="Calibri" w:cstheme="minorHAnsi"/>
        </w:rPr>
        <w:t xml:space="preserve"> existing</w:t>
      </w:r>
      <w:r w:rsidRPr="00A6757D">
        <w:rPr>
          <w:rFonts w:eastAsia="Calibri" w:cstheme="minorHAnsi"/>
        </w:rPr>
        <w:t xml:space="preserve"> approva</w:t>
      </w:r>
      <w:r w:rsidR="00D3103A" w:rsidRPr="00A6757D">
        <w:rPr>
          <w:rFonts w:eastAsia="Calibri" w:cstheme="minorHAnsi"/>
        </w:rPr>
        <w:t xml:space="preserve">l to </w:t>
      </w:r>
      <w:r w:rsidR="0075170B">
        <w:rPr>
          <w:rFonts w:eastAsia="Calibri" w:cstheme="minorHAnsi"/>
        </w:rPr>
        <w:t>Viva Energy Australia</w:t>
      </w:r>
      <w:r w:rsidR="00E72F87">
        <w:rPr>
          <w:rFonts w:eastAsia="Calibri" w:cstheme="minorHAnsi"/>
        </w:rPr>
        <w:t xml:space="preserve"> Pty Ltd</w:t>
      </w:r>
      <w:r w:rsidR="001C5B6E" w:rsidRPr="00A6757D">
        <w:rPr>
          <w:rFonts w:eastAsia="Calibri" w:cstheme="minorHAnsi"/>
        </w:rPr>
        <w:t xml:space="preserve"> was</w:t>
      </w:r>
      <w:r w:rsidRPr="00A6757D">
        <w:rPr>
          <w:rFonts w:eastAsia="Calibri" w:cstheme="minorHAnsi"/>
        </w:rPr>
        <w:t xml:space="preserve"> granted to vary the </w:t>
      </w:r>
      <w:r w:rsidRPr="00A6757D">
        <w:rPr>
          <w:rFonts w:eastAsia="Calibri" w:cstheme="minorHAnsi"/>
          <w:i/>
        </w:rPr>
        <w:t>Fuel</w:t>
      </w:r>
      <w:r w:rsidR="001426CB" w:rsidRPr="00A6757D">
        <w:rPr>
          <w:rFonts w:eastAsia="Calibri" w:cstheme="minorHAnsi"/>
          <w:i/>
        </w:rPr>
        <w:t xml:space="preserve"> Quality</w:t>
      </w:r>
      <w:r w:rsidRPr="00A6757D">
        <w:rPr>
          <w:rFonts w:eastAsia="Calibri" w:cstheme="minorHAnsi"/>
          <w:i/>
        </w:rPr>
        <w:t xml:space="preserve"> Standard</w:t>
      </w:r>
      <w:r w:rsidR="001426CB" w:rsidRPr="00A6757D">
        <w:rPr>
          <w:rFonts w:eastAsia="Calibri" w:cstheme="minorHAnsi"/>
          <w:i/>
        </w:rPr>
        <w:t>s</w:t>
      </w:r>
      <w:r w:rsidRPr="00A6757D">
        <w:rPr>
          <w:rFonts w:eastAsia="Calibri" w:cstheme="minorHAnsi"/>
          <w:i/>
        </w:rPr>
        <w:t xml:space="preserve"> (</w:t>
      </w:r>
      <w:r w:rsidR="001426CB" w:rsidRPr="00A6757D">
        <w:rPr>
          <w:rFonts w:eastAsia="Calibri" w:cstheme="minorHAnsi"/>
          <w:i/>
        </w:rPr>
        <w:t>Automotive Diesel) Determination 2019</w:t>
      </w:r>
      <w:r w:rsidR="001426CB" w:rsidRPr="00A6757D">
        <w:rPr>
          <w:rFonts w:eastAsia="Calibri" w:cstheme="minorHAnsi"/>
        </w:rPr>
        <w:t xml:space="preserve"> (the Diesel Determination) </w:t>
      </w:r>
      <w:r w:rsidR="001948DE" w:rsidRPr="00A6757D">
        <w:rPr>
          <w:rFonts w:eastAsia="Calibri" w:cstheme="minorHAnsi"/>
        </w:rPr>
        <w:t>to permit the supply of diesel</w:t>
      </w:r>
      <w:r w:rsidR="00683887">
        <w:rPr>
          <w:rFonts w:eastAsia="Calibri" w:cstheme="minorHAnsi"/>
        </w:rPr>
        <w:t>-biodiesel blended</w:t>
      </w:r>
      <w:r w:rsidR="005B5A07">
        <w:rPr>
          <w:rFonts w:eastAsia="Calibri" w:cstheme="minorHAnsi"/>
        </w:rPr>
        <w:t xml:space="preserve"> (B20)</w:t>
      </w:r>
      <w:r w:rsidR="00683887">
        <w:rPr>
          <w:rFonts w:eastAsia="Calibri" w:cstheme="minorHAnsi"/>
        </w:rPr>
        <w:t xml:space="preserve"> fuels</w:t>
      </w:r>
      <w:r w:rsidR="001948DE" w:rsidRPr="00A6757D">
        <w:rPr>
          <w:rFonts w:eastAsia="Calibri" w:cstheme="minorHAnsi"/>
        </w:rPr>
        <w:t xml:space="preserve"> specified in the original grant of approval. </w:t>
      </w:r>
      <w:r w:rsidR="001C5B6E" w:rsidRPr="00A6757D">
        <w:rPr>
          <w:rFonts w:eastAsia="Calibri" w:cstheme="minorHAnsi"/>
        </w:rPr>
        <w:t xml:space="preserve"> </w:t>
      </w:r>
    </w:p>
    <w:p w14:paraId="4BCDAC34" w14:textId="6429372C" w:rsidR="00CD236A" w:rsidRPr="00A6757D" w:rsidRDefault="00CD236A" w:rsidP="00CD236A">
      <w:pPr>
        <w:ind w:right="84"/>
        <w:rPr>
          <w:rFonts w:eastAsia="Calibri" w:cstheme="minorHAnsi"/>
        </w:rPr>
      </w:pPr>
      <w:r w:rsidRPr="00A6757D">
        <w:rPr>
          <w:rFonts w:eastAsia="Calibri" w:cstheme="minorHAnsi"/>
        </w:rPr>
        <w:t xml:space="preserve">Pursuant to </w:t>
      </w:r>
      <w:r w:rsidR="00597F3A">
        <w:rPr>
          <w:rFonts w:eastAsia="Calibri" w:cstheme="minorHAnsi"/>
        </w:rPr>
        <w:t>paragraphs</w:t>
      </w:r>
      <w:r w:rsidR="00597F3A" w:rsidRPr="00A6757D">
        <w:rPr>
          <w:rFonts w:eastAsia="Calibri" w:cstheme="minorHAnsi"/>
        </w:rPr>
        <w:t xml:space="preserve"> </w:t>
      </w:r>
      <w:r w:rsidRPr="00A6757D">
        <w:rPr>
          <w:rFonts w:eastAsia="Calibri" w:cstheme="minorHAnsi"/>
        </w:rPr>
        <w:t>13A(1) and (2) of the Act, the listed approval came into force on the date specified in the approval, and remain</w:t>
      </w:r>
      <w:r w:rsidR="00597F3A">
        <w:rPr>
          <w:rFonts w:eastAsia="Calibri" w:cstheme="minorHAnsi"/>
        </w:rPr>
        <w:t>s</w:t>
      </w:r>
      <w:r w:rsidRPr="00A6757D">
        <w:rPr>
          <w:rFonts w:eastAsia="Calibri" w:cstheme="minorHAnsi"/>
        </w:rPr>
        <w:t xml:space="preserve"> in force for the period specified in the approval (being until </w:t>
      </w:r>
      <w:r w:rsidR="001426CB" w:rsidRPr="00A6757D">
        <w:rPr>
          <w:rFonts w:eastAsia="Calibri" w:cstheme="minorHAnsi"/>
        </w:rPr>
        <w:t>31</w:t>
      </w:r>
      <w:r w:rsidRPr="00A6757D">
        <w:rPr>
          <w:rFonts w:eastAsia="Calibri" w:cstheme="minorHAnsi"/>
        </w:rPr>
        <w:t xml:space="preserve"> </w:t>
      </w:r>
      <w:r w:rsidR="001426CB" w:rsidRPr="00A6757D">
        <w:rPr>
          <w:rFonts w:eastAsia="Calibri" w:cstheme="minorHAnsi"/>
        </w:rPr>
        <w:t xml:space="preserve">December </w:t>
      </w:r>
      <w:r w:rsidR="001C5B6E" w:rsidRPr="00A6757D">
        <w:rPr>
          <w:rFonts w:eastAsia="Calibri" w:cstheme="minorHAnsi"/>
        </w:rPr>
        <w:t xml:space="preserve">2022).  </w:t>
      </w:r>
    </w:p>
    <w:p w14:paraId="2C5431D1" w14:textId="77777777" w:rsidR="00CD236A" w:rsidRPr="00A6757D" w:rsidRDefault="00CD236A" w:rsidP="00CD236A">
      <w:pPr>
        <w:ind w:right="84"/>
        <w:rPr>
          <w:rFonts w:eastAsia="Calibri" w:cstheme="minorHAnsi"/>
          <w:b/>
        </w:rPr>
      </w:pPr>
      <w:r w:rsidRPr="00A6757D">
        <w:rPr>
          <w:rFonts w:eastAsia="Calibri" w:cstheme="minorHAnsi"/>
          <w:b/>
        </w:rPr>
        <w:t>Details of the variation</w:t>
      </w:r>
    </w:p>
    <w:p w14:paraId="488762F8" w14:textId="6EBF72DC" w:rsidR="00805CF1" w:rsidRDefault="00CD236A" w:rsidP="00CD236A">
      <w:pPr>
        <w:ind w:right="84"/>
        <w:rPr>
          <w:rFonts w:eastAsia="Calibri" w:cstheme="minorHAnsi"/>
        </w:rPr>
      </w:pPr>
      <w:r w:rsidRPr="00A6757D">
        <w:rPr>
          <w:rFonts w:eastAsia="Calibri" w:cstheme="minorHAnsi"/>
        </w:rPr>
        <w:t xml:space="preserve">Pursuant to </w:t>
      </w:r>
      <w:r w:rsidR="00597F3A">
        <w:rPr>
          <w:rFonts w:eastAsia="Calibri" w:cstheme="minorHAnsi"/>
        </w:rPr>
        <w:t>paragraph</w:t>
      </w:r>
      <w:r w:rsidR="00597F3A" w:rsidRPr="00A6757D">
        <w:rPr>
          <w:rFonts w:eastAsia="Calibri" w:cstheme="minorHAnsi"/>
        </w:rPr>
        <w:t xml:space="preserve"> </w:t>
      </w:r>
      <w:r w:rsidRPr="00A6757D">
        <w:rPr>
          <w:rFonts w:eastAsia="Calibri" w:cstheme="minorHAnsi"/>
        </w:rPr>
        <w:t xml:space="preserve">17D(1) of the Act, the period of effect of the listed approval has been varied in respect of the supply of </w:t>
      </w:r>
      <w:r w:rsidR="001426CB" w:rsidRPr="00A6757D">
        <w:rPr>
          <w:rFonts w:eastAsia="Calibri" w:cstheme="minorHAnsi"/>
        </w:rPr>
        <w:t>diesel</w:t>
      </w:r>
      <w:r w:rsidRPr="00A6757D">
        <w:rPr>
          <w:rFonts w:eastAsia="Calibri" w:cstheme="minorHAnsi"/>
        </w:rPr>
        <w:t xml:space="preserve"> until </w:t>
      </w:r>
      <w:r w:rsidR="00E72F87">
        <w:rPr>
          <w:rFonts w:eastAsia="Calibri" w:cstheme="minorHAnsi"/>
        </w:rPr>
        <w:t>31 December 2024</w:t>
      </w:r>
      <w:r w:rsidRPr="00A6757D">
        <w:rPr>
          <w:rFonts w:eastAsia="Calibri" w:cstheme="minorHAnsi"/>
        </w:rPr>
        <w:t xml:space="preserve">. </w:t>
      </w:r>
      <w:r w:rsidR="00805CF1">
        <w:rPr>
          <w:rFonts w:eastAsia="Calibri" w:cstheme="minorHAnsi"/>
        </w:rPr>
        <w:t>The maximum density under the Diesel Determination is also varied to 860 kg/m</w:t>
      </w:r>
      <w:r w:rsidR="00805CF1">
        <w:rPr>
          <w:rFonts w:eastAsia="Calibri" w:cstheme="minorHAnsi"/>
          <w:vertAlign w:val="superscript"/>
        </w:rPr>
        <w:t>3</w:t>
      </w:r>
      <w:r w:rsidR="00805CF1">
        <w:rPr>
          <w:rFonts w:eastAsia="Calibri" w:cstheme="minorHAnsi"/>
        </w:rPr>
        <w:t>.</w:t>
      </w:r>
    </w:p>
    <w:p w14:paraId="07C68D8C" w14:textId="2DB1B08A" w:rsidR="00596C59" w:rsidRDefault="00596C59" w:rsidP="00CD236A">
      <w:pPr>
        <w:ind w:right="84"/>
        <w:rPr>
          <w:rFonts w:eastAsia="Calibri" w:cstheme="minorHAnsi"/>
        </w:rPr>
      </w:pPr>
      <w:r w:rsidRPr="00596C59">
        <w:rPr>
          <w:rFonts w:eastAsia="Calibri" w:cstheme="minorHAnsi"/>
        </w:rPr>
        <w:t xml:space="preserve">The approval comes into force at the immediate conclusion of the previously granted approval, being from </w:t>
      </w:r>
      <w:r w:rsidR="00E72F87">
        <w:rPr>
          <w:rFonts w:eastAsia="Calibri" w:cstheme="minorHAnsi"/>
        </w:rPr>
        <w:t>1 January 2023 until 31 Dec</w:t>
      </w:r>
      <w:r w:rsidR="007A16C2">
        <w:rPr>
          <w:rFonts w:eastAsia="Calibri" w:cstheme="minorHAnsi"/>
        </w:rPr>
        <w:t>ember</w:t>
      </w:r>
      <w:r w:rsidR="00E72F87">
        <w:rPr>
          <w:rFonts w:eastAsia="Calibri" w:cstheme="minorHAnsi"/>
        </w:rPr>
        <w:t xml:space="preserve"> 2024</w:t>
      </w:r>
      <w:r w:rsidR="005B5A07" w:rsidRPr="005B5A07">
        <w:rPr>
          <w:rFonts w:eastAsia="Calibri" w:cstheme="minorHAnsi"/>
        </w:rPr>
        <w:t>, or until a B20 diesel biodiesel standard has been made, whichever occurs first.</w:t>
      </w:r>
    </w:p>
    <w:p w14:paraId="3507DA1F" w14:textId="32522B2B" w:rsidR="00CD236A" w:rsidRPr="00A6757D" w:rsidRDefault="00AD5CFC" w:rsidP="00CD236A">
      <w:pPr>
        <w:ind w:right="84"/>
        <w:rPr>
          <w:rFonts w:eastAsia="Calibri" w:cstheme="minorHAnsi"/>
        </w:rPr>
      </w:pPr>
      <w:r w:rsidRPr="00C77DDE">
        <w:rPr>
          <w:rFonts w:eastAsia="Calibri" w:cstheme="minorHAnsi"/>
        </w:rPr>
        <w:t xml:space="preserve">The conditions </w:t>
      </w:r>
      <w:r w:rsidR="00A6757D" w:rsidRPr="00C77DDE">
        <w:rPr>
          <w:rFonts w:eastAsia="Calibri" w:cstheme="minorHAnsi"/>
        </w:rPr>
        <w:t>of the approval</w:t>
      </w:r>
      <w:r w:rsidR="00E72F87" w:rsidRPr="00C77DDE">
        <w:rPr>
          <w:rFonts w:eastAsia="Calibri" w:cstheme="minorHAnsi"/>
        </w:rPr>
        <w:t xml:space="preserve"> have also been</w:t>
      </w:r>
      <w:r w:rsidR="00C77DDE" w:rsidRPr="00C77DDE">
        <w:rPr>
          <w:rFonts w:eastAsia="Calibri" w:cstheme="minorHAnsi"/>
        </w:rPr>
        <w:t xml:space="preserve"> updated </w:t>
      </w:r>
      <w:r w:rsidR="00E72F87" w:rsidRPr="00C77DDE">
        <w:rPr>
          <w:rFonts w:eastAsia="Calibri" w:cstheme="minorHAnsi"/>
        </w:rPr>
        <w:t>to reduce duplicative reporting conditions.</w:t>
      </w:r>
    </w:p>
    <w:p w14:paraId="09479DC6" w14:textId="77777777" w:rsidR="00CD236A" w:rsidRPr="00A6757D" w:rsidRDefault="00CD236A" w:rsidP="00CD236A">
      <w:pPr>
        <w:ind w:right="84"/>
        <w:rPr>
          <w:rFonts w:cstheme="minorHAnsi"/>
          <w:b/>
        </w:rPr>
      </w:pPr>
      <w:r w:rsidRPr="00A6757D">
        <w:rPr>
          <w:rFonts w:cstheme="minorHAnsi"/>
          <w:b/>
        </w:rPr>
        <w:t>Summary of reasons for the approval</w:t>
      </w:r>
    </w:p>
    <w:p w14:paraId="6469B250" w14:textId="5FD5DFB3" w:rsidR="002741D9" w:rsidRPr="00A6757D" w:rsidRDefault="00A17709" w:rsidP="00676011">
      <w:pPr>
        <w:keepNext/>
        <w:ind w:right="85"/>
        <w:rPr>
          <w:rFonts w:cstheme="minorHAnsi"/>
        </w:rPr>
      </w:pPr>
      <w:r w:rsidRPr="00A6757D">
        <w:rPr>
          <w:rFonts w:cstheme="minorHAnsi"/>
        </w:rPr>
        <w:t xml:space="preserve">Having consulted with the Fuel Standards Consultative Committee as required by section 24A of the Act, </w:t>
      </w:r>
      <w:r w:rsidR="00106028" w:rsidRPr="00A6757D">
        <w:rPr>
          <w:rFonts w:cstheme="minorHAnsi"/>
        </w:rPr>
        <w:t>I grant the approval as provided for in section 15 of the Act for the following reasons:</w:t>
      </w:r>
    </w:p>
    <w:p w14:paraId="391DF4DC" w14:textId="29A25EA3" w:rsidR="008F023B" w:rsidRDefault="00FD3537" w:rsidP="00A6757D">
      <w:pPr>
        <w:pStyle w:val="ListParagraph"/>
        <w:numPr>
          <w:ilvl w:val="0"/>
          <w:numId w:val="19"/>
        </w:numPr>
        <w:rPr>
          <w:i/>
        </w:rPr>
      </w:pPr>
      <w:r w:rsidRPr="00A6757D">
        <w:rPr>
          <w:i/>
        </w:rPr>
        <w:t>The protection of the environment</w:t>
      </w:r>
    </w:p>
    <w:p w14:paraId="1C2D3E3C" w14:textId="51FBEE2B" w:rsidR="00E72F87" w:rsidRPr="00CA5772" w:rsidRDefault="00E72F87" w:rsidP="00CA5772">
      <w:pPr>
        <w:autoSpaceDE w:val="0"/>
        <w:autoSpaceDN w:val="0"/>
        <w:spacing w:before="160" w:after="120"/>
        <w:ind w:left="720"/>
        <w:rPr>
          <w:rFonts w:cstheme="minorHAnsi"/>
        </w:rPr>
      </w:pPr>
      <w:r w:rsidRPr="00E72F87">
        <w:rPr>
          <w:rFonts w:cstheme="minorHAnsi"/>
        </w:rPr>
        <w:t xml:space="preserve">Tailpipe emissions from diesel-biodiesel blend use, compared to diesel, will have both positive and negative impacts on air quality as the level of biodiesel in the blend increases. </w:t>
      </w:r>
      <w:r w:rsidR="00C77DDE" w:rsidRPr="00C77DDE">
        <w:rPr>
          <w:rFonts w:cstheme="minorHAnsi"/>
        </w:rPr>
        <w:t xml:space="preserve">In general, emissions </w:t>
      </w:r>
      <w:r w:rsidR="00C77DDE" w:rsidRPr="00C77DDE">
        <w:rPr>
          <w:rFonts w:cstheme="minorHAnsi"/>
        </w:rPr>
        <w:lastRenderedPageBreak/>
        <w:t>of oxides of nitrogen increase, but particulate matter, hydrocarbons and carbon monoxide emissions all decrease.</w:t>
      </w:r>
    </w:p>
    <w:p w14:paraId="12410600" w14:textId="4E09D8C0" w:rsidR="00307F25" w:rsidRPr="00307F25" w:rsidRDefault="006F0050" w:rsidP="00307F25">
      <w:pPr>
        <w:pStyle w:val="ListParagraph"/>
        <w:numPr>
          <w:ilvl w:val="0"/>
          <w:numId w:val="19"/>
        </w:numPr>
        <w:rPr>
          <w:i/>
        </w:rPr>
      </w:pPr>
      <w:r w:rsidRPr="00A6757D">
        <w:rPr>
          <w:i/>
        </w:rPr>
        <w:t>The protection of occupational and public health and safety</w:t>
      </w:r>
    </w:p>
    <w:p w14:paraId="2566679C" w14:textId="112F9458" w:rsidR="00307F25" w:rsidRPr="00307F25" w:rsidRDefault="00C77DDE" w:rsidP="00307F25">
      <w:pPr>
        <w:autoSpaceDE w:val="0"/>
        <w:autoSpaceDN w:val="0"/>
        <w:spacing w:before="160" w:after="120"/>
        <w:ind w:left="720"/>
        <w:rPr>
          <w:rFonts w:cstheme="minorHAnsi"/>
        </w:rPr>
      </w:pPr>
      <w:r w:rsidRPr="00307F25">
        <w:rPr>
          <w:rFonts w:cstheme="minorHAnsi"/>
        </w:rPr>
        <w:t>Diesel with up to 20 per cent biodiesel content has been shown to be similar to mineral diesel. Its impact on occupational health and safety should be no greater than diesel</w:t>
      </w:r>
      <w:r w:rsidR="00307F25" w:rsidRPr="00307F25">
        <w:rPr>
          <w:rFonts w:cstheme="minorHAnsi"/>
        </w:rPr>
        <w:t xml:space="preserve"> already supplied to the market.</w:t>
      </w:r>
    </w:p>
    <w:p w14:paraId="10479EA7" w14:textId="11234BF6" w:rsidR="00C77DDE" w:rsidRPr="00307F25" w:rsidRDefault="00FD3537" w:rsidP="00307F25">
      <w:pPr>
        <w:pStyle w:val="ListParagraph"/>
        <w:numPr>
          <w:ilvl w:val="0"/>
          <w:numId w:val="19"/>
        </w:numPr>
        <w:rPr>
          <w:i/>
        </w:rPr>
      </w:pPr>
      <w:r w:rsidRPr="00A6757D">
        <w:rPr>
          <w:i/>
        </w:rPr>
        <w:t>The interests of consumers</w:t>
      </w:r>
    </w:p>
    <w:p w14:paraId="1B101D48" w14:textId="13449321" w:rsidR="00C77DDE" w:rsidRPr="00307F25" w:rsidRDefault="00C77DDE" w:rsidP="00307F25">
      <w:pPr>
        <w:autoSpaceDE w:val="0"/>
        <w:autoSpaceDN w:val="0"/>
        <w:spacing w:before="160" w:after="120"/>
        <w:ind w:left="720"/>
        <w:rPr>
          <w:rFonts w:cstheme="minorHAnsi"/>
        </w:rPr>
      </w:pPr>
      <w:r w:rsidRPr="00307F25">
        <w:rPr>
          <w:rFonts w:cstheme="minorHAnsi"/>
        </w:rPr>
        <w:t xml:space="preserve">As required under the conditions of the original approval, fuel suppliers supplying diesel biodiesel blends can only supply that fuel under contract to commercial users and not at forecourts. </w:t>
      </w:r>
    </w:p>
    <w:p w14:paraId="1DAB2171" w14:textId="21D16477" w:rsidR="00C77DDE" w:rsidRPr="006667CC" w:rsidRDefault="00C77DDE" w:rsidP="006667CC">
      <w:pPr>
        <w:autoSpaceDE w:val="0"/>
        <w:autoSpaceDN w:val="0"/>
        <w:spacing w:before="160" w:after="120"/>
        <w:ind w:left="720"/>
        <w:rPr>
          <w:rFonts w:cstheme="minorHAnsi"/>
        </w:rPr>
      </w:pPr>
      <w:r w:rsidRPr="00307F25">
        <w:rPr>
          <w:rFonts w:cstheme="minorHAnsi"/>
        </w:rPr>
        <w:t>In addition, fuel dispensers must also be clearly labelled to advise consumers that the diesel contains biodiesel to address any potential warranty issues.</w:t>
      </w:r>
    </w:p>
    <w:p w14:paraId="378C4BFB" w14:textId="77777777" w:rsidR="00FD3537" w:rsidRPr="00A6757D" w:rsidRDefault="00FD3537" w:rsidP="00A6757D">
      <w:pPr>
        <w:pStyle w:val="ListParagraph"/>
        <w:numPr>
          <w:ilvl w:val="0"/>
          <w:numId w:val="19"/>
        </w:numPr>
        <w:rPr>
          <w:i/>
        </w:rPr>
      </w:pPr>
      <w:r w:rsidRPr="00A6757D">
        <w:rPr>
          <w:i/>
        </w:rPr>
        <w:t>The impact on economic and regional development</w:t>
      </w:r>
    </w:p>
    <w:p w14:paraId="565A02A8" w14:textId="77777777" w:rsidR="00C77DDE" w:rsidRPr="00C77DDE" w:rsidRDefault="00C77DDE" w:rsidP="00C77DDE">
      <w:pPr>
        <w:autoSpaceDE w:val="0"/>
        <w:autoSpaceDN w:val="0"/>
        <w:spacing w:before="160" w:after="120"/>
        <w:ind w:left="720"/>
        <w:rPr>
          <w:rFonts w:cstheme="minorHAnsi"/>
        </w:rPr>
      </w:pPr>
      <w:r w:rsidRPr="00C77DDE">
        <w:rPr>
          <w:rFonts w:cstheme="minorHAnsi"/>
        </w:rPr>
        <w:t>Biodiesel blends are already being supplied to the market and the approvals are required to allow suppliers to continue supplying blends to existing and potential customers.</w:t>
      </w:r>
    </w:p>
    <w:p w14:paraId="062FCD08" w14:textId="5624D4E0" w:rsidR="00B60669" w:rsidRPr="00C77DDE" w:rsidRDefault="00C77DDE" w:rsidP="00C77DDE">
      <w:pPr>
        <w:autoSpaceDE w:val="0"/>
        <w:autoSpaceDN w:val="0"/>
        <w:spacing w:before="160" w:after="120"/>
        <w:ind w:left="720"/>
        <w:rPr>
          <w:rFonts w:cstheme="minorHAnsi"/>
        </w:rPr>
      </w:pPr>
      <w:r w:rsidRPr="00C77DDE">
        <w:rPr>
          <w:rFonts w:cstheme="minorHAnsi"/>
        </w:rPr>
        <w:t>As the level of biodiesel allowed in diesel has been capped at five per cent, the industry cannot legally supply blends higher than five per cent. Granting this variation provides blends greater than five per cent to be supplied, which will support the growth of the Australian biodiesel industry.</w:t>
      </w:r>
    </w:p>
    <w:p w14:paraId="58196D08" w14:textId="77777777" w:rsidR="00C77DDE" w:rsidRDefault="00C77DDE" w:rsidP="00533CC9">
      <w:pPr>
        <w:spacing w:after="0"/>
        <w:rPr>
          <w:rFonts w:cstheme="minorHAnsi"/>
          <w:b/>
        </w:rPr>
      </w:pPr>
    </w:p>
    <w:p w14:paraId="7041B37C" w14:textId="77777777" w:rsidR="00C77DDE" w:rsidRDefault="00C77DDE" w:rsidP="00533CC9">
      <w:pPr>
        <w:spacing w:after="0"/>
        <w:rPr>
          <w:rFonts w:cstheme="minorHAnsi"/>
          <w:b/>
        </w:rPr>
      </w:pPr>
    </w:p>
    <w:p w14:paraId="238FA0D2" w14:textId="77777777" w:rsidR="00C77DDE" w:rsidRDefault="00C77DDE" w:rsidP="00533CC9">
      <w:pPr>
        <w:spacing w:after="0"/>
        <w:rPr>
          <w:rFonts w:cstheme="minorHAnsi"/>
          <w:b/>
        </w:rPr>
      </w:pPr>
    </w:p>
    <w:p w14:paraId="6870DA73" w14:textId="2D1FF666" w:rsidR="006F0050" w:rsidRPr="00A6757D" w:rsidRDefault="00D82365" w:rsidP="00533CC9">
      <w:pPr>
        <w:spacing w:after="0"/>
        <w:rPr>
          <w:rFonts w:cstheme="minorHAnsi"/>
          <w:b/>
        </w:rPr>
      </w:pPr>
      <w:r w:rsidRPr="00A6757D">
        <w:rPr>
          <w:rFonts w:cstheme="minorHAnsi"/>
          <w:b/>
        </w:rPr>
        <w:t>………………………………………………………………………….</w:t>
      </w:r>
    </w:p>
    <w:p w14:paraId="79CD8BAC" w14:textId="512AAE6D" w:rsidR="00A02041" w:rsidRPr="00A6757D" w:rsidRDefault="008F023B" w:rsidP="00A02041">
      <w:pPr>
        <w:spacing w:after="0"/>
        <w:rPr>
          <w:rFonts w:cstheme="minorHAnsi"/>
          <w:b/>
        </w:rPr>
      </w:pPr>
      <w:r w:rsidRPr="00A6757D">
        <w:rPr>
          <w:rFonts w:cstheme="minorHAnsi"/>
          <w:b/>
        </w:rPr>
        <w:t>Michelle Croker</w:t>
      </w:r>
    </w:p>
    <w:p w14:paraId="5D7431E7" w14:textId="698ED01A" w:rsidR="00A02041" w:rsidRPr="00A6757D" w:rsidRDefault="000C25E9" w:rsidP="00A02041">
      <w:pPr>
        <w:spacing w:after="0"/>
        <w:rPr>
          <w:rFonts w:cstheme="minorHAnsi"/>
          <w:b/>
        </w:rPr>
      </w:pPr>
      <w:r>
        <w:rPr>
          <w:rFonts w:cstheme="minorHAnsi"/>
          <w:b/>
        </w:rPr>
        <w:t xml:space="preserve">Head of </w:t>
      </w:r>
      <w:r w:rsidR="00A6757D">
        <w:rPr>
          <w:rFonts w:cstheme="minorHAnsi"/>
          <w:b/>
        </w:rPr>
        <w:t>Division</w:t>
      </w:r>
      <w:r w:rsidR="00A02041" w:rsidRPr="00A6757D">
        <w:rPr>
          <w:rFonts w:cstheme="minorHAnsi"/>
          <w:b/>
        </w:rPr>
        <w:t xml:space="preserve">, </w:t>
      </w:r>
      <w:r w:rsidR="008F023B" w:rsidRPr="00A6757D">
        <w:rPr>
          <w:rFonts w:cstheme="minorHAnsi"/>
          <w:b/>
        </w:rPr>
        <w:t>Gas and Liquid Fuels Division</w:t>
      </w:r>
      <w:r w:rsidR="00A02041" w:rsidRPr="00A6757D">
        <w:rPr>
          <w:rFonts w:cstheme="minorHAnsi"/>
          <w:b/>
        </w:rPr>
        <w:t xml:space="preserve">  </w:t>
      </w:r>
    </w:p>
    <w:p w14:paraId="0026D94D" w14:textId="6BAB15CF" w:rsidR="00602E7C" w:rsidRPr="00A6757D" w:rsidRDefault="00673EE3" w:rsidP="00602E7C">
      <w:pPr>
        <w:spacing w:after="0"/>
        <w:rPr>
          <w:rFonts w:cstheme="minorHAnsi"/>
          <w:b/>
        </w:rPr>
      </w:pPr>
      <w:r>
        <w:rPr>
          <w:rFonts w:cstheme="minorHAnsi"/>
          <w:b/>
        </w:rPr>
        <w:t>19</w:t>
      </w:r>
      <w:r w:rsidR="00537EE2">
        <w:rPr>
          <w:rFonts w:cstheme="minorHAnsi"/>
          <w:b/>
        </w:rPr>
        <w:t xml:space="preserve"> </w:t>
      </w:r>
      <w:r w:rsidR="008F023B" w:rsidRPr="00A6757D">
        <w:rPr>
          <w:rFonts w:cstheme="minorHAnsi"/>
          <w:b/>
        </w:rPr>
        <w:t>December</w:t>
      </w:r>
      <w:r w:rsidR="00602E7C" w:rsidRPr="00A6757D">
        <w:rPr>
          <w:rFonts w:cstheme="minorHAnsi"/>
          <w:b/>
        </w:rPr>
        <w:t xml:space="preserve"> 2022 </w:t>
      </w:r>
    </w:p>
    <w:p w14:paraId="79A6FC97" w14:textId="6CA10F1C" w:rsidR="006F0050" w:rsidRPr="00611973" w:rsidRDefault="006F0050" w:rsidP="00A02041">
      <w:pPr>
        <w:spacing w:after="0"/>
        <w:rPr>
          <w:rFonts w:ascii="Arial" w:hAnsi="Arial" w:cs="Arial"/>
          <w:b/>
          <w:bCs/>
        </w:rPr>
      </w:pPr>
    </w:p>
    <w:sectPr w:rsidR="006F0050" w:rsidRPr="00611973" w:rsidSect="00E145F1">
      <w:headerReference w:type="first" r:id="rId12"/>
      <w:type w:val="continuous"/>
      <w:pgSz w:w="11906" w:h="16838" w:code="9"/>
      <w:pgMar w:top="567" w:right="1134" w:bottom="567" w:left="1134" w:header="1134"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7629" w14:textId="77777777" w:rsidR="00E80882" w:rsidRDefault="00E80882" w:rsidP="003A707F">
      <w:pPr>
        <w:spacing w:after="0" w:line="240" w:lineRule="auto"/>
      </w:pPr>
      <w:r>
        <w:separator/>
      </w:r>
    </w:p>
  </w:endnote>
  <w:endnote w:type="continuationSeparator" w:id="0">
    <w:p w14:paraId="3B3904ED" w14:textId="77777777" w:rsidR="00E80882" w:rsidRDefault="00E8088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1B4D" w14:textId="77777777" w:rsidR="00E80882" w:rsidRDefault="00E80882" w:rsidP="003A707F">
      <w:pPr>
        <w:spacing w:after="0" w:line="240" w:lineRule="auto"/>
      </w:pPr>
      <w:r>
        <w:separator/>
      </w:r>
    </w:p>
  </w:footnote>
  <w:footnote w:type="continuationSeparator" w:id="0">
    <w:p w14:paraId="7E1CD22B" w14:textId="77777777" w:rsidR="00E80882" w:rsidRDefault="00E8088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5B0B44" w:rsidRPr="00CE796A" w14:paraId="71DEEA5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1DEEA57" w14:textId="77777777" w:rsidR="005B0B44" w:rsidRPr="00CE796A" w:rsidRDefault="005B0B44"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1DEEA61" wp14:editId="3B463E7F">
                <wp:extent cx="702945" cy="544195"/>
                <wp:effectExtent l="0" t="0" r="0" b="825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1DEEA58" w14:textId="77777777" w:rsidR="005B0B44" w:rsidRPr="00CE796A" w:rsidRDefault="005B0B4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1DEEA59" w14:textId="77777777" w:rsidR="005B0B44" w:rsidRPr="00CE796A" w:rsidRDefault="005B0B4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B0B44" w:rsidRPr="00CE796A" w14:paraId="71DEEA5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1DEEA5B" w14:textId="77777777" w:rsidR="005B0B44" w:rsidRPr="00CE796A" w:rsidRDefault="005B0B44"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1DEEA5C" w14:textId="77777777" w:rsidR="005B0B44" w:rsidRPr="00840A06" w:rsidRDefault="005B0B4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1DEEA5E" w14:textId="77777777" w:rsidR="005B0B44" w:rsidRPr="003A707F" w:rsidRDefault="005B0B44" w:rsidP="00F40885">
    <w:pPr>
      <w:pStyle w:val="Header"/>
      <w:rPr>
        <w:sz w:val="2"/>
        <w:szCs w:val="2"/>
      </w:rPr>
    </w:pPr>
  </w:p>
  <w:p w14:paraId="71DEEA5F" w14:textId="77777777" w:rsidR="005B0B44" w:rsidRPr="00F40885" w:rsidRDefault="005B0B4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F92EBB"/>
    <w:multiLevelType w:val="hybridMultilevel"/>
    <w:tmpl w:val="D5606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6757AC"/>
    <w:multiLevelType w:val="hybridMultilevel"/>
    <w:tmpl w:val="1FEE3788"/>
    <w:lvl w:ilvl="0" w:tplc="A2BA65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456429"/>
    <w:multiLevelType w:val="multilevel"/>
    <w:tmpl w:val="E898CC72"/>
    <w:numStyleLink w:val="KeyPoints"/>
  </w:abstractNum>
  <w:abstractNum w:abstractNumId="12"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4"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E73C21"/>
    <w:multiLevelType w:val="hybridMultilevel"/>
    <w:tmpl w:val="094E6B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370767000">
    <w:abstractNumId w:val="15"/>
  </w:num>
  <w:num w:numId="2" w16cid:durableId="507796512">
    <w:abstractNumId w:val="11"/>
  </w:num>
  <w:num w:numId="3" w16cid:durableId="906065773">
    <w:abstractNumId w:val="2"/>
  </w:num>
  <w:num w:numId="4" w16cid:durableId="190189653">
    <w:abstractNumId w:val="0"/>
  </w:num>
  <w:num w:numId="5" w16cid:durableId="849872648">
    <w:abstractNumId w:val="14"/>
  </w:num>
  <w:num w:numId="6" w16cid:durableId="1915774884">
    <w:abstractNumId w:val="13"/>
  </w:num>
  <w:num w:numId="7" w16cid:durableId="218632450">
    <w:abstractNumId w:val="6"/>
  </w:num>
  <w:num w:numId="8" w16cid:durableId="1572156485">
    <w:abstractNumId w:val="7"/>
  </w:num>
  <w:num w:numId="9" w16cid:durableId="1158887069">
    <w:abstractNumId w:val="16"/>
  </w:num>
  <w:num w:numId="10" w16cid:durableId="1464494340">
    <w:abstractNumId w:val="18"/>
  </w:num>
  <w:num w:numId="11" w16cid:durableId="73476260">
    <w:abstractNumId w:val="9"/>
  </w:num>
  <w:num w:numId="12" w16cid:durableId="1535996215">
    <w:abstractNumId w:val="10"/>
  </w:num>
  <w:num w:numId="13" w16cid:durableId="1038509358">
    <w:abstractNumId w:val="12"/>
  </w:num>
  <w:num w:numId="14" w16cid:durableId="1241527747">
    <w:abstractNumId w:val="4"/>
  </w:num>
  <w:num w:numId="15" w16cid:durableId="527379734">
    <w:abstractNumId w:val="5"/>
  </w:num>
  <w:num w:numId="16" w16cid:durableId="592856104">
    <w:abstractNumId w:val="3"/>
  </w:num>
  <w:num w:numId="17" w16cid:durableId="54940402">
    <w:abstractNumId w:val="0"/>
  </w:num>
  <w:num w:numId="18" w16cid:durableId="1975333497">
    <w:abstractNumId w:val="1"/>
  </w:num>
  <w:num w:numId="19" w16cid:durableId="235938541">
    <w:abstractNumId w:val="17"/>
  </w:num>
  <w:num w:numId="20" w16cid:durableId="1448744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67D5"/>
    <w:rsid w:val="00011CC7"/>
    <w:rsid w:val="000304B8"/>
    <w:rsid w:val="00037283"/>
    <w:rsid w:val="0003759E"/>
    <w:rsid w:val="00037C1A"/>
    <w:rsid w:val="00043AC4"/>
    <w:rsid w:val="0005768F"/>
    <w:rsid w:val="00067F41"/>
    <w:rsid w:val="000A04E9"/>
    <w:rsid w:val="000C25E9"/>
    <w:rsid w:val="000D0540"/>
    <w:rsid w:val="000E1F2B"/>
    <w:rsid w:val="000E41DD"/>
    <w:rsid w:val="00100B0D"/>
    <w:rsid w:val="00106028"/>
    <w:rsid w:val="0010636D"/>
    <w:rsid w:val="00107864"/>
    <w:rsid w:val="001356E4"/>
    <w:rsid w:val="001426CB"/>
    <w:rsid w:val="00144A8B"/>
    <w:rsid w:val="0015289A"/>
    <w:rsid w:val="001720E4"/>
    <w:rsid w:val="001948DE"/>
    <w:rsid w:val="001C2AAD"/>
    <w:rsid w:val="001C466D"/>
    <w:rsid w:val="001C5B6E"/>
    <w:rsid w:val="001C6776"/>
    <w:rsid w:val="001F6E54"/>
    <w:rsid w:val="00241ED1"/>
    <w:rsid w:val="002612DA"/>
    <w:rsid w:val="002741D9"/>
    <w:rsid w:val="00280BCD"/>
    <w:rsid w:val="002853C8"/>
    <w:rsid w:val="0028688A"/>
    <w:rsid w:val="002B4F08"/>
    <w:rsid w:val="002B7448"/>
    <w:rsid w:val="002E1224"/>
    <w:rsid w:val="002E313F"/>
    <w:rsid w:val="0030294B"/>
    <w:rsid w:val="003032E7"/>
    <w:rsid w:val="00307F25"/>
    <w:rsid w:val="00323DA0"/>
    <w:rsid w:val="0039339B"/>
    <w:rsid w:val="003A707F"/>
    <w:rsid w:val="003B0EC1"/>
    <w:rsid w:val="003B573B"/>
    <w:rsid w:val="003D5D53"/>
    <w:rsid w:val="003F2CBD"/>
    <w:rsid w:val="003F41B4"/>
    <w:rsid w:val="00424B97"/>
    <w:rsid w:val="00425A75"/>
    <w:rsid w:val="00437CB9"/>
    <w:rsid w:val="00437F18"/>
    <w:rsid w:val="00451645"/>
    <w:rsid w:val="00455E22"/>
    <w:rsid w:val="00464BC5"/>
    <w:rsid w:val="00465269"/>
    <w:rsid w:val="004674D4"/>
    <w:rsid w:val="004A378B"/>
    <w:rsid w:val="004B2532"/>
    <w:rsid w:val="004B2753"/>
    <w:rsid w:val="004D415F"/>
    <w:rsid w:val="004E1DFC"/>
    <w:rsid w:val="00520873"/>
    <w:rsid w:val="00525242"/>
    <w:rsid w:val="00533CC9"/>
    <w:rsid w:val="00537EE2"/>
    <w:rsid w:val="00572F6C"/>
    <w:rsid w:val="00573D44"/>
    <w:rsid w:val="005802C3"/>
    <w:rsid w:val="005840D3"/>
    <w:rsid w:val="00596C59"/>
    <w:rsid w:val="00597F3A"/>
    <w:rsid w:val="005B0B44"/>
    <w:rsid w:val="005B5A07"/>
    <w:rsid w:val="005B5DE0"/>
    <w:rsid w:val="005E2CA5"/>
    <w:rsid w:val="005F452A"/>
    <w:rsid w:val="00602E7C"/>
    <w:rsid w:val="00611973"/>
    <w:rsid w:val="0062186F"/>
    <w:rsid w:val="00637311"/>
    <w:rsid w:val="006667CC"/>
    <w:rsid w:val="00673EE3"/>
    <w:rsid w:val="00676011"/>
    <w:rsid w:val="00683887"/>
    <w:rsid w:val="0068635F"/>
    <w:rsid w:val="006B7F27"/>
    <w:rsid w:val="006D3E27"/>
    <w:rsid w:val="006F0050"/>
    <w:rsid w:val="007104F1"/>
    <w:rsid w:val="00734065"/>
    <w:rsid w:val="00736291"/>
    <w:rsid w:val="0075170B"/>
    <w:rsid w:val="00762329"/>
    <w:rsid w:val="007A16C2"/>
    <w:rsid w:val="007A5FF7"/>
    <w:rsid w:val="007B2285"/>
    <w:rsid w:val="007D1FA4"/>
    <w:rsid w:val="00805CF1"/>
    <w:rsid w:val="00831BD0"/>
    <w:rsid w:val="00840A06"/>
    <w:rsid w:val="00842C3B"/>
    <w:rsid w:val="008439B7"/>
    <w:rsid w:val="00844F8F"/>
    <w:rsid w:val="00863D18"/>
    <w:rsid w:val="0087253F"/>
    <w:rsid w:val="00884E34"/>
    <w:rsid w:val="008A39F0"/>
    <w:rsid w:val="008B63EB"/>
    <w:rsid w:val="008D2381"/>
    <w:rsid w:val="008D2B52"/>
    <w:rsid w:val="008D4B02"/>
    <w:rsid w:val="008E4F6C"/>
    <w:rsid w:val="008F023B"/>
    <w:rsid w:val="008F3C21"/>
    <w:rsid w:val="00913700"/>
    <w:rsid w:val="00934B2B"/>
    <w:rsid w:val="00942AEC"/>
    <w:rsid w:val="009539C7"/>
    <w:rsid w:val="00955C0A"/>
    <w:rsid w:val="00963428"/>
    <w:rsid w:val="00980C5A"/>
    <w:rsid w:val="009A693B"/>
    <w:rsid w:val="009D7AA6"/>
    <w:rsid w:val="009F05F2"/>
    <w:rsid w:val="00A00F21"/>
    <w:rsid w:val="00A01728"/>
    <w:rsid w:val="00A02041"/>
    <w:rsid w:val="00A03998"/>
    <w:rsid w:val="00A17709"/>
    <w:rsid w:val="00A5447D"/>
    <w:rsid w:val="00A61564"/>
    <w:rsid w:val="00A6757D"/>
    <w:rsid w:val="00A773A6"/>
    <w:rsid w:val="00A87077"/>
    <w:rsid w:val="00AD5CFC"/>
    <w:rsid w:val="00AE2D8F"/>
    <w:rsid w:val="00AF504C"/>
    <w:rsid w:val="00B16FE5"/>
    <w:rsid w:val="00B42126"/>
    <w:rsid w:val="00B50B4A"/>
    <w:rsid w:val="00B60669"/>
    <w:rsid w:val="00B67B5D"/>
    <w:rsid w:val="00B84226"/>
    <w:rsid w:val="00BC34A0"/>
    <w:rsid w:val="00BD59EB"/>
    <w:rsid w:val="00BF79CA"/>
    <w:rsid w:val="00C01684"/>
    <w:rsid w:val="00C01A35"/>
    <w:rsid w:val="00C1490A"/>
    <w:rsid w:val="00C3589D"/>
    <w:rsid w:val="00C53B51"/>
    <w:rsid w:val="00C55306"/>
    <w:rsid w:val="00C63C4E"/>
    <w:rsid w:val="00C655D5"/>
    <w:rsid w:val="00C72C30"/>
    <w:rsid w:val="00C77DDE"/>
    <w:rsid w:val="00CA5772"/>
    <w:rsid w:val="00CD157B"/>
    <w:rsid w:val="00CD236A"/>
    <w:rsid w:val="00CD58BB"/>
    <w:rsid w:val="00CE4532"/>
    <w:rsid w:val="00D229E5"/>
    <w:rsid w:val="00D3103A"/>
    <w:rsid w:val="00D77A88"/>
    <w:rsid w:val="00D82365"/>
    <w:rsid w:val="00DA6C22"/>
    <w:rsid w:val="00DC7C3D"/>
    <w:rsid w:val="00E12BF1"/>
    <w:rsid w:val="00E1329E"/>
    <w:rsid w:val="00E145F1"/>
    <w:rsid w:val="00E34E93"/>
    <w:rsid w:val="00E41ED7"/>
    <w:rsid w:val="00E557E9"/>
    <w:rsid w:val="00E56D70"/>
    <w:rsid w:val="00E616EA"/>
    <w:rsid w:val="00E7218C"/>
    <w:rsid w:val="00E72F87"/>
    <w:rsid w:val="00E80882"/>
    <w:rsid w:val="00E96300"/>
    <w:rsid w:val="00EA1AFA"/>
    <w:rsid w:val="00EA6665"/>
    <w:rsid w:val="00EB064C"/>
    <w:rsid w:val="00EB10DC"/>
    <w:rsid w:val="00EB3311"/>
    <w:rsid w:val="00EC6E1C"/>
    <w:rsid w:val="00ED7F09"/>
    <w:rsid w:val="00F11D66"/>
    <w:rsid w:val="00F40885"/>
    <w:rsid w:val="00F50074"/>
    <w:rsid w:val="00F60A80"/>
    <w:rsid w:val="00F87D86"/>
    <w:rsid w:val="00FA5E60"/>
    <w:rsid w:val="00FA75FC"/>
    <w:rsid w:val="00FD3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EA23"/>
  <w15:docId w15:val="{51EC3F2C-5DE9-4D7D-ACA3-0F5DA5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numbering" w:customStyle="1" w:styleId="Attach">
    <w:name w:val="Attach"/>
    <w:basedOn w:val="NoList"/>
    <w:uiPriority w:val="99"/>
    <w:rsid w:val="00CD157B"/>
    <w:pPr>
      <w:numPr>
        <w:numId w:val="14"/>
      </w:numPr>
    </w:pPr>
  </w:style>
  <w:style w:type="paragraph" w:styleId="BodyText">
    <w:name w:val="Body Text"/>
    <w:basedOn w:val="Normal"/>
    <w:link w:val="BodyTextChar"/>
    <w:uiPriority w:val="99"/>
    <w:unhideWhenUsed/>
    <w:rsid w:val="00323DA0"/>
    <w:pPr>
      <w:spacing w:after="120"/>
    </w:pPr>
  </w:style>
  <w:style w:type="character" w:customStyle="1" w:styleId="BodyTextChar">
    <w:name w:val="Body Text Char"/>
    <w:basedOn w:val="DefaultParagraphFont"/>
    <w:link w:val="BodyText"/>
    <w:uiPriority w:val="99"/>
    <w:rsid w:val="00323DA0"/>
  </w:style>
  <w:style w:type="character" w:customStyle="1" w:styleId="Advisorytext">
    <w:name w:val="Advisory text"/>
    <w:basedOn w:val="DefaultParagraphFont"/>
    <w:uiPriority w:val="99"/>
    <w:rsid w:val="006F0050"/>
    <w:rPr>
      <w:color w:val="FF0000"/>
    </w:rPr>
  </w:style>
  <w:style w:type="character" w:styleId="CommentReference">
    <w:name w:val="annotation reference"/>
    <w:basedOn w:val="DefaultParagraphFont"/>
    <w:uiPriority w:val="99"/>
    <w:semiHidden/>
    <w:unhideWhenUsed/>
    <w:rsid w:val="000C25E9"/>
    <w:rPr>
      <w:sz w:val="16"/>
      <w:szCs w:val="16"/>
    </w:rPr>
  </w:style>
  <w:style w:type="paragraph" w:styleId="CommentText">
    <w:name w:val="annotation text"/>
    <w:basedOn w:val="Normal"/>
    <w:link w:val="CommentTextChar"/>
    <w:uiPriority w:val="99"/>
    <w:semiHidden/>
    <w:unhideWhenUsed/>
    <w:rsid w:val="000C25E9"/>
    <w:pPr>
      <w:spacing w:line="240" w:lineRule="auto"/>
    </w:pPr>
    <w:rPr>
      <w:sz w:val="20"/>
      <w:szCs w:val="20"/>
    </w:rPr>
  </w:style>
  <w:style w:type="character" w:customStyle="1" w:styleId="CommentTextChar">
    <w:name w:val="Comment Text Char"/>
    <w:basedOn w:val="DefaultParagraphFont"/>
    <w:link w:val="CommentText"/>
    <w:uiPriority w:val="99"/>
    <w:semiHidden/>
    <w:rsid w:val="000C25E9"/>
    <w:rPr>
      <w:sz w:val="20"/>
      <w:szCs w:val="20"/>
    </w:rPr>
  </w:style>
  <w:style w:type="paragraph" w:styleId="CommentSubject">
    <w:name w:val="annotation subject"/>
    <w:basedOn w:val="CommentText"/>
    <w:next w:val="CommentText"/>
    <w:link w:val="CommentSubjectChar"/>
    <w:uiPriority w:val="99"/>
    <w:semiHidden/>
    <w:unhideWhenUsed/>
    <w:rsid w:val="000C25E9"/>
    <w:rPr>
      <w:b/>
      <w:bCs/>
    </w:rPr>
  </w:style>
  <w:style w:type="character" w:customStyle="1" w:styleId="CommentSubjectChar">
    <w:name w:val="Comment Subject Char"/>
    <w:basedOn w:val="CommentTextChar"/>
    <w:link w:val="CommentSubject"/>
    <w:uiPriority w:val="99"/>
    <w:semiHidden/>
    <w:rsid w:val="000C2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38456c472d1e084ccf118fc4c4e9fcbb">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e007cf8b3858bf48454578ae37e12d14"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h4e70aaa16a64cf19b3bf7ada45e1755" minOccurs="0"/>
                <xsd:element ref="ns3:SharedWithUsers" minOccurs="0"/>
                <xsd:element ref="ns4:IconOverlay" minOccurs="0"/>
                <xsd:element ref="ns3:gf48bb729dd049cb8713925956956d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h4e70aaa16a64cf19b3bf7ada45e1755" ma:index="24" ma:taxonomy="true" ma:internalName="h4e70aaa16a64cf19b3bf7ada45e1755" ma:taxonomyFieldName="DocHub_FuelPolicyWorkTopics" ma:displayName="Fuel Policy Topics" ma:indexed="true" ma:default="" ma:fieldId="{14e70aaa-16a6-4cf1-9b3b-f7ada45e1755}" ma:sspId="fb0313f7-9433-48c0-866e-9e0bbee59a50" ma:termSetId="21b30bf0-d85d-487e-b027-da12e75b4919"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48bb729dd049cb8713925956956db1" ma:index="28" nillable="true" ma:taxonomy="true" ma:internalName="gf48bb729dd049cb8713925956956db1" ma:taxonomyFieldName="DocHub_FuelTypes" ma:displayName="Fuel Type" ma:indexed="true" ma:default="" ma:fieldId="{0f48bb72-9dd0-49cb-8713-925956956db1}" ma:sspId="fb0313f7-9433-48c0-866e-9e0bbee59a50" ma:termSetId="999bef9b-5b8d-4fb3-a169-a6e1d93ff1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IconOverlay xmlns="http://schemas.microsoft.com/sharepoint/v4" xsi:nil="true"/>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Section 13 - Approvals</TermName>
          <TermId xmlns="http://schemas.microsoft.com/office/infopath/2007/PartnerControls">2fbbad38-5750-4d35-acfc-65643609a5f4</TermId>
        </TermInfo>
      </Terms>
    </adb9bed2e36e4a93af574aeb444da63e>
    <n99e4c9942c6404eb103464a00e6097b xmlns="a36bd50b-1532-4c22-b385-5c082c960938">
      <Terms xmlns="http://schemas.microsoft.com/office/infopath/2007/PartnerControls"/>
    </n99e4c9942c6404eb103464a00e6097b>
    <h4e70aaa16a64cf19b3bf7ada45e1755 xmlns="d92934b5-032c-4da3-958e-788fdb9771c1">
      <Terms xmlns="http://schemas.microsoft.com/office/infopath/2007/PartnerControls">
        <TermInfo xmlns="http://schemas.microsoft.com/office/infopath/2007/PartnerControls">
          <TermName xmlns="http://schemas.microsoft.com/office/infopath/2007/PartnerControls">Section 13 Approvals</TermName>
          <TermId xmlns="http://schemas.microsoft.com/office/infopath/2007/PartnerControls">1c9d125f-04bd-4ac0-bb4e-85127482c3cd</TermId>
        </TermInfo>
      </Terms>
    </h4e70aaa16a64cf19b3bf7ada45e1755>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35b9c3bb-84c5-466d-977e-c64f6d5b248c</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TaxCatchAll xmlns="a36bd50b-1532-4c22-b385-5c082c960938">
      <Value>622</Value>
      <Value>271</Value>
      <Value>268</Value>
      <Value>1</Value>
      <Value>812</Value>
    </TaxCatchAll>
    <Comments xmlns="http://schemas.microsoft.com/sharepoint/v3" xsi:nil="true"/>
    <gf48bb729dd049cb8713925956956db1 xmlns="d92934b5-032c-4da3-958e-788fdb9771c1">
      <Terms xmlns="http://schemas.microsoft.com/office/infopath/2007/PartnerControls"/>
    </gf48bb729dd049cb8713925956956db1>
  </documentManagement>
</p:properties>
</file>

<file path=customXml/itemProps1.xml><?xml version="1.0" encoding="utf-8"?>
<ds:datastoreItem xmlns:ds="http://schemas.openxmlformats.org/officeDocument/2006/customXml" ds:itemID="{31EA2B3D-8F15-4037-BC14-2DF4666CB449}">
  <ds:schemaRefs>
    <ds:schemaRef ds:uri="http://schemas.microsoft.com/sharepoint/v3/contenttype/forms"/>
  </ds:schemaRefs>
</ds:datastoreItem>
</file>

<file path=customXml/itemProps2.xml><?xml version="1.0" encoding="utf-8"?>
<ds:datastoreItem xmlns:ds="http://schemas.openxmlformats.org/officeDocument/2006/customXml" ds:itemID="{FB3970CF-7B01-4A68-BF31-D930C60EF1EE}">
  <ds:schemaRefs>
    <ds:schemaRef ds:uri="http://schemas.microsoft.com/sharepoint/events"/>
  </ds:schemaRefs>
</ds:datastoreItem>
</file>

<file path=customXml/itemProps3.xml><?xml version="1.0" encoding="utf-8"?>
<ds:datastoreItem xmlns:ds="http://schemas.openxmlformats.org/officeDocument/2006/customXml" ds:itemID="{2BA4D927-61F3-4E60-A4FD-5FD02546E931}">
  <ds:schemaRefs>
    <ds:schemaRef ds:uri="http://schemas.openxmlformats.org/officeDocument/2006/bibliography"/>
  </ds:schemaRefs>
</ds:datastoreItem>
</file>

<file path=customXml/itemProps4.xml><?xml version="1.0" encoding="utf-8"?>
<ds:datastoreItem xmlns:ds="http://schemas.openxmlformats.org/officeDocument/2006/customXml" ds:itemID="{AC49F563-5E4D-43E5-A707-584F3CA8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9BBA0-4F8F-49AD-A63A-0FD8DCE7F4E4}">
  <ds:schemaRefs>
    <ds:schemaRef ds:uri="http://schemas.microsoft.com/office/2006/metadata/properties"/>
    <ds:schemaRef ds:uri="http://schemas.microsoft.com/sharepoint/v4"/>
    <ds:schemaRef ds:uri="a36bd50b-1532-4c22-b385-5c082c960938"/>
    <ds:schemaRef ds:uri="http://schemas.microsoft.com/office/infopath/2007/PartnerControls"/>
    <ds:schemaRef ds:uri="d92934b5-032c-4da3-958e-788fdb9771c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2019 - Approval - Notice</vt:lpstr>
    </vt:vector>
  </TitlesOfParts>
  <Company>Office of Parliamentary Counsel</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Approval - Notice</dc:title>
  <dc:creator>Miller, Kelli</dc:creator>
  <cp:lastModifiedBy>Detering, Lucinda</cp:lastModifiedBy>
  <cp:revision>3</cp:revision>
  <cp:lastPrinted>2019-04-03T22:10:00Z</cp:lastPrinted>
  <dcterms:created xsi:type="dcterms:W3CDTF">2023-01-11T02:25:00Z</dcterms:created>
  <dcterms:modified xsi:type="dcterms:W3CDTF">2023-01-11T02:26:00Z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RecordPoint_ActiveItemUniqueId">
    <vt:lpwstr/>
  </property>
  <property fmtid="{D5CDD505-2E9C-101B-9397-08002B2CF9AE}" pid="4" name="RecordPoint_WorkflowType">
    <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ListId">
    <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WebId">
    <vt:lpwstr/>
  </property>
  <property fmtid="{D5CDD505-2E9C-101B-9397-08002B2CF9AE}" pid="12" name="RecordPoint_ActiveItemSiteId">
    <vt:lpwstr/>
  </property>
  <property fmtid="{D5CDD505-2E9C-101B-9397-08002B2CF9AE}" pid="13" name="DocHub_Year">
    <vt:lpwstr/>
  </property>
  <property fmtid="{D5CDD505-2E9C-101B-9397-08002B2CF9AE}" pid="14" name="DocHub_FuelPolicyWorkTopics">
    <vt:lpwstr>268;#Section 13 Approvals|1c9d125f-04bd-4ac0-bb4e-85127482c3cd</vt:lpwstr>
  </property>
  <property fmtid="{D5CDD505-2E9C-101B-9397-08002B2CF9AE}" pid="15" name="DocHub_DocumentType">
    <vt:lpwstr>622;#Gazette Notice|35b9c3bb-84c5-466d-977e-c64f6d5b248c</vt:lpwstr>
  </property>
  <property fmtid="{D5CDD505-2E9C-101B-9397-08002B2CF9AE}" pid="16" name="DocHub_SecurityClassification">
    <vt:lpwstr>1;#OFFICIAL|6106d03b-a1a0-4e30-9d91-d5e9fb4314f9</vt:lpwstr>
  </property>
  <property fmtid="{D5CDD505-2E9C-101B-9397-08002B2CF9AE}" pid="17" name="DocHub_FuelTypes">
    <vt:lpwstr/>
  </property>
  <property fmtid="{D5CDD505-2E9C-101B-9397-08002B2CF9AE}" pid="18" name="DocHub_Keywords">
    <vt:lpwstr>271;#Section 13 - Approvals|2fbbad38-5750-4d35-acfc-65643609a5f4</vt:lpwstr>
  </property>
  <property fmtid="{D5CDD505-2E9C-101B-9397-08002B2CF9AE}" pid="19" name="DocHub_WorkActivity">
    <vt:lpwstr>812;#Applications|5ecf4bde-e578-40db-8d0b-1c50c4991d57</vt:lpwstr>
  </property>
  <property fmtid="{D5CDD505-2E9C-101B-9397-08002B2CF9AE}" pid="20" name="_DocHome">
    <vt:i4>-374785319</vt:i4>
  </property>
</Properties>
</file>