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5B7D" w14:textId="2BDAD521" w:rsidR="004B2753" w:rsidRDefault="004B2753" w:rsidP="00424B97"/>
    <w:p w14:paraId="777D539B" w14:textId="77777777" w:rsidR="00FD20E5" w:rsidRPr="004D320C" w:rsidRDefault="00FD20E5" w:rsidP="00FD20E5">
      <w:pPr>
        <w:spacing w:before="240" w:after="240" w:line="240" w:lineRule="auto"/>
        <w:ind w:left="567" w:hanging="567"/>
        <w:jc w:val="center"/>
        <w:rPr>
          <w:rFonts w:cstheme="minorHAnsi"/>
          <w:b/>
          <w:i/>
          <w:color w:val="000000" w:themeColor="text1"/>
          <w:sz w:val="24"/>
          <w:szCs w:val="24"/>
        </w:rPr>
      </w:pPr>
      <w:r w:rsidRPr="004F747E">
        <w:rPr>
          <w:rFonts w:cstheme="minorHAnsi"/>
          <w:b/>
          <w:i/>
          <w:color w:val="000000" w:themeColor="text1"/>
          <w:sz w:val="24"/>
          <w:szCs w:val="24"/>
        </w:rPr>
        <w:t xml:space="preserve">Safety, Rehabilitation and Compensation </w:t>
      </w:r>
      <w:r w:rsidRPr="004D320C">
        <w:rPr>
          <w:rFonts w:cstheme="minorHAnsi"/>
          <w:b/>
          <w:i/>
          <w:color w:val="000000" w:themeColor="text1"/>
          <w:sz w:val="24"/>
          <w:szCs w:val="24"/>
        </w:rPr>
        <w:t>Act 1988</w:t>
      </w:r>
    </w:p>
    <w:p w14:paraId="1DFD62B6" w14:textId="77777777" w:rsidR="00FD20E5" w:rsidRPr="004D320C" w:rsidRDefault="00FD20E5" w:rsidP="00FD20E5">
      <w:pPr>
        <w:spacing w:before="240" w:after="240" w:line="240" w:lineRule="auto"/>
        <w:ind w:left="567" w:hanging="567"/>
        <w:jc w:val="center"/>
        <w:rPr>
          <w:rFonts w:cstheme="minorHAnsi"/>
          <w:b/>
          <w:i/>
          <w:color w:val="000000" w:themeColor="text1"/>
          <w:sz w:val="24"/>
          <w:szCs w:val="24"/>
        </w:rPr>
      </w:pPr>
      <w:r w:rsidRPr="004D320C">
        <w:rPr>
          <w:rFonts w:cstheme="minorHAnsi"/>
          <w:b/>
          <w:i/>
          <w:color w:val="000000" w:themeColor="text1"/>
          <w:sz w:val="24"/>
          <w:szCs w:val="24"/>
        </w:rPr>
        <w:t>Part VIII</w:t>
      </w:r>
    </w:p>
    <w:p w14:paraId="1CC0AE45" w14:textId="77777777" w:rsidR="00FD20E5" w:rsidRDefault="00FD20E5" w:rsidP="00FD20E5">
      <w:pPr>
        <w:spacing w:before="240" w:after="240" w:line="240" w:lineRule="auto"/>
        <w:ind w:left="567" w:hanging="567"/>
        <w:jc w:val="center"/>
        <w:rPr>
          <w:rFonts w:cstheme="minorHAnsi"/>
          <w:b/>
          <w:color w:val="000000" w:themeColor="text1"/>
          <w:sz w:val="24"/>
          <w:szCs w:val="24"/>
        </w:rPr>
      </w:pPr>
      <w:r>
        <w:rPr>
          <w:rFonts w:cstheme="minorHAnsi"/>
          <w:b/>
          <w:color w:val="000000" w:themeColor="text1"/>
          <w:sz w:val="24"/>
          <w:szCs w:val="24"/>
        </w:rPr>
        <w:t>Notice of Variation and Extension of Licence – Linfox Australia Pty Ltd (No 1 of 2023)</w:t>
      </w:r>
    </w:p>
    <w:p w14:paraId="26EA51DA" w14:textId="77777777" w:rsidR="00FD20E5" w:rsidRDefault="00FD20E5" w:rsidP="00FD20E5">
      <w:pPr>
        <w:spacing w:before="240" w:after="240" w:line="240" w:lineRule="auto"/>
        <w:ind w:left="567" w:hanging="567"/>
        <w:jc w:val="center"/>
        <w:rPr>
          <w:rFonts w:cstheme="minorHAnsi"/>
          <w:b/>
          <w:color w:val="000000" w:themeColor="text1"/>
          <w:sz w:val="24"/>
          <w:szCs w:val="24"/>
        </w:rPr>
      </w:pPr>
    </w:p>
    <w:p w14:paraId="0652E84C" w14:textId="77777777" w:rsidR="00FD20E5" w:rsidRPr="0000564C" w:rsidRDefault="00FD20E5" w:rsidP="00FD20E5">
      <w:pPr>
        <w:spacing w:before="240" w:after="240" w:line="240" w:lineRule="auto"/>
        <w:ind w:left="567" w:hanging="567"/>
        <w:jc w:val="center"/>
        <w:rPr>
          <w:rFonts w:cstheme="minorHAnsi"/>
          <w:b/>
          <w:sz w:val="24"/>
          <w:szCs w:val="24"/>
        </w:rPr>
      </w:pPr>
    </w:p>
    <w:p w14:paraId="35A665C1" w14:textId="77777777" w:rsidR="00FD20E5" w:rsidRPr="004D320C" w:rsidRDefault="00FD20E5" w:rsidP="00FD20E5">
      <w:pPr>
        <w:pBdr>
          <w:bottom w:val="single" w:sz="12" w:space="1" w:color="auto"/>
        </w:pBdr>
        <w:spacing w:before="240" w:after="240" w:line="240" w:lineRule="auto"/>
        <w:ind w:left="567" w:hanging="567"/>
        <w:jc w:val="both"/>
        <w:rPr>
          <w:rFonts w:cstheme="minorHAnsi"/>
          <w:b/>
          <w:color w:val="000000" w:themeColor="text1"/>
          <w:sz w:val="24"/>
          <w:szCs w:val="24"/>
        </w:rPr>
      </w:pPr>
      <w:r w:rsidRPr="004D320C">
        <w:rPr>
          <w:rFonts w:cstheme="minorHAnsi"/>
          <w:b/>
          <w:color w:val="000000" w:themeColor="text1"/>
          <w:sz w:val="24"/>
          <w:szCs w:val="24"/>
        </w:rPr>
        <w:t>Background</w:t>
      </w:r>
    </w:p>
    <w:p w14:paraId="4B9A7527" w14:textId="77777777" w:rsidR="00FD20E5" w:rsidRPr="0000564C" w:rsidRDefault="00FD20E5" w:rsidP="00FD20E5">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Linfox Australia Pty Ltd, ABN 47 004 718 647 (</w:t>
      </w:r>
      <w:r w:rsidRPr="004D320C">
        <w:rPr>
          <w:rFonts w:cstheme="minorHAnsi"/>
          <w:b/>
          <w:color w:val="000000" w:themeColor="text1"/>
          <w:sz w:val="24"/>
          <w:szCs w:val="24"/>
        </w:rPr>
        <w:t>Licensee</w:t>
      </w:r>
      <w:r w:rsidRPr="004D320C">
        <w:rPr>
          <w:rFonts w:cstheme="minorHAnsi"/>
          <w:color w:val="000000" w:themeColor="text1"/>
          <w:sz w:val="24"/>
          <w:szCs w:val="24"/>
        </w:rPr>
        <w:t xml:space="preserve">), was declared to be eligible to be granted a licence under Part VIII of the </w:t>
      </w:r>
      <w:r w:rsidRPr="004D320C">
        <w:rPr>
          <w:rFonts w:cstheme="minorHAnsi"/>
          <w:i/>
          <w:color w:val="000000" w:themeColor="text1"/>
          <w:sz w:val="24"/>
          <w:szCs w:val="24"/>
        </w:rPr>
        <w:t xml:space="preserve">Safety, Rehabilitation and Compensation Act 1988 </w:t>
      </w:r>
      <w:r w:rsidRPr="004D320C">
        <w:rPr>
          <w:rFonts w:cstheme="minorHAnsi"/>
          <w:color w:val="000000" w:themeColor="text1"/>
          <w:sz w:val="24"/>
          <w:szCs w:val="24"/>
        </w:rPr>
        <w:t>(</w:t>
      </w:r>
      <w:proofErr w:type="spellStart"/>
      <w:r w:rsidRPr="004D320C">
        <w:rPr>
          <w:rFonts w:cstheme="minorHAnsi"/>
          <w:color w:val="000000" w:themeColor="text1"/>
          <w:sz w:val="24"/>
          <w:szCs w:val="24"/>
        </w:rPr>
        <w:t>Cth</w:t>
      </w:r>
      <w:proofErr w:type="spellEnd"/>
      <w:r w:rsidRPr="004D320C">
        <w:rPr>
          <w:rFonts w:cstheme="minorHAnsi"/>
          <w:color w:val="000000" w:themeColor="text1"/>
          <w:sz w:val="24"/>
          <w:szCs w:val="24"/>
        </w:rPr>
        <w:t>) (</w:t>
      </w:r>
      <w:r w:rsidRPr="004D320C">
        <w:rPr>
          <w:rFonts w:cstheme="minorHAnsi"/>
          <w:b/>
          <w:color w:val="000000" w:themeColor="text1"/>
          <w:sz w:val="24"/>
          <w:szCs w:val="24"/>
        </w:rPr>
        <w:t>SRC Act</w:t>
      </w:r>
      <w:r w:rsidRPr="004D320C">
        <w:rPr>
          <w:rFonts w:cstheme="minorHAnsi"/>
          <w:color w:val="000000" w:themeColor="text1"/>
          <w:sz w:val="24"/>
          <w:szCs w:val="24"/>
        </w:rPr>
        <w:t>) by legislative instrument dated 19 December 2005.</w:t>
      </w:r>
    </w:p>
    <w:p w14:paraId="7F8D436A" w14:textId="77777777" w:rsidR="00FD20E5" w:rsidRPr="0000564C" w:rsidRDefault="00FD20E5" w:rsidP="00FD20E5">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The Safety, Rehabilitation and Compensation Commission (</w:t>
      </w:r>
      <w:r w:rsidRPr="004D320C">
        <w:rPr>
          <w:rFonts w:cstheme="minorHAnsi"/>
          <w:b/>
          <w:color w:val="000000" w:themeColor="text1"/>
          <w:sz w:val="24"/>
          <w:szCs w:val="24"/>
        </w:rPr>
        <w:t>Commission</w:t>
      </w:r>
      <w:r w:rsidRPr="004D320C">
        <w:rPr>
          <w:rFonts w:cstheme="minorHAnsi"/>
          <w:color w:val="000000" w:themeColor="text1"/>
          <w:sz w:val="24"/>
          <w:szCs w:val="24"/>
        </w:rPr>
        <w:t>), acting under sections 103 and 104 of the SRC Act, granted a licence to the Licensee on 15 March 2006 with a commencement date of 3 April 2006.</w:t>
      </w:r>
    </w:p>
    <w:p w14:paraId="69602913" w14:textId="77777777" w:rsidR="00FD20E5" w:rsidRPr="004D320C" w:rsidRDefault="00FD20E5" w:rsidP="00FD20E5">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The Commission, acting under subsection 108</w:t>
      </w:r>
      <w:proofErr w:type="gramStart"/>
      <w:r w:rsidRPr="004D320C">
        <w:rPr>
          <w:rFonts w:cstheme="minorHAnsi"/>
          <w:color w:val="000000" w:themeColor="text1"/>
          <w:sz w:val="24"/>
          <w:szCs w:val="24"/>
        </w:rPr>
        <w:t>D(</w:t>
      </w:r>
      <w:proofErr w:type="gramEnd"/>
      <w:r w:rsidRPr="004D320C">
        <w:rPr>
          <w:rFonts w:cstheme="minorHAnsi"/>
          <w:color w:val="000000" w:themeColor="text1"/>
          <w:sz w:val="24"/>
          <w:szCs w:val="24"/>
        </w:rPr>
        <w:t>2) of the SRC Act, varies the conditions of the licence as follows:</w:t>
      </w:r>
    </w:p>
    <w:p w14:paraId="2914A993" w14:textId="77777777" w:rsidR="00FD20E5" w:rsidRPr="00AB6410" w:rsidRDefault="00FD20E5" w:rsidP="00FD20E5">
      <w:pPr>
        <w:pStyle w:val="ListParagraph"/>
        <w:numPr>
          <w:ilvl w:val="0"/>
          <w:numId w:val="32"/>
        </w:numPr>
        <w:spacing w:before="240" w:after="0" w:line="240" w:lineRule="auto"/>
        <w:ind w:left="1134" w:hanging="567"/>
        <w:contextualSpacing w:val="0"/>
        <w:jc w:val="both"/>
        <w:rPr>
          <w:rFonts w:cstheme="minorHAnsi"/>
          <w:sz w:val="24"/>
          <w:szCs w:val="24"/>
        </w:rPr>
      </w:pPr>
      <w:bookmarkStart w:id="0" w:name="_Hlk23256944"/>
      <w:r w:rsidRPr="00B257AC">
        <w:rPr>
          <w:rFonts w:cstheme="minorHAnsi"/>
          <w:b/>
          <w:bCs/>
          <w:sz w:val="24"/>
          <w:szCs w:val="24"/>
        </w:rPr>
        <w:t xml:space="preserve">Condition </w:t>
      </w:r>
      <w:r>
        <w:rPr>
          <w:rFonts w:cstheme="minorHAnsi"/>
          <w:b/>
          <w:bCs/>
          <w:sz w:val="24"/>
          <w:szCs w:val="24"/>
        </w:rPr>
        <w:t>2(m)</w:t>
      </w:r>
      <w:r w:rsidRPr="0075014E">
        <w:rPr>
          <w:rFonts w:cstheme="minorHAnsi"/>
          <w:sz w:val="24"/>
          <w:szCs w:val="24"/>
        </w:rPr>
        <w:t xml:space="preserve"> </w:t>
      </w:r>
      <w:r w:rsidRPr="00AB6410">
        <w:rPr>
          <w:rFonts w:cstheme="minorHAnsi"/>
          <w:sz w:val="24"/>
          <w:szCs w:val="24"/>
        </w:rPr>
        <w:t>definition of ‘Risk Free Rate’ is amended to refer to an updated APRA Prudential Standard;</w:t>
      </w:r>
    </w:p>
    <w:p w14:paraId="18BA46EB" w14:textId="77777777" w:rsidR="00FD20E5" w:rsidRDefault="00FD20E5" w:rsidP="00FD20E5">
      <w:pPr>
        <w:pStyle w:val="ListParagraph"/>
        <w:numPr>
          <w:ilvl w:val="0"/>
          <w:numId w:val="32"/>
        </w:numPr>
        <w:spacing w:after="0" w:line="240" w:lineRule="auto"/>
        <w:ind w:left="1134" w:hanging="567"/>
        <w:contextualSpacing w:val="0"/>
        <w:jc w:val="both"/>
        <w:rPr>
          <w:rFonts w:cstheme="minorHAnsi"/>
          <w:sz w:val="24"/>
          <w:szCs w:val="24"/>
        </w:rPr>
      </w:pPr>
      <w:r>
        <w:rPr>
          <w:rFonts w:cstheme="minorHAnsi"/>
          <w:b/>
          <w:bCs/>
          <w:sz w:val="24"/>
          <w:szCs w:val="24"/>
        </w:rPr>
        <w:t xml:space="preserve">Condition 24 </w:t>
      </w:r>
      <w:r>
        <w:rPr>
          <w:rFonts w:cstheme="minorHAnsi"/>
          <w:sz w:val="24"/>
          <w:szCs w:val="24"/>
        </w:rPr>
        <w:t xml:space="preserve">is amended to update the information recording, retrieval and reporting requirements and remove the ‘Note’ below condition 24.B; and </w:t>
      </w:r>
    </w:p>
    <w:p w14:paraId="3D3F6908" w14:textId="77777777" w:rsidR="00FD20E5" w:rsidRPr="00E1411C" w:rsidRDefault="00FD20E5" w:rsidP="00FD20E5">
      <w:pPr>
        <w:pStyle w:val="ListParagraph"/>
        <w:numPr>
          <w:ilvl w:val="0"/>
          <w:numId w:val="32"/>
        </w:numPr>
        <w:spacing w:after="0" w:line="240" w:lineRule="auto"/>
        <w:ind w:left="1134" w:hanging="567"/>
        <w:contextualSpacing w:val="0"/>
        <w:jc w:val="both"/>
        <w:rPr>
          <w:b/>
          <w:bCs/>
        </w:rPr>
      </w:pPr>
      <w:r>
        <w:rPr>
          <w:rFonts w:cstheme="minorHAnsi"/>
          <w:b/>
          <w:bCs/>
          <w:sz w:val="24"/>
          <w:szCs w:val="24"/>
        </w:rPr>
        <w:t xml:space="preserve">Definitions </w:t>
      </w:r>
      <w:r>
        <w:rPr>
          <w:rFonts w:cstheme="minorHAnsi"/>
          <w:sz w:val="24"/>
          <w:szCs w:val="24"/>
        </w:rPr>
        <w:t>used throughout the licence are amended to reflect administrative updates agreed by the Commission.</w:t>
      </w:r>
    </w:p>
    <w:bookmarkEnd w:id="0"/>
    <w:p w14:paraId="44AD3292" w14:textId="77777777" w:rsidR="00FD20E5" w:rsidRPr="0000564C" w:rsidRDefault="00FD20E5" w:rsidP="00FD20E5">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The variations take effect at the beginning of</w:t>
      </w:r>
      <w:r>
        <w:rPr>
          <w:rFonts w:cstheme="minorHAnsi"/>
          <w:color w:val="000000" w:themeColor="text1"/>
          <w:sz w:val="24"/>
          <w:szCs w:val="24"/>
        </w:rPr>
        <w:t xml:space="preserve"> 24 March 2023</w:t>
      </w:r>
      <w:r w:rsidRPr="004D320C">
        <w:rPr>
          <w:rFonts w:cstheme="minorHAnsi"/>
          <w:color w:val="000000" w:themeColor="text1"/>
          <w:sz w:val="24"/>
          <w:szCs w:val="24"/>
        </w:rPr>
        <w:t xml:space="preserve"> </w:t>
      </w:r>
      <w:bookmarkStart w:id="1" w:name="_Hlk23244022"/>
      <w:bookmarkStart w:id="2" w:name="_Hlk23244282"/>
      <w:r w:rsidRPr="004D320C">
        <w:rPr>
          <w:rFonts w:cstheme="minorHAnsi"/>
          <w:snapToGrid w:val="0"/>
          <w:sz w:val="24"/>
          <w:szCs w:val="24"/>
        </w:rPr>
        <w:t>(Australian Eastern Daylight Time</w:t>
      </w:r>
      <w:bookmarkEnd w:id="1"/>
      <w:r w:rsidRPr="004D320C">
        <w:rPr>
          <w:rFonts w:cstheme="minorHAnsi"/>
          <w:snapToGrid w:val="0"/>
          <w:sz w:val="24"/>
          <w:szCs w:val="24"/>
        </w:rPr>
        <w:t>)</w:t>
      </w:r>
      <w:r w:rsidRPr="004D320C">
        <w:rPr>
          <w:rFonts w:cstheme="minorHAnsi"/>
          <w:sz w:val="24"/>
          <w:szCs w:val="24"/>
        </w:rPr>
        <w:t>.</w:t>
      </w:r>
      <w:bookmarkEnd w:id="2"/>
    </w:p>
    <w:p w14:paraId="4379DCA3" w14:textId="77777777" w:rsidR="00FD20E5" w:rsidRPr="0070588E" w:rsidRDefault="00FD20E5" w:rsidP="00FD20E5">
      <w:pPr>
        <w:pStyle w:val="ListParagraph"/>
        <w:numPr>
          <w:ilvl w:val="0"/>
          <w:numId w:val="1"/>
        </w:numPr>
        <w:spacing w:before="240" w:after="240" w:line="240" w:lineRule="auto"/>
        <w:ind w:left="567" w:hanging="567"/>
        <w:contextualSpacing w:val="0"/>
        <w:jc w:val="both"/>
        <w:rPr>
          <w:rFonts w:ascii="Calibri" w:hAnsi="Calibri" w:cs="Calibri"/>
          <w:b/>
          <w:bCs/>
          <w:sz w:val="24"/>
          <w:szCs w:val="24"/>
        </w:rPr>
      </w:pPr>
      <w:r w:rsidRPr="005853C5">
        <w:rPr>
          <w:rFonts w:ascii="Calibri" w:hAnsi="Calibri" w:cs="Calibri"/>
          <w:color w:val="000000"/>
          <w:sz w:val="24"/>
          <w:szCs w:val="24"/>
          <w:shd w:val="clear" w:color="auto" w:fill="FFFFFF"/>
        </w:rPr>
        <w:t>The </w:t>
      </w:r>
      <w:r w:rsidRPr="005853C5">
        <w:rPr>
          <w:rFonts w:ascii="Calibri" w:hAnsi="Calibri" w:cs="Calibri"/>
          <w:sz w:val="24"/>
          <w:szCs w:val="24"/>
        </w:rPr>
        <w:t>Commission</w:t>
      </w:r>
      <w:r w:rsidRPr="005853C5">
        <w:rPr>
          <w:rFonts w:ascii="Calibri" w:hAnsi="Calibri" w:cs="Calibri"/>
          <w:color w:val="000000"/>
          <w:sz w:val="24"/>
          <w:szCs w:val="24"/>
          <w:shd w:val="clear" w:color="auto" w:fill="FFFFFF"/>
        </w:rPr>
        <w:t xml:space="preserve">, acting under subsection 105(1) of the SRC Act, extends the term of the </w:t>
      </w:r>
      <w:r>
        <w:rPr>
          <w:rFonts w:ascii="Calibri" w:hAnsi="Calibri" w:cs="Calibri"/>
          <w:color w:val="000000"/>
          <w:sz w:val="24"/>
          <w:szCs w:val="24"/>
          <w:shd w:val="clear" w:color="auto" w:fill="FFFFFF"/>
        </w:rPr>
        <w:t>l</w:t>
      </w:r>
      <w:r w:rsidRPr="005853C5">
        <w:rPr>
          <w:rFonts w:ascii="Calibri" w:hAnsi="Calibri" w:cs="Calibri"/>
          <w:color w:val="000000"/>
          <w:sz w:val="24"/>
          <w:szCs w:val="24"/>
          <w:shd w:val="clear" w:color="auto" w:fill="FFFFFF"/>
        </w:rPr>
        <w:t xml:space="preserve">icence for the </w:t>
      </w:r>
      <w:r w:rsidRPr="0070588E">
        <w:rPr>
          <w:rFonts w:cstheme="minorHAnsi"/>
          <w:color w:val="000000" w:themeColor="text1"/>
          <w:sz w:val="24"/>
          <w:szCs w:val="24"/>
        </w:rPr>
        <w:t>period</w:t>
      </w:r>
      <w:r w:rsidRPr="005853C5">
        <w:rPr>
          <w:rFonts w:ascii="Calibri" w:hAnsi="Calibri" w:cs="Calibri"/>
          <w:color w:val="000000"/>
          <w:sz w:val="24"/>
          <w:szCs w:val="24"/>
          <w:shd w:val="clear" w:color="auto" w:fill="FFFFFF"/>
        </w:rPr>
        <w:t xml:space="preserve"> commencing at the beginning of 1 July 2023 (Australian Eastern Standard Time) and ending at the end of 30 June 2031 (Australian Eastern Standard Time).</w:t>
      </w:r>
    </w:p>
    <w:p w14:paraId="35122BA3" w14:textId="77777777" w:rsidR="00FD20E5" w:rsidRPr="0000564C" w:rsidRDefault="00FD20E5" w:rsidP="00FD20E5">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The scope and conditions of the licence are as set out below.</w:t>
      </w:r>
    </w:p>
    <w:p w14:paraId="1520DE90" w14:textId="77777777" w:rsidR="00FD20E5" w:rsidRPr="004D320C" w:rsidRDefault="00FD20E5" w:rsidP="00FD20E5">
      <w:pPr>
        <w:pBdr>
          <w:bottom w:val="single" w:sz="12" w:space="1" w:color="auto"/>
        </w:pBdr>
        <w:spacing w:before="240" w:after="240" w:line="240" w:lineRule="auto"/>
        <w:ind w:left="567" w:hanging="567"/>
        <w:jc w:val="both"/>
        <w:rPr>
          <w:rFonts w:cstheme="minorHAnsi"/>
          <w:b/>
          <w:color w:val="000000" w:themeColor="text1"/>
          <w:sz w:val="24"/>
          <w:szCs w:val="24"/>
        </w:rPr>
      </w:pPr>
      <w:r w:rsidRPr="004D320C">
        <w:rPr>
          <w:rFonts w:cstheme="minorHAnsi"/>
          <w:b/>
          <w:color w:val="000000" w:themeColor="text1"/>
          <w:sz w:val="24"/>
          <w:szCs w:val="24"/>
        </w:rPr>
        <w:br w:type="page"/>
      </w:r>
      <w:r w:rsidRPr="004D320C">
        <w:rPr>
          <w:rFonts w:cstheme="minorHAnsi"/>
          <w:b/>
          <w:color w:val="000000" w:themeColor="text1"/>
          <w:sz w:val="24"/>
          <w:szCs w:val="24"/>
        </w:rPr>
        <w:lastRenderedPageBreak/>
        <w:t>Licence</w:t>
      </w:r>
    </w:p>
    <w:p w14:paraId="290705B1" w14:textId="77777777" w:rsidR="00FD20E5" w:rsidRPr="004D320C" w:rsidRDefault="00FD20E5" w:rsidP="00FD20E5">
      <w:pPr>
        <w:spacing w:before="240" w:after="240" w:line="240" w:lineRule="auto"/>
        <w:ind w:left="567" w:hanging="567"/>
        <w:jc w:val="both"/>
        <w:rPr>
          <w:rFonts w:cstheme="minorHAnsi"/>
          <w:b/>
          <w:color w:val="000000" w:themeColor="text1"/>
          <w:sz w:val="24"/>
          <w:szCs w:val="24"/>
        </w:rPr>
      </w:pPr>
      <w:r w:rsidRPr="004D320C">
        <w:rPr>
          <w:rFonts w:cstheme="minorHAnsi"/>
          <w:b/>
          <w:color w:val="000000" w:themeColor="text1"/>
          <w:sz w:val="24"/>
          <w:szCs w:val="24"/>
        </w:rPr>
        <w:t>Part 1 – Interpretation</w:t>
      </w:r>
    </w:p>
    <w:p w14:paraId="0D7226CE"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Interpretation</w:t>
      </w:r>
    </w:p>
    <w:p w14:paraId="6F475598"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b/>
          <w:color w:val="000000" w:themeColor="text1"/>
          <w:sz w:val="24"/>
          <w:szCs w:val="24"/>
        </w:rPr>
      </w:pPr>
      <w:r w:rsidRPr="004D320C">
        <w:rPr>
          <w:rFonts w:cstheme="minorHAnsi"/>
          <w:color w:val="000000" w:themeColor="text1"/>
          <w:sz w:val="24"/>
          <w:szCs w:val="24"/>
        </w:rPr>
        <w:t>Unless the contrary intention appears, expressions used in this instrument have the same meaning as in the SRC Act.</w:t>
      </w:r>
      <w:r w:rsidRPr="004D320C">
        <w:rPr>
          <w:rStyle w:val="FootnoteReference"/>
          <w:rFonts w:cstheme="minorHAnsi"/>
          <w:color w:val="000000" w:themeColor="text1"/>
          <w:sz w:val="24"/>
          <w:szCs w:val="24"/>
        </w:rPr>
        <w:footnoteReference w:id="1"/>
      </w:r>
    </w:p>
    <w:p w14:paraId="1EABA13B"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Definitions</w:t>
      </w:r>
    </w:p>
    <w:p w14:paraId="39551566"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In this licence:</w:t>
      </w:r>
    </w:p>
    <w:p w14:paraId="1022B00A"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i/>
          <w:color w:val="000000" w:themeColor="text1"/>
          <w:sz w:val="24"/>
          <w:szCs w:val="24"/>
        </w:rPr>
        <w:t>APRA</w:t>
      </w:r>
      <w:r w:rsidRPr="004D320C">
        <w:rPr>
          <w:rFonts w:cstheme="minorHAnsi"/>
          <w:color w:val="000000" w:themeColor="text1"/>
          <w:sz w:val="24"/>
          <w:szCs w:val="24"/>
        </w:rPr>
        <w:t xml:space="preserve"> means the Australian Prudential Regulation Authority;</w:t>
      </w:r>
    </w:p>
    <w:p w14:paraId="1DC83C23"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Balance Date </w:t>
      </w:r>
      <w:r w:rsidRPr="004D320C">
        <w:rPr>
          <w:rFonts w:cstheme="minorHAnsi"/>
          <w:sz w:val="24"/>
          <w:szCs w:val="24"/>
        </w:rPr>
        <w:t>means the last day of the Financial Year immediately before the first Financial Year to which the Guarantee being obtained under condition 37 will relate;</w:t>
      </w:r>
    </w:p>
    <w:p w14:paraId="25B7CFA7"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Deed of Cross Guarantee </w:t>
      </w:r>
      <w:r w:rsidRPr="004D320C">
        <w:rPr>
          <w:rFonts w:cstheme="minorHAnsi"/>
          <w:sz w:val="24"/>
          <w:szCs w:val="24"/>
        </w:rPr>
        <w:t xml:space="preserve">means a deed of cross guarantee </w:t>
      </w:r>
      <w:proofErr w:type="gramStart"/>
      <w:r w:rsidRPr="004D320C">
        <w:rPr>
          <w:rFonts w:cstheme="minorHAnsi"/>
          <w:sz w:val="24"/>
          <w:szCs w:val="24"/>
        </w:rPr>
        <w:t>entered into</w:t>
      </w:r>
      <w:proofErr w:type="gramEnd"/>
      <w:r w:rsidRPr="004D320C">
        <w:rPr>
          <w:rFonts w:cstheme="minorHAnsi"/>
          <w:sz w:val="24"/>
          <w:szCs w:val="24"/>
        </w:rPr>
        <w:t xml:space="preserve"> by (among others) the Licensee which complies with all requirements of any instrument issued under the </w:t>
      </w:r>
      <w:r w:rsidRPr="004D320C">
        <w:rPr>
          <w:rFonts w:cstheme="minorHAnsi"/>
          <w:i/>
          <w:sz w:val="24"/>
          <w:szCs w:val="24"/>
        </w:rPr>
        <w:t xml:space="preserve">Corporations Act 2001 </w:t>
      </w:r>
      <w:r w:rsidRPr="004D320C">
        <w:rPr>
          <w:rFonts w:cstheme="minorHAnsi"/>
          <w:sz w:val="24"/>
          <w:szCs w:val="24"/>
        </w:rPr>
        <w:t>(</w:t>
      </w:r>
      <w:proofErr w:type="spellStart"/>
      <w:r w:rsidRPr="004D320C">
        <w:rPr>
          <w:rFonts w:cstheme="minorHAnsi"/>
          <w:sz w:val="24"/>
          <w:szCs w:val="24"/>
        </w:rPr>
        <w:t>Cth</w:t>
      </w:r>
      <w:proofErr w:type="spellEnd"/>
      <w:r w:rsidRPr="004D320C">
        <w:rPr>
          <w:rFonts w:cstheme="minorHAnsi"/>
          <w:sz w:val="24"/>
          <w:szCs w:val="24"/>
        </w:rPr>
        <w:t>)</w:t>
      </w:r>
      <w:r w:rsidRPr="004D320C">
        <w:rPr>
          <w:rFonts w:cstheme="minorHAnsi"/>
          <w:i/>
          <w:sz w:val="24"/>
          <w:szCs w:val="24"/>
        </w:rPr>
        <w:t>;</w:t>
      </w:r>
    </w:p>
    <w:p w14:paraId="17A5F158"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i/>
          <w:color w:val="000000" w:themeColor="text1"/>
          <w:sz w:val="24"/>
          <w:szCs w:val="24"/>
        </w:rPr>
        <w:t xml:space="preserve">Document </w:t>
      </w:r>
      <w:r w:rsidRPr="004D320C">
        <w:rPr>
          <w:rFonts w:cstheme="minorHAnsi"/>
          <w:color w:val="000000" w:themeColor="text1"/>
          <w:sz w:val="24"/>
          <w:szCs w:val="24"/>
        </w:rPr>
        <w:t xml:space="preserve">means document as that word is defined by section 2B of the </w:t>
      </w:r>
      <w:r w:rsidRPr="004D320C">
        <w:rPr>
          <w:rFonts w:cstheme="minorHAnsi"/>
          <w:i/>
          <w:color w:val="000000" w:themeColor="text1"/>
          <w:sz w:val="24"/>
          <w:szCs w:val="24"/>
        </w:rPr>
        <w:t>Acts Interpretation Act 1901</w:t>
      </w:r>
      <w:r w:rsidRPr="004D320C">
        <w:rPr>
          <w:rFonts w:cstheme="minorHAnsi"/>
          <w:color w:val="000000" w:themeColor="text1"/>
          <w:sz w:val="24"/>
          <w:szCs w:val="24"/>
        </w:rPr>
        <w:t>(</w:t>
      </w:r>
      <w:proofErr w:type="spellStart"/>
      <w:r w:rsidRPr="004D320C">
        <w:rPr>
          <w:rFonts w:cstheme="minorHAnsi"/>
          <w:color w:val="000000" w:themeColor="text1"/>
          <w:sz w:val="24"/>
          <w:szCs w:val="24"/>
        </w:rPr>
        <w:t>Cth</w:t>
      </w:r>
      <w:proofErr w:type="spellEnd"/>
      <w:r w:rsidRPr="004D320C">
        <w:rPr>
          <w:rFonts w:cstheme="minorHAnsi"/>
          <w:color w:val="000000" w:themeColor="text1"/>
          <w:sz w:val="24"/>
          <w:szCs w:val="24"/>
        </w:rPr>
        <w:t>);</w:t>
      </w:r>
      <w:r w:rsidRPr="004D320C">
        <w:rPr>
          <w:rFonts w:cstheme="minorHAnsi"/>
          <w:i/>
          <w:color w:val="000000" w:themeColor="text1"/>
          <w:sz w:val="24"/>
          <w:szCs w:val="24"/>
        </w:rPr>
        <w:t xml:space="preserve"> </w:t>
      </w:r>
    </w:p>
    <w:p w14:paraId="54286EDF"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Excess Amount </w:t>
      </w:r>
      <w:r w:rsidRPr="004D320C">
        <w:rPr>
          <w:rFonts w:cstheme="minorHAnsi"/>
          <w:sz w:val="24"/>
          <w:szCs w:val="24"/>
        </w:rPr>
        <w:t>has the meaning as defined in condition 49;</w:t>
      </w:r>
    </w:p>
    <w:p w14:paraId="2E3239CE"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Financial Year </w:t>
      </w:r>
      <w:r w:rsidRPr="004D320C">
        <w:rPr>
          <w:rFonts w:cstheme="minorHAnsi"/>
          <w:sz w:val="24"/>
          <w:szCs w:val="24"/>
        </w:rPr>
        <w:t xml:space="preserve">means the financial year that applies to the licensee under the </w:t>
      </w:r>
      <w:r w:rsidRPr="004D320C">
        <w:rPr>
          <w:rFonts w:cstheme="minorHAnsi"/>
          <w:i/>
          <w:sz w:val="24"/>
          <w:szCs w:val="24"/>
        </w:rPr>
        <w:t xml:space="preserve">Corporations Act 2001 </w:t>
      </w:r>
      <w:r w:rsidRPr="004D320C">
        <w:rPr>
          <w:rFonts w:cstheme="minorHAnsi"/>
          <w:sz w:val="24"/>
          <w:szCs w:val="24"/>
        </w:rPr>
        <w:t>(</w:t>
      </w:r>
      <w:proofErr w:type="spellStart"/>
      <w:r w:rsidRPr="004D320C">
        <w:rPr>
          <w:rFonts w:cstheme="minorHAnsi"/>
          <w:sz w:val="24"/>
          <w:szCs w:val="24"/>
        </w:rPr>
        <w:t>Cth</w:t>
      </w:r>
      <w:proofErr w:type="spellEnd"/>
      <w:r w:rsidRPr="004D320C">
        <w:rPr>
          <w:rFonts w:cstheme="minorHAnsi"/>
          <w:sz w:val="24"/>
          <w:szCs w:val="24"/>
        </w:rPr>
        <w:t xml:space="preserve">); </w:t>
      </w:r>
    </w:p>
    <w:p w14:paraId="57E050AD"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Guarantee </w:t>
      </w:r>
      <w:r w:rsidRPr="004D320C">
        <w:rPr>
          <w:rFonts w:cstheme="minorHAnsi"/>
          <w:sz w:val="24"/>
          <w:szCs w:val="24"/>
        </w:rPr>
        <w:t xml:space="preserve">means a bank guarantee, letter of credit, unconditional payment </w:t>
      </w:r>
      <w:proofErr w:type="gramStart"/>
      <w:r w:rsidRPr="004D320C">
        <w:rPr>
          <w:rFonts w:cstheme="minorHAnsi"/>
          <w:sz w:val="24"/>
          <w:szCs w:val="24"/>
        </w:rPr>
        <w:t>undertaking</w:t>
      </w:r>
      <w:proofErr w:type="gramEnd"/>
      <w:r w:rsidRPr="004D320C">
        <w:rPr>
          <w:rFonts w:cstheme="minorHAnsi"/>
          <w:sz w:val="24"/>
          <w:szCs w:val="24"/>
        </w:rPr>
        <w:t xml:space="preserve"> or such other instrument issued by an entity acceptable to the Commission in accordance with this licence;</w:t>
      </w:r>
      <w:r w:rsidRPr="004D320C">
        <w:rPr>
          <w:rFonts w:cstheme="minorHAnsi"/>
          <w:i/>
          <w:sz w:val="24"/>
          <w:szCs w:val="24"/>
        </w:rPr>
        <w:t xml:space="preserve"> </w:t>
      </w:r>
    </w:p>
    <w:p w14:paraId="5383E991"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Liability Report </w:t>
      </w:r>
      <w:r w:rsidRPr="004D320C">
        <w:rPr>
          <w:rFonts w:cstheme="minorHAnsi"/>
          <w:sz w:val="24"/>
          <w:szCs w:val="24"/>
        </w:rPr>
        <w:t xml:space="preserve">has the meaning as defined in condition 26; </w:t>
      </w:r>
    </w:p>
    <w:p w14:paraId="06A44F06"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i/>
          <w:color w:val="000000" w:themeColor="text1"/>
          <w:sz w:val="24"/>
          <w:szCs w:val="24"/>
        </w:rPr>
        <w:t>Licensee</w:t>
      </w:r>
      <w:r w:rsidRPr="004D320C">
        <w:rPr>
          <w:rFonts w:cstheme="minorHAnsi"/>
          <w:color w:val="000000" w:themeColor="text1"/>
          <w:sz w:val="24"/>
          <w:szCs w:val="24"/>
        </w:rPr>
        <w:t xml:space="preserve"> includes, where the context permits, the Claims Manager;</w:t>
      </w:r>
    </w:p>
    <w:p w14:paraId="68784982"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Outstanding Claim Liability </w:t>
      </w:r>
      <w:r w:rsidRPr="004D320C">
        <w:rPr>
          <w:rFonts w:cstheme="minorHAnsi"/>
          <w:sz w:val="24"/>
          <w:szCs w:val="24"/>
        </w:rPr>
        <w:t>has the meaning</w:t>
      </w:r>
      <w:r w:rsidRPr="004D320C">
        <w:rPr>
          <w:rFonts w:cstheme="minorHAnsi"/>
          <w:i/>
          <w:sz w:val="24"/>
          <w:szCs w:val="24"/>
        </w:rPr>
        <w:t xml:space="preserve"> </w:t>
      </w:r>
      <w:r w:rsidRPr="004D320C">
        <w:rPr>
          <w:rFonts w:cstheme="minorHAnsi"/>
          <w:sz w:val="24"/>
          <w:szCs w:val="24"/>
        </w:rPr>
        <w:t xml:space="preserve">as defined in the Institute of Actuaries of Australia Professional Standard 302 “Valuations of General Insurance Claims”, </w:t>
      </w:r>
      <w:r w:rsidRPr="004D320C">
        <w:rPr>
          <w:rFonts w:eastAsia="Times New Roman" w:cstheme="minorHAnsi"/>
          <w:sz w:val="24"/>
          <w:szCs w:val="24"/>
          <w:lang w:eastAsia="en-AU"/>
        </w:rPr>
        <w:t>or any standard substituted thereof</w:t>
      </w:r>
      <w:r w:rsidRPr="004D320C">
        <w:rPr>
          <w:rFonts w:cstheme="minorHAnsi"/>
          <w:sz w:val="24"/>
          <w:szCs w:val="24"/>
        </w:rPr>
        <w:t>;</w:t>
      </w:r>
    </w:p>
    <w:p w14:paraId="69A8E022"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Recommended Excess Amount </w:t>
      </w:r>
      <w:r w:rsidRPr="004D320C">
        <w:rPr>
          <w:rFonts w:cstheme="minorHAnsi"/>
          <w:sz w:val="24"/>
          <w:szCs w:val="24"/>
        </w:rPr>
        <w:t>has the meaning as defined in condition 28(c);</w:t>
      </w:r>
    </w:p>
    <w:p w14:paraId="0EAB6560" w14:textId="77777777" w:rsidR="00FD20E5" w:rsidRPr="004D320C" w:rsidRDefault="00FD20E5" w:rsidP="00FD20E5">
      <w:pPr>
        <w:pStyle w:val="ListParagraph"/>
        <w:numPr>
          <w:ilvl w:val="0"/>
          <w:numId w:val="3"/>
        </w:numPr>
        <w:spacing w:before="240" w:after="240" w:line="240" w:lineRule="auto"/>
        <w:ind w:left="1134" w:hanging="567"/>
        <w:contextualSpacing w:val="0"/>
        <w:jc w:val="both"/>
        <w:rPr>
          <w:rFonts w:cstheme="minorHAnsi"/>
          <w:sz w:val="24"/>
          <w:szCs w:val="24"/>
        </w:rPr>
      </w:pPr>
      <w:r w:rsidRPr="004D320C">
        <w:rPr>
          <w:rFonts w:cstheme="minorHAnsi"/>
          <w:i/>
          <w:sz w:val="24"/>
          <w:szCs w:val="24"/>
        </w:rPr>
        <w:t xml:space="preserve">Reinsurance Policy </w:t>
      </w:r>
      <w:r w:rsidRPr="004D320C">
        <w:rPr>
          <w:rFonts w:cstheme="minorHAnsi"/>
          <w:sz w:val="24"/>
          <w:szCs w:val="24"/>
        </w:rPr>
        <w:t>has the meaning as defined in condition 48; and</w:t>
      </w:r>
    </w:p>
    <w:p w14:paraId="605CD25D" w14:textId="77777777" w:rsidR="00FD20E5" w:rsidRPr="000203A5" w:rsidRDefault="00FD20E5" w:rsidP="00FD20E5">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i/>
          <w:sz w:val="24"/>
          <w:szCs w:val="24"/>
        </w:rPr>
        <w:t xml:space="preserve">Risk Free Rate </w:t>
      </w:r>
      <w:r w:rsidRPr="004D320C">
        <w:rPr>
          <w:rFonts w:cstheme="minorHAnsi"/>
          <w:sz w:val="24"/>
          <w:szCs w:val="24"/>
        </w:rPr>
        <w:t xml:space="preserve">means </w:t>
      </w:r>
      <w:r w:rsidRPr="004D320C">
        <w:rPr>
          <w:rFonts w:cstheme="minorHAnsi"/>
          <w:snapToGrid w:val="0"/>
          <w:sz w:val="24"/>
          <w:szCs w:val="24"/>
        </w:rPr>
        <w:t xml:space="preserve">the rates to be used in discounting the expected future claims payments of insurance liabilities denominated in Australian currency as </w:t>
      </w:r>
    </w:p>
    <w:p w14:paraId="63FF265B" w14:textId="77777777" w:rsidR="00FD20E5" w:rsidRPr="0000564C" w:rsidRDefault="00FD20E5" w:rsidP="00FD20E5">
      <w:pPr>
        <w:pStyle w:val="ListParagraph"/>
        <w:spacing w:before="240" w:after="240" w:line="240" w:lineRule="auto"/>
        <w:ind w:left="1134"/>
        <w:contextualSpacing w:val="0"/>
        <w:jc w:val="both"/>
        <w:rPr>
          <w:rFonts w:cstheme="minorHAnsi"/>
          <w:color w:val="000000" w:themeColor="text1"/>
          <w:sz w:val="24"/>
          <w:szCs w:val="24"/>
        </w:rPr>
      </w:pPr>
      <w:r w:rsidRPr="004D320C">
        <w:rPr>
          <w:rFonts w:cstheme="minorHAnsi"/>
          <w:snapToGrid w:val="0"/>
          <w:sz w:val="24"/>
          <w:szCs w:val="24"/>
        </w:rPr>
        <w:lastRenderedPageBreak/>
        <w:t xml:space="preserve">determined in accordance with APRA </w:t>
      </w:r>
      <w:r w:rsidRPr="007F0783">
        <w:rPr>
          <w:rFonts w:cstheme="minorHAnsi"/>
          <w:i/>
          <w:iCs/>
          <w:snapToGrid w:val="0"/>
          <w:sz w:val="24"/>
          <w:szCs w:val="24"/>
        </w:rPr>
        <w:t>Prudential Standard GPS 340: Insurance Liability Valuation</w:t>
      </w:r>
      <w:r>
        <w:rPr>
          <w:rFonts w:cstheme="minorHAnsi"/>
          <w:snapToGrid w:val="0"/>
          <w:sz w:val="24"/>
          <w:szCs w:val="24"/>
        </w:rPr>
        <w:t xml:space="preserve">, </w:t>
      </w:r>
      <w:r w:rsidRPr="004D320C">
        <w:rPr>
          <w:rFonts w:eastAsia="Times New Roman" w:cstheme="minorHAnsi"/>
          <w:sz w:val="24"/>
          <w:szCs w:val="24"/>
          <w:lang w:eastAsia="en-AU"/>
        </w:rPr>
        <w:t>or any standard</w:t>
      </w:r>
      <w:r>
        <w:rPr>
          <w:rFonts w:eastAsia="Times New Roman" w:cstheme="minorHAnsi"/>
          <w:sz w:val="24"/>
          <w:szCs w:val="24"/>
          <w:lang w:eastAsia="en-AU"/>
        </w:rPr>
        <w:t xml:space="preserve"> or associated standard,</w:t>
      </w:r>
      <w:r w:rsidRPr="004D320C">
        <w:rPr>
          <w:rFonts w:eastAsia="Times New Roman" w:cstheme="minorHAnsi"/>
          <w:sz w:val="24"/>
          <w:szCs w:val="24"/>
          <w:lang w:eastAsia="en-AU"/>
        </w:rPr>
        <w:t xml:space="preserve"> substituted thereof</w:t>
      </w:r>
      <w:r w:rsidRPr="004D320C">
        <w:rPr>
          <w:rFonts w:cstheme="minorHAnsi"/>
          <w:color w:val="000000" w:themeColor="text1"/>
          <w:sz w:val="24"/>
          <w:szCs w:val="24"/>
        </w:rPr>
        <w:t>.</w:t>
      </w:r>
    </w:p>
    <w:p w14:paraId="4E6F5277" w14:textId="77777777" w:rsidR="00FD20E5" w:rsidRPr="004D320C" w:rsidRDefault="00FD20E5" w:rsidP="00FD20E5">
      <w:pPr>
        <w:spacing w:before="240" w:after="240" w:line="240" w:lineRule="auto"/>
        <w:ind w:left="567" w:hanging="567"/>
        <w:jc w:val="both"/>
        <w:rPr>
          <w:rFonts w:cstheme="minorHAnsi"/>
          <w:b/>
          <w:color w:val="000000" w:themeColor="text1"/>
          <w:sz w:val="24"/>
          <w:szCs w:val="24"/>
        </w:rPr>
      </w:pPr>
      <w:r w:rsidRPr="004D320C">
        <w:rPr>
          <w:rFonts w:cstheme="minorHAnsi"/>
          <w:b/>
          <w:color w:val="000000" w:themeColor="text1"/>
          <w:sz w:val="24"/>
          <w:szCs w:val="24"/>
        </w:rPr>
        <w:t xml:space="preserve">Part 2 – Grant of Licence </w:t>
      </w:r>
    </w:p>
    <w:p w14:paraId="1FBB7E2B"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Eligible applicant</w:t>
      </w:r>
    </w:p>
    <w:p w14:paraId="76E3F06A"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b/>
          <w:i/>
          <w:color w:val="000000" w:themeColor="text1"/>
          <w:sz w:val="24"/>
          <w:szCs w:val="24"/>
        </w:rPr>
      </w:pPr>
      <w:r w:rsidRPr="004D320C">
        <w:rPr>
          <w:rFonts w:cstheme="minorHAnsi"/>
          <w:color w:val="000000" w:themeColor="text1"/>
          <w:sz w:val="24"/>
          <w:szCs w:val="24"/>
        </w:rPr>
        <w:t xml:space="preserve">The Licensee was declared to be eligible to be granted a licence under Part VIII of the SRC Act by legislative instrument dated 19 December 2005, registered as </w:t>
      </w:r>
      <w:r w:rsidRPr="004D320C">
        <w:rPr>
          <w:rFonts w:eastAsia="Times New Roman" w:cstheme="minorHAnsi"/>
          <w:color w:val="000000" w:themeColor="text1"/>
          <w:sz w:val="24"/>
          <w:szCs w:val="24"/>
          <w:lang w:eastAsia="en-AU"/>
        </w:rPr>
        <w:t>F2006L00097</w:t>
      </w:r>
      <w:r w:rsidRPr="004D320C">
        <w:rPr>
          <w:rFonts w:cstheme="minorHAnsi"/>
          <w:color w:val="000000" w:themeColor="text1"/>
          <w:sz w:val="24"/>
          <w:szCs w:val="24"/>
        </w:rPr>
        <w:t xml:space="preserve"> on the Federal Register of Legislation on 9 January 2006.</w:t>
      </w:r>
    </w:p>
    <w:p w14:paraId="218B0693"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Licence decisions</w:t>
      </w:r>
    </w:p>
    <w:p w14:paraId="6D87F6D0"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 xml:space="preserve">The Commission, </w:t>
      </w:r>
      <w:r w:rsidRPr="004D320C">
        <w:rPr>
          <w:rFonts w:cstheme="minorHAnsi"/>
          <w:snapToGrid w:val="0"/>
          <w:color w:val="000000" w:themeColor="text1"/>
          <w:sz w:val="24"/>
          <w:szCs w:val="24"/>
        </w:rPr>
        <w:t xml:space="preserve">acting under sections 103 and 104 of the SRC Act, granted a licence to the Licensee on </w:t>
      </w:r>
      <w:r w:rsidRPr="004D320C">
        <w:rPr>
          <w:rFonts w:cstheme="minorHAnsi"/>
          <w:color w:val="000000" w:themeColor="text1"/>
          <w:sz w:val="24"/>
          <w:szCs w:val="24"/>
        </w:rPr>
        <w:t>15 March 2006 for the period commencing on 3 April 2006 and ending on 30 June 2007 as notified by Notice No. 1 of 2006 in Commonwealth Gazette No. GN 11 on 22 March 2006.</w:t>
      </w:r>
    </w:p>
    <w:p w14:paraId="1414795C"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Following its commencement, the licence has been varied or extended by the Commission on:</w:t>
      </w:r>
    </w:p>
    <w:p w14:paraId="70807232"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25 June 2007 as notified by Notice No. 16 of 2007, Commonwealth Gazette No. S 121 on 27 June 2007;</w:t>
      </w:r>
    </w:p>
    <w:p w14:paraId="0AA9D5B6"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18 June 2008 as notified by Notice No. 25 of 2008, Commonwealth Gazette No. GN 25 on 25 June 2008;</w:t>
      </w:r>
    </w:p>
    <w:p w14:paraId="3078702C"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 xml:space="preserve">16 March 2011 as notified by Notice No. 3 of 2011, Commonwealth Gazette No. GN 12 on 30 March 2011; </w:t>
      </w:r>
    </w:p>
    <w:p w14:paraId="177425A6"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 xml:space="preserve">23 April 2014 as notified by Notice No. 5 of 2014, Gazette reference number C2014G00706 published on 2 May 2014; </w:t>
      </w:r>
    </w:p>
    <w:p w14:paraId="5DD506BA"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2 July 2014 as notified by Notice No. 4 of 2015, Gazette reference number C2015G01077 published on 3 July 2015;</w:t>
      </w:r>
    </w:p>
    <w:p w14:paraId="506FFAF7"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28 June 2016 as notified by Notice No. 31 of 2016, Gazette reference number C2016G00922 published on 4 July 2016</w:t>
      </w:r>
      <w:r>
        <w:rPr>
          <w:rFonts w:cstheme="minorHAnsi"/>
          <w:color w:val="000000" w:themeColor="text1"/>
          <w:sz w:val="24"/>
          <w:szCs w:val="24"/>
        </w:rPr>
        <w:t>;</w:t>
      </w:r>
      <w:r w:rsidRPr="004D320C">
        <w:rPr>
          <w:rFonts w:cstheme="minorHAnsi"/>
          <w:color w:val="000000" w:themeColor="text1"/>
          <w:sz w:val="24"/>
          <w:szCs w:val="24"/>
        </w:rPr>
        <w:t xml:space="preserve"> </w:t>
      </w:r>
    </w:p>
    <w:p w14:paraId="72FBB70F" w14:textId="77777777" w:rsidR="00FD20E5"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bookmarkStart w:id="3" w:name="_Hlk23336508"/>
      <w:bookmarkStart w:id="4" w:name="_Hlk23243700"/>
      <w:bookmarkStart w:id="5" w:name="_Hlk52974884"/>
      <w:r w:rsidRPr="004D320C">
        <w:rPr>
          <w:rFonts w:cstheme="minorHAnsi"/>
          <w:color w:val="000000" w:themeColor="text1"/>
          <w:sz w:val="24"/>
          <w:szCs w:val="24"/>
        </w:rPr>
        <w:t xml:space="preserve">28 June 2017, as notified by Notice No. 26 of 2017, in Gazette reference number C2017G00740, published on </w:t>
      </w:r>
      <w:bookmarkEnd w:id="3"/>
      <w:bookmarkEnd w:id="4"/>
      <w:r w:rsidRPr="004D320C">
        <w:rPr>
          <w:rFonts w:cstheme="minorHAnsi"/>
          <w:color w:val="000000" w:themeColor="text1"/>
          <w:sz w:val="24"/>
          <w:szCs w:val="24"/>
        </w:rPr>
        <w:t>30 June 2017</w:t>
      </w:r>
      <w:bookmarkEnd w:id="5"/>
      <w:r>
        <w:rPr>
          <w:rFonts w:cstheme="minorHAnsi"/>
          <w:color w:val="000000" w:themeColor="text1"/>
          <w:sz w:val="24"/>
          <w:szCs w:val="24"/>
        </w:rPr>
        <w:t xml:space="preserve">; </w:t>
      </w:r>
    </w:p>
    <w:p w14:paraId="3DAAB8C7" w14:textId="77777777" w:rsidR="00FD20E5"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Pr>
          <w:rFonts w:cstheme="minorHAnsi"/>
          <w:color w:val="000000" w:themeColor="text1"/>
          <w:sz w:val="24"/>
          <w:szCs w:val="24"/>
        </w:rPr>
        <w:t>9 December</w:t>
      </w:r>
      <w:r w:rsidRPr="00C329AC">
        <w:rPr>
          <w:rFonts w:cstheme="minorHAnsi"/>
          <w:color w:val="000000" w:themeColor="text1"/>
          <w:sz w:val="24"/>
          <w:szCs w:val="24"/>
        </w:rPr>
        <w:t xml:space="preserve"> 201</w:t>
      </w:r>
      <w:r>
        <w:rPr>
          <w:rFonts w:cstheme="minorHAnsi"/>
          <w:color w:val="000000" w:themeColor="text1"/>
          <w:sz w:val="24"/>
          <w:szCs w:val="24"/>
        </w:rPr>
        <w:t>9</w:t>
      </w:r>
      <w:r w:rsidRPr="00C329AC">
        <w:rPr>
          <w:rFonts w:cstheme="minorHAnsi"/>
          <w:color w:val="000000" w:themeColor="text1"/>
          <w:sz w:val="24"/>
          <w:szCs w:val="24"/>
        </w:rPr>
        <w:t>, as notified by Notice No. 2</w:t>
      </w:r>
      <w:r>
        <w:rPr>
          <w:rFonts w:cstheme="minorHAnsi"/>
          <w:color w:val="000000" w:themeColor="text1"/>
          <w:sz w:val="24"/>
          <w:szCs w:val="24"/>
        </w:rPr>
        <w:t>7</w:t>
      </w:r>
      <w:r w:rsidRPr="00C329AC">
        <w:rPr>
          <w:rFonts w:cstheme="minorHAnsi"/>
          <w:color w:val="000000" w:themeColor="text1"/>
          <w:sz w:val="24"/>
          <w:szCs w:val="24"/>
        </w:rPr>
        <w:t xml:space="preserve"> of 201</w:t>
      </w:r>
      <w:r>
        <w:rPr>
          <w:rFonts w:cstheme="minorHAnsi"/>
          <w:color w:val="000000" w:themeColor="text1"/>
          <w:sz w:val="24"/>
          <w:szCs w:val="24"/>
        </w:rPr>
        <w:t>9</w:t>
      </w:r>
      <w:r w:rsidRPr="00C329AC">
        <w:rPr>
          <w:rFonts w:cstheme="minorHAnsi"/>
          <w:color w:val="000000" w:themeColor="text1"/>
          <w:sz w:val="24"/>
          <w:szCs w:val="24"/>
        </w:rPr>
        <w:t>, in Gazette reference number C2019G01160, published on 19</w:t>
      </w:r>
      <w:r>
        <w:rPr>
          <w:rFonts w:cstheme="minorHAnsi"/>
          <w:color w:val="000000" w:themeColor="text1"/>
          <w:sz w:val="24"/>
          <w:szCs w:val="24"/>
        </w:rPr>
        <w:t xml:space="preserve"> December </w:t>
      </w:r>
      <w:r w:rsidRPr="00C329AC">
        <w:rPr>
          <w:rFonts w:cstheme="minorHAnsi"/>
          <w:color w:val="000000" w:themeColor="text1"/>
          <w:sz w:val="24"/>
          <w:szCs w:val="24"/>
        </w:rPr>
        <w:t>2019</w:t>
      </w:r>
      <w:r>
        <w:rPr>
          <w:rFonts w:cstheme="minorHAnsi"/>
          <w:color w:val="000000" w:themeColor="text1"/>
          <w:sz w:val="24"/>
          <w:szCs w:val="24"/>
        </w:rPr>
        <w:t>; and</w:t>
      </w:r>
    </w:p>
    <w:p w14:paraId="597F8DB9" w14:textId="77777777" w:rsidR="00FD20E5" w:rsidRPr="004D320C" w:rsidRDefault="00FD20E5" w:rsidP="00FD20E5">
      <w:pPr>
        <w:pStyle w:val="ListParagraph"/>
        <w:numPr>
          <w:ilvl w:val="0"/>
          <w:numId w:val="18"/>
        </w:numPr>
        <w:spacing w:before="240" w:after="240" w:line="240" w:lineRule="auto"/>
        <w:ind w:left="1134" w:hanging="567"/>
        <w:contextualSpacing w:val="0"/>
        <w:jc w:val="both"/>
        <w:rPr>
          <w:rFonts w:cstheme="minorHAnsi"/>
          <w:color w:val="000000" w:themeColor="text1"/>
          <w:sz w:val="24"/>
          <w:szCs w:val="24"/>
        </w:rPr>
      </w:pPr>
      <w:r>
        <w:rPr>
          <w:rFonts w:cstheme="minorHAnsi"/>
          <w:color w:val="000000" w:themeColor="text1"/>
          <w:sz w:val="24"/>
          <w:szCs w:val="24"/>
        </w:rPr>
        <w:t>29 June 2021, as notified by Notice No. 28 of 2021, in Gazette reference number C2021G00524, published on 5 July 2021.</w:t>
      </w:r>
    </w:p>
    <w:p w14:paraId="0D6CCD79"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Period of licence</w:t>
      </w:r>
    </w:p>
    <w:p w14:paraId="22135794" w14:textId="77777777" w:rsidR="00FD20E5" w:rsidRPr="000203A5"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snapToGrid w:val="0"/>
          <w:color w:val="000000" w:themeColor="text1"/>
          <w:sz w:val="24"/>
          <w:szCs w:val="24"/>
        </w:rPr>
        <w:t>Subject to the SRC Act, this licence is for the period commencing immediately after midnight (Australian Eastern Daylight Time) on</w:t>
      </w:r>
      <w:r w:rsidRPr="004D320C">
        <w:rPr>
          <w:rFonts w:cstheme="minorHAnsi"/>
          <w:color w:val="000000" w:themeColor="text1"/>
          <w:sz w:val="24"/>
          <w:szCs w:val="24"/>
        </w:rPr>
        <w:t xml:space="preserve"> 3 April 2006 </w:t>
      </w:r>
      <w:r w:rsidRPr="004D320C">
        <w:rPr>
          <w:rFonts w:cstheme="minorHAnsi"/>
          <w:snapToGrid w:val="0"/>
          <w:color w:val="000000" w:themeColor="text1"/>
          <w:sz w:val="24"/>
          <w:szCs w:val="24"/>
        </w:rPr>
        <w:t xml:space="preserve">and, in accordance with the most recent </w:t>
      </w:r>
      <w:r w:rsidRPr="004D320C">
        <w:rPr>
          <w:rFonts w:cstheme="minorHAnsi"/>
          <w:snapToGrid w:val="0"/>
          <w:color w:val="000000" w:themeColor="text1"/>
          <w:sz w:val="24"/>
          <w:szCs w:val="24"/>
        </w:rPr>
        <w:lastRenderedPageBreak/>
        <w:t>extension, ending at</w:t>
      </w:r>
      <w:r>
        <w:rPr>
          <w:rFonts w:cstheme="minorHAnsi"/>
          <w:snapToGrid w:val="0"/>
          <w:color w:val="000000" w:themeColor="text1"/>
          <w:sz w:val="24"/>
          <w:szCs w:val="24"/>
        </w:rPr>
        <w:t xml:space="preserve"> the end of</w:t>
      </w:r>
      <w:r w:rsidRPr="004D320C">
        <w:rPr>
          <w:rFonts w:cstheme="minorHAnsi"/>
          <w:snapToGrid w:val="0"/>
          <w:color w:val="000000" w:themeColor="text1"/>
          <w:sz w:val="24"/>
          <w:szCs w:val="24"/>
        </w:rPr>
        <w:t xml:space="preserve"> </w:t>
      </w:r>
      <w:r>
        <w:rPr>
          <w:rFonts w:cstheme="minorHAnsi"/>
          <w:snapToGrid w:val="0"/>
          <w:color w:val="000000" w:themeColor="text1"/>
          <w:sz w:val="24"/>
          <w:szCs w:val="24"/>
        </w:rPr>
        <w:t xml:space="preserve">30 June 2031 </w:t>
      </w:r>
      <w:r w:rsidRPr="004D320C">
        <w:rPr>
          <w:rFonts w:cstheme="minorHAnsi"/>
          <w:snapToGrid w:val="0"/>
          <w:color w:val="000000" w:themeColor="text1"/>
          <w:sz w:val="24"/>
          <w:szCs w:val="24"/>
        </w:rPr>
        <w:t xml:space="preserve">(Australian Eastern Standard </w:t>
      </w:r>
      <w:proofErr w:type="gramStart"/>
      <w:r w:rsidRPr="004D320C">
        <w:rPr>
          <w:rFonts w:cstheme="minorHAnsi"/>
          <w:snapToGrid w:val="0"/>
          <w:color w:val="000000" w:themeColor="text1"/>
          <w:sz w:val="24"/>
          <w:szCs w:val="24"/>
        </w:rPr>
        <w:t>Time)  (</w:t>
      </w:r>
      <w:proofErr w:type="gramEnd"/>
      <w:r>
        <w:rPr>
          <w:rFonts w:cstheme="minorHAnsi"/>
          <w:b/>
          <w:snapToGrid w:val="0"/>
          <w:color w:val="000000" w:themeColor="text1"/>
          <w:sz w:val="24"/>
          <w:szCs w:val="24"/>
        </w:rPr>
        <w:t>Licence Period</w:t>
      </w:r>
      <w:r w:rsidRPr="004D320C">
        <w:rPr>
          <w:rFonts w:cstheme="minorHAnsi"/>
          <w:snapToGrid w:val="0"/>
          <w:color w:val="000000" w:themeColor="text1"/>
          <w:sz w:val="24"/>
          <w:szCs w:val="24"/>
        </w:rPr>
        <w:t>).</w:t>
      </w:r>
    </w:p>
    <w:p w14:paraId="5B137A38" w14:textId="77777777" w:rsidR="00FD20E5" w:rsidRPr="000203A5" w:rsidRDefault="00FD20E5" w:rsidP="00FD20E5">
      <w:pPr>
        <w:spacing w:before="240" w:after="240" w:line="240" w:lineRule="auto"/>
        <w:jc w:val="both"/>
        <w:rPr>
          <w:rFonts w:cstheme="minorHAnsi"/>
          <w:color w:val="000000" w:themeColor="text1"/>
          <w:sz w:val="24"/>
          <w:szCs w:val="24"/>
        </w:rPr>
      </w:pPr>
    </w:p>
    <w:p w14:paraId="15448BB1" w14:textId="77777777" w:rsidR="00FD20E5" w:rsidRPr="0000564C" w:rsidRDefault="00FD20E5" w:rsidP="00FD20E5">
      <w:pPr>
        <w:spacing w:before="240" w:after="240" w:line="240" w:lineRule="auto"/>
        <w:ind w:left="567" w:hanging="567"/>
        <w:jc w:val="both"/>
        <w:rPr>
          <w:rFonts w:cstheme="minorHAnsi"/>
          <w:b/>
          <w:color w:val="000000" w:themeColor="text1"/>
          <w:sz w:val="24"/>
          <w:szCs w:val="24"/>
        </w:rPr>
      </w:pPr>
      <w:r w:rsidRPr="004D320C">
        <w:rPr>
          <w:rFonts w:cstheme="minorHAnsi"/>
          <w:b/>
          <w:color w:val="000000" w:themeColor="text1"/>
          <w:sz w:val="24"/>
          <w:szCs w:val="24"/>
        </w:rPr>
        <w:t>Part 3 – Scope of Licence</w:t>
      </w:r>
    </w:p>
    <w:p w14:paraId="01AFB482" w14:textId="77777777" w:rsidR="00FD20E5" w:rsidRPr="004D320C" w:rsidRDefault="00FD20E5" w:rsidP="00FD20E5">
      <w:pPr>
        <w:keepNext/>
        <w:spacing w:before="240" w:after="240" w:line="240" w:lineRule="auto"/>
        <w:ind w:left="567" w:hanging="567"/>
        <w:jc w:val="both"/>
        <w:outlineLvl w:val="1"/>
        <w:rPr>
          <w:rFonts w:eastAsia="Times New Roman" w:cstheme="minorHAnsi"/>
          <w:b/>
          <w:i/>
          <w:snapToGrid w:val="0"/>
          <w:color w:val="000000" w:themeColor="text1"/>
          <w:sz w:val="24"/>
          <w:szCs w:val="24"/>
        </w:rPr>
      </w:pPr>
      <w:r w:rsidRPr="004D320C">
        <w:rPr>
          <w:rFonts w:eastAsia="Times New Roman" w:cstheme="minorHAnsi"/>
          <w:b/>
          <w:i/>
          <w:snapToGrid w:val="0"/>
          <w:color w:val="000000" w:themeColor="text1"/>
          <w:sz w:val="24"/>
          <w:szCs w:val="24"/>
        </w:rPr>
        <w:t>Scope of licence – acceptance of liability</w:t>
      </w:r>
    </w:p>
    <w:p w14:paraId="4CACA356"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b/>
          <w:color w:val="000000" w:themeColor="text1"/>
          <w:sz w:val="24"/>
          <w:szCs w:val="24"/>
        </w:rPr>
      </w:pPr>
      <w:r w:rsidRPr="004D320C">
        <w:rPr>
          <w:rFonts w:cstheme="minorHAnsi"/>
          <w:snapToGrid w:val="0"/>
          <w:color w:val="000000" w:themeColor="text1"/>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4D320C">
        <w:rPr>
          <w:rFonts w:cstheme="minorHAnsi"/>
          <w:snapToGrid w:val="0"/>
          <w:color w:val="000000" w:themeColor="text1"/>
          <w:sz w:val="24"/>
          <w:szCs w:val="24"/>
        </w:rPr>
        <w:t>damage</w:t>
      </w:r>
      <w:proofErr w:type="gramEnd"/>
      <w:r w:rsidRPr="004D320C">
        <w:rPr>
          <w:rFonts w:cstheme="minorHAnsi"/>
          <w:snapToGrid w:val="0"/>
          <w:color w:val="000000" w:themeColor="text1"/>
          <w:sz w:val="24"/>
          <w:szCs w:val="24"/>
        </w:rPr>
        <w:t xml:space="preserve"> or death:</w:t>
      </w:r>
    </w:p>
    <w:p w14:paraId="1602F85B" w14:textId="77777777" w:rsidR="00FD20E5" w:rsidRPr="004D320C" w:rsidRDefault="00FD20E5" w:rsidP="00FD20E5">
      <w:pPr>
        <w:pStyle w:val="ListParagraph"/>
        <w:numPr>
          <w:ilvl w:val="0"/>
          <w:numId w:val="19"/>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occur within </w:t>
      </w:r>
      <w:proofErr w:type="gramStart"/>
      <w:r w:rsidRPr="004D320C">
        <w:rPr>
          <w:rFonts w:cstheme="minorHAnsi"/>
          <w:snapToGrid w:val="0"/>
          <w:color w:val="000000" w:themeColor="text1"/>
          <w:sz w:val="24"/>
          <w:szCs w:val="24"/>
        </w:rPr>
        <w:t xml:space="preserve">the </w:t>
      </w:r>
      <w:r>
        <w:rPr>
          <w:rFonts w:cstheme="minorHAnsi"/>
          <w:snapToGrid w:val="0"/>
          <w:color w:val="000000" w:themeColor="text1"/>
          <w:sz w:val="24"/>
          <w:szCs w:val="24"/>
        </w:rPr>
        <w:t xml:space="preserve"> Licence</w:t>
      </w:r>
      <w:proofErr w:type="gramEnd"/>
      <w:r>
        <w:rPr>
          <w:rFonts w:cstheme="minorHAnsi"/>
          <w:snapToGrid w:val="0"/>
          <w:color w:val="000000" w:themeColor="text1"/>
          <w:sz w:val="24"/>
          <w:szCs w:val="24"/>
        </w:rPr>
        <w:t xml:space="preserve"> Period</w:t>
      </w:r>
      <w:r w:rsidRPr="004D320C">
        <w:rPr>
          <w:rFonts w:cstheme="minorHAnsi"/>
          <w:snapToGrid w:val="0"/>
          <w:color w:val="000000" w:themeColor="text1"/>
          <w:sz w:val="24"/>
          <w:szCs w:val="24"/>
        </w:rPr>
        <w:t>; o</w:t>
      </w:r>
      <w:r>
        <w:rPr>
          <w:rFonts w:cstheme="minorHAnsi"/>
          <w:snapToGrid w:val="0"/>
          <w:color w:val="000000" w:themeColor="text1"/>
          <w:sz w:val="24"/>
          <w:szCs w:val="24"/>
        </w:rPr>
        <w:t>r</w:t>
      </w:r>
    </w:p>
    <w:p w14:paraId="0AFE8AF0" w14:textId="77777777" w:rsidR="00FD20E5" w:rsidRPr="0000564C" w:rsidRDefault="00FD20E5" w:rsidP="00FD20E5">
      <w:pPr>
        <w:pStyle w:val="ListParagraph"/>
        <w:numPr>
          <w:ilvl w:val="0"/>
          <w:numId w:val="19"/>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color w:val="000000" w:themeColor="text1"/>
          <w:sz w:val="24"/>
          <w:szCs w:val="24"/>
        </w:rPr>
        <w:t>occurred during a period for which a previous SRC Act licence was in force.</w:t>
      </w:r>
    </w:p>
    <w:p w14:paraId="6224BE6D" w14:textId="77777777" w:rsidR="00FD20E5" w:rsidRPr="004D320C" w:rsidRDefault="00FD20E5" w:rsidP="00FD20E5">
      <w:pPr>
        <w:keepNext/>
        <w:spacing w:before="240" w:after="240" w:line="240" w:lineRule="auto"/>
        <w:ind w:left="567" w:hanging="567"/>
        <w:jc w:val="both"/>
        <w:outlineLvl w:val="1"/>
        <w:rPr>
          <w:rFonts w:cstheme="minorHAnsi"/>
          <w:b/>
          <w:i/>
          <w:snapToGrid w:val="0"/>
          <w:color w:val="000000" w:themeColor="text1"/>
          <w:sz w:val="24"/>
          <w:szCs w:val="24"/>
        </w:rPr>
      </w:pPr>
      <w:r w:rsidRPr="004D320C">
        <w:rPr>
          <w:rFonts w:cstheme="minorHAnsi"/>
          <w:b/>
          <w:i/>
          <w:snapToGrid w:val="0"/>
          <w:color w:val="000000" w:themeColor="text1"/>
          <w:sz w:val="24"/>
          <w:szCs w:val="24"/>
        </w:rPr>
        <w:t>Scope of licence – management of claims</w:t>
      </w:r>
    </w:p>
    <w:p w14:paraId="36AA4001"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b/>
          <w:color w:val="000000" w:themeColor="text1"/>
          <w:sz w:val="24"/>
          <w:szCs w:val="24"/>
        </w:rPr>
      </w:pPr>
      <w:r w:rsidRPr="004D320C">
        <w:rPr>
          <w:rFonts w:cstheme="minorHAnsi"/>
          <w:snapToGrid w:val="0"/>
          <w:color w:val="000000" w:themeColor="text1"/>
          <w:sz w:val="24"/>
          <w:szCs w:val="24"/>
        </w:rPr>
        <w:t xml:space="preserve">The Licensee </w:t>
      </w:r>
      <w:r w:rsidRPr="004D320C">
        <w:rPr>
          <w:rFonts w:cstheme="minorHAnsi"/>
          <w:color w:val="000000" w:themeColor="text1"/>
          <w:sz w:val="24"/>
          <w:szCs w:val="24"/>
        </w:rPr>
        <w:t xml:space="preserve">is authorised to manage </w:t>
      </w:r>
      <w:r w:rsidRPr="004D320C">
        <w:rPr>
          <w:rFonts w:cstheme="minorHAnsi"/>
          <w:snapToGrid w:val="0"/>
          <w:color w:val="000000" w:themeColor="text1"/>
          <w:sz w:val="24"/>
          <w:szCs w:val="24"/>
        </w:rPr>
        <w:t>claims under the SRC Act made by the employees of the Licensee who are covered by the scope of this licence so far as it relates to the Licensee’s acceptance of liability in accordance with clause 7 of this licence</w:t>
      </w:r>
      <w:r w:rsidRPr="004D320C">
        <w:rPr>
          <w:rFonts w:cstheme="minorHAnsi"/>
          <w:color w:val="000000" w:themeColor="text1"/>
          <w:sz w:val="24"/>
          <w:szCs w:val="24"/>
        </w:rPr>
        <w:t>.</w:t>
      </w:r>
    </w:p>
    <w:p w14:paraId="3C662920" w14:textId="77777777" w:rsidR="00FD20E5" w:rsidRPr="004D320C" w:rsidRDefault="00FD20E5" w:rsidP="00FD20E5">
      <w:pPr>
        <w:spacing w:before="240" w:after="240" w:line="240" w:lineRule="auto"/>
        <w:jc w:val="both"/>
        <w:rPr>
          <w:rFonts w:cstheme="minorHAnsi"/>
          <w:b/>
          <w:color w:val="000000" w:themeColor="text1"/>
          <w:sz w:val="24"/>
          <w:szCs w:val="24"/>
        </w:rPr>
      </w:pPr>
      <w:r w:rsidRPr="004D320C">
        <w:rPr>
          <w:rFonts w:cstheme="minorHAnsi"/>
          <w:b/>
          <w:color w:val="000000" w:themeColor="text1"/>
          <w:sz w:val="24"/>
          <w:szCs w:val="24"/>
        </w:rPr>
        <w:t>Part 4 – Conditions of licence</w:t>
      </w:r>
    </w:p>
    <w:p w14:paraId="36448465"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Conditions of licence</w:t>
      </w:r>
    </w:p>
    <w:p w14:paraId="7D97F360"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The licence is granted subject to the following conditions.</w:t>
      </w:r>
    </w:p>
    <w:p w14:paraId="49609E2A" w14:textId="77777777" w:rsidR="00FD20E5" w:rsidRPr="0000564C" w:rsidRDefault="00FD20E5" w:rsidP="00FD20E5">
      <w:pPr>
        <w:spacing w:before="240" w:after="240" w:line="240" w:lineRule="auto"/>
        <w:ind w:left="567" w:hanging="567"/>
        <w:jc w:val="both"/>
        <w:rPr>
          <w:rFonts w:cstheme="minorHAnsi"/>
          <w:color w:val="000000" w:themeColor="text1"/>
          <w:sz w:val="24"/>
          <w:szCs w:val="24"/>
        </w:rPr>
      </w:pPr>
      <w:r w:rsidRPr="004D320C">
        <w:rPr>
          <w:rFonts w:cstheme="minorHAnsi"/>
          <w:b/>
          <w:color w:val="000000" w:themeColor="text1"/>
          <w:sz w:val="24"/>
          <w:szCs w:val="24"/>
          <w:u w:val="single"/>
        </w:rPr>
        <w:t>General conditions</w:t>
      </w:r>
    </w:p>
    <w:p w14:paraId="1AA08781"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Communication</w:t>
      </w:r>
    </w:p>
    <w:p w14:paraId="1B7B15F7"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snapToGrid w:val="0"/>
          <w:color w:val="000000" w:themeColor="text1"/>
          <w:sz w:val="24"/>
          <w:szCs w:val="24"/>
        </w:rPr>
        <w:t xml:space="preserve">The Licensee, when bringing employees under its self-insurance licence pursuant to any consolidation or amalgamation process, must provide information to those employees regarding the </w:t>
      </w:r>
      <w:r w:rsidRPr="004D320C">
        <w:rPr>
          <w:rFonts w:eastAsia="Times New Roman" w:cstheme="minorHAnsi"/>
          <w:i/>
          <w:snapToGrid w:val="0"/>
          <w:color w:val="000000" w:themeColor="text1"/>
          <w:sz w:val="24"/>
          <w:szCs w:val="24"/>
        </w:rPr>
        <w:t xml:space="preserve">Work Health and Safety Act 2011 </w:t>
      </w:r>
      <w:r w:rsidRPr="004D320C">
        <w:rPr>
          <w:rFonts w:eastAsia="Times New Roman" w:cstheme="minorHAnsi"/>
          <w:snapToGrid w:val="0"/>
          <w:color w:val="000000" w:themeColor="text1"/>
          <w:sz w:val="24"/>
          <w:szCs w:val="24"/>
        </w:rPr>
        <w:t>(</w:t>
      </w:r>
      <w:proofErr w:type="spellStart"/>
      <w:r w:rsidRPr="004D320C">
        <w:rPr>
          <w:rFonts w:eastAsia="Times New Roman" w:cstheme="minorHAnsi"/>
          <w:snapToGrid w:val="0"/>
          <w:color w:val="000000" w:themeColor="text1"/>
          <w:sz w:val="24"/>
          <w:szCs w:val="24"/>
        </w:rPr>
        <w:t>Cth</w:t>
      </w:r>
      <w:proofErr w:type="spellEnd"/>
      <w:r w:rsidRPr="004D320C">
        <w:rPr>
          <w:rFonts w:eastAsia="Times New Roman" w:cstheme="minorHAnsi"/>
          <w:snapToGrid w:val="0"/>
          <w:color w:val="000000" w:themeColor="text1"/>
          <w:sz w:val="24"/>
          <w:szCs w:val="24"/>
        </w:rPr>
        <w:t>)</w:t>
      </w:r>
      <w:r w:rsidRPr="004D320C">
        <w:rPr>
          <w:rFonts w:eastAsia="Times New Roman" w:cstheme="minorHAnsi"/>
          <w:i/>
          <w:snapToGrid w:val="0"/>
          <w:color w:val="000000" w:themeColor="text1"/>
          <w:sz w:val="24"/>
          <w:szCs w:val="24"/>
        </w:rPr>
        <w:t xml:space="preserve"> </w:t>
      </w:r>
      <w:r w:rsidRPr="004D320C">
        <w:rPr>
          <w:rFonts w:eastAsia="Times New Roman" w:cstheme="minorHAnsi"/>
          <w:snapToGrid w:val="0"/>
          <w:color w:val="000000" w:themeColor="text1"/>
          <w:sz w:val="24"/>
          <w:szCs w:val="24"/>
        </w:rPr>
        <w:t>(</w:t>
      </w:r>
      <w:r w:rsidRPr="004D320C">
        <w:rPr>
          <w:rFonts w:eastAsia="Times New Roman" w:cstheme="minorHAnsi"/>
          <w:b/>
          <w:snapToGrid w:val="0"/>
          <w:color w:val="000000" w:themeColor="text1"/>
          <w:sz w:val="24"/>
          <w:szCs w:val="24"/>
        </w:rPr>
        <w:t>WHS Act</w:t>
      </w:r>
      <w:r w:rsidRPr="004D320C">
        <w:rPr>
          <w:rFonts w:eastAsia="Times New Roman" w:cstheme="minorHAnsi"/>
          <w:snapToGrid w:val="0"/>
          <w:color w:val="000000" w:themeColor="text1"/>
          <w:sz w:val="24"/>
          <w:szCs w:val="24"/>
        </w:rPr>
        <w:t xml:space="preserve">) and the </w:t>
      </w:r>
      <w:r w:rsidRPr="004D320C">
        <w:rPr>
          <w:rFonts w:cstheme="minorHAnsi"/>
          <w:snapToGrid w:val="0"/>
          <w:color w:val="000000" w:themeColor="text1"/>
          <w:sz w:val="24"/>
          <w:szCs w:val="24"/>
        </w:rPr>
        <w:t>SRC Act prior to those employees becoming employees of the Licensee.</w:t>
      </w:r>
    </w:p>
    <w:p w14:paraId="5C065DC0"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 xml:space="preserve">The Licensee must provide </w:t>
      </w:r>
      <w:r w:rsidRPr="004D320C">
        <w:rPr>
          <w:rFonts w:cstheme="minorHAnsi"/>
          <w:snapToGrid w:val="0"/>
          <w:color w:val="000000" w:themeColor="text1"/>
          <w:sz w:val="24"/>
          <w:szCs w:val="24"/>
        </w:rPr>
        <w:t xml:space="preserve">information regarding the operation of the </w:t>
      </w:r>
      <w:r w:rsidRPr="004D320C">
        <w:rPr>
          <w:rFonts w:eastAsia="Times New Roman" w:cstheme="minorHAnsi"/>
          <w:snapToGrid w:val="0"/>
          <w:color w:val="000000" w:themeColor="text1"/>
          <w:sz w:val="24"/>
          <w:szCs w:val="24"/>
        </w:rPr>
        <w:t xml:space="preserve">WHS Act and the </w:t>
      </w:r>
      <w:r w:rsidRPr="004D320C">
        <w:rPr>
          <w:rFonts w:cstheme="minorHAnsi"/>
          <w:snapToGrid w:val="0"/>
          <w:color w:val="000000" w:themeColor="text1"/>
          <w:sz w:val="24"/>
          <w:szCs w:val="24"/>
        </w:rPr>
        <w:t xml:space="preserve">SRC Act to all new employees as part of the licensee’s employee induction process. </w:t>
      </w:r>
    </w:p>
    <w:p w14:paraId="7B47715A" w14:textId="77777777" w:rsidR="00FD20E5" w:rsidRPr="004D320C" w:rsidRDefault="00FD20E5" w:rsidP="00FD20E5">
      <w:pPr>
        <w:keepNext/>
        <w:spacing w:before="240" w:after="240" w:line="240" w:lineRule="auto"/>
        <w:ind w:left="567" w:hanging="567"/>
        <w:jc w:val="both"/>
        <w:outlineLvl w:val="1"/>
        <w:rPr>
          <w:rFonts w:cstheme="minorHAnsi"/>
          <w:b/>
          <w:i/>
          <w:snapToGrid w:val="0"/>
          <w:color w:val="000000" w:themeColor="text1"/>
          <w:sz w:val="24"/>
          <w:szCs w:val="24"/>
        </w:rPr>
      </w:pPr>
      <w:r w:rsidRPr="004D320C">
        <w:rPr>
          <w:rFonts w:cstheme="minorHAnsi"/>
          <w:b/>
          <w:i/>
          <w:snapToGrid w:val="0"/>
          <w:color w:val="000000" w:themeColor="text1"/>
          <w:sz w:val="24"/>
          <w:szCs w:val="24"/>
        </w:rPr>
        <w:t>Directions of Commission</w:t>
      </w:r>
    </w:p>
    <w:p w14:paraId="7ED48B65"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snapToGrid w:val="0"/>
          <w:color w:val="000000" w:themeColor="text1"/>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3AF48BB7" w14:textId="77777777" w:rsidR="00FD20E5" w:rsidRPr="004D320C" w:rsidRDefault="00FD20E5" w:rsidP="00FD20E5">
      <w:pPr>
        <w:spacing w:before="240" w:after="240" w:line="240" w:lineRule="auto"/>
        <w:ind w:left="567" w:hanging="567"/>
        <w:jc w:val="both"/>
        <w:rPr>
          <w:rFonts w:cstheme="minorHAnsi"/>
          <w:b/>
          <w:i/>
          <w:color w:val="000000" w:themeColor="text1"/>
          <w:sz w:val="24"/>
          <w:szCs w:val="24"/>
        </w:rPr>
      </w:pPr>
      <w:r w:rsidRPr="004D320C">
        <w:rPr>
          <w:rFonts w:cstheme="minorHAnsi"/>
          <w:b/>
          <w:i/>
          <w:color w:val="000000" w:themeColor="text1"/>
          <w:sz w:val="24"/>
          <w:szCs w:val="24"/>
        </w:rPr>
        <w:t>Requirements</w:t>
      </w:r>
    </w:p>
    <w:p w14:paraId="52A0C638"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4D320C">
        <w:rPr>
          <w:rFonts w:cstheme="minorHAnsi"/>
          <w:snapToGrid w:val="0"/>
          <w:color w:val="000000" w:themeColor="text1"/>
          <w:sz w:val="24"/>
          <w:szCs w:val="24"/>
        </w:rPr>
        <w:t>The Licensee must comply with the requirements of:</w:t>
      </w:r>
    </w:p>
    <w:p w14:paraId="7CE12AE8" w14:textId="77777777" w:rsidR="00FD20E5" w:rsidRPr="000203A5" w:rsidRDefault="00FD20E5" w:rsidP="00FD20E5">
      <w:pPr>
        <w:pStyle w:val="ListParagraph"/>
        <w:numPr>
          <w:ilvl w:val="0"/>
          <w:numId w:val="6"/>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snapToGrid w:val="0"/>
          <w:color w:val="000000" w:themeColor="text1"/>
          <w:sz w:val="24"/>
          <w:szCs w:val="24"/>
        </w:rPr>
        <w:lastRenderedPageBreak/>
        <w:t>the SRC Act, its Regulations and any applicable guidelines issued by the Commission under section 73A of the SRC Act;</w:t>
      </w:r>
    </w:p>
    <w:p w14:paraId="6537FAF1" w14:textId="77777777" w:rsidR="00FD20E5" w:rsidRPr="004D320C" w:rsidRDefault="00FD20E5" w:rsidP="00FD20E5">
      <w:pPr>
        <w:pStyle w:val="ListParagraph"/>
        <w:numPr>
          <w:ilvl w:val="0"/>
          <w:numId w:val="6"/>
        </w:numPr>
        <w:spacing w:before="240" w:after="240" w:line="240" w:lineRule="auto"/>
        <w:ind w:left="1134" w:hanging="567"/>
        <w:contextualSpacing w:val="0"/>
        <w:jc w:val="both"/>
        <w:rPr>
          <w:rFonts w:cstheme="minorHAnsi"/>
          <w:color w:val="000000" w:themeColor="text1"/>
          <w:sz w:val="24"/>
          <w:szCs w:val="24"/>
        </w:rPr>
      </w:pPr>
      <w:r w:rsidRPr="004D320C">
        <w:rPr>
          <w:rFonts w:cstheme="minorHAnsi"/>
          <w:snapToGrid w:val="0"/>
          <w:color w:val="000000" w:themeColor="text1"/>
          <w:sz w:val="24"/>
          <w:szCs w:val="24"/>
        </w:rPr>
        <w:t xml:space="preserve">any applicable laws of the Commonwealth, States or Territories with respect to the safety, </w:t>
      </w:r>
      <w:proofErr w:type="gramStart"/>
      <w:r w:rsidRPr="004D320C">
        <w:rPr>
          <w:rFonts w:cstheme="minorHAnsi"/>
          <w:snapToGrid w:val="0"/>
          <w:color w:val="000000" w:themeColor="text1"/>
          <w:sz w:val="24"/>
          <w:szCs w:val="24"/>
        </w:rPr>
        <w:t>health</w:t>
      </w:r>
      <w:proofErr w:type="gramEnd"/>
      <w:r w:rsidRPr="004D320C">
        <w:rPr>
          <w:rFonts w:cstheme="minorHAnsi"/>
          <w:snapToGrid w:val="0"/>
          <w:color w:val="000000" w:themeColor="text1"/>
          <w:sz w:val="24"/>
          <w:szCs w:val="24"/>
        </w:rPr>
        <w:t xml:space="preserve"> and rehabilitation of employees, with a particular focus on the statutory requirements for genuine consultation with employees and their representatives; and</w:t>
      </w:r>
    </w:p>
    <w:p w14:paraId="2FA2E8B6" w14:textId="77777777" w:rsidR="00FD20E5" w:rsidRPr="0000564C" w:rsidRDefault="00FD20E5" w:rsidP="00FD20E5">
      <w:pPr>
        <w:pStyle w:val="ListParagraph"/>
        <w:numPr>
          <w:ilvl w:val="0"/>
          <w:numId w:val="6"/>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relevant Privacy legislation.</w:t>
      </w:r>
    </w:p>
    <w:p w14:paraId="17C65CF2"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The Licensee must have regard to guidelines issued by the Information Commissioner under the </w:t>
      </w:r>
      <w:r w:rsidRPr="004D320C">
        <w:rPr>
          <w:rFonts w:cstheme="minorHAnsi"/>
          <w:i/>
          <w:snapToGrid w:val="0"/>
          <w:color w:val="000000" w:themeColor="text1"/>
          <w:sz w:val="24"/>
          <w:szCs w:val="24"/>
        </w:rPr>
        <w:t>Privacy Act 1988</w:t>
      </w:r>
      <w:r w:rsidRPr="004D320C">
        <w:rPr>
          <w:rFonts w:cstheme="minorHAnsi"/>
          <w:snapToGrid w:val="0"/>
          <w:color w:val="000000" w:themeColor="text1"/>
          <w:sz w:val="24"/>
          <w:szCs w:val="24"/>
        </w:rPr>
        <w:t xml:space="preserve"> (</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and must comply with any such guidelines dealing with covert surveillance of employees</w:t>
      </w:r>
      <w:r w:rsidRPr="004D320C">
        <w:rPr>
          <w:rFonts w:cstheme="minorHAnsi"/>
          <w:i/>
          <w:snapToGrid w:val="0"/>
          <w:color w:val="000000" w:themeColor="text1"/>
          <w:sz w:val="24"/>
          <w:szCs w:val="24"/>
        </w:rPr>
        <w:t>.</w:t>
      </w:r>
    </w:p>
    <w:p w14:paraId="2FE866B0" w14:textId="77777777" w:rsidR="00FD20E5" w:rsidRPr="004D320C"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Fees</w:t>
      </w:r>
    </w:p>
    <w:p w14:paraId="01B83F50"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Licensee must pay the licence fee notified in writing to the Licensee under section 104A of the SRC Act within one month</w:t>
      </w:r>
      <w:r w:rsidRPr="004D320C">
        <w:rPr>
          <w:rFonts w:cstheme="minorHAnsi"/>
          <w:b/>
          <w:i/>
          <w:snapToGrid w:val="0"/>
          <w:color w:val="000000" w:themeColor="text1"/>
          <w:sz w:val="24"/>
          <w:szCs w:val="24"/>
        </w:rPr>
        <w:t xml:space="preserve"> </w:t>
      </w:r>
      <w:r w:rsidRPr="004D320C">
        <w:rPr>
          <w:rFonts w:cstheme="minorHAnsi"/>
          <w:snapToGrid w:val="0"/>
          <w:color w:val="000000" w:themeColor="text1"/>
          <w:sz w:val="24"/>
          <w:szCs w:val="24"/>
        </w:rPr>
        <w:t>of receiving the notification.</w:t>
      </w:r>
    </w:p>
    <w:p w14:paraId="14619D95"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On written request from the Commission, the licensee must pay other fees relating to the Licensee’s operations under the SRC Act, in the amount and within the timeframe, specified by the Commission.</w:t>
      </w:r>
    </w:p>
    <w:p w14:paraId="7FE71579" w14:textId="77777777" w:rsidR="00FD20E5" w:rsidRPr="004D320C"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Manner of managing claims</w:t>
      </w:r>
    </w:p>
    <w:p w14:paraId="5F2FCA93"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In managing claims, the Licensee:</w:t>
      </w:r>
    </w:p>
    <w:p w14:paraId="477B60EA" w14:textId="77777777" w:rsidR="00FD20E5" w:rsidRPr="004D320C" w:rsidRDefault="00FD20E5" w:rsidP="00FD20E5">
      <w:pPr>
        <w:pStyle w:val="ListParagraph"/>
        <w:numPr>
          <w:ilvl w:val="0"/>
          <w:numId w:val="7"/>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must be guided by equity, good </w:t>
      </w:r>
      <w:proofErr w:type="gramStart"/>
      <w:r w:rsidRPr="004D320C">
        <w:rPr>
          <w:rFonts w:cstheme="minorHAnsi"/>
          <w:snapToGrid w:val="0"/>
          <w:color w:val="000000" w:themeColor="text1"/>
          <w:sz w:val="24"/>
          <w:szCs w:val="24"/>
        </w:rPr>
        <w:t>conscience</w:t>
      </w:r>
      <w:proofErr w:type="gramEnd"/>
      <w:r w:rsidRPr="004D320C">
        <w:rPr>
          <w:rFonts w:cstheme="minorHAnsi"/>
          <w:snapToGrid w:val="0"/>
          <w:color w:val="000000" w:themeColor="text1"/>
          <w:sz w:val="24"/>
          <w:szCs w:val="24"/>
        </w:rPr>
        <w:t xml:space="preserve"> and the substantial merits of the case without regard to technicalities;</w:t>
      </w:r>
    </w:p>
    <w:p w14:paraId="6341BFFB" w14:textId="77777777" w:rsidR="00FD20E5" w:rsidRPr="004D320C" w:rsidRDefault="00FD20E5" w:rsidP="00FD20E5">
      <w:pPr>
        <w:pStyle w:val="ListParagraph"/>
        <w:numPr>
          <w:ilvl w:val="0"/>
          <w:numId w:val="7"/>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is not required to conduct a hearing; and</w:t>
      </w:r>
    </w:p>
    <w:p w14:paraId="6C6EEB41" w14:textId="77777777" w:rsidR="00FD20E5" w:rsidRPr="0000564C" w:rsidRDefault="00FD20E5" w:rsidP="00FD20E5">
      <w:pPr>
        <w:pStyle w:val="ListParagraph"/>
        <w:numPr>
          <w:ilvl w:val="0"/>
          <w:numId w:val="7"/>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is not bound by the rules of evidence.</w:t>
      </w:r>
    </w:p>
    <w:p w14:paraId="76440C1B" w14:textId="77777777" w:rsidR="00FD20E5" w:rsidRPr="0000564C"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Management systems</w:t>
      </w:r>
    </w:p>
    <w:p w14:paraId="2B914C70"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b/>
          <w:snapToGrid w:val="0"/>
          <w:color w:val="000000" w:themeColor="text1"/>
          <w:sz w:val="24"/>
          <w:szCs w:val="24"/>
        </w:rPr>
      </w:pPr>
      <w:r w:rsidRPr="004D320C">
        <w:rPr>
          <w:rFonts w:cstheme="minorHAnsi"/>
          <w:snapToGrid w:val="0"/>
          <w:color w:val="000000" w:themeColor="text1"/>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002E3C6F"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b/>
          <w:snapToGrid w:val="0"/>
          <w:color w:val="000000" w:themeColor="text1"/>
          <w:sz w:val="24"/>
          <w:szCs w:val="24"/>
        </w:rPr>
      </w:pPr>
      <w:r w:rsidRPr="004D320C">
        <w:rPr>
          <w:rFonts w:cstheme="minorHAnsi"/>
          <w:snapToGrid w:val="0"/>
          <w:color w:val="000000" w:themeColor="text1"/>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08D11657" w14:textId="77777777" w:rsidR="00FD20E5" w:rsidRPr="004D320C" w:rsidRDefault="00FD20E5" w:rsidP="00FD20E5">
      <w:pPr>
        <w:keepNext/>
        <w:spacing w:before="240" w:after="240" w:line="240" w:lineRule="auto"/>
        <w:ind w:left="567" w:hanging="567"/>
        <w:jc w:val="both"/>
        <w:outlineLvl w:val="1"/>
        <w:rPr>
          <w:rFonts w:cstheme="minorHAnsi"/>
          <w:b/>
          <w:i/>
          <w:snapToGrid w:val="0"/>
          <w:color w:val="000000" w:themeColor="text1"/>
          <w:sz w:val="24"/>
          <w:szCs w:val="24"/>
        </w:rPr>
      </w:pPr>
      <w:r w:rsidRPr="004D320C">
        <w:rPr>
          <w:rFonts w:cstheme="minorHAnsi"/>
          <w:b/>
          <w:i/>
          <w:snapToGrid w:val="0"/>
          <w:color w:val="000000" w:themeColor="text1"/>
          <w:sz w:val="24"/>
          <w:szCs w:val="24"/>
        </w:rPr>
        <w:t>Reviews and proceedings</w:t>
      </w:r>
    </w:p>
    <w:p w14:paraId="5852BAEF"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The Licensee must inform Comcare as soon as practicable of any court or tribunal proceedings in relation to a matter arising in respect of a claim managed by the Licensee under the SRC Act.</w:t>
      </w:r>
      <w:r w:rsidRPr="004D320C" w:rsidDel="009059DD">
        <w:rPr>
          <w:rFonts w:cstheme="minorHAnsi"/>
          <w:color w:val="000000" w:themeColor="text1"/>
          <w:sz w:val="24"/>
          <w:szCs w:val="24"/>
        </w:rPr>
        <w:t xml:space="preserve"> </w:t>
      </w:r>
    </w:p>
    <w:p w14:paraId="78DA34EF"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The Licensee must give to Comcare, within the timeframe specified in the request, any information or documents that Comcare requests in respect of any court or tribunal </w:t>
      </w:r>
      <w:r w:rsidRPr="004D320C">
        <w:rPr>
          <w:rFonts w:cstheme="minorHAnsi"/>
          <w:snapToGrid w:val="0"/>
          <w:color w:val="000000" w:themeColor="text1"/>
          <w:sz w:val="24"/>
          <w:szCs w:val="24"/>
        </w:rPr>
        <w:lastRenderedPageBreak/>
        <w:t>proceedings in relation to a matter arising in respect of a claim managed by the Licensee under the SRC Act.</w:t>
      </w:r>
    </w:p>
    <w:p w14:paraId="662DA8BC"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Licensee must not cause, or permit to be made on its behalf to a court or tribunal any submission that Comcare or the Commission requests the Licensee not to make.</w:t>
      </w:r>
    </w:p>
    <w:p w14:paraId="00AF3481" w14:textId="77777777" w:rsidR="00FD20E5" w:rsidRPr="004D320C" w:rsidRDefault="00FD20E5" w:rsidP="00FD20E5">
      <w:pPr>
        <w:keepNext/>
        <w:spacing w:before="240" w:after="240" w:line="240" w:lineRule="auto"/>
        <w:ind w:left="567" w:hanging="567"/>
        <w:jc w:val="both"/>
        <w:outlineLvl w:val="1"/>
        <w:rPr>
          <w:rFonts w:cstheme="minorHAnsi"/>
          <w:b/>
          <w:i/>
          <w:snapToGrid w:val="0"/>
          <w:color w:val="000000" w:themeColor="text1"/>
          <w:sz w:val="24"/>
          <w:szCs w:val="24"/>
        </w:rPr>
      </w:pPr>
      <w:r w:rsidRPr="004D320C">
        <w:rPr>
          <w:rFonts w:cstheme="minorHAnsi"/>
          <w:b/>
          <w:i/>
          <w:snapToGrid w:val="0"/>
          <w:color w:val="000000" w:themeColor="text1"/>
          <w:sz w:val="24"/>
          <w:szCs w:val="24"/>
        </w:rPr>
        <w:t>Failure to comply with conditions or change in circumstances</w:t>
      </w:r>
    </w:p>
    <w:p w14:paraId="5C7DE42C"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The Licensee must notify Comcare in writing as soon as practicable of any event or likely event that is relevant to the application of the SRC Act to the Licensee, this may include but is not limited to:</w:t>
      </w:r>
    </w:p>
    <w:p w14:paraId="64A74560" w14:textId="77777777" w:rsidR="00FD20E5" w:rsidRPr="004D320C" w:rsidRDefault="00FD20E5" w:rsidP="00FD20E5">
      <w:pPr>
        <w:numPr>
          <w:ilvl w:val="0"/>
          <w:numId w:val="8"/>
        </w:numPr>
        <w:tabs>
          <w:tab w:val="clear" w:pos="927"/>
        </w:tabs>
        <w:spacing w:before="240" w:after="240" w:line="240" w:lineRule="auto"/>
        <w:ind w:left="1134"/>
        <w:jc w:val="both"/>
        <w:rPr>
          <w:rFonts w:cstheme="minorHAnsi"/>
          <w:snapToGrid w:val="0"/>
          <w:color w:val="000000" w:themeColor="text1"/>
          <w:sz w:val="24"/>
          <w:szCs w:val="24"/>
        </w:rPr>
      </w:pPr>
      <w:r w:rsidRPr="004D320C">
        <w:rPr>
          <w:rFonts w:cstheme="minorHAnsi"/>
          <w:color w:val="000000" w:themeColor="text1"/>
          <w:sz w:val="24"/>
          <w:szCs w:val="24"/>
        </w:rPr>
        <w:t>the Licensee has not complied with, or is likely to fail to comply with, a condition of this licence; or</w:t>
      </w:r>
      <w:r w:rsidRPr="004D320C">
        <w:rPr>
          <w:rFonts w:cstheme="minorHAnsi"/>
          <w:snapToGrid w:val="0"/>
          <w:color w:val="000000" w:themeColor="text1"/>
          <w:sz w:val="24"/>
          <w:szCs w:val="24"/>
        </w:rPr>
        <w:t xml:space="preserve"> </w:t>
      </w:r>
    </w:p>
    <w:p w14:paraId="001D4D92" w14:textId="77777777" w:rsidR="00FD20E5" w:rsidRPr="004D320C" w:rsidRDefault="00FD20E5" w:rsidP="00FD20E5">
      <w:pPr>
        <w:numPr>
          <w:ilvl w:val="0"/>
          <w:numId w:val="8"/>
        </w:numPr>
        <w:tabs>
          <w:tab w:val="clear" w:pos="927"/>
        </w:tabs>
        <w:spacing w:before="240" w:after="240" w:line="240" w:lineRule="auto"/>
        <w:ind w:left="1134"/>
        <w:jc w:val="both"/>
        <w:rPr>
          <w:rFonts w:cstheme="minorHAnsi"/>
          <w:snapToGrid w:val="0"/>
          <w:color w:val="000000" w:themeColor="text1"/>
          <w:sz w:val="24"/>
          <w:szCs w:val="24"/>
        </w:rPr>
      </w:pPr>
      <w:r w:rsidRPr="004D320C">
        <w:rPr>
          <w:rFonts w:cstheme="minorHAnsi"/>
          <w:color w:val="000000" w:themeColor="text1"/>
          <w:sz w:val="24"/>
          <w:szCs w:val="24"/>
        </w:rPr>
        <w:t>any change that may impact on the Licensee’s capacity to meet its liabilities under the SRC Act, including change to the Licensee’s underlying financial position;</w:t>
      </w:r>
      <w:r w:rsidRPr="004D320C">
        <w:rPr>
          <w:rFonts w:cstheme="minorHAnsi"/>
          <w:snapToGrid w:val="0"/>
          <w:color w:val="000000" w:themeColor="text1"/>
          <w:sz w:val="24"/>
          <w:szCs w:val="24"/>
        </w:rPr>
        <w:t xml:space="preserve"> or</w:t>
      </w:r>
    </w:p>
    <w:p w14:paraId="7F357768" w14:textId="77777777" w:rsidR="00FD20E5" w:rsidRPr="004D320C" w:rsidRDefault="00FD20E5" w:rsidP="00FD20E5">
      <w:pPr>
        <w:numPr>
          <w:ilvl w:val="0"/>
          <w:numId w:val="8"/>
        </w:numPr>
        <w:tabs>
          <w:tab w:val="clear" w:pos="927"/>
        </w:tabs>
        <w:spacing w:before="240" w:after="240" w:line="240" w:lineRule="auto"/>
        <w:ind w:left="1134"/>
        <w:jc w:val="both"/>
        <w:rPr>
          <w:rFonts w:cstheme="minorHAnsi"/>
          <w:snapToGrid w:val="0"/>
          <w:color w:val="000000" w:themeColor="text1"/>
          <w:sz w:val="24"/>
          <w:szCs w:val="24"/>
        </w:rPr>
      </w:pPr>
      <w:r w:rsidRPr="004D320C">
        <w:rPr>
          <w:rFonts w:cstheme="minorHAnsi"/>
          <w:color w:val="000000" w:themeColor="text1"/>
          <w:sz w:val="24"/>
          <w:szCs w:val="24"/>
        </w:rPr>
        <w:t xml:space="preserve">changes to its legal structure, </w:t>
      </w:r>
      <w:proofErr w:type="gramStart"/>
      <w:r w:rsidRPr="004D320C">
        <w:rPr>
          <w:rFonts w:cstheme="minorHAnsi"/>
          <w:color w:val="000000" w:themeColor="text1"/>
          <w:sz w:val="24"/>
          <w:szCs w:val="24"/>
        </w:rPr>
        <w:t>ownership</w:t>
      </w:r>
      <w:proofErr w:type="gramEnd"/>
      <w:r w:rsidRPr="004D320C">
        <w:rPr>
          <w:rFonts w:cstheme="minorHAnsi"/>
          <w:color w:val="000000" w:themeColor="text1"/>
          <w:sz w:val="24"/>
          <w:szCs w:val="24"/>
        </w:rPr>
        <w:t xml:space="preserve"> or control; or</w:t>
      </w:r>
    </w:p>
    <w:p w14:paraId="4132D8C7" w14:textId="77777777" w:rsidR="00FD20E5" w:rsidRPr="0000564C" w:rsidRDefault="00FD20E5" w:rsidP="00FD20E5">
      <w:pPr>
        <w:numPr>
          <w:ilvl w:val="0"/>
          <w:numId w:val="8"/>
        </w:numPr>
        <w:tabs>
          <w:tab w:val="clear" w:pos="927"/>
        </w:tabs>
        <w:spacing w:before="240" w:after="240" w:line="240" w:lineRule="auto"/>
        <w:ind w:left="1134"/>
        <w:jc w:val="both"/>
        <w:rPr>
          <w:rFonts w:cstheme="minorHAnsi"/>
          <w:snapToGrid w:val="0"/>
          <w:color w:val="000000" w:themeColor="text1"/>
          <w:sz w:val="24"/>
          <w:szCs w:val="24"/>
        </w:rPr>
      </w:pPr>
      <w:r w:rsidRPr="004D320C">
        <w:rPr>
          <w:rFonts w:cstheme="minorHAnsi"/>
          <w:color w:val="000000" w:themeColor="text1"/>
          <w:sz w:val="24"/>
          <w:szCs w:val="24"/>
        </w:rPr>
        <w:t xml:space="preserve"> </w:t>
      </w:r>
      <w:r w:rsidRPr="004D320C">
        <w:rPr>
          <w:rFonts w:cstheme="minorHAnsi"/>
          <w:snapToGrid w:val="0"/>
          <w:color w:val="000000" w:themeColor="text1"/>
          <w:sz w:val="24"/>
          <w:szCs w:val="24"/>
        </w:rPr>
        <w:t>any significant change in its employee numbers or significant change in the risk profile of the work undertaken by its employees.</w:t>
      </w:r>
    </w:p>
    <w:p w14:paraId="56B3263B" w14:textId="77777777" w:rsidR="00FD20E5" w:rsidRPr="004D320C" w:rsidRDefault="00FD20E5" w:rsidP="00FD20E5">
      <w:pPr>
        <w:keepNext/>
        <w:spacing w:before="240" w:after="240" w:line="240" w:lineRule="auto"/>
        <w:ind w:left="567" w:hanging="567"/>
        <w:jc w:val="both"/>
        <w:outlineLvl w:val="1"/>
        <w:rPr>
          <w:rFonts w:cstheme="minorHAnsi"/>
          <w:b/>
          <w:i/>
          <w:snapToGrid w:val="0"/>
          <w:color w:val="000000" w:themeColor="text1"/>
          <w:sz w:val="24"/>
          <w:szCs w:val="24"/>
        </w:rPr>
      </w:pPr>
      <w:r w:rsidRPr="004D320C">
        <w:rPr>
          <w:rFonts w:cstheme="minorHAnsi"/>
          <w:b/>
          <w:i/>
          <w:snapToGrid w:val="0"/>
          <w:color w:val="000000" w:themeColor="text1"/>
          <w:sz w:val="24"/>
          <w:szCs w:val="24"/>
        </w:rPr>
        <w:t xml:space="preserve">Information </w:t>
      </w:r>
      <w:r>
        <w:rPr>
          <w:rFonts w:cstheme="minorHAnsi"/>
          <w:b/>
          <w:i/>
          <w:snapToGrid w:val="0"/>
          <w:color w:val="000000" w:themeColor="text1"/>
          <w:sz w:val="24"/>
          <w:szCs w:val="24"/>
        </w:rPr>
        <w:t xml:space="preserve">recording, </w:t>
      </w:r>
      <w:proofErr w:type="gramStart"/>
      <w:r>
        <w:rPr>
          <w:rFonts w:cstheme="minorHAnsi"/>
          <w:b/>
          <w:i/>
          <w:snapToGrid w:val="0"/>
          <w:color w:val="000000" w:themeColor="text1"/>
          <w:sz w:val="24"/>
          <w:szCs w:val="24"/>
        </w:rPr>
        <w:t>retrieval</w:t>
      </w:r>
      <w:proofErr w:type="gramEnd"/>
      <w:r>
        <w:rPr>
          <w:rFonts w:cstheme="minorHAnsi"/>
          <w:b/>
          <w:i/>
          <w:snapToGrid w:val="0"/>
          <w:color w:val="000000" w:themeColor="text1"/>
          <w:sz w:val="24"/>
          <w:szCs w:val="24"/>
        </w:rPr>
        <w:t xml:space="preserve"> </w:t>
      </w:r>
      <w:r w:rsidRPr="004D320C">
        <w:rPr>
          <w:rFonts w:cstheme="minorHAnsi"/>
          <w:b/>
          <w:i/>
          <w:snapToGrid w:val="0"/>
          <w:color w:val="000000" w:themeColor="text1"/>
          <w:sz w:val="24"/>
          <w:szCs w:val="24"/>
        </w:rPr>
        <w:t>and reporting requirements</w:t>
      </w:r>
    </w:p>
    <w:p w14:paraId="31CE7A67" w14:textId="77777777" w:rsidR="00FD20E5" w:rsidRPr="00AF21E2" w:rsidRDefault="00FD20E5" w:rsidP="00FD20E5">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AF21E2">
        <w:rPr>
          <w:snapToGrid w:val="0"/>
          <w:sz w:val="24"/>
          <w:szCs w:val="24"/>
        </w:rPr>
        <w:t xml:space="preserve">The Licensee must keep all material </w:t>
      </w:r>
      <w:r w:rsidRPr="00AF21E2">
        <w:rPr>
          <w:sz w:val="24"/>
          <w:szCs w:val="24"/>
        </w:rPr>
        <w:t xml:space="preserve">brought into existence in connection with the Licensee’s operations under this Licence and the SRC Act, including but not limited to, all files, correspondence, data, manuals, policies, records, reports, opinions, audits, </w:t>
      </w:r>
      <w:proofErr w:type="gramStart"/>
      <w:r w:rsidRPr="00AF21E2">
        <w:rPr>
          <w:sz w:val="24"/>
          <w:szCs w:val="24"/>
        </w:rPr>
        <w:t>receipts</w:t>
      </w:r>
      <w:proofErr w:type="gramEnd"/>
      <w:r w:rsidRPr="00AF21E2">
        <w:rPr>
          <w:sz w:val="24"/>
          <w:szCs w:val="24"/>
        </w:rPr>
        <w:t xml:space="preserve"> and other information identified by the Commission</w:t>
      </w:r>
      <w:r>
        <w:rPr>
          <w:sz w:val="24"/>
          <w:szCs w:val="24"/>
        </w:rPr>
        <w:t xml:space="preserve"> from time to time </w:t>
      </w:r>
      <w:r w:rsidRPr="00AF21E2">
        <w:rPr>
          <w:sz w:val="24"/>
          <w:szCs w:val="24"/>
        </w:rPr>
        <w:t>as relevant to the operation of th</w:t>
      </w:r>
      <w:r>
        <w:rPr>
          <w:sz w:val="24"/>
          <w:szCs w:val="24"/>
        </w:rPr>
        <w:t>e</w:t>
      </w:r>
      <w:r w:rsidRPr="00AF21E2">
        <w:rPr>
          <w:sz w:val="24"/>
          <w:szCs w:val="24"/>
        </w:rPr>
        <w:t xml:space="preserve"> Licence</w:t>
      </w:r>
      <w:r w:rsidRPr="00AF21E2">
        <w:t>.</w:t>
      </w:r>
    </w:p>
    <w:p w14:paraId="593A9A82" w14:textId="77777777" w:rsidR="00FD20E5" w:rsidRPr="00AF21E2" w:rsidRDefault="00FD20E5" w:rsidP="00FD20E5">
      <w:pPr>
        <w:spacing w:before="240" w:after="240" w:line="240" w:lineRule="auto"/>
        <w:ind w:left="567" w:hanging="567"/>
        <w:jc w:val="both"/>
        <w:rPr>
          <w:rFonts w:cstheme="minorHAnsi"/>
          <w:iCs/>
          <w:snapToGrid w:val="0"/>
          <w:sz w:val="24"/>
          <w:szCs w:val="24"/>
        </w:rPr>
      </w:pPr>
      <w:r w:rsidRPr="00AF21E2">
        <w:rPr>
          <w:rFonts w:cstheme="minorHAnsi"/>
          <w:iCs/>
          <w:snapToGrid w:val="0"/>
          <w:sz w:val="24"/>
          <w:szCs w:val="24"/>
        </w:rPr>
        <w:t xml:space="preserve">24.A </w:t>
      </w:r>
      <w:r w:rsidRPr="00AF21E2">
        <w:rPr>
          <w:rFonts w:cstheme="minorHAnsi"/>
          <w:iCs/>
          <w:snapToGrid w:val="0"/>
          <w:sz w:val="24"/>
          <w:szCs w:val="24"/>
        </w:rPr>
        <w:tab/>
      </w:r>
      <w:r w:rsidRPr="00AF21E2">
        <w:rPr>
          <w:sz w:val="24"/>
          <w:szCs w:val="24"/>
        </w:rPr>
        <w:t>This information may be requested in writing by the Commission with at least 14 days</w:t>
      </w:r>
      <w:r>
        <w:rPr>
          <w:sz w:val="24"/>
          <w:szCs w:val="24"/>
        </w:rPr>
        <w:t>’</w:t>
      </w:r>
      <w:r w:rsidRPr="00AF21E2">
        <w:rPr>
          <w:sz w:val="24"/>
          <w:szCs w:val="24"/>
        </w:rPr>
        <w:t xml:space="preserve"> notice.</w:t>
      </w:r>
    </w:p>
    <w:p w14:paraId="384645F1" w14:textId="77777777" w:rsidR="00FD20E5" w:rsidRPr="00AF21E2" w:rsidRDefault="00FD20E5" w:rsidP="00FD20E5">
      <w:pPr>
        <w:spacing w:before="240" w:after="240" w:line="240" w:lineRule="auto"/>
        <w:ind w:left="567" w:hanging="567"/>
        <w:jc w:val="both"/>
        <w:rPr>
          <w:rFonts w:cstheme="minorHAnsi"/>
          <w:iCs/>
          <w:snapToGrid w:val="0"/>
          <w:sz w:val="24"/>
          <w:szCs w:val="24"/>
        </w:rPr>
      </w:pPr>
      <w:r w:rsidRPr="00AF21E2">
        <w:rPr>
          <w:rFonts w:cstheme="minorHAnsi"/>
          <w:iCs/>
          <w:snapToGrid w:val="0"/>
          <w:sz w:val="24"/>
          <w:szCs w:val="24"/>
        </w:rPr>
        <w:t>24.B</w:t>
      </w:r>
      <w:r w:rsidRPr="00AF21E2">
        <w:rPr>
          <w:rFonts w:cstheme="minorHAnsi"/>
          <w:iCs/>
          <w:snapToGrid w:val="0"/>
          <w:sz w:val="24"/>
          <w:szCs w:val="24"/>
        </w:rPr>
        <w:tab/>
      </w:r>
      <w:r w:rsidRPr="00AF21E2">
        <w:rPr>
          <w:sz w:val="24"/>
          <w:szCs w:val="24"/>
        </w:rPr>
        <w:t>The Licensee is to ensure the information is maintained in a form accessible by the Commission or Comcare for a period of at least seven years</w:t>
      </w:r>
      <w:r w:rsidRPr="00AF21E2">
        <w:t>.</w:t>
      </w:r>
    </w:p>
    <w:p w14:paraId="7AF60AC9" w14:textId="77777777" w:rsidR="00FD20E5" w:rsidRPr="004D320C" w:rsidRDefault="00FD20E5" w:rsidP="00FD20E5">
      <w:pPr>
        <w:spacing w:before="240" w:after="240" w:line="240" w:lineRule="auto"/>
        <w:ind w:left="567" w:hanging="567"/>
        <w:jc w:val="both"/>
        <w:rPr>
          <w:rFonts w:cstheme="minorHAnsi"/>
          <w:b/>
          <w:color w:val="000000" w:themeColor="text1"/>
          <w:sz w:val="24"/>
          <w:szCs w:val="24"/>
          <w:u w:val="single"/>
        </w:rPr>
      </w:pPr>
      <w:r w:rsidRPr="004D320C">
        <w:rPr>
          <w:rFonts w:cstheme="minorHAnsi"/>
          <w:b/>
          <w:color w:val="000000" w:themeColor="text1"/>
          <w:sz w:val="24"/>
          <w:szCs w:val="24"/>
          <w:u w:val="single"/>
        </w:rPr>
        <w:t>Performance conditions</w:t>
      </w:r>
    </w:p>
    <w:p w14:paraId="4C08B1DC"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The Licensee must comply with the Performance Standards and Measures approved by the Commission from time to time. </w:t>
      </w:r>
    </w:p>
    <w:p w14:paraId="049C340B" w14:textId="77777777" w:rsidR="00FD20E5" w:rsidRPr="0000564C" w:rsidRDefault="00FD20E5" w:rsidP="00FD20E5">
      <w:pPr>
        <w:spacing w:before="240" w:after="240" w:line="240" w:lineRule="auto"/>
        <w:ind w:left="567" w:hanging="567"/>
        <w:jc w:val="both"/>
        <w:rPr>
          <w:rFonts w:cstheme="minorHAnsi"/>
          <w:b/>
          <w:snapToGrid w:val="0"/>
          <w:color w:val="000000" w:themeColor="text1"/>
          <w:sz w:val="24"/>
          <w:szCs w:val="24"/>
          <w:u w:val="single"/>
        </w:rPr>
      </w:pPr>
      <w:r w:rsidRPr="004D320C">
        <w:rPr>
          <w:rFonts w:cstheme="minorHAnsi"/>
          <w:b/>
          <w:snapToGrid w:val="0"/>
          <w:color w:val="000000" w:themeColor="text1"/>
          <w:sz w:val="24"/>
          <w:szCs w:val="24"/>
          <w:u w:val="single"/>
        </w:rPr>
        <w:t>Prudential conditions</w:t>
      </w:r>
    </w:p>
    <w:p w14:paraId="77854BC8" w14:textId="77777777" w:rsidR="00FD20E5" w:rsidRPr="004D320C"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Liability report</w:t>
      </w:r>
    </w:p>
    <w:p w14:paraId="4FB923ED" w14:textId="77777777" w:rsidR="00FD20E5" w:rsidRPr="0000564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eastAsia="Times New Roman" w:cstheme="minorHAnsi"/>
          <w:color w:val="000000" w:themeColor="text1"/>
          <w:sz w:val="24"/>
          <w:szCs w:val="24"/>
          <w:lang w:eastAsia="en-AU"/>
        </w:rPr>
        <w:t>The Licensee must commission a written report (</w:t>
      </w:r>
      <w:r w:rsidRPr="004D320C">
        <w:rPr>
          <w:rFonts w:eastAsia="Times New Roman" w:cstheme="minorHAnsi"/>
          <w:b/>
          <w:color w:val="000000" w:themeColor="text1"/>
          <w:sz w:val="24"/>
          <w:szCs w:val="24"/>
          <w:lang w:eastAsia="en-AU"/>
        </w:rPr>
        <w:t>Liability Report</w:t>
      </w:r>
      <w:r w:rsidRPr="004D320C">
        <w:rPr>
          <w:rFonts w:eastAsia="Times New Roman" w:cstheme="minorHAnsi"/>
          <w:color w:val="000000" w:themeColor="text1"/>
          <w:sz w:val="24"/>
          <w:szCs w:val="24"/>
          <w:lang w:eastAsia="en-AU"/>
        </w:rPr>
        <w:t>) in respect of each Financial Year and calculated as at the end of that Financial Year.</w:t>
      </w:r>
    </w:p>
    <w:p w14:paraId="0CA42713"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eastAsia="Times New Roman" w:cstheme="minorHAnsi"/>
          <w:color w:val="000000" w:themeColor="text1"/>
          <w:sz w:val="24"/>
          <w:szCs w:val="24"/>
          <w:lang w:eastAsia="en-AU"/>
        </w:rPr>
        <w:t>The Liability Report must:</w:t>
      </w:r>
    </w:p>
    <w:p w14:paraId="107BAD91" w14:textId="77777777" w:rsidR="00FD20E5" w:rsidRPr="004D320C" w:rsidRDefault="00FD20E5" w:rsidP="00FD20E5">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4D320C">
        <w:rPr>
          <w:rFonts w:eastAsia="Times New Roman" w:cstheme="minorHAnsi"/>
          <w:snapToGrid w:val="0"/>
          <w:color w:val="000000" w:themeColor="text1"/>
          <w:sz w:val="24"/>
          <w:szCs w:val="24"/>
          <w:lang w:eastAsia="en-AU"/>
        </w:rPr>
        <w:lastRenderedPageBreak/>
        <w:t>be prepared by a Fellow of the Institute of Actuaries of Australia (</w:t>
      </w:r>
      <w:r w:rsidRPr="004D320C">
        <w:rPr>
          <w:rFonts w:eastAsia="Times New Roman" w:cstheme="minorHAnsi"/>
          <w:b/>
          <w:snapToGrid w:val="0"/>
          <w:color w:val="000000" w:themeColor="text1"/>
          <w:sz w:val="24"/>
          <w:szCs w:val="24"/>
          <w:lang w:eastAsia="en-AU"/>
        </w:rPr>
        <w:t>IAA</w:t>
      </w:r>
      <w:r w:rsidRPr="004D320C">
        <w:rPr>
          <w:rFonts w:eastAsia="Times New Roman" w:cstheme="minorHAnsi"/>
          <w:snapToGrid w:val="0"/>
          <w:color w:val="000000" w:themeColor="text1"/>
          <w:sz w:val="24"/>
          <w:szCs w:val="24"/>
          <w:lang w:eastAsia="en-AU"/>
        </w:rPr>
        <w:t xml:space="preserve">), or </w:t>
      </w:r>
      <w:proofErr w:type="spellStart"/>
      <w:r w:rsidRPr="004D320C">
        <w:rPr>
          <w:rFonts w:eastAsia="Times New Roman" w:cstheme="minorHAnsi"/>
          <w:snapToGrid w:val="0"/>
          <w:color w:val="000000" w:themeColor="text1"/>
          <w:sz w:val="24"/>
          <w:szCs w:val="24"/>
          <w:lang w:eastAsia="en-AU"/>
        </w:rPr>
        <w:t>any body</w:t>
      </w:r>
      <w:proofErr w:type="spellEnd"/>
      <w:r w:rsidRPr="004D320C">
        <w:rPr>
          <w:rFonts w:eastAsia="Times New Roman" w:cstheme="minorHAnsi"/>
          <w:snapToGrid w:val="0"/>
          <w:color w:val="000000" w:themeColor="text1"/>
          <w:sz w:val="24"/>
          <w:szCs w:val="24"/>
          <w:lang w:eastAsia="en-AU"/>
        </w:rPr>
        <w:t xml:space="preserve"> substituted thereof, with at least five years’ post-qualification experience as an actuary in general insurance;</w:t>
      </w:r>
    </w:p>
    <w:p w14:paraId="73BE46D9" w14:textId="77777777" w:rsidR="00FD20E5" w:rsidRPr="004D320C" w:rsidRDefault="00FD20E5" w:rsidP="00FD20E5">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4D320C">
        <w:rPr>
          <w:rFonts w:eastAsia="Times New Roman" w:cstheme="minorHAnsi"/>
          <w:snapToGrid w:val="0"/>
          <w:color w:val="000000" w:themeColor="text1"/>
          <w:sz w:val="24"/>
          <w:szCs w:val="24"/>
          <w:lang w:eastAsia="en-AU"/>
        </w:rPr>
        <w:t xml:space="preserve">be prepared by an actuary who is not an employee or a partner of the organisation which provides financial audit services to the Licensee or who in any way has a material financial dependence on the auditor; </w:t>
      </w:r>
    </w:p>
    <w:p w14:paraId="65B0F55B" w14:textId="77777777" w:rsidR="00FD20E5" w:rsidRPr="004D320C" w:rsidRDefault="00FD20E5" w:rsidP="00FD20E5">
      <w:pPr>
        <w:pStyle w:val="ListParagraph"/>
        <w:numPr>
          <w:ilvl w:val="0"/>
          <w:numId w:val="9"/>
        </w:numPr>
        <w:tabs>
          <w:tab w:val="clear" w:pos="1701"/>
        </w:tabs>
        <w:spacing w:before="240" w:after="240" w:line="240" w:lineRule="auto"/>
        <w:ind w:left="1134"/>
        <w:contextualSpacing w:val="0"/>
        <w:jc w:val="both"/>
        <w:rPr>
          <w:rFonts w:eastAsia="Times New Roman" w:cstheme="minorHAnsi"/>
          <w:color w:val="000000" w:themeColor="text1"/>
          <w:sz w:val="24"/>
          <w:szCs w:val="24"/>
          <w:lang w:eastAsia="en-AU"/>
        </w:rPr>
      </w:pPr>
      <w:r w:rsidRPr="004D320C">
        <w:rPr>
          <w:rFonts w:eastAsia="Times New Roman" w:cstheme="minorHAnsi"/>
          <w:color w:val="000000" w:themeColor="text1"/>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4D320C">
        <w:rPr>
          <w:rFonts w:eastAsia="Times New Roman" w:cstheme="minorHAnsi"/>
          <w:snapToGrid w:val="0"/>
          <w:color w:val="000000" w:themeColor="text1"/>
          <w:sz w:val="24"/>
          <w:szCs w:val="24"/>
          <w:lang w:eastAsia="en-AU"/>
        </w:rPr>
        <w:t xml:space="preserve"> </w:t>
      </w:r>
      <w:r w:rsidRPr="004D320C">
        <w:rPr>
          <w:rFonts w:eastAsia="Times New Roman" w:cstheme="minorHAnsi"/>
          <w:color w:val="000000" w:themeColor="text1"/>
          <w:sz w:val="24"/>
          <w:szCs w:val="24"/>
          <w:lang w:eastAsia="en-AU"/>
        </w:rPr>
        <w:t xml:space="preserve">any departure from this standard to be highlighted in the report; </w:t>
      </w:r>
    </w:p>
    <w:p w14:paraId="50C18E15" w14:textId="77777777" w:rsidR="00FD20E5" w:rsidRPr="004D320C" w:rsidRDefault="00FD20E5" w:rsidP="00FD20E5">
      <w:pPr>
        <w:pStyle w:val="ListParagraph"/>
        <w:numPr>
          <w:ilvl w:val="0"/>
          <w:numId w:val="9"/>
        </w:numPr>
        <w:tabs>
          <w:tab w:val="clear" w:pos="1701"/>
        </w:tabs>
        <w:spacing w:before="240" w:after="240" w:line="240" w:lineRule="auto"/>
        <w:ind w:left="1134"/>
        <w:contextualSpacing w:val="0"/>
        <w:jc w:val="both"/>
        <w:rPr>
          <w:rFonts w:eastAsia="Times New Roman" w:cstheme="minorHAnsi"/>
          <w:color w:val="000000" w:themeColor="text1"/>
          <w:sz w:val="24"/>
          <w:szCs w:val="24"/>
          <w:lang w:eastAsia="en-AU"/>
        </w:rPr>
      </w:pPr>
      <w:r w:rsidRPr="004D320C">
        <w:rPr>
          <w:rFonts w:eastAsia="Times New Roman" w:cstheme="minorHAnsi"/>
          <w:color w:val="000000" w:themeColor="text1"/>
          <w:sz w:val="24"/>
          <w:szCs w:val="24"/>
          <w:lang w:eastAsia="en-AU"/>
        </w:rPr>
        <w:t xml:space="preserve">be prepared using the </w:t>
      </w:r>
      <w:proofErr w:type="gramStart"/>
      <w:r w:rsidRPr="004D320C">
        <w:rPr>
          <w:rFonts w:eastAsia="Times New Roman" w:cstheme="minorHAnsi"/>
          <w:color w:val="000000" w:themeColor="text1"/>
          <w:sz w:val="24"/>
          <w:szCs w:val="24"/>
          <w:lang w:eastAsia="en-AU"/>
        </w:rPr>
        <w:t>Risk Free</w:t>
      </w:r>
      <w:proofErr w:type="gramEnd"/>
      <w:r w:rsidRPr="004D320C">
        <w:rPr>
          <w:rFonts w:eastAsia="Times New Roman" w:cstheme="minorHAnsi"/>
          <w:color w:val="000000" w:themeColor="text1"/>
          <w:sz w:val="24"/>
          <w:szCs w:val="24"/>
          <w:lang w:eastAsia="en-AU"/>
        </w:rPr>
        <w:t xml:space="preserve"> Rate in discounting the expected future claims payments of insurance liabilities;</w:t>
      </w:r>
    </w:p>
    <w:p w14:paraId="2C74964B" w14:textId="77777777" w:rsidR="00FD20E5" w:rsidRPr="004D320C" w:rsidRDefault="00FD20E5" w:rsidP="00FD20E5">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4D320C">
        <w:rPr>
          <w:rFonts w:eastAsia="Times New Roman" w:cstheme="minorHAnsi"/>
          <w:color w:val="000000" w:themeColor="text1"/>
          <w:sz w:val="24"/>
          <w:szCs w:val="24"/>
          <w:lang w:eastAsia="en-AU"/>
        </w:rPr>
        <w:t>be addressed by the actuary to the Commission; and</w:t>
      </w:r>
    </w:p>
    <w:p w14:paraId="0FB68CD9" w14:textId="77777777" w:rsidR="00FD20E5" w:rsidRPr="0000564C" w:rsidRDefault="00FD20E5" w:rsidP="00FD20E5">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4D320C">
        <w:rPr>
          <w:rFonts w:eastAsia="Times New Roman" w:cstheme="minorHAnsi"/>
          <w:color w:val="000000" w:themeColor="text1"/>
          <w:sz w:val="24"/>
          <w:szCs w:val="24"/>
          <w:lang w:eastAsia="en-AU"/>
        </w:rPr>
        <w:t>be provided by the Licensee to the Commission within 131 days of the end of the Financial Year to which it relates.</w:t>
      </w:r>
    </w:p>
    <w:p w14:paraId="69460CE3" w14:textId="77777777" w:rsidR="00FD20E5" w:rsidRPr="004D320C" w:rsidRDefault="00FD20E5" w:rsidP="00FD20E5">
      <w:pPr>
        <w:spacing w:before="240" w:after="240" w:line="240" w:lineRule="auto"/>
        <w:ind w:left="567"/>
        <w:jc w:val="both"/>
        <w:rPr>
          <w:rFonts w:cstheme="minorHAnsi"/>
          <w:i/>
          <w:snapToGrid w:val="0"/>
          <w:sz w:val="24"/>
          <w:szCs w:val="24"/>
        </w:rPr>
      </w:pPr>
      <w:r w:rsidRPr="004D320C">
        <w:rPr>
          <w:rFonts w:cstheme="minorHAnsi"/>
          <w:i/>
          <w:snapToGrid w:val="0"/>
          <w:sz w:val="24"/>
          <w:szCs w:val="24"/>
        </w:rPr>
        <w:t xml:space="preserve">Note: If the actuary determines the </w:t>
      </w:r>
      <w:proofErr w:type="gramStart"/>
      <w:r w:rsidRPr="004D320C">
        <w:rPr>
          <w:rFonts w:cstheme="minorHAnsi"/>
          <w:i/>
          <w:snapToGrid w:val="0"/>
          <w:sz w:val="24"/>
          <w:szCs w:val="24"/>
        </w:rPr>
        <w:t>Risk Free</w:t>
      </w:r>
      <w:proofErr w:type="gramEnd"/>
      <w:r w:rsidRPr="004D320C">
        <w:rPr>
          <w:rFonts w:cstheme="minorHAnsi"/>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3F69592D"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eastAsia="Times New Roman" w:cstheme="minorHAnsi"/>
          <w:color w:val="000000" w:themeColor="text1"/>
          <w:sz w:val="24"/>
          <w:szCs w:val="24"/>
          <w:lang w:eastAsia="en-AU"/>
        </w:rPr>
      </w:pPr>
      <w:r w:rsidRPr="004D320C">
        <w:rPr>
          <w:rFonts w:eastAsia="Times New Roman" w:cstheme="minorHAnsi"/>
          <w:color w:val="000000" w:themeColor="text1"/>
          <w:sz w:val="24"/>
          <w:szCs w:val="24"/>
          <w:lang w:eastAsia="en-AU"/>
        </w:rPr>
        <w:t>The Liability Report must:</w:t>
      </w:r>
    </w:p>
    <w:p w14:paraId="478EDEBA" w14:textId="77777777" w:rsidR="00FD20E5" w:rsidRPr="004D320C" w:rsidRDefault="00FD20E5" w:rsidP="00FD20E5">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estimate the Outstanding Claim Liability of the Licensee to pay compensation and other amounts under the SRC Act in accordance with the scope of this licence as follows:</w:t>
      </w:r>
    </w:p>
    <w:p w14:paraId="4F035512" w14:textId="77777777" w:rsidR="00FD20E5" w:rsidRPr="004D320C" w:rsidRDefault="00FD20E5" w:rsidP="00FD20E5">
      <w:pPr>
        <w:pStyle w:val="ListParagraph"/>
        <w:numPr>
          <w:ilvl w:val="0"/>
          <w:numId w:val="4"/>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contain </w:t>
      </w:r>
      <w:r w:rsidRPr="004D320C">
        <w:rPr>
          <w:rFonts w:cstheme="minorHAnsi"/>
          <w:color w:val="000000" w:themeColor="text1"/>
          <w:sz w:val="24"/>
          <w:szCs w:val="24"/>
        </w:rPr>
        <w:t>a recommendation for the level of provisions in the Licensee’s accounts which must be made to at least the net unbiased estimate of the mean (statistical expectation) of the Outstanding Claim Liability; and</w:t>
      </w:r>
    </w:p>
    <w:p w14:paraId="4DE362AA" w14:textId="77777777" w:rsidR="00FD20E5" w:rsidRPr="004D320C" w:rsidRDefault="00FD20E5" w:rsidP="00FD20E5">
      <w:pPr>
        <w:pStyle w:val="ListParagraph"/>
        <w:numPr>
          <w:ilvl w:val="0"/>
          <w:numId w:val="4"/>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 xml:space="preserve">contain a valuation of current Outstanding Claim Liability and the projected Outstanding Claim Liability in 12/18/24* months’ time; </w:t>
      </w:r>
    </w:p>
    <w:p w14:paraId="274CE668" w14:textId="77777777" w:rsidR="00FD20E5" w:rsidRPr="004D320C" w:rsidRDefault="00FD20E5" w:rsidP="00FD20E5">
      <w:pPr>
        <w:pStyle w:val="ListParagraph"/>
        <w:spacing w:before="240" w:after="240" w:line="240" w:lineRule="auto"/>
        <w:ind w:left="1701"/>
        <w:contextualSpacing w:val="0"/>
        <w:jc w:val="both"/>
        <w:rPr>
          <w:rFonts w:cstheme="minorHAnsi"/>
          <w:i/>
          <w:snapToGrid w:val="0"/>
          <w:color w:val="000000" w:themeColor="text1"/>
          <w:sz w:val="24"/>
          <w:szCs w:val="24"/>
        </w:rPr>
      </w:pPr>
      <w:r w:rsidRPr="004D320C">
        <w:rPr>
          <w:rFonts w:cstheme="minorHAnsi"/>
          <w:i/>
          <w:snapToGrid w:val="0"/>
          <w:color w:val="000000" w:themeColor="text1"/>
          <w:sz w:val="24"/>
          <w:szCs w:val="24"/>
        </w:rPr>
        <w:t>*Note: 12 months for Licensees in the 6</w:t>
      </w:r>
      <w:r w:rsidRPr="004D320C">
        <w:rPr>
          <w:rFonts w:cstheme="minorHAnsi"/>
          <w:i/>
          <w:snapToGrid w:val="0"/>
          <w:color w:val="000000" w:themeColor="text1"/>
          <w:sz w:val="24"/>
          <w:szCs w:val="24"/>
          <w:vertAlign w:val="superscript"/>
        </w:rPr>
        <w:t>th</w:t>
      </w:r>
      <w:r w:rsidRPr="004D320C">
        <w:rPr>
          <w:rFonts w:cstheme="minorHAnsi"/>
          <w:i/>
          <w:snapToGrid w:val="0"/>
          <w:color w:val="000000" w:themeColor="text1"/>
          <w:sz w:val="24"/>
          <w:szCs w:val="24"/>
        </w:rPr>
        <w:t xml:space="preserve"> or more year of licence; 18 months for Licensees in the 4</w:t>
      </w:r>
      <w:r w:rsidRPr="004D320C">
        <w:rPr>
          <w:rFonts w:cstheme="minorHAnsi"/>
          <w:i/>
          <w:snapToGrid w:val="0"/>
          <w:color w:val="000000" w:themeColor="text1"/>
          <w:sz w:val="24"/>
          <w:szCs w:val="24"/>
          <w:vertAlign w:val="superscript"/>
        </w:rPr>
        <w:t>th</w:t>
      </w:r>
      <w:r w:rsidRPr="004D320C">
        <w:rPr>
          <w:rFonts w:cstheme="minorHAnsi"/>
          <w:i/>
          <w:snapToGrid w:val="0"/>
          <w:color w:val="000000" w:themeColor="text1"/>
          <w:sz w:val="24"/>
          <w:szCs w:val="24"/>
        </w:rPr>
        <w:t>-5</w:t>
      </w:r>
      <w:r w:rsidRPr="004D320C">
        <w:rPr>
          <w:rFonts w:cstheme="minorHAnsi"/>
          <w:i/>
          <w:snapToGrid w:val="0"/>
          <w:color w:val="000000" w:themeColor="text1"/>
          <w:sz w:val="24"/>
          <w:szCs w:val="24"/>
          <w:vertAlign w:val="superscript"/>
        </w:rPr>
        <w:t>th</w:t>
      </w:r>
      <w:r w:rsidRPr="004D320C">
        <w:rPr>
          <w:rFonts w:cstheme="minorHAnsi"/>
          <w:i/>
          <w:snapToGrid w:val="0"/>
          <w:color w:val="000000" w:themeColor="text1"/>
          <w:sz w:val="24"/>
          <w:szCs w:val="24"/>
        </w:rPr>
        <w:t xml:space="preserve"> year of licence; 24 months for Licensees in the 1</w:t>
      </w:r>
      <w:r w:rsidRPr="004D320C">
        <w:rPr>
          <w:rFonts w:cstheme="minorHAnsi"/>
          <w:i/>
          <w:snapToGrid w:val="0"/>
          <w:color w:val="000000" w:themeColor="text1"/>
          <w:sz w:val="24"/>
          <w:szCs w:val="24"/>
          <w:vertAlign w:val="superscript"/>
        </w:rPr>
        <w:t>st</w:t>
      </w:r>
      <w:r w:rsidRPr="004D320C">
        <w:rPr>
          <w:rFonts w:cstheme="minorHAnsi"/>
          <w:i/>
          <w:snapToGrid w:val="0"/>
          <w:color w:val="000000" w:themeColor="text1"/>
          <w:sz w:val="24"/>
          <w:szCs w:val="24"/>
        </w:rPr>
        <w:t>-3</w:t>
      </w:r>
      <w:r w:rsidRPr="004D320C">
        <w:rPr>
          <w:rFonts w:cstheme="minorHAnsi"/>
          <w:i/>
          <w:snapToGrid w:val="0"/>
          <w:color w:val="000000" w:themeColor="text1"/>
          <w:sz w:val="24"/>
          <w:szCs w:val="24"/>
          <w:vertAlign w:val="superscript"/>
        </w:rPr>
        <w:t>rd</w:t>
      </w:r>
      <w:r w:rsidRPr="004D320C">
        <w:rPr>
          <w:rFonts w:cstheme="minorHAnsi"/>
          <w:i/>
          <w:snapToGrid w:val="0"/>
          <w:color w:val="000000" w:themeColor="text1"/>
          <w:sz w:val="24"/>
          <w:szCs w:val="24"/>
        </w:rPr>
        <w:t xml:space="preserve"> year of licence; </w:t>
      </w:r>
    </w:p>
    <w:p w14:paraId="4C2FE4AB" w14:textId="77777777" w:rsidR="00FD20E5" w:rsidRPr="004D320C" w:rsidRDefault="00FD20E5" w:rsidP="00FD20E5">
      <w:pPr>
        <w:pStyle w:val="ListParagraph"/>
        <w:numPr>
          <w:ilvl w:val="0"/>
          <w:numId w:val="10"/>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contain a breakdown of the current and non-current liability components of the Licensee’s Outstanding Claim Liability as estimated in accordance with condition 28(a);</w:t>
      </w:r>
    </w:p>
    <w:p w14:paraId="6464597F" w14:textId="77777777" w:rsidR="00FD20E5" w:rsidRDefault="00FD20E5" w:rsidP="00FD20E5">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contain </w:t>
      </w:r>
      <w:r w:rsidRPr="004D320C">
        <w:rPr>
          <w:rFonts w:cstheme="minorHAnsi"/>
          <w:color w:val="000000" w:themeColor="text1"/>
          <w:sz w:val="24"/>
          <w:szCs w:val="24"/>
        </w:rPr>
        <w:t xml:space="preserve">a recommendation </w:t>
      </w:r>
      <w:r w:rsidRPr="004D320C">
        <w:rPr>
          <w:rFonts w:cstheme="minorHAnsi"/>
          <w:snapToGrid w:val="0"/>
          <w:color w:val="000000" w:themeColor="text1"/>
          <w:sz w:val="24"/>
          <w:szCs w:val="24"/>
        </w:rPr>
        <w:t>of the maximum reinsurance policy retention amount (</w:t>
      </w:r>
      <w:r w:rsidRPr="004D320C">
        <w:rPr>
          <w:rFonts w:cstheme="minorHAnsi"/>
          <w:b/>
          <w:snapToGrid w:val="0"/>
          <w:color w:val="000000" w:themeColor="text1"/>
          <w:sz w:val="24"/>
          <w:szCs w:val="24"/>
        </w:rPr>
        <w:t>Recommended Excess Amount</w:t>
      </w:r>
      <w:r w:rsidRPr="004D320C">
        <w:rPr>
          <w:rFonts w:cstheme="minorHAnsi"/>
          <w:snapToGrid w:val="0"/>
          <w:color w:val="000000" w:themeColor="text1"/>
          <w:sz w:val="24"/>
          <w:szCs w:val="24"/>
        </w:rPr>
        <w:t xml:space="preserve">) referred to in </w:t>
      </w:r>
      <w:r w:rsidRPr="004D320C">
        <w:rPr>
          <w:rFonts w:eastAsia="Times New Roman" w:cstheme="minorHAnsi"/>
          <w:snapToGrid w:val="0"/>
          <w:color w:val="000000" w:themeColor="text1"/>
          <w:sz w:val="24"/>
          <w:szCs w:val="24"/>
          <w:lang w:eastAsia="en-AU"/>
        </w:rPr>
        <w:t>the Reinsurance conditions</w:t>
      </w:r>
      <w:r w:rsidRPr="004D320C">
        <w:rPr>
          <w:rFonts w:cstheme="minorHAnsi"/>
          <w:snapToGrid w:val="0"/>
          <w:color w:val="000000" w:themeColor="text1"/>
          <w:sz w:val="24"/>
          <w:szCs w:val="24"/>
        </w:rPr>
        <w:t xml:space="preserve">; </w:t>
      </w:r>
    </w:p>
    <w:p w14:paraId="78CA541F" w14:textId="77777777" w:rsidR="00FD20E5" w:rsidRDefault="00FD20E5" w:rsidP="00FD20E5">
      <w:pPr>
        <w:spacing w:before="240" w:after="240" w:line="240" w:lineRule="auto"/>
        <w:jc w:val="both"/>
        <w:rPr>
          <w:rFonts w:cstheme="minorHAnsi"/>
          <w:snapToGrid w:val="0"/>
          <w:color w:val="000000" w:themeColor="text1"/>
          <w:sz w:val="24"/>
          <w:szCs w:val="24"/>
        </w:rPr>
      </w:pPr>
    </w:p>
    <w:p w14:paraId="050A1430" w14:textId="77777777" w:rsidR="00FD20E5" w:rsidRPr="002042EB" w:rsidRDefault="00FD20E5" w:rsidP="00FD20E5">
      <w:pPr>
        <w:spacing w:before="240" w:after="240" w:line="240" w:lineRule="auto"/>
        <w:jc w:val="both"/>
        <w:rPr>
          <w:rFonts w:cstheme="minorHAnsi"/>
          <w:snapToGrid w:val="0"/>
          <w:color w:val="000000" w:themeColor="text1"/>
          <w:sz w:val="24"/>
          <w:szCs w:val="24"/>
        </w:rPr>
      </w:pPr>
    </w:p>
    <w:p w14:paraId="6EB530B4" w14:textId="77777777" w:rsidR="00FD20E5" w:rsidRPr="004D320C" w:rsidRDefault="00FD20E5" w:rsidP="00FD20E5">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proofErr w:type="gramStart"/>
      <w:r w:rsidRPr="004D320C">
        <w:rPr>
          <w:rFonts w:cstheme="minorHAnsi"/>
          <w:snapToGrid w:val="0"/>
          <w:color w:val="000000" w:themeColor="text1"/>
          <w:sz w:val="24"/>
          <w:szCs w:val="24"/>
        </w:rPr>
        <w:lastRenderedPageBreak/>
        <w:t>make an assessment of</w:t>
      </w:r>
      <w:proofErr w:type="gramEnd"/>
      <w:r w:rsidRPr="004D320C">
        <w:rPr>
          <w:rFonts w:cstheme="minorHAnsi"/>
          <w:snapToGrid w:val="0"/>
          <w:color w:val="000000" w:themeColor="text1"/>
          <w:sz w:val="24"/>
          <w:szCs w:val="24"/>
        </w:rPr>
        <w:t xml:space="preserve"> the financial capacity of the Licensee to meet amounts, from the balance sheet, up to the Recommended Excess Amount; </w:t>
      </w:r>
    </w:p>
    <w:p w14:paraId="381A5D3B" w14:textId="77777777" w:rsidR="00FD20E5" w:rsidRPr="004D320C" w:rsidRDefault="00FD20E5" w:rsidP="00FD20E5">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describe the arrangements for compliance with </w:t>
      </w:r>
      <w:r w:rsidRPr="004D320C">
        <w:rPr>
          <w:rFonts w:eastAsia="Times New Roman" w:cstheme="minorHAnsi"/>
          <w:snapToGrid w:val="0"/>
          <w:color w:val="000000" w:themeColor="text1"/>
          <w:sz w:val="24"/>
          <w:szCs w:val="24"/>
          <w:lang w:eastAsia="en-AU"/>
        </w:rPr>
        <w:t xml:space="preserve">the Reinsurance conditions </w:t>
      </w:r>
      <w:r w:rsidRPr="004D320C">
        <w:rPr>
          <w:rFonts w:cstheme="minorHAnsi"/>
          <w:snapToGrid w:val="0"/>
          <w:color w:val="000000" w:themeColor="text1"/>
          <w:sz w:val="24"/>
          <w:szCs w:val="24"/>
        </w:rPr>
        <w:t xml:space="preserve">and provide an assessment by the actuary of whether the arrangements are appropriate to meet the Licensee’s obligation under condition 48; and </w:t>
      </w:r>
    </w:p>
    <w:p w14:paraId="66777361" w14:textId="77777777" w:rsidR="00FD20E5" w:rsidRPr="00ED5C03" w:rsidRDefault="00FD20E5" w:rsidP="00FD20E5">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contain the calculations used to determine the required amount of the Guarantee pursuant to conditions 43 and 44.</w:t>
      </w:r>
    </w:p>
    <w:p w14:paraId="0F922D01" w14:textId="77777777" w:rsidR="00FD20E5" w:rsidRPr="00ED5C03"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Commission may at its discretion submit a Liability Report to a peer review process.</w:t>
      </w:r>
    </w:p>
    <w:p w14:paraId="75D52DE4" w14:textId="77777777" w:rsidR="00FD20E5" w:rsidRPr="00ED5C03"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After receiving a peer review assessment of a Liability Report, the Commission may by written notice to the Licensee require a Second Liability Report by an actuary approved by the Commission.</w:t>
      </w:r>
    </w:p>
    <w:p w14:paraId="0E4E7C51" w14:textId="77777777" w:rsidR="00FD20E5" w:rsidRPr="00ED5C03" w:rsidRDefault="00FD20E5" w:rsidP="00FD20E5">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 xml:space="preserve">If any of the changes in circumstances outlined in condition 23(b), (c) or (d) occur, the Commission may, by written notice to the Licensee, require the Licensee to obtain an Updated Liability Report that is to be prepared in accordance with conditions 26 to 28. </w:t>
      </w:r>
    </w:p>
    <w:p w14:paraId="7403E5E5" w14:textId="77777777" w:rsidR="00FD20E5" w:rsidRPr="00ED5C03"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Commission may direct the date for provision of a Second Liability Report and/or an Updated Liability Report.</w:t>
      </w:r>
    </w:p>
    <w:p w14:paraId="5497846A" w14:textId="77777777" w:rsidR="00FD20E5" w:rsidRPr="00ED5C03"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Unless the Commission directs otherwise, the Licensee must pay for a Second Liability Report and/or an Updated Liability Report.</w:t>
      </w:r>
    </w:p>
    <w:p w14:paraId="53BFCB05"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7FDC69F6" w14:textId="77777777" w:rsidR="00FD20E5" w:rsidRPr="004D320C" w:rsidRDefault="00FD20E5" w:rsidP="00FD20E5">
      <w:pPr>
        <w:pStyle w:val="ListParagraph"/>
        <w:numPr>
          <w:ilvl w:val="0"/>
          <w:numId w:val="11"/>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references in this licence to the Liability Report are to be construed as references to the Second Liability Report or the Updated Liability Report (whichever is applicable); and</w:t>
      </w:r>
    </w:p>
    <w:p w14:paraId="45D9F8D4" w14:textId="77777777" w:rsidR="00FD20E5" w:rsidRPr="004D320C" w:rsidRDefault="00FD20E5" w:rsidP="00FD20E5">
      <w:pPr>
        <w:pStyle w:val="ListParagraph"/>
        <w:numPr>
          <w:ilvl w:val="0"/>
          <w:numId w:val="11"/>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references in this licence to the actuary who prepares the Liability Report are to be construed as references to the actuary who prepares the Second Liability Report or the Updated Liability Report (whichever is applicable).</w:t>
      </w:r>
    </w:p>
    <w:p w14:paraId="562BBD99" w14:textId="77777777" w:rsidR="00FD20E5" w:rsidRPr="004D320C"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Yearly Accounts</w:t>
      </w:r>
    </w:p>
    <w:p w14:paraId="67157597"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Licensee must:</w:t>
      </w:r>
    </w:p>
    <w:p w14:paraId="3D4D07FC" w14:textId="77777777" w:rsidR="00FD20E5" w:rsidRPr="004D320C" w:rsidRDefault="00FD20E5" w:rsidP="00FD20E5">
      <w:pPr>
        <w:pStyle w:val="ListParagraph"/>
        <w:numPr>
          <w:ilvl w:val="0"/>
          <w:numId w:val="12"/>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lodge with the Commission a copy of:</w:t>
      </w:r>
    </w:p>
    <w:p w14:paraId="4F381820" w14:textId="77777777" w:rsidR="00FD20E5" w:rsidRPr="004D320C" w:rsidRDefault="00FD20E5" w:rsidP="00FD20E5">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any report that it is required to prepare or obtain for a Financial Year under Division 1 of Part 2M.3 of the </w:t>
      </w:r>
      <w:r w:rsidRPr="004D320C">
        <w:rPr>
          <w:rFonts w:cstheme="minorHAnsi"/>
          <w:i/>
          <w:snapToGrid w:val="0"/>
          <w:color w:val="000000" w:themeColor="text1"/>
          <w:sz w:val="24"/>
          <w:szCs w:val="24"/>
        </w:rPr>
        <w:t xml:space="preserve">Corporations Act 2001 </w:t>
      </w:r>
      <w:r w:rsidRPr="004D320C">
        <w:rPr>
          <w:rFonts w:cstheme="minorHAnsi"/>
          <w:snapToGrid w:val="0"/>
          <w:color w:val="000000" w:themeColor="text1"/>
          <w:sz w:val="24"/>
          <w:szCs w:val="24"/>
        </w:rPr>
        <w:t>(</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within 131 days of the end of that Financial Year;</w:t>
      </w:r>
    </w:p>
    <w:p w14:paraId="36026BB4" w14:textId="77777777" w:rsidR="00FD20E5" w:rsidRPr="009D3E20" w:rsidRDefault="00FD20E5" w:rsidP="00FD20E5">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any periodic financial </w:t>
      </w:r>
      <w:r w:rsidRPr="004D320C">
        <w:rPr>
          <w:rFonts w:cstheme="minorHAnsi"/>
          <w:color w:val="000000" w:themeColor="text1"/>
          <w:sz w:val="24"/>
          <w:szCs w:val="24"/>
        </w:rPr>
        <w:t xml:space="preserve">information regarding the affairs of the Licensee for a Financial Year that it is required to give to any financial market as defined in the </w:t>
      </w:r>
      <w:r w:rsidRPr="004D320C">
        <w:rPr>
          <w:rFonts w:cstheme="minorHAnsi"/>
          <w:i/>
          <w:color w:val="000000" w:themeColor="text1"/>
          <w:sz w:val="24"/>
          <w:szCs w:val="24"/>
        </w:rPr>
        <w:t>Corporations Act 2001</w:t>
      </w:r>
      <w:r w:rsidRPr="004D320C">
        <w:rPr>
          <w:rFonts w:cstheme="minorHAnsi"/>
          <w:color w:val="000000" w:themeColor="text1"/>
          <w:sz w:val="24"/>
          <w:szCs w:val="24"/>
        </w:rPr>
        <w:t>(</w:t>
      </w:r>
      <w:proofErr w:type="spellStart"/>
      <w:r w:rsidRPr="004D320C">
        <w:rPr>
          <w:rFonts w:cstheme="minorHAnsi"/>
          <w:color w:val="000000" w:themeColor="text1"/>
          <w:sz w:val="24"/>
          <w:szCs w:val="24"/>
        </w:rPr>
        <w:t>Cth</w:t>
      </w:r>
      <w:proofErr w:type="spellEnd"/>
      <w:r w:rsidRPr="004D320C">
        <w:rPr>
          <w:rFonts w:cstheme="minorHAnsi"/>
          <w:color w:val="000000" w:themeColor="text1"/>
          <w:sz w:val="24"/>
          <w:szCs w:val="24"/>
        </w:rPr>
        <w:t xml:space="preserve">) (for example, in respect of the Australian </w:t>
      </w:r>
    </w:p>
    <w:p w14:paraId="15EA9755" w14:textId="77777777" w:rsidR="00FD20E5" w:rsidRPr="009D3E20" w:rsidRDefault="00FD20E5" w:rsidP="00FD20E5">
      <w:pPr>
        <w:pStyle w:val="ListParagraph"/>
        <w:spacing w:before="240" w:after="240" w:line="240" w:lineRule="auto"/>
        <w:ind w:left="1701"/>
        <w:contextualSpacing w:val="0"/>
        <w:jc w:val="both"/>
        <w:rPr>
          <w:rFonts w:cstheme="minorHAnsi"/>
          <w:snapToGrid w:val="0"/>
          <w:color w:val="000000" w:themeColor="text1"/>
          <w:sz w:val="24"/>
          <w:szCs w:val="24"/>
        </w:rPr>
      </w:pPr>
    </w:p>
    <w:p w14:paraId="63BC6188" w14:textId="77777777" w:rsidR="00FD20E5" w:rsidRPr="004D320C" w:rsidRDefault="00FD20E5" w:rsidP="00FD20E5">
      <w:pPr>
        <w:pStyle w:val="ListParagraph"/>
        <w:spacing w:before="240" w:after="240" w:line="240" w:lineRule="auto"/>
        <w:ind w:left="1701"/>
        <w:contextualSpacing w:val="0"/>
        <w:jc w:val="both"/>
        <w:rPr>
          <w:rFonts w:cstheme="minorHAnsi"/>
          <w:snapToGrid w:val="0"/>
          <w:color w:val="000000" w:themeColor="text1"/>
          <w:sz w:val="24"/>
          <w:szCs w:val="24"/>
        </w:rPr>
      </w:pPr>
      <w:r w:rsidRPr="004D320C">
        <w:rPr>
          <w:rFonts w:cstheme="minorHAnsi"/>
          <w:color w:val="000000" w:themeColor="text1"/>
          <w:sz w:val="24"/>
          <w:szCs w:val="24"/>
        </w:rPr>
        <w:lastRenderedPageBreak/>
        <w:t xml:space="preserve">Stock Exchange this would be information that must be given under Listing Rule 4.3B) within 131 days of the end of that Financial </w:t>
      </w:r>
      <w:proofErr w:type="gramStart"/>
      <w:r w:rsidRPr="004D320C">
        <w:rPr>
          <w:rFonts w:cstheme="minorHAnsi"/>
          <w:color w:val="000000" w:themeColor="text1"/>
          <w:sz w:val="24"/>
          <w:szCs w:val="24"/>
        </w:rPr>
        <w:t>Year  For</w:t>
      </w:r>
      <w:proofErr w:type="gramEnd"/>
      <w:r w:rsidRPr="004D320C">
        <w:rPr>
          <w:rFonts w:cstheme="minorHAnsi"/>
          <w:color w:val="000000" w:themeColor="text1"/>
          <w:sz w:val="24"/>
          <w:szCs w:val="24"/>
        </w:rPr>
        <w:t xml:space="preserve"> the avoidance of doubt this condition does not require the Licensee to provide information that is released to the financial market pursuant to the Licensee's continuous disclosure obligations;</w:t>
      </w:r>
    </w:p>
    <w:p w14:paraId="4CF68D73" w14:textId="77777777" w:rsidR="00FD20E5" w:rsidRPr="004D320C" w:rsidRDefault="00FD20E5" w:rsidP="00FD20E5">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 xml:space="preserve">if the Licensee </w:t>
      </w:r>
      <w:r w:rsidRPr="004D320C">
        <w:rPr>
          <w:rFonts w:cstheme="minorHAnsi"/>
          <w:snapToGrid w:val="0"/>
          <w:color w:val="000000" w:themeColor="text1"/>
          <w:sz w:val="24"/>
          <w:szCs w:val="24"/>
        </w:rPr>
        <w:t xml:space="preserve">is not required to report in accordance with Division 1 of Part 2M.3 of the </w:t>
      </w:r>
      <w:r w:rsidRPr="004D320C">
        <w:rPr>
          <w:rFonts w:cstheme="minorHAnsi"/>
          <w:i/>
          <w:snapToGrid w:val="0"/>
          <w:color w:val="000000" w:themeColor="text1"/>
          <w:sz w:val="24"/>
          <w:szCs w:val="24"/>
        </w:rPr>
        <w:t xml:space="preserve">Corporations Act 2001 </w:t>
      </w:r>
      <w:r w:rsidRPr="004D320C">
        <w:rPr>
          <w:rFonts w:cstheme="minorHAnsi"/>
          <w:snapToGrid w:val="0"/>
          <w:color w:val="000000" w:themeColor="text1"/>
          <w:sz w:val="24"/>
          <w:szCs w:val="24"/>
        </w:rPr>
        <w:t>(</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xml:space="preserve">) because its parent company is required to report in accordance with Division 1 of Part 2M.3 of the </w:t>
      </w:r>
      <w:r w:rsidRPr="004D320C">
        <w:rPr>
          <w:rFonts w:cstheme="minorHAnsi"/>
          <w:i/>
          <w:snapToGrid w:val="0"/>
          <w:color w:val="000000" w:themeColor="text1"/>
          <w:sz w:val="24"/>
          <w:szCs w:val="24"/>
        </w:rPr>
        <w:t>Corporations Act 2001</w:t>
      </w:r>
      <w:r w:rsidRPr="004D320C">
        <w:rPr>
          <w:rFonts w:cstheme="minorHAnsi"/>
          <w:snapToGrid w:val="0"/>
          <w:color w:val="000000" w:themeColor="text1"/>
          <w:sz w:val="24"/>
          <w:szCs w:val="24"/>
        </w:rPr>
        <w:t xml:space="preserve"> (</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xml:space="preserve">), then the Licensee must provide any report that the parent company is required to prepare or obtain for a Financial Year under Division 1 of Part 2M.3 of the </w:t>
      </w:r>
      <w:r w:rsidRPr="004D320C">
        <w:rPr>
          <w:rFonts w:cstheme="minorHAnsi"/>
          <w:i/>
          <w:snapToGrid w:val="0"/>
          <w:color w:val="000000" w:themeColor="text1"/>
          <w:sz w:val="24"/>
          <w:szCs w:val="24"/>
        </w:rPr>
        <w:t>Corporations Act 2001</w:t>
      </w:r>
      <w:r w:rsidRPr="004D320C">
        <w:rPr>
          <w:rFonts w:cstheme="minorHAnsi"/>
          <w:snapToGrid w:val="0"/>
          <w:color w:val="000000" w:themeColor="text1"/>
          <w:sz w:val="24"/>
          <w:szCs w:val="24"/>
        </w:rPr>
        <w:t xml:space="preserve"> (</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within 131 days of the end of that Financial Year;</w:t>
      </w:r>
    </w:p>
    <w:p w14:paraId="299D55F6" w14:textId="77777777" w:rsidR="00FD20E5" w:rsidRPr="00ED5C03" w:rsidRDefault="00FD20E5" w:rsidP="00FD20E5">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if the Licensee (or its parent company) is not required to report in accordance with Division 1 of Part 2M.3 of the </w:t>
      </w:r>
      <w:r w:rsidRPr="004D320C">
        <w:rPr>
          <w:rFonts w:cstheme="minorHAnsi"/>
          <w:i/>
          <w:snapToGrid w:val="0"/>
          <w:color w:val="000000" w:themeColor="text1"/>
          <w:sz w:val="24"/>
          <w:szCs w:val="24"/>
        </w:rPr>
        <w:t xml:space="preserve">Corporations Act 2001 </w:t>
      </w:r>
      <w:r w:rsidRPr="004D320C">
        <w:rPr>
          <w:rFonts w:cstheme="minorHAnsi"/>
          <w:snapToGrid w:val="0"/>
          <w:color w:val="000000" w:themeColor="text1"/>
          <w:sz w:val="24"/>
          <w:szCs w:val="24"/>
        </w:rPr>
        <w:t>(</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xml:space="preserve">) and the parent company is a company not subject to the laws of Australia then the Licensee’s parent company must prepare a financial report and directors’ report as if it was required to comply with Division 1 of Part 2M.3 of the </w:t>
      </w:r>
      <w:r w:rsidRPr="004D320C">
        <w:rPr>
          <w:rFonts w:cstheme="minorHAnsi"/>
          <w:i/>
          <w:snapToGrid w:val="0"/>
          <w:color w:val="000000" w:themeColor="text1"/>
          <w:sz w:val="24"/>
          <w:szCs w:val="24"/>
        </w:rPr>
        <w:t xml:space="preserve">Corporations Act 2001 </w:t>
      </w:r>
      <w:r w:rsidRPr="004D320C">
        <w:rPr>
          <w:rFonts w:cstheme="minorHAnsi"/>
          <w:snapToGrid w:val="0"/>
          <w:color w:val="000000" w:themeColor="text1"/>
          <w:sz w:val="24"/>
          <w:szCs w:val="24"/>
        </w:rPr>
        <w:t>(</w:t>
      </w:r>
      <w:proofErr w:type="spellStart"/>
      <w:r w:rsidRPr="004D320C">
        <w:rPr>
          <w:rFonts w:cstheme="minorHAnsi"/>
          <w:snapToGrid w:val="0"/>
          <w:color w:val="000000" w:themeColor="text1"/>
          <w:sz w:val="24"/>
          <w:szCs w:val="24"/>
        </w:rPr>
        <w:t>Cth</w:t>
      </w:r>
      <w:proofErr w:type="spellEnd"/>
      <w:r w:rsidRPr="004D320C">
        <w:rPr>
          <w:rFonts w:cstheme="minorHAnsi"/>
          <w:snapToGrid w:val="0"/>
          <w:color w:val="000000" w:themeColor="text1"/>
          <w:sz w:val="24"/>
          <w:szCs w:val="24"/>
        </w:rPr>
        <w:t xml:space="preserve">), including having that report audited in accordance with that Part, and must give the report to the Commission within 131 days of the end of the Financial Year; and </w:t>
      </w:r>
    </w:p>
    <w:p w14:paraId="13F78866" w14:textId="77777777" w:rsidR="00FD20E5" w:rsidRPr="00ED5C03" w:rsidRDefault="00FD20E5" w:rsidP="00FD20E5">
      <w:pPr>
        <w:pStyle w:val="ListParagraph"/>
        <w:numPr>
          <w:ilvl w:val="0"/>
          <w:numId w:val="12"/>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include, and identify, in any report or information referred to in condition 35(a), provision for meeting the Licensee’s Outstanding Claim Liability (current and non-current) under the SRC Act in accordance with the scope of this licence as at the end of the Financial Year to which the report or information relates. </w:t>
      </w:r>
    </w:p>
    <w:p w14:paraId="1A387637" w14:textId="77777777" w:rsidR="00FD20E5" w:rsidRPr="004D320C" w:rsidRDefault="00FD20E5" w:rsidP="00FD20E5">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The Licensee must ensure that: </w:t>
      </w:r>
    </w:p>
    <w:p w14:paraId="031BE890" w14:textId="77777777" w:rsidR="00FD20E5" w:rsidRPr="004D320C" w:rsidRDefault="00FD20E5" w:rsidP="00FD20E5">
      <w:pPr>
        <w:pStyle w:val="ListParagraph"/>
        <w:numPr>
          <w:ilvl w:val="0"/>
          <w:numId w:val="26"/>
        </w:numPr>
        <w:spacing w:before="240" w:after="240" w:line="240" w:lineRule="auto"/>
        <w:ind w:left="1134" w:hanging="567"/>
        <w:contextualSpacing w:val="0"/>
        <w:jc w:val="both"/>
        <w:rPr>
          <w:rFonts w:cstheme="minorHAnsi"/>
          <w:sz w:val="24"/>
          <w:szCs w:val="24"/>
        </w:rPr>
      </w:pPr>
      <w:r w:rsidRPr="004D320C">
        <w:rPr>
          <w:rFonts w:cstheme="minorHAnsi"/>
          <w:sz w:val="24"/>
          <w:szCs w:val="24"/>
        </w:rPr>
        <w:t>the provision mentioned in condition 35(b) is consistent with the written evaluation in the Liability Report,</w:t>
      </w:r>
      <w:r w:rsidRPr="004D320C" w:rsidDel="00FD09F4">
        <w:rPr>
          <w:rFonts w:cstheme="minorHAnsi"/>
          <w:sz w:val="24"/>
          <w:szCs w:val="24"/>
        </w:rPr>
        <w:t xml:space="preserve"> </w:t>
      </w:r>
      <w:r w:rsidRPr="004D320C">
        <w:rPr>
          <w:rFonts w:cstheme="minorHAnsi"/>
          <w:sz w:val="24"/>
          <w:szCs w:val="24"/>
        </w:rPr>
        <w:t xml:space="preserve">of the Licensee’s Outstanding Claim Liability (current and non-current) for the Financial Year; and </w:t>
      </w:r>
    </w:p>
    <w:p w14:paraId="60B581DA" w14:textId="77777777" w:rsidR="00FD20E5" w:rsidRPr="00ED5C03" w:rsidRDefault="00FD20E5" w:rsidP="00FD20E5">
      <w:pPr>
        <w:pStyle w:val="ListParagraph"/>
        <w:numPr>
          <w:ilvl w:val="0"/>
          <w:numId w:val="26"/>
        </w:numPr>
        <w:spacing w:before="240" w:after="240" w:line="240" w:lineRule="auto"/>
        <w:ind w:left="1134" w:hanging="567"/>
        <w:contextualSpacing w:val="0"/>
        <w:jc w:val="both"/>
        <w:rPr>
          <w:rFonts w:cstheme="minorHAnsi"/>
          <w:sz w:val="24"/>
          <w:szCs w:val="24"/>
        </w:rPr>
      </w:pPr>
      <w:r w:rsidRPr="004D320C">
        <w:rPr>
          <w:rFonts w:cstheme="minorHAnsi"/>
          <w:sz w:val="24"/>
          <w:szCs w:val="24"/>
        </w:rPr>
        <w:t>any apparent discrepancies in the provision mentioned in condition 35(b) and the written evaluation in the Liability Report of the Licensee’s Outstanding Claim Liability (current and non-current) for the Financial Year are explained in the notes section of the financial report or information in which the provision mentioned in condition 35(b) is included and identified.</w:t>
      </w:r>
    </w:p>
    <w:p w14:paraId="2E43621D" w14:textId="77777777" w:rsidR="00FD20E5" w:rsidRPr="004D320C"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Guarantee</w:t>
      </w:r>
    </w:p>
    <w:p w14:paraId="6A17BBD0" w14:textId="77777777" w:rsidR="00FD20E5" w:rsidRPr="004D320C" w:rsidRDefault="00FD20E5" w:rsidP="00FD20E5">
      <w:pPr>
        <w:pStyle w:val="ListParagraph"/>
        <w:numPr>
          <w:ilvl w:val="0"/>
          <w:numId w:val="29"/>
        </w:numPr>
        <w:spacing w:before="240" w:after="240" w:line="240" w:lineRule="auto"/>
        <w:ind w:left="567" w:hanging="567"/>
        <w:contextualSpacing w:val="0"/>
        <w:jc w:val="both"/>
        <w:rPr>
          <w:rFonts w:cstheme="minorHAnsi"/>
          <w:snapToGrid w:val="0"/>
          <w:sz w:val="24"/>
          <w:szCs w:val="24"/>
        </w:rPr>
      </w:pPr>
      <w:bookmarkStart w:id="6" w:name="_Ref480375474"/>
      <w:r w:rsidRPr="004D320C">
        <w:rPr>
          <w:rFonts w:cstheme="minorHAnsi"/>
          <w:snapToGrid w:val="0"/>
          <w:sz w:val="24"/>
          <w:szCs w:val="24"/>
        </w:rPr>
        <w:t>The Licensee must</w:t>
      </w:r>
      <w:r w:rsidRPr="004D320C">
        <w:rPr>
          <w:rFonts w:cstheme="minorHAnsi"/>
          <w:sz w:val="24"/>
          <w:szCs w:val="24"/>
        </w:rPr>
        <w:t xml:space="preserve"> </w:t>
      </w:r>
      <w:proofErr w:type="gramStart"/>
      <w:r w:rsidRPr="004D320C">
        <w:rPr>
          <w:rFonts w:cstheme="minorHAnsi"/>
          <w:sz w:val="24"/>
          <w:szCs w:val="24"/>
        </w:rPr>
        <w:t>at all times</w:t>
      </w:r>
      <w:proofErr w:type="gramEnd"/>
      <w:r w:rsidRPr="004D320C">
        <w:rPr>
          <w:rFonts w:cstheme="minorHAnsi"/>
          <w:sz w:val="24"/>
          <w:szCs w:val="24"/>
        </w:rPr>
        <w:t xml:space="preserve"> have in place a Guarantee for the due discharge of its liability to pay compensation and other amounts under the SRC Act in accordance with the scope of this licence unless:</w:t>
      </w:r>
      <w:bookmarkEnd w:id="6"/>
    </w:p>
    <w:p w14:paraId="2B8D0D21" w14:textId="77777777" w:rsidR="00FD20E5" w:rsidRPr="004D320C" w:rsidRDefault="00FD20E5" w:rsidP="00FD20E5">
      <w:pPr>
        <w:pStyle w:val="ListParagraph"/>
        <w:numPr>
          <w:ilvl w:val="0"/>
          <w:numId w:val="31"/>
        </w:numPr>
        <w:spacing w:before="240" w:after="240" w:line="240" w:lineRule="auto"/>
        <w:ind w:left="1134" w:hanging="567"/>
        <w:contextualSpacing w:val="0"/>
        <w:jc w:val="both"/>
        <w:rPr>
          <w:rFonts w:cstheme="minorHAnsi"/>
          <w:snapToGrid w:val="0"/>
          <w:sz w:val="24"/>
          <w:szCs w:val="24"/>
        </w:rPr>
      </w:pPr>
      <w:r w:rsidRPr="004D320C">
        <w:rPr>
          <w:rFonts w:cstheme="minorHAnsi"/>
          <w:sz w:val="24"/>
          <w:szCs w:val="24"/>
        </w:rPr>
        <w:t xml:space="preserve">the Commission determines that the Licensee is currently a low-risk licensee; </w:t>
      </w:r>
    </w:p>
    <w:p w14:paraId="5D3D7A69" w14:textId="77777777" w:rsidR="00FD20E5" w:rsidRDefault="00FD20E5" w:rsidP="00FD20E5">
      <w:pPr>
        <w:pStyle w:val="ListParagraph"/>
        <w:numPr>
          <w:ilvl w:val="0"/>
          <w:numId w:val="31"/>
        </w:numPr>
        <w:spacing w:before="240" w:after="240" w:line="240" w:lineRule="auto"/>
        <w:ind w:left="1134" w:hanging="567"/>
        <w:contextualSpacing w:val="0"/>
        <w:jc w:val="both"/>
        <w:rPr>
          <w:rFonts w:cstheme="minorHAnsi"/>
          <w:snapToGrid w:val="0"/>
          <w:sz w:val="24"/>
          <w:szCs w:val="24"/>
        </w:rPr>
      </w:pPr>
      <w:r w:rsidRPr="004D320C">
        <w:rPr>
          <w:rFonts w:cstheme="minorHAnsi"/>
          <w:sz w:val="24"/>
          <w:szCs w:val="24"/>
        </w:rPr>
        <w:t xml:space="preserve">the current required </w:t>
      </w:r>
      <w:proofErr w:type="gramStart"/>
      <w:r w:rsidRPr="004D320C">
        <w:rPr>
          <w:rFonts w:cstheme="minorHAnsi"/>
          <w:sz w:val="24"/>
          <w:szCs w:val="24"/>
        </w:rPr>
        <w:t>Guarantee</w:t>
      </w:r>
      <w:proofErr w:type="gramEnd"/>
      <w:r w:rsidRPr="004D320C">
        <w:rPr>
          <w:rFonts w:cstheme="minorHAnsi"/>
          <w:sz w:val="24"/>
          <w:szCs w:val="24"/>
        </w:rPr>
        <w:t xml:space="preserve"> amount for the Licensee (as calculated under </w:t>
      </w:r>
      <w:r w:rsidRPr="004D320C">
        <w:rPr>
          <w:rFonts w:cstheme="minorHAnsi"/>
          <w:snapToGrid w:val="0"/>
          <w:sz w:val="24"/>
          <w:szCs w:val="24"/>
        </w:rPr>
        <w:t>conditions 43 and 44) is less than $300,000*; and</w:t>
      </w:r>
    </w:p>
    <w:p w14:paraId="1A8DFCAB" w14:textId="77777777" w:rsidR="00FD20E5" w:rsidRPr="009D3E20" w:rsidRDefault="00FD20E5" w:rsidP="00FD20E5">
      <w:pPr>
        <w:spacing w:before="240" w:after="240" w:line="240" w:lineRule="auto"/>
        <w:jc w:val="both"/>
        <w:rPr>
          <w:rFonts w:cstheme="minorHAnsi"/>
          <w:snapToGrid w:val="0"/>
          <w:sz w:val="24"/>
          <w:szCs w:val="24"/>
        </w:rPr>
      </w:pPr>
    </w:p>
    <w:p w14:paraId="5422DC86" w14:textId="77777777" w:rsidR="00FD20E5" w:rsidRPr="004D320C" w:rsidRDefault="00FD20E5" w:rsidP="00FD20E5">
      <w:pPr>
        <w:pStyle w:val="ListParagraph"/>
        <w:numPr>
          <w:ilvl w:val="0"/>
          <w:numId w:val="31"/>
        </w:numPr>
        <w:spacing w:before="240" w:after="240" w:line="240" w:lineRule="auto"/>
        <w:ind w:left="1134" w:hanging="567"/>
        <w:contextualSpacing w:val="0"/>
        <w:jc w:val="both"/>
        <w:rPr>
          <w:rFonts w:cstheme="minorHAnsi"/>
          <w:snapToGrid w:val="0"/>
          <w:sz w:val="24"/>
          <w:szCs w:val="24"/>
        </w:rPr>
      </w:pPr>
      <w:r w:rsidRPr="004D320C">
        <w:rPr>
          <w:rFonts w:cstheme="minorHAnsi"/>
          <w:color w:val="000000" w:themeColor="text1"/>
          <w:sz w:val="24"/>
          <w:szCs w:val="24"/>
        </w:rPr>
        <w:lastRenderedPageBreak/>
        <w:t xml:space="preserve">Linfox Pty Ltd, ACN 004 667 298, </w:t>
      </w:r>
      <w:r w:rsidRPr="004D320C">
        <w:rPr>
          <w:rFonts w:cstheme="minorHAnsi"/>
          <w:sz w:val="24"/>
          <w:szCs w:val="24"/>
        </w:rPr>
        <w:t xml:space="preserve">has an issuer credit rating of or equivalent to a Standard and Poor’s AA- or better. </w:t>
      </w:r>
    </w:p>
    <w:p w14:paraId="5872E78E" w14:textId="77777777" w:rsidR="00FD20E5" w:rsidRPr="004D320C" w:rsidRDefault="00FD20E5" w:rsidP="00FD20E5">
      <w:pPr>
        <w:spacing w:before="240" w:after="240" w:line="240" w:lineRule="auto"/>
        <w:ind w:left="1134" w:hanging="567"/>
        <w:jc w:val="both"/>
        <w:rPr>
          <w:rFonts w:cstheme="minorHAnsi"/>
          <w:i/>
          <w:snapToGrid w:val="0"/>
          <w:sz w:val="24"/>
          <w:szCs w:val="24"/>
        </w:rPr>
      </w:pPr>
      <w:r w:rsidRPr="004D320C">
        <w:rPr>
          <w:rFonts w:cstheme="minorHAnsi"/>
          <w:i/>
          <w:snapToGrid w:val="0"/>
          <w:sz w:val="24"/>
          <w:szCs w:val="24"/>
        </w:rPr>
        <w:t>* Note: The $300,000 value is subject to indexation (based on CPI) annually.</w:t>
      </w:r>
    </w:p>
    <w:p w14:paraId="4B2A1B7C" w14:textId="77777777" w:rsidR="00FD20E5" w:rsidRPr="00ED5C03" w:rsidRDefault="00FD20E5" w:rsidP="00FD20E5">
      <w:pPr>
        <w:pStyle w:val="ListParagraph"/>
        <w:numPr>
          <w:ilvl w:val="0"/>
          <w:numId w:val="29"/>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 xml:space="preserve">Subject to the exceptions in conditions 39 and 40, if the Licensee is required to obtain a </w:t>
      </w:r>
      <w:r w:rsidRPr="004D320C">
        <w:rPr>
          <w:rFonts w:cstheme="minorHAnsi"/>
          <w:sz w:val="24"/>
          <w:szCs w:val="24"/>
        </w:rPr>
        <w:t>G</w:t>
      </w:r>
      <w:r w:rsidRPr="004D320C">
        <w:rPr>
          <w:rFonts w:cstheme="minorHAnsi"/>
          <w:snapToGrid w:val="0"/>
          <w:sz w:val="24"/>
          <w:szCs w:val="24"/>
        </w:rPr>
        <w:t xml:space="preserve">uarantee under condition 37 it must obtain a new </w:t>
      </w:r>
      <w:r w:rsidRPr="004D320C">
        <w:rPr>
          <w:rFonts w:cstheme="minorHAnsi"/>
          <w:sz w:val="24"/>
          <w:szCs w:val="24"/>
        </w:rPr>
        <w:t>G</w:t>
      </w:r>
      <w:r w:rsidRPr="004D320C">
        <w:rPr>
          <w:rFonts w:cstheme="minorHAnsi"/>
          <w:snapToGrid w:val="0"/>
          <w:sz w:val="24"/>
          <w:szCs w:val="24"/>
        </w:rPr>
        <w:t>uarantee under that condition each Financial Year.</w:t>
      </w:r>
    </w:p>
    <w:p w14:paraId="296D4947" w14:textId="77777777" w:rsidR="00FD20E5" w:rsidRPr="004D320C" w:rsidRDefault="00FD20E5" w:rsidP="00FD20E5">
      <w:pPr>
        <w:pStyle w:val="ListParagraph"/>
        <w:numPr>
          <w:ilvl w:val="0"/>
          <w:numId w:val="29"/>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 xml:space="preserve">If the Commission determines that the Licensee is a low-risk licensee for a Financial Year, the Licensee is not required to obtain a new </w:t>
      </w:r>
      <w:r w:rsidRPr="004D320C">
        <w:rPr>
          <w:rFonts w:cstheme="minorHAnsi"/>
          <w:sz w:val="24"/>
          <w:szCs w:val="24"/>
        </w:rPr>
        <w:t>G</w:t>
      </w:r>
      <w:r w:rsidRPr="004D320C">
        <w:rPr>
          <w:rFonts w:cstheme="minorHAnsi"/>
          <w:snapToGrid w:val="0"/>
          <w:sz w:val="24"/>
          <w:szCs w:val="24"/>
        </w:rPr>
        <w:t xml:space="preserve">uarantee under condition 37 that Financial Year unless: </w:t>
      </w:r>
    </w:p>
    <w:p w14:paraId="60A0EB7A" w14:textId="77777777" w:rsidR="00FD20E5" w:rsidRPr="004D320C" w:rsidRDefault="00FD20E5" w:rsidP="00FD20E5">
      <w:pPr>
        <w:pStyle w:val="ListParagraph"/>
        <w:numPr>
          <w:ilvl w:val="0"/>
          <w:numId w:val="27"/>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 xml:space="preserve">the required </w:t>
      </w:r>
      <w:proofErr w:type="gramStart"/>
      <w:r w:rsidRPr="004D320C">
        <w:rPr>
          <w:rFonts w:cstheme="minorHAnsi"/>
          <w:sz w:val="24"/>
          <w:szCs w:val="24"/>
        </w:rPr>
        <w:t>Guarantee</w:t>
      </w:r>
      <w:proofErr w:type="gramEnd"/>
      <w:r w:rsidRPr="004D320C">
        <w:rPr>
          <w:rFonts w:cstheme="minorHAnsi"/>
          <w:snapToGrid w:val="0"/>
          <w:sz w:val="24"/>
          <w:szCs w:val="24"/>
        </w:rPr>
        <w:t xml:space="preserve"> amount for the Licensee for that Financial Year (as calculated under conditions 43 and 44) increases by $500,000* or more from the required </w:t>
      </w:r>
      <w:r w:rsidRPr="004D320C">
        <w:rPr>
          <w:rFonts w:cstheme="minorHAnsi"/>
          <w:sz w:val="24"/>
          <w:szCs w:val="24"/>
        </w:rPr>
        <w:t>G</w:t>
      </w:r>
      <w:r w:rsidRPr="004D320C">
        <w:rPr>
          <w:rFonts w:cstheme="minorHAnsi"/>
          <w:snapToGrid w:val="0"/>
          <w:sz w:val="24"/>
          <w:szCs w:val="24"/>
        </w:rPr>
        <w:t xml:space="preserve">uarantee amount for the Licensee for the Financial Year in which it obtained its existing </w:t>
      </w:r>
      <w:r w:rsidRPr="004D320C">
        <w:rPr>
          <w:rFonts w:cstheme="minorHAnsi"/>
          <w:sz w:val="24"/>
          <w:szCs w:val="24"/>
        </w:rPr>
        <w:t>G</w:t>
      </w:r>
      <w:r w:rsidRPr="004D320C">
        <w:rPr>
          <w:rFonts w:cstheme="minorHAnsi"/>
          <w:snapToGrid w:val="0"/>
          <w:sz w:val="24"/>
          <w:szCs w:val="24"/>
        </w:rPr>
        <w:t xml:space="preserve">uarantee under condition </w:t>
      </w:r>
      <w:r>
        <w:rPr>
          <w:rFonts w:cstheme="minorHAnsi"/>
          <w:snapToGrid w:val="0"/>
          <w:sz w:val="24"/>
          <w:szCs w:val="24"/>
        </w:rPr>
        <w:t>37</w:t>
      </w:r>
      <w:r w:rsidRPr="004D320C">
        <w:rPr>
          <w:rFonts w:cstheme="minorHAnsi"/>
          <w:snapToGrid w:val="0"/>
          <w:sz w:val="24"/>
          <w:szCs w:val="24"/>
        </w:rPr>
        <w:t xml:space="preserve"> (as calculated under conditions 43 and 44); or</w:t>
      </w:r>
    </w:p>
    <w:p w14:paraId="18769A7D" w14:textId="77777777" w:rsidR="00FD20E5" w:rsidRPr="00ED5C03" w:rsidRDefault="00FD20E5" w:rsidP="00FD20E5">
      <w:pPr>
        <w:pStyle w:val="ListParagraph"/>
        <w:numPr>
          <w:ilvl w:val="0"/>
          <w:numId w:val="27"/>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 xml:space="preserve">5 years have elapsed since the Licensee last obtained a new </w:t>
      </w:r>
      <w:r w:rsidRPr="004D320C">
        <w:rPr>
          <w:rFonts w:cstheme="minorHAnsi"/>
          <w:sz w:val="24"/>
          <w:szCs w:val="24"/>
        </w:rPr>
        <w:t>G</w:t>
      </w:r>
      <w:r w:rsidRPr="004D320C">
        <w:rPr>
          <w:rFonts w:cstheme="minorHAnsi"/>
          <w:snapToGrid w:val="0"/>
          <w:sz w:val="24"/>
          <w:szCs w:val="24"/>
        </w:rPr>
        <w:t>uarantee under condition 37.</w:t>
      </w:r>
    </w:p>
    <w:p w14:paraId="191167DB" w14:textId="77777777" w:rsidR="00FD20E5" w:rsidRPr="00ED5C03" w:rsidRDefault="00FD20E5" w:rsidP="00FD20E5">
      <w:pPr>
        <w:spacing w:before="240" w:after="240" w:line="240" w:lineRule="auto"/>
        <w:ind w:left="1134" w:hanging="567"/>
        <w:jc w:val="both"/>
        <w:rPr>
          <w:rFonts w:cstheme="minorHAnsi"/>
          <w:snapToGrid w:val="0"/>
          <w:sz w:val="24"/>
          <w:szCs w:val="24"/>
        </w:rPr>
      </w:pPr>
      <w:r w:rsidRPr="004D320C">
        <w:rPr>
          <w:rFonts w:cstheme="minorHAnsi"/>
          <w:i/>
          <w:snapToGrid w:val="0"/>
          <w:sz w:val="24"/>
          <w:szCs w:val="24"/>
        </w:rPr>
        <w:t>* Note: The $500,000 value is subject to indexation (based on CPI) annually</w:t>
      </w:r>
      <w:r w:rsidRPr="004D320C">
        <w:rPr>
          <w:rFonts w:cstheme="minorHAnsi"/>
          <w:snapToGrid w:val="0"/>
          <w:sz w:val="24"/>
          <w:szCs w:val="24"/>
        </w:rPr>
        <w:t>.</w:t>
      </w:r>
    </w:p>
    <w:p w14:paraId="4BCA0A1C" w14:textId="77777777" w:rsidR="00FD20E5" w:rsidRPr="004D320C" w:rsidRDefault="00FD20E5" w:rsidP="00FD20E5">
      <w:pPr>
        <w:pStyle w:val="ListParagraph"/>
        <w:numPr>
          <w:ilvl w:val="0"/>
          <w:numId w:val="29"/>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 xml:space="preserve">The Licensee is not required to obtain a new Guarantee under condition 37 for a Financial Year if the required </w:t>
      </w:r>
      <w:proofErr w:type="gramStart"/>
      <w:r w:rsidRPr="004D320C">
        <w:rPr>
          <w:rFonts w:cstheme="minorHAnsi"/>
          <w:snapToGrid w:val="0"/>
          <w:sz w:val="24"/>
          <w:szCs w:val="24"/>
        </w:rPr>
        <w:t>Guarantee</w:t>
      </w:r>
      <w:proofErr w:type="gramEnd"/>
      <w:r w:rsidRPr="004D320C">
        <w:rPr>
          <w:rFonts w:cstheme="minorHAnsi"/>
          <w:snapToGrid w:val="0"/>
          <w:sz w:val="24"/>
          <w:szCs w:val="24"/>
        </w:rPr>
        <w:t xml:space="preserve"> amount for the Licensee for that Financial Year (as calculated under conditions 43 and 44) is less than or equal to the Guarantee amount of the Licensee’s existing Guarantee under condition 37. </w:t>
      </w:r>
    </w:p>
    <w:p w14:paraId="20F2ADF0" w14:textId="77777777" w:rsidR="00FD20E5" w:rsidRPr="004D320C" w:rsidRDefault="00FD20E5" w:rsidP="00FD20E5">
      <w:pPr>
        <w:pStyle w:val="ListParagraph"/>
        <w:numPr>
          <w:ilvl w:val="0"/>
          <w:numId w:val="29"/>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The Guarantee obtained under condition 37 must be:</w:t>
      </w:r>
    </w:p>
    <w:p w14:paraId="19079AE5" w14:textId="77777777" w:rsidR="00FD20E5" w:rsidRPr="004D320C" w:rsidRDefault="00FD20E5" w:rsidP="00FD20E5">
      <w:pPr>
        <w:pStyle w:val="ListParagraph"/>
        <w:numPr>
          <w:ilvl w:val="0"/>
          <w:numId w:val="13"/>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in the form and subject to the terms agreed in writing by the Commission; and</w:t>
      </w:r>
    </w:p>
    <w:p w14:paraId="53CDFA56" w14:textId="77777777" w:rsidR="00FD20E5" w:rsidRPr="004D320C" w:rsidRDefault="00FD20E5" w:rsidP="00FD20E5">
      <w:pPr>
        <w:pStyle w:val="ListParagraph"/>
        <w:numPr>
          <w:ilvl w:val="0"/>
          <w:numId w:val="13"/>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 xml:space="preserve">for an amount calculated by the actuary in accordance with the </w:t>
      </w:r>
      <w:proofErr w:type="gramStart"/>
      <w:r w:rsidRPr="004D320C">
        <w:rPr>
          <w:rFonts w:cstheme="minorHAnsi"/>
          <w:color w:val="000000" w:themeColor="text1"/>
          <w:sz w:val="24"/>
          <w:szCs w:val="24"/>
        </w:rPr>
        <w:t>Guarantee</w:t>
      </w:r>
      <w:proofErr w:type="gramEnd"/>
      <w:r w:rsidRPr="004D320C">
        <w:rPr>
          <w:rFonts w:cstheme="minorHAnsi"/>
          <w:color w:val="000000" w:themeColor="text1"/>
          <w:sz w:val="24"/>
          <w:szCs w:val="24"/>
        </w:rPr>
        <w:t xml:space="preserve"> conditions (conditions 37 to 47 inclusive) and specified in the Liability Report for that Financial Year; and</w:t>
      </w:r>
    </w:p>
    <w:p w14:paraId="2009A975" w14:textId="77777777" w:rsidR="00FD20E5" w:rsidRPr="004D320C" w:rsidRDefault="00FD20E5" w:rsidP="00FD20E5">
      <w:pPr>
        <w:pStyle w:val="ListParagraph"/>
        <w:numPr>
          <w:ilvl w:val="0"/>
          <w:numId w:val="13"/>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obtained from a corporation that is authorised by APRA to carry on:</w:t>
      </w:r>
    </w:p>
    <w:p w14:paraId="2DB6BCC8" w14:textId="77777777" w:rsidR="00FD20E5" w:rsidRPr="004D320C" w:rsidRDefault="00FD20E5" w:rsidP="00FD20E5">
      <w:pPr>
        <w:pStyle w:val="ListParagraph"/>
        <w:numPr>
          <w:ilvl w:val="0"/>
          <w:numId w:val="14"/>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 xml:space="preserve">banking business in Australia under the </w:t>
      </w:r>
      <w:r w:rsidRPr="004D320C">
        <w:rPr>
          <w:rFonts w:cstheme="minorHAnsi"/>
          <w:i/>
          <w:color w:val="000000" w:themeColor="text1"/>
          <w:sz w:val="24"/>
          <w:szCs w:val="24"/>
        </w:rPr>
        <w:t>Banking Act 1959</w:t>
      </w:r>
      <w:r w:rsidRPr="004D320C">
        <w:rPr>
          <w:rFonts w:cstheme="minorHAnsi"/>
          <w:color w:val="000000" w:themeColor="text1"/>
          <w:sz w:val="24"/>
          <w:szCs w:val="24"/>
        </w:rPr>
        <w:t xml:space="preserve"> (</w:t>
      </w:r>
      <w:proofErr w:type="spellStart"/>
      <w:r w:rsidRPr="004D320C">
        <w:rPr>
          <w:rFonts w:cstheme="minorHAnsi"/>
          <w:color w:val="000000" w:themeColor="text1"/>
          <w:sz w:val="24"/>
          <w:szCs w:val="24"/>
        </w:rPr>
        <w:t>Cth</w:t>
      </w:r>
      <w:proofErr w:type="spellEnd"/>
      <w:r w:rsidRPr="004D320C">
        <w:rPr>
          <w:rFonts w:cstheme="minorHAnsi"/>
          <w:color w:val="000000" w:themeColor="text1"/>
          <w:sz w:val="24"/>
          <w:szCs w:val="24"/>
        </w:rPr>
        <w:t>) and has an issuer credit rating of or equivalent to a Standard and Poor’s AA- or better; or</w:t>
      </w:r>
    </w:p>
    <w:p w14:paraId="5674FEE0" w14:textId="77777777" w:rsidR="00FD20E5" w:rsidRPr="00ED5C03" w:rsidRDefault="00FD20E5" w:rsidP="00FD20E5">
      <w:pPr>
        <w:pStyle w:val="ListParagraph"/>
        <w:numPr>
          <w:ilvl w:val="0"/>
          <w:numId w:val="14"/>
        </w:numPr>
        <w:spacing w:before="240" w:after="240" w:line="240" w:lineRule="auto"/>
        <w:ind w:left="1701"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 xml:space="preserve">insurance business in Australia under the </w:t>
      </w:r>
      <w:r w:rsidRPr="004D320C">
        <w:rPr>
          <w:rFonts w:cstheme="minorHAnsi"/>
          <w:i/>
          <w:color w:val="000000" w:themeColor="text1"/>
          <w:sz w:val="24"/>
          <w:szCs w:val="24"/>
        </w:rPr>
        <w:t>Insurance Act 1973</w:t>
      </w:r>
      <w:r w:rsidRPr="004D320C">
        <w:rPr>
          <w:rFonts w:cstheme="minorHAnsi"/>
          <w:color w:val="000000" w:themeColor="text1"/>
          <w:sz w:val="24"/>
          <w:szCs w:val="24"/>
        </w:rPr>
        <w:t xml:space="preserve"> (</w:t>
      </w:r>
      <w:proofErr w:type="spellStart"/>
      <w:r w:rsidRPr="004D320C">
        <w:rPr>
          <w:rFonts w:cstheme="minorHAnsi"/>
          <w:color w:val="000000" w:themeColor="text1"/>
          <w:sz w:val="24"/>
          <w:szCs w:val="24"/>
        </w:rPr>
        <w:t>Cth</w:t>
      </w:r>
      <w:proofErr w:type="spellEnd"/>
      <w:r w:rsidRPr="004D320C">
        <w:rPr>
          <w:rFonts w:cstheme="minorHAnsi"/>
          <w:color w:val="000000" w:themeColor="text1"/>
          <w:sz w:val="24"/>
          <w:szCs w:val="24"/>
        </w:rPr>
        <w:t>) and has an issuer credit rating of or equivalent to a Standard and Poor’s AA- or better and a financial strength rating of or equivalent to a Standard and Poor’s AA- or better.</w:t>
      </w:r>
    </w:p>
    <w:p w14:paraId="6162B662" w14:textId="77777777" w:rsidR="00FD20E5" w:rsidRPr="00ED5C03" w:rsidRDefault="00FD20E5" w:rsidP="00FD20E5">
      <w:pPr>
        <w:pStyle w:val="ListParagraph"/>
        <w:numPr>
          <w:ilvl w:val="0"/>
          <w:numId w:val="29"/>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The Licensee must provide the original of the Guarantee to the Commission within 170 days of the start of the first Financial Year to which the Guarantee relates. </w:t>
      </w:r>
    </w:p>
    <w:p w14:paraId="22FBB3BB" w14:textId="77777777" w:rsidR="00FD20E5" w:rsidRPr="004D320C" w:rsidRDefault="00FD20E5" w:rsidP="00FD20E5">
      <w:pPr>
        <w:pStyle w:val="ListParagraph"/>
        <w:numPr>
          <w:ilvl w:val="0"/>
          <w:numId w:val="29"/>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Guarantee must be for an amount calculated by the actuary as the greater of:</w:t>
      </w:r>
    </w:p>
    <w:p w14:paraId="2D2AD684" w14:textId="77777777" w:rsidR="00FD20E5" w:rsidRPr="004D320C" w:rsidRDefault="00FD20E5" w:rsidP="00FD20E5">
      <w:pPr>
        <w:pStyle w:val="ListParagraph"/>
        <w:numPr>
          <w:ilvl w:val="0"/>
          <w:numId w:val="15"/>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lastRenderedPageBreak/>
        <w:t>the 95</w:t>
      </w:r>
      <w:r w:rsidRPr="004D320C">
        <w:rPr>
          <w:rFonts w:cstheme="minorHAnsi"/>
          <w:snapToGrid w:val="0"/>
          <w:color w:val="000000" w:themeColor="text1"/>
          <w:sz w:val="24"/>
          <w:szCs w:val="24"/>
          <w:vertAlign w:val="superscript"/>
        </w:rPr>
        <w:t>th</w:t>
      </w:r>
      <w:r w:rsidRPr="004D320C">
        <w:rPr>
          <w:rFonts w:cstheme="minorHAnsi"/>
          <w:snapToGrid w:val="0"/>
          <w:color w:val="000000" w:themeColor="text1"/>
          <w:sz w:val="24"/>
          <w:szCs w:val="24"/>
        </w:rPr>
        <w:t xml:space="preserve"> </w:t>
      </w:r>
      <w:r w:rsidRPr="004D320C">
        <w:rPr>
          <w:rFonts w:cstheme="minorHAnsi"/>
          <w:color w:val="000000" w:themeColor="text1"/>
          <w:sz w:val="24"/>
          <w:szCs w:val="24"/>
        </w:rPr>
        <w:t>percentile of the Licensee’s Outstanding Claim Liability under the SRC Act in accordance with the scope of this licence at the Balance Date and the addition of the Excess Amount; or</w:t>
      </w:r>
    </w:p>
    <w:p w14:paraId="5F7447AA" w14:textId="77777777" w:rsidR="00FD20E5" w:rsidRPr="00ED5C03" w:rsidRDefault="00FD20E5" w:rsidP="00FD20E5">
      <w:pPr>
        <w:pStyle w:val="ListParagraph"/>
        <w:numPr>
          <w:ilvl w:val="0"/>
          <w:numId w:val="15"/>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the 95</w:t>
      </w:r>
      <w:r w:rsidRPr="004D320C">
        <w:rPr>
          <w:rFonts w:cstheme="minorHAnsi"/>
          <w:color w:val="000000" w:themeColor="text1"/>
          <w:sz w:val="24"/>
          <w:szCs w:val="24"/>
          <w:vertAlign w:val="superscript"/>
        </w:rPr>
        <w:t>th</w:t>
      </w:r>
      <w:r w:rsidRPr="004D320C">
        <w:rPr>
          <w:rFonts w:cstheme="minorHAnsi"/>
          <w:color w:val="000000" w:themeColor="text1"/>
          <w:sz w:val="24"/>
          <w:szCs w:val="24"/>
        </w:rPr>
        <w:t xml:space="preserve"> percentile of the Licensee’s projected Outstanding Claim Liability under the SRC Act in accordance with the scope of this licence in 12/18/24 months* time from the Balance Date and the addition of the Excess Amount.</w:t>
      </w:r>
    </w:p>
    <w:p w14:paraId="0AEE2A10" w14:textId="77777777" w:rsidR="00FD20E5" w:rsidRPr="004D320C" w:rsidRDefault="00FD20E5" w:rsidP="00FD20E5">
      <w:pPr>
        <w:spacing w:before="240" w:after="240" w:line="240" w:lineRule="auto"/>
        <w:ind w:left="567"/>
        <w:jc w:val="both"/>
        <w:rPr>
          <w:rFonts w:cstheme="minorHAnsi"/>
          <w:i/>
          <w:color w:val="000000" w:themeColor="text1"/>
          <w:sz w:val="24"/>
          <w:szCs w:val="24"/>
        </w:rPr>
      </w:pPr>
      <w:r w:rsidRPr="004D320C">
        <w:rPr>
          <w:rFonts w:cstheme="minorHAnsi"/>
          <w:i/>
          <w:color w:val="000000" w:themeColor="text1"/>
          <w:sz w:val="24"/>
          <w:szCs w:val="24"/>
        </w:rPr>
        <w:t>*Note: 12 months for Licensees in the 6</w:t>
      </w:r>
      <w:r w:rsidRPr="004D320C">
        <w:rPr>
          <w:rFonts w:cstheme="minorHAnsi"/>
          <w:i/>
          <w:color w:val="000000" w:themeColor="text1"/>
          <w:sz w:val="24"/>
          <w:szCs w:val="24"/>
          <w:vertAlign w:val="superscript"/>
        </w:rPr>
        <w:t>th</w:t>
      </w:r>
      <w:r w:rsidRPr="004D320C">
        <w:rPr>
          <w:rFonts w:cstheme="minorHAnsi"/>
          <w:i/>
          <w:color w:val="000000" w:themeColor="text1"/>
          <w:sz w:val="24"/>
          <w:szCs w:val="24"/>
        </w:rPr>
        <w:t xml:space="preserve"> or more year of licence; 18 months for Licensees in the 4</w:t>
      </w:r>
      <w:r w:rsidRPr="004D320C">
        <w:rPr>
          <w:rFonts w:cstheme="minorHAnsi"/>
          <w:i/>
          <w:color w:val="000000" w:themeColor="text1"/>
          <w:sz w:val="24"/>
          <w:szCs w:val="24"/>
          <w:vertAlign w:val="superscript"/>
        </w:rPr>
        <w:t>th</w:t>
      </w:r>
      <w:r w:rsidRPr="004D320C">
        <w:rPr>
          <w:rFonts w:cstheme="minorHAnsi"/>
          <w:i/>
          <w:color w:val="000000" w:themeColor="text1"/>
          <w:sz w:val="24"/>
          <w:szCs w:val="24"/>
        </w:rPr>
        <w:t>-5</w:t>
      </w:r>
      <w:r w:rsidRPr="004D320C">
        <w:rPr>
          <w:rFonts w:cstheme="minorHAnsi"/>
          <w:i/>
          <w:color w:val="000000" w:themeColor="text1"/>
          <w:sz w:val="24"/>
          <w:szCs w:val="24"/>
          <w:vertAlign w:val="superscript"/>
        </w:rPr>
        <w:t>th</w:t>
      </w:r>
      <w:r w:rsidRPr="004D320C">
        <w:rPr>
          <w:rFonts w:cstheme="minorHAnsi"/>
          <w:i/>
          <w:color w:val="000000" w:themeColor="text1"/>
          <w:sz w:val="24"/>
          <w:szCs w:val="24"/>
        </w:rPr>
        <w:t xml:space="preserve"> year of licence; 24 months for Licensees in the 1</w:t>
      </w:r>
      <w:r w:rsidRPr="004D320C">
        <w:rPr>
          <w:rFonts w:cstheme="minorHAnsi"/>
          <w:i/>
          <w:color w:val="000000" w:themeColor="text1"/>
          <w:sz w:val="24"/>
          <w:szCs w:val="24"/>
          <w:vertAlign w:val="superscript"/>
        </w:rPr>
        <w:t>st</w:t>
      </w:r>
      <w:r w:rsidRPr="004D320C">
        <w:rPr>
          <w:rFonts w:cstheme="minorHAnsi"/>
          <w:i/>
          <w:color w:val="000000" w:themeColor="text1"/>
          <w:sz w:val="24"/>
          <w:szCs w:val="24"/>
        </w:rPr>
        <w:t>-3</w:t>
      </w:r>
      <w:r w:rsidRPr="004D320C">
        <w:rPr>
          <w:rFonts w:cstheme="minorHAnsi"/>
          <w:i/>
          <w:color w:val="000000" w:themeColor="text1"/>
          <w:sz w:val="24"/>
          <w:szCs w:val="24"/>
          <w:vertAlign w:val="superscript"/>
        </w:rPr>
        <w:t>rd</w:t>
      </w:r>
      <w:r w:rsidRPr="004D320C">
        <w:rPr>
          <w:rFonts w:cstheme="minorHAnsi"/>
          <w:i/>
          <w:color w:val="000000" w:themeColor="text1"/>
          <w:sz w:val="24"/>
          <w:szCs w:val="24"/>
        </w:rPr>
        <w:t xml:space="preserve"> year of licence.</w:t>
      </w:r>
    </w:p>
    <w:p w14:paraId="6DD07177" w14:textId="77777777" w:rsidR="00FD20E5" w:rsidRPr="00ED5C03" w:rsidRDefault="00FD20E5" w:rsidP="00FD20E5">
      <w:pPr>
        <w:spacing w:before="240" w:after="240" w:line="240" w:lineRule="auto"/>
        <w:ind w:left="567"/>
        <w:jc w:val="both"/>
        <w:rPr>
          <w:rFonts w:cstheme="minorHAnsi"/>
          <w:i/>
          <w:color w:val="000000" w:themeColor="text1"/>
          <w:sz w:val="24"/>
          <w:szCs w:val="24"/>
        </w:rPr>
      </w:pPr>
      <w:r w:rsidRPr="004D320C">
        <w:rPr>
          <w:rFonts w:cstheme="minorHAnsi"/>
          <w:i/>
          <w:color w:val="000000" w:themeColor="text1"/>
          <w:sz w:val="24"/>
          <w:szCs w:val="24"/>
        </w:rPr>
        <w:t xml:space="preserve">Note: The liability calculations under condition 43 are to include an allowance for the cost of administering claims </w:t>
      </w:r>
      <w:r>
        <w:rPr>
          <w:rFonts w:cstheme="minorHAnsi"/>
          <w:i/>
          <w:color w:val="000000" w:themeColor="text1"/>
          <w:sz w:val="24"/>
          <w:szCs w:val="24"/>
        </w:rPr>
        <w:t xml:space="preserve">under this licence </w:t>
      </w:r>
      <w:r w:rsidRPr="004D320C">
        <w:rPr>
          <w:rFonts w:cstheme="minorHAnsi"/>
          <w:i/>
          <w:color w:val="000000" w:themeColor="text1"/>
          <w:sz w:val="24"/>
          <w:szCs w:val="24"/>
        </w:rPr>
        <w:t>and be calculated net of reinsurance recoveries.</w:t>
      </w:r>
    </w:p>
    <w:p w14:paraId="709DD146" w14:textId="77777777" w:rsidR="00FD20E5" w:rsidRPr="004D320C" w:rsidRDefault="00FD20E5" w:rsidP="00FD20E5">
      <w:pPr>
        <w:pStyle w:val="ListParagraph"/>
        <w:numPr>
          <w:ilvl w:val="0"/>
          <w:numId w:val="29"/>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In calculating the amount of the Guarantee, the Licensee must direct the actuary to:</w:t>
      </w:r>
    </w:p>
    <w:p w14:paraId="71724BC2" w14:textId="77777777" w:rsidR="00FD20E5" w:rsidRPr="004D320C" w:rsidRDefault="00FD20E5" w:rsidP="00FD20E5">
      <w:pPr>
        <w:pStyle w:val="ListParagraph"/>
        <w:numPr>
          <w:ilvl w:val="0"/>
          <w:numId w:val="16"/>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 xml:space="preserve">calculate </w:t>
      </w:r>
      <w:r w:rsidRPr="004D320C">
        <w:rPr>
          <w:rFonts w:cstheme="minorHAnsi"/>
          <w:color w:val="000000" w:themeColor="text1"/>
          <w:sz w:val="24"/>
          <w:szCs w:val="24"/>
        </w:rPr>
        <w:t>existing and projected estimates of the Licensee’s Outstanding Claim Liability under the SRC Act in accordance with the scope of this licence to the 95</w:t>
      </w:r>
      <w:r w:rsidRPr="004D320C">
        <w:rPr>
          <w:rFonts w:cstheme="minorHAnsi"/>
          <w:color w:val="000000" w:themeColor="text1"/>
          <w:sz w:val="24"/>
          <w:szCs w:val="24"/>
          <w:vertAlign w:val="superscript"/>
        </w:rPr>
        <w:t>th</w:t>
      </w:r>
      <w:r w:rsidRPr="004D320C">
        <w:rPr>
          <w:rFonts w:cstheme="minorHAnsi"/>
          <w:color w:val="000000" w:themeColor="text1"/>
          <w:sz w:val="24"/>
          <w:szCs w:val="24"/>
        </w:rPr>
        <w:t xml:space="preserve"> percentile and to include this result in the Liability Report; and</w:t>
      </w:r>
    </w:p>
    <w:p w14:paraId="48D14FE1" w14:textId="77777777" w:rsidR="00FD20E5" w:rsidRPr="00ED5C03" w:rsidRDefault="00FD20E5" w:rsidP="00FD20E5">
      <w:pPr>
        <w:pStyle w:val="ListParagraph"/>
        <w:numPr>
          <w:ilvl w:val="0"/>
          <w:numId w:val="16"/>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 xml:space="preserve">base the calculation on a full statistical analysis of data, </w:t>
      </w:r>
      <w:proofErr w:type="gramStart"/>
      <w:r w:rsidRPr="004D320C">
        <w:rPr>
          <w:rFonts w:cstheme="minorHAnsi"/>
          <w:color w:val="000000" w:themeColor="text1"/>
          <w:sz w:val="24"/>
          <w:szCs w:val="24"/>
        </w:rPr>
        <w:t>trends</w:t>
      </w:r>
      <w:proofErr w:type="gramEnd"/>
      <w:r w:rsidRPr="004D320C">
        <w:rPr>
          <w:rFonts w:cstheme="minorHAnsi"/>
          <w:color w:val="000000" w:themeColor="text1"/>
          <w:sz w:val="24"/>
          <w:szCs w:val="24"/>
        </w:rPr>
        <w:t xml:space="preserve"> and variability and according to any relevant IAA standards and guidelines on liability valuation for general insurance.</w:t>
      </w:r>
    </w:p>
    <w:p w14:paraId="20F25510" w14:textId="77777777" w:rsidR="00FD20E5" w:rsidRPr="00ED5C03" w:rsidRDefault="00FD20E5" w:rsidP="00FD20E5">
      <w:pPr>
        <w:pStyle w:val="ListParagraph"/>
        <w:numPr>
          <w:ilvl w:val="0"/>
          <w:numId w:val="28"/>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 xml:space="preserve">If the Licensee obtained a Guarantee under condition 37, the Licensee may at any time provide to the Commission a new Guarantee obtained under condition 37 that, if prepared in accordance with conditions 41, 43 and 44, will replace the existing Guarantee obtained under condition 37. </w:t>
      </w:r>
    </w:p>
    <w:p w14:paraId="0BB616FD" w14:textId="77777777" w:rsidR="00FD20E5" w:rsidRPr="004D320C" w:rsidRDefault="00FD20E5" w:rsidP="00FD20E5">
      <w:pPr>
        <w:pStyle w:val="ListParagraph"/>
        <w:numPr>
          <w:ilvl w:val="0"/>
          <w:numId w:val="28"/>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If the Commission identifies a financial risk with respect to the suitability of the financial institution from which the Licensee has obtained its current Guarantee under condition 37 and requests, after consulting with the Licensee, that the Licensee obtain a new Guarantee under condition 37, the Licensee must:</w:t>
      </w:r>
    </w:p>
    <w:p w14:paraId="639CA905" w14:textId="77777777" w:rsidR="00FD20E5" w:rsidRPr="004D320C" w:rsidRDefault="00FD20E5" w:rsidP="00FD20E5">
      <w:pPr>
        <w:pStyle w:val="ListParagraph"/>
        <w:numPr>
          <w:ilvl w:val="0"/>
          <w:numId w:val="30"/>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comply with this request within 3 months or, if applicable, an alternative timeframe specified in the request; and</w:t>
      </w:r>
    </w:p>
    <w:p w14:paraId="0C0D1F1A" w14:textId="77777777" w:rsidR="00FD20E5" w:rsidRPr="00ED5C03" w:rsidRDefault="00FD20E5" w:rsidP="00FD20E5">
      <w:pPr>
        <w:pStyle w:val="ListParagraph"/>
        <w:numPr>
          <w:ilvl w:val="0"/>
          <w:numId w:val="30"/>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ensure that the new Guarantee is prepared in accordance with conditions 41, 43 and 44.</w:t>
      </w:r>
    </w:p>
    <w:p w14:paraId="6E6EECB4" w14:textId="77777777" w:rsidR="00FD20E5" w:rsidRPr="00ED5C03" w:rsidRDefault="00FD20E5" w:rsidP="00FD20E5">
      <w:pPr>
        <w:pStyle w:val="ListParagraph"/>
        <w:numPr>
          <w:ilvl w:val="0"/>
          <w:numId w:val="28"/>
        </w:numPr>
        <w:spacing w:before="240" w:after="240" w:line="240" w:lineRule="auto"/>
        <w:ind w:left="567" w:hanging="567"/>
        <w:contextualSpacing w:val="0"/>
        <w:jc w:val="both"/>
        <w:rPr>
          <w:rFonts w:cstheme="minorHAnsi"/>
          <w:snapToGrid w:val="0"/>
          <w:sz w:val="24"/>
          <w:szCs w:val="24"/>
        </w:rPr>
      </w:pPr>
      <w:r w:rsidRPr="004D320C">
        <w:rPr>
          <w:rFonts w:cstheme="minorHAnsi"/>
          <w:snapToGrid w:val="0"/>
          <w:sz w:val="24"/>
          <w:szCs w:val="24"/>
        </w:rPr>
        <w:t>If the guarantor under a Guarantee obtained by the Licensee under condition 37 discharges its financial obligation under that Guarantee by making payment to Comcare of its total liability or amounts which when aggregated equal its total liability, Comcare must return that Guarantee to the guarantor</w:t>
      </w:r>
    </w:p>
    <w:p w14:paraId="307BA170" w14:textId="77777777" w:rsidR="00FD20E5" w:rsidRPr="004D320C" w:rsidRDefault="00FD20E5" w:rsidP="00FD20E5">
      <w:pPr>
        <w:keepNext/>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Reinsurance</w:t>
      </w:r>
    </w:p>
    <w:p w14:paraId="11ED1CD5" w14:textId="77777777" w:rsidR="00FD20E5" w:rsidRPr="009D3E20" w:rsidRDefault="00FD20E5" w:rsidP="00FD20E5">
      <w:pPr>
        <w:pStyle w:val="ListParagraph"/>
        <w:numPr>
          <w:ilvl w:val="0"/>
          <w:numId w:val="28"/>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Licensee must</w:t>
      </w:r>
      <w:r w:rsidRPr="004D320C">
        <w:rPr>
          <w:rFonts w:cstheme="minorHAnsi"/>
          <w:color w:val="000000" w:themeColor="text1"/>
          <w:sz w:val="24"/>
          <w:szCs w:val="24"/>
        </w:rPr>
        <w:t xml:space="preserve"> maintain an appropriate level of reinsurance to limit its liability to pay compensation and other amounts under the SRC Act in accordance with the scope </w:t>
      </w:r>
    </w:p>
    <w:p w14:paraId="5077D45F" w14:textId="77777777" w:rsidR="00FD20E5" w:rsidRPr="009D3E20" w:rsidRDefault="00FD20E5" w:rsidP="00FD20E5">
      <w:pPr>
        <w:pStyle w:val="ListParagraph"/>
        <w:spacing w:before="240" w:after="240" w:line="240" w:lineRule="auto"/>
        <w:ind w:left="567"/>
        <w:contextualSpacing w:val="0"/>
        <w:jc w:val="both"/>
        <w:rPr>
          <w:rFonts w:cstheme="minorHAnsi"/>
          <w:snapToGrid w:val="0"/>
          <w:color w:val="000000" w:themeColor="text1"/>
          <w:sz w:val="24"/>
          <w:szCs w:val="24"/>
        </w:rPr>
      </w:pPr>
    </w:p>
    <w:p w14:paraId="201B14CF" w14:textId="77777777" w:rsidR="00FD20E5" w:rsidRPr="00ED5C03" w:rsidRDefault="00FD20E5" w:rsidP="00FD20E5">
      <w:pPr>
        <w:pStyle w:val="ListParagraph"/>
        <w:spacing w:before="240" w:after="240" w:line="240" w:lineRule="auto"/>
        <w:ind w:left="567"/>
        <w:contextualSpacing w:val="0"/>
        <w:jc w:val="both"/>
        <w:rPr>
          <w:rFonts w:cstheme="minorHAnsi"/>
          <w:snapToGrid w:val="0"/>
          <w:color w:val="000000" w:themeColor="text1"/>
          <w:sz w:val="24"/>
          <w:szCs w:val="24"/>
        </w:rPr>
      </w:pPr>
      <w:r w:rsidRPr="004D320C">
        <w:rPr>
          <w:rFonts w:cstheme="minorHAnsi"/>
          <w:color w:val="000000" w:themeColor="text1"/>
          <w:sz w:val="24"/>
          <w:szCs w:val="24"/>
        </w:rPr>
        <w:lastRenderedPageBreak/>
        <w:t xml:space="preserve">of this licence from an insurance company that is authorised by APRA to carry on insurance business under the </w:t>
      </w:r>
      <w:r w:rsidRPr="004D320C">
        <w:rPr>
          <w:rFonts w:cstheme="minorHAnsi"/>
          <w:i/>
          <w:color w:val="000000" w:themeColor="text1"/>
          <w:sz w:val="24"/>
          <w:szCs w:val="24"/>
        </w:rPr>
        <w:t xml:space="preserve">Insurance Act 1973 </w:t>
      </w:r>
      <w:r w:rsidRPr="004D320C">
        <w:rPr>
          <w:rFonts w:cstheme="minorHAnsi"/>
          <w:color w:val="000000" w:themeColor="text1"/>
          <w:sz w:val="24"/>
          <w:szCs w:val="24"/>
        </w:rPr>
        <w:t>(</w:t>
      </w:r>
      <w:proofErr w:type="spellStart"/>
      <w:r w:rsidRPr="004D320C">
        <w:rPr>
          <w:rFonts w:cstheme="minorHAnsi"/>
          <w:color w:val="000000" w:themeColor="text1"/>
          <w:sz w:val="24"/>
          <w:szCs w:val="24"/>
        </w:rPr>
        <w:t>Cth</w:t>
      </w:r>
      <w:proofErr w:type="spellEnd"/>
      <w:r w:rsidRPr="004D320C">
        <w:rPr>
          <w:rFonts w:cstheme="minorHAnsi"/>
          <w:color w:val="000000" w:themeColor="text1"/>
          <w:sz w:val="24"/>
          <w:szCs w:val="24"/>
        </w:rPr>
        <w:t>) (</w:t>
      </w:r>
      <w:r w:rsidRPr="004D320C">
        <w:rPr>
          <w:rFonts w:cstheme="minorHAnsi"/>
          <w:b/>
          <w:color w:val="000000" w:themeColor="text1"/>
          <w:sz w:val="24"/>
          <w:szCs w:val="24"/>
        </w:rPr>
        <w:t>Reinsurance Policy</w:t>
      </w:r>
      <w:r w:rsidRPr="004D320C">
        <w:rPr>
          <w:rFonts w:cstheme="minorHAnsi"/>
          <w:color w:val="000000" w:themeColor="text1"/>
          <w:sz w:val="24"/>
          <w:szCs w:val="24"/>
        </w:rPr>
        <w:t xml:space="preserve">).  </w:t>
      </w:r>
    </w:p>
    <w:p w14:paraId="49FA09F0" w14:textId="77777777" w:rsidR="00FD20E5" w:rsidRPr="00ED5C03" w:rsidRDefault="00FD20E5" w:rsidP="00FD20E5">
      <w:pPr>
        <w:pStyle w:val="ListParagraph"/>
        <w:numPr>
          <w:ilvl w:val="0"/>
          <w:numId w:val="28"/>
        </w:numPr>
        <w:spacing w:before="240" w:after="240" w:line="240" w:lineRule="auto"/>
        <w:ind w:left="567" w:hanging="567"/>
        <w:contextualSpacing w:val="0"/>
        <w:jc w:val="both"/>
        <w:rPr>
          <w:rFonts w:cstheme="minorHAnsi"/>
          <w:snapToGrid w:val="0"/>
          <w:sz w:val="24"/>
          <w:szCs w:val="24"/>
        </w:rPr>
      </w:pPr>
      <w:r w:rsidRPr="004D320C">
        <w:rPr>
          <w:rFonts w:cstheme="minorHAnsi"/>
          <w:sz w:val="24"/>
          <w:szCs w:val="24"/>
        </w:rPr>
        <w:t>The excess of loss amount applicable under the Reinsurance Policy for any single event (</w:t>
      </w:r>
      <w:r w:rsidRPr="004D320C">
        <w:rPr>
          <w:rFonts w:cstheme="minorHAnsi"/>
          <w:b/>
          <w:sz w:val="24"/>
          <w:szCs w:val="24"/>
        </w:rPr>
        <w:t>Excess Amount</w:t>
      </w:r>
      <w:r w:rsidRPr="004D320C">
        <w:rPr>
          <w:rFonts w:cstheme="minorHAnsi"/>
          <w:sz w:val="24"/>
          <w:szCs w:val="24"/>
        </w:rPr>
        <w:t xml:space="preserve">) </w:t>
      </w:r>
      <w:r w:rsidRPr="004D320C">
        <w:rPr>
          <w:rFonts w:cstheme="minorHAnsi"/>
          <w:snapToGrid w:val="0"/>
          <w:sz w:val="24"/>
          <w:szCs w:val="24"/>
        </w:rPr>
        <w:t>must not</w:t>
      </w:r>
      <w:r w:rsidRPr="004D320C">
        <w:rPr>
          <w:rFonts w:cstheme="minorHAnsi"/>
          <w:sz w:val="24"/>
          <w:szCs w:val="24"/>
        </w:rPr>
        <w:t>, unless the Commission directs otherwise, be higher than the Recommended Excess Amount.</w:t>
      </w:r>
    </w:p>
    <w:p w14:paraId="185C13A2" w14:textId="77777777" w:rsidR="00FD20E5" w:rsidRPr="004D320C" w:rsidRDefault="00FD20E5" w:rsidP="00FD20E5">
      <w:pPr>
        <w:pStyle w:val="ListParagraph"/>
        <w:numPr>
          <w:ilvl w:val="0"/>
          <w:numId w:val="28"/>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snapToGrid w:val="0"/>
          <w:color w:val="000000" w:themeColor="text1"/>
          <w:sz w:val="24"/>
          <w:szCs w:val="24"/>
        </w:rPr>
        <w:t>The Licensee must:</w:t>
      </w:r>
    </w:p>
    <w:p w14:paraId="1F69E05B" w14:textId="77777777" w:rsidR="00FD20E5" w:rsidRPr="004D320C" w:rsidRDefault="00FD20E5" w:rsidP="00FD20E5">
      <w:pPr>
        <w:pStyle w:val="ListParagraph"/>
        <w:numPr>
          <w:ilvl w:val="0"/>
          <w:numId w:val="17"/>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sz w:val="24"/>
          <w:szCs w:val="24"/>
        </w:rPr>
        <w:t xml:space="preserve">if an amended reinsurance policy or a reinsurance policy from a new provider is obtained under condition </w:t>
      </w:r>
      <w:r w:rsidRPr="004D320C">
        <w:rPr>
          <w:rFonts w:cstheme="minorHAnsi"/>
          <w:sz w:val="24"/>
          <w:szCs w:val="24"/>
        </w:rPr>
        <w:t>48</w:t>
      </w:r>
      <w:r w:rsidRPr="004D320C">
        <w:rPr>
          <w:rFonts w:cstheme="minorHAnsi"/>
          <w:snapToGrid w:val="0"/>
          <w:sz w:val="24"/>
          <w:szCs w:val="24"/>
        </w:rPr>
        <w:t xml:space="preserve">, </w:t>
      </w:r>
      <w:r w:rsidRPr="004D320C">
        <w:rPr>
          <w:rFonts w:cstheme="minorHAnsi"/>
          <w:snapToGrid w:val="0"/>
          <w:color w:val="000000" w:themeColor="text1"/>
          <w:sz w:val="24"/>
          <w:szCs w:val="24"/>
        </w:rPr>
        <w:t xml:space="preserve">provide a copy of that reinsurance policy to the actuary and the Commission within 130 days of the start of the first Financial Year to which that reinsurance policy relates;  </w:t>
      </w:r>
    </w:p>
    <w:p w14:paraId="3BD0C6DF" w14:textId="77777777" w:rsidR="00FD20E5" w:rsidRPr="004D320C" w:rsidRDefault="00FD20E5" w:rsidP="00FD20E5">
      <w:pPr>
        <w:pStyle w:val="ListParagraph"/>
        <w:numPr>
          <w:ilvl w:val="0"/>
          <w:numId w:val="17"/>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relates; </w:t>
      </w:r>
    </w:p>
    <w:p w14:paraId="536A1B3F" w14:textId="77777777" w:rsidR="00FD20E5" w:rsidRPr="004D320C" w:rsidRDefault="00FD20E5" w:rsidP="00FD20E5">
      <w:pPr>
        <w:pStyle w:val="ListParagraph"/>
        <w:numPr>
          <w:ilvl w:val="0"/>
          <w:numId w:val="17"/>
        </w:numPr>
        <w:spacing w:before="240" w:after="240" w:line="240" w:lineRule="auto"/>
        <w:ind w:left="1134" w:hanging="567"/>
        <w:contextualSpacing w:val="0"/>
        <w:jc w:val="both"/>
        <w:rPr>
          <w:rFonts w:cstheme="minorHAnsi"/>
          <w:snapToGrid w:val="0"/>
          <w:sz w:val="24"/>
          <w:szCs w:val="24"/>
        </w:rPr>
      </w:pPr>
      <w:r w:rsidRPr="004D320C">
        <w:rPr>
          <w:rFonts w:cstheme="minorHAnsi"/>
          <w:snapToGrid w:val="0"/>
          <w:sz w:val="24"/>
          <w:szCs w:val="24"/>
        </w:rPr>
        <w:t>notify the Commission of any increases to the Excess Amount in the Reinsurance Policy; and</w:t>
      </w:r>
    </w:p>
    <w:p w14:paraId="28A42F9B" w14:textId="77777777" w:rsidR="00FD20E5" w:rsidRPr="00ED5C03" w:rsidRDefault="00FD20E5" w:rsidP="00FD20E5">
      <w:pPr>
        <w:pStyle w:val="ListParagraph"/>
        <w:numPr>
          <w:ilvl w:val="0"/>
          <w:numId w:val="17"/>
        </w:numPr>
        <w:spacing w:before="240" w:after="240" w:line="240" w:lineRule="auto"/>
        <w:ind w:left="1134" w:hanging="567"/>
        <w:contextualSpacing w:val="0"/>
        <w:jc w:val="both"/>
        <w:rPr>
          <w:rFonts w:cstheme="minorHAnsi"/>
          <w:snapToGrid w:val="0"/>
          <w:color w:val="000000" w:themeColor="text1"/>
          <w:sz w:val="24"/>
          <w:szCs w:val="24"/>
        </w:rPr>
      </w:pPr>
      <w:r w:rsidRPr="004D320C">
        <w:rPr>
          <w:rFonts w:cstheme="minorHAnsi"/>
          <w:snapToGrid w:val="0"/>
          <w:sz w:val="24"/>
          <w:szCs w:val="24"/>
        </w:rPr>
        <w:t xml:space="preserve">only obtain a reinsurance policy under condition 48 with an excess of loss amount that exceeds the Recommended Excess Amount if the Commission provides prior approval. </w:t>
      </w:r>
    </w:p>
    <w:p w14:paraId="3DC3207B" w14:textId="77777777" w:rsidR="00FD20E5" w:rsidRPr="00ED5C03" w:rsidRDefault="00FD20E5" w:rsidP="00FD20E5">
      <w:pPr>
        <w:spacing w:before="240" w:after="240" w:line="240" w:lineRule="auto"/>
        <w:ind w:left="567" w:hanging="567"/>
        <w:jc w:val="both"/>
        <w:rPr>
          <w:rFonts w:cstheme="minorHAnsi"/>
          <w:b/>
          <w:i/>
          <w:snapToGrid w:val="0"/>
          <w:color w:val="000000" w:themeColor="text1"/>
          <w:sz w:val="24"/>
          <w:szCs w:val="24"/>
        </w:rPr>
      </w:pPr>
      <w:r w:rsidRPr="004D320C">
        <w:rPr>
          <w:rFonts w:cstheme="minorHAnsi"/>
          <w:b/>
          <w:i/>
          <w:snapToGrid w:val="0"/>
          <w:color w:val="000000" w:themeColor="text1"/>
          <w:sz w:val="24"/>
          <w:szCs w:val="24"/>
        </w:rPr>
        <w:t xml:space="preserve">Deed of Cross Guarantee </w:t>
      </w:r>
    </w:p>
    <w:p w14:paraId="01C1D9FE" w14:textId="77777777" w:rsidR="00FD20E5" w:rsidRPr="004D320C" w:rsidRDefault="00FD20E5" w:rsidP="00FD20E5">
      <w:pPr>
        <w:pStyle w:val="ListParagraph"/>
        <w:numPr>
          <w:ilvl w:val="0"/>
          <w:numId w:val="28"/>
        </w:numPr>
        <w:spacing w:before="240" w:after="240" w:line="240" w:lineRule="auto"/>
        <w:ind w:left="567" w:hanging="567"/>
        <w:contextualSpacing w:val="0"/>
        <w:jc w:val="both"/>
        <w:rPr>
          <w:rFonts w:cstheme="minorHAnsi"/>
          <w:snapToGrid w:val="0"/>
          <w:color w:val="000000" w:themeColor="text1"/>
          <w:sz w:val="24"/>
          <w:szCs w:val="24"/>
        </w:rPr>
      </w:pPr>
      <w:r w:rsidRPr="004D320C">
        <w:rPr>
          <w:rFonts w:cstheme="minorHAnsi"/>
          <w:color w:val="000000" w:themeColor="text1"/>
          <w:sz w:val="24"/>
          <w:szCs w:val="24"/>
        </w:rPr>
        <w:t>The Licensee:</w:t>
      </w:r>
    </w:p>
    <w:p w14:paraId="04D48772" w14:textId="77777777" w:rsidR="00FD20E5" w:rsidRPr="004D320C" w:rsidRDefault="00FD20E5" w:rsidP="00FD20E5">
      <w:pPr>
        <w:numPr>
          <w:ilvl w:val="0"/>
          <w:numId w:val="20"/>
        </w:numPr>
        <w:spacing w:before="240" w:after="240" w:line="240" w:lineRule="auto"/>
        <w:ind w:left="1134" w:hanging="567"/>
        <w:jc w:val="both"/>
        <w:rPr>
          <w:rFonts w:cstheme="minorHAnsi"/>
          <w:color w:val="000000" w:themeColor="text1"/>
          <w:sz w:val="24"/>
          <w:szCs w:val="24"/>
        </w:rPr>
      </w:pPr>
      <w:proofErr w:type="gramStart"/>
      <w:r w:rsidRPr="004D320C">
        <w:rPr>
          <w:rFonts w:cstheme="minorHAnsi"/>
          <w:color w:val="000000" w:themeColor="text1"/>
          <w:sz w:val="24"/>
          <w:szCs w:val="24"/>
        </w:rPr>
        <w:t>must at all times</w:t>
      </w:r>
      <w:proofErr w:type="gramEnd"/>
      <w:r w:rsidRPr="004D320C">
        <w:rPr>
          <w:rFonts w:cstheme="minorHAnsi"/>
          <w:color w:val="000000" w:themeColor="text1"/>
          <w:sz w:val="24"/>
          <w:szCs w:val="24"/>
        </w:rPr>
        <w:t xml:space="preserve"> be a party to the Deed of Cross Guarantee in accordance with conditions 51 to 53 of this licence; and</w:t>
      </w:r>
    </w:p>
    <w:p w14:paraId="685CCD4C" w14:textId="77777777" w:rsidR="00FD20E5" w:rsidRPr="00ED5C03" w:rsidRDefault="00FD20E5" w:rsidP="00FD20E5">
      <w:pPr>
        <w:numPr>
          <w:ilvl w:val="0"/>
          <w:numId w:val="20"/>
        </w:numPr>
        <w:spacing w:before="240" w:after="240" w:line="240" w:lineRule="auto"/>
        <w:ind w:left="1134" w:hanging="567"/>
        <w:jc w:val="both"/>
        <w:rPr>
          <w:rFonts w:cstheme="minorHAnsi"/>
          <w:color w:val="000000" w:themeColor="text1"/>
          <w:sz w:val="24"/>
          <w:szCs w:val="24"/>
        </w:rPr>
      </w:pPr>
      <w:r w:rsidRPr="004D320C">
        <w:rPr>
          <w:rFonts w:cstheme="minorHAnsi"/>
          <w:color w:val="000000" w:themeColor="text1"/>
          <w:sz w:val="24"/>
          <w:szCs w:val="24"/>
        </w:rPr>
        <w:t>must not engage in any act or omission that may compromise the enforceability of a Deed of Cross Guarantee.</w:t>
      </w:r>
    </w:p>
    <w:p w14:paraId="4B3CC5E0" w14:textId="77777777" w:rsidR="00FD20E5" w:rsidRPr="004D320C" w:rsidRDefault="00FD20E5" w:rsidP="00FD20E5">
      <w:pPr>
        <w:pStyle w:val="ListParagraph"/>
        <w:numPr>
          <w:ilvl w:val="0"/>
          <w:numId w:val="28"/>
        </w:numPr>
        <w:spacing w:before="240" w:after="240" w:line="240" w:lineRule="auto"/>
        <w:ind w:left="567" w:hanging="567"/>
        <w:contextualSpacing w:val="0"/>
        <w:jc w:val="both"/>
        <w:rPr>
          <w:rFonts w:cstheme="minorHAnsi"/>
          <w:bCs/>
          <w:color w:val="000000" w:themeColor="text1"/>
          <w:sz w:val="24"/>
          <w:szCs w:val="24"/>
        </w:rPr>
      </w:pPr>
      <w:r w:rsidRPr="004D320C">
        <w:rPr>
          <w:rFonts w:cstheme="minorHAnsi"/>
          <w:color w:val="000000" w:themeColor="text1"/>
          <w:sz w:val="24"/>
          <w:szCs w:val="24"/>
        </w:rPr>
        <w:t>In this licence a reference to the Deed of Cross Guarantee is a reference to:</w:t>
      </w:r>
    </w:p>
    <w:p w14:paraId="757FF4CB" w14:textId="77777777" w:rsidR="00FD20E5" w:rsidRPr="004D320C" w:rsidRDefault="00FD20E5" w:rsidP="00FD20E5">
      <w:pPr>
        <w:numPr>
          <w:ilvl w:val="0"/>
          <w:numId w:val="22"/>
        </w:numPr>
        <w:spacing w:before="240" w:after="240" w:line="240" w:lineRule="auto"/>
        <w:ind w:left="1134" w:hanging="567"/>
        <w:jc w:val="both"/>
        <w:rPr>
          <w:rFonts w:cstheme="minorHAnsi"/>
          <w:color w:val="000000" w:themeColor="text1"/>
          <w:sz w:val="24"/>
          <w:szCs w:val="24"/>
        </w:rPr>
      </w:pPr>
      <w:r w:rsidRPr="004D320C">
        <w:rPr>
          <w:rFonts w:cstheme="minorHAnsi"/>
          <w:color w:val="000000" w:themeColor="text1"/>
          <w:sz w:val="24"/>
          <w:szCs w:val="24"/>
        </w:rPr>
        <w:t xml:space="preserve">the Deed of Cross Guarantee, made on </w:t>
      </w:r>
      <w:r w:rsidRPr="004D320C">
        <w:rPr>
          <w:rFonts w:cstheme="minorHAnsi"/>
          <w:color w:val="000000" w:themeColor="text1"/>
          <w:sz w:val="24"/>
          <w:szCs w:val="24"/>
          <w:lang w:eastAsia="en-AU"/>
        </w:rPr>
        <w:t>21 June 2007</w:t>
      </w:r>
      <w:r w:rsidRPr="004D320C">
        <w:rPr>
          <w:rFonts w:cstheme="minorHAnsi"/>
          <w:color w:val="000000" w:themeColor="text1"/>
          <w:sz w:val="24"/>
          <w:szCs w:val="24"/>
        </w:rPr>
        <w:t xml:space="preserve">, as </w:t>
      </w:r>
      <w:proofErr w:type="gramStart"/>
      <w:r w:rsidRPr="004D320C">
        <w:rPr>
          <w:rFonts w:cstheme="minorHAnsi"/>
          <w:color w:val="000000" w:themeColor="text1"/>
          <w:sz w:val="24"/>
          <w:szCs w:val="24"/>
        </w:rPr>
        <w:t>amended</w:t>
      </w:r>
      <w:proofErr w:type="gramEnd"/>
      <w:r w:rsidRPr="004D320C">
        <w:rPr>
          <w:rFonts w:cstheme="minorHAnsi"/>
          <w:color w:val="000000" w:themeColor="text1"/>
          <w:sz w:val="24"/>
          <w:szCs w:val="24"/>
        </w:rPr>
        <w:t xml:space="preserve"> or varied from time to time in accordance with its terms, to which the following were parties at the date of execution:</w:t>
      </w:r>
    </w:p>
    <w:p w14:paraId="48DF0875" w14:textId="77777777" w:rsidR="00FD20E5" w:rsidRPr="00E17708"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r w:rsidRPr="00E17708">
        <w:rPr>
          <w:rFonts w:cstheme="minorHAnsi"/>
          <w:color w:val="000000" w:themeColor="text1"/>
          <w:sz w:val="24"/>
          <w:szCs w:val="24"/>
        </w:rPr>
        <w:t>LEPGF Pty Ltd, ACN 640 391 868;</w:t>
      </w:r>
    </w:p>
    <w:p w14:paraId="2F543BF5" w14:textId="77777777" w:rsidR="00FD20E5" w:rsidRPr="004D320C"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 xml:space="preserve">Linfox Pty Ltd, ACN 004 667 298; </w:t>
      </w:r>
    </w:p>
    <w:p w14:paraId="4D8CFC78" w14:textId="77777777" w:rsidR="00FD20E5" w:rsidRPr="004D320C"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Linfox Asset Management Pty Ltd, ACN 008 639 478;</w:t>
      </w:r>
    </w:p>
    <w:p w14:paraId="34BE78F6" w14:textId="77777777" w:rsidR="00FD20E5"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Linfox Australia Pty Ltd, ACN 004 718 647;</w:t>
      </w:r>
    </w:p>
    <w:p w14:paraId="0A334864" w14:textId="77777777" w:rsidR="00FD20E5" w:rsidRPr="00810FF1"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proofErr w:type="spellStart"/>
      <w:r w:rsidRPr="00810FF1">
        <w:rPr>
          <w:rFonts w:cstheme="minorHAnsi"/>
          <w:color w:val="000000" w:themeColor="text1"/>
          <w:sz w:val="24"/>
          <w:szCs w:val="24"/>
        </w:rPr>
        <w:t>Bevchain</w:t>
      </w:r>
      <w:proofErr w:type="spellEnd"/>
      <w:r w:rsidRPr="00810FF1">
        <w:rPr>
          <w:rFonts w:cstheme="minorHAnsi"/>
          <w:color w:val="000000" w:themeColor="text1"/>
          <w:sz w:val="24"/>
          <w:szCs w:val="24"/>
        </w:rPr>
        <w:t xml:space="preserve"> Pty Ltd, ACN 118 451 773;</w:t>
      </w:r>
    </w:p>
    <w:p w14:paraId="6C6CE1B1" w14:textId="77777777" w:rsidR="00FD20E5"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r w:rsidRPr="00810FF1">
        <w:rPr>
          <w:rFonts w:cstheme="minorHAnsi"/>
          <w:color w:val="000000" w:themeColor="text1"/>
          <w:sz w:val="24"/>
          <w:szCs w:val="24"/>
        </w:rPr>
        <w:t>Integrated Technology Services Pty Ltd, ACN 079 514 917;</w:t>
      </w:r>
    </w:p>
    <w:p w14:paraId="281B3A70" w14:textId="77777777" w:rsidR="00FD20E5" w:rsidRPr="00810FF1" w:rsidRDefault="00FD20E5" w:rsidP="00FD20E5">
      <w:pPr>
        <w:autoSpaceDE w:val="0"/>
        <w:autoSpaceDN w:val="0"/>
        <w:spacing w:before="240" w:after="240" w:line="240" w:lineRule="auto"/>
        <w:jc w:val="both"/>
        <w:rPr>
          <w:rFonts w:cstheme="minorHAnsi"/>
          <w:color w:val="000000" w:themeColor="text1"/>
          <w:sz w:val="24"/>
          <w:szCs w:val="24"/>
        </w:rPr>
      </w:pPr>
    </w:p>
    <w:p w14:paraId="379DAD56" w14:textId="77777777" w:rsidR="00FD20E5" w:rsidRPr="00810FF1"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proofErr w:type="spellStart"/>
      <w:r w:rsidRPr="00810FF1">
        <w:rPr>
          <w:rFonts w:cstheme="minorHAnsi"/>
          <w:color w:val="000000" w:themeColor="text1"/>
          <w:sz w:val="24"/>
          <w:szCs w:val="24"/>
        </w:rPr>
        <w:lastRenderedPageBreak/>
        <w:t>Armaguard</w:t>
      </w:r>
      <w:proofErr w:type="spellEnd"/>
      <w:r w:rsidRPr="00810FF1">
        <w:rPr>
          <w:rFonts w:cstheme="minorHAnsi"/>
          <w:color w:val="000000" w:themeColor="text1"/>
          <w:sz w:val="24"/>
          <w:szCs w:val="24"/>
        </w:rPr>
        <w:t xml:space="preserve"> Technology Solutions Pty Ltd, ACN 601 253 187; and</w:t>
      </w:r>
    </w:p>
    <w:p w14:paraId="370F7D22" w14:textId="77777777" w:rsidR="00FD20E5" w:rsidRPr="004D320C" w:rsidRDefault="00FD20E5" w:rsidP="00FD20E5">
      <w:pPr>
        <w:numPr>
          <w:ilvl w:val="0"/>
          <w:numId w:val="21"/>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 xml:space="preserve">Linfox </w:t>
      </w:r>
      <w:proofErr w:type="spellStart"/>
      <w:r w:rsidRPr="004D320C">
        <w:rPr>
          <w:rFonts w:cstheme="minorHAnsi"/>
          <w:color w:val="000000" w:themeColor="text1"/>
          <w:sz w:val="24"/>
          <w:szCs w:val="24"/>
        </w:rPr>
        <w:t>Armaguard</w:t>
      </w:r>
      <w:proofErr w:type="spellEnd"/>
      <w:r w:rsidRPr="004D320C">
        <w:rPr>
          <w:rFonts w:cstheme="minorHAnsi"/>
          <w:color w:val="000000" w:themeColor="text1"/>
          <w:sz w:val="24"/>
          <w:szCs w:val="24"/>
        </w:rPr>
        <w:t xml:space="preserve"> Pty Ltd, ACN 099 701 872;</w:t>
      </w:r>
      <w:r>
        <w:rPr>
          <w:rFonts w:cstheme="minorHAnsi"/>
          <w:color w:val="000000" w:themeColor="text1"/>
          <w:sz w:val="24"/>
          <w:szCs w:val="24"/>
        </w:rPr>
        <w:t xml:space="preserve"> or</w:t>
      </w:r>
    </w:p>
    <w:p w14:paraId="6840405D" w14:textId="77777777" w:rsidR="00FD20E5" w:rsidRPr="00ED5C03" w:rsidRDefault="00FD20E5" w:rsidP="00FD20E5">
      <w:pPr>
        <w:numPr>
          <w:ilvl w:val="0"/>
          <w:numId w:val="22"/>
        </w:numPr>
        <w:spacing w:before="240" w:after="240" w:line="240" w:lineRule="auto"/>
        <w:ind w:left="1134" w:hanging="567"/>
        <w:jc w:val="both"/>
        <w:rPr>
          <w:rFonts w:cstheme="minorHAnsi"/>
          <w:color w:val="000000" w:themeColor="text1"/>
          <w:sz w:val="24"/>
          <w:szCs w:val="24"/>
        </w:rPr>
      </w:pPr>
      <w:r w:rsidRPr="004D320C">
        <w:rPr>
          <w:rFonts w:cstheme="minorHAnsi"/>
          <w:color w:val="000000" w:themeColor="text1"/>
          <w:sz w:val="24"/>
          <w:szCs w:val="24"/>
        </w:rPr>
        <w:t>where the Commission, in its absolute discretion, notifies the Licensee in writing that another, alternative, Deed of Guarantee will satisfy the requirements of conditions 51 to 53 of this licence, that Deed.</w:t>
      </w:r>
    </w:p>
    <w:p w14:paraId="03F226C6" w14:textId="77777777" w:rsidR="00FD20E5" w:rsidRPr="004D320C" w:rsidRDefault="00FD20E5" w:rsidP="00FD20E5">
      <w:pPr>
        <w:pStyle w:val="ListParagraph"/>
        <w:numPr>
          <w:ilvl w:val="0"/>
          <w:numId w:val="28"/>
        </w:numPr>
        <w:autoSpaceDE w:val="0"/>
        <w:autoSpaceDN w:val="0"/>
        <w:spacing w:before="240" w:after="240" w:line="240" w:lineRule="auto"/>
        <w:ind w:left="567" w:hanging="567"/>
        <w:contextualSpacing w:val="0"/>
        <w:jc w:val="both"/>
        <w:rPr>
          <w:rFonts w:cstheme="minorHAnsi"/>
          <w:color w:val="000000" w:themeColor="text1"/>
          <w:sz w:val="24"/>
          <w:szCs w:val="24"/>
        </w:rPr>
      </w:pPr>
      <w:r w:rsidRPr="004D320C">
        <w:rPr>
          <w:rFonts w:cstheme="minorHAnsi"/>
          <w:color w:val="000000" w:themeColor="text1"/>
          <w:sz w:val="24"/>
          <w:szCs w:val="24"/>
        </w:rPr>
        <w:t>In relation to the Deed of Cross Guarantee referred to in condition 51 above the Licensee must:</w:t>
      </w:r>
    </w:p>
    <w:p w14:paraId="7BC63E7C" w14:textId="77777777" w:rsidR="00FD20E5" w:rsidRPr="004D320C" w:rsidRDefault="00FD20E5" w:rsidP="00FD20E5">
      <w:pPr>
        <w:numPr>
          <w:ilvl w:val="0"/>
          <w:numId w:val="23"/>
        </w:numPr>
        <w:autoSpaceDE w:val="0"/>
        <w:autoSpaceDN w:val="0"/>
        <w:spacing w:before="240" w:after="240" w:line="240" w:lineRule="auto"/>
        <w:ind w:left="1134" w:hanging="567"/>
        <w:jc w:val="both"/>
        <w:rPr>
          <w:rFonts w:cstheme="minorHAnsi"/>
          <w:color w:val="000000" w:themeColor="text1"/>
          <w:sz w:val="24"/>
          <w:szCs w:val="24"/>
        </w:rPr>
      </w:pPr>
      <w:r w:rsidRPr="004D320C">
        <w:rPr>
          <w:rFonts w:cstheme="minorHAnsi"/>
          <w:color w:val="000000" w:themeColor="text1"/>
          <w:sz w:val="24"/>
          <w:szCs w:val="24"/>
        </w:rPr>
        <w:t xml:space="preserve">be a party to that Deed for at least seven (7) years following the </w:t>
      </w:r>
      <w:r>
        <w:rPr>
          <w:rFonts w:cstheme="minorHAnsi"/>
          <w:color w:val="000000" w:themeColor="text1"/>
          <w:sz w:val="24"/>
          <w:szCs w:val="24"/>
        </w:rPr>
        <w:t>Licence Period</w:t>
      </w:r>
      <w:r w:rsidRPr="004D320C">
        <w:rPr>
          <w:rFonts w:cstheme="minorHAnsi"/>
          <w:color w:val="000000" w:themeColor="text1"/>
          <w:sz w:val="24"/>
          <w:szCs w:val="24"/>
        </w:rPr>
        <w:t>, as varied from time to time;</w:t>
      </w:r>
    </w:p>
    <w:p w14:paraId="7F5822F7" w14:textId="77777777" w:rsidR="00FD20E5" w:rsidRPr="004D320C" w:rsidRDefault="00FD20E5" w:rsidP="00FD20E5">
      <w:pPr>
        <w:numPr>
          <w:ilvl w:val="0"/>
          <w:numId w:val="23"/>
        </w:numPr>
        <w:autoSpaceDE w:val="0"/>
        <w:autoSpaceDN w:val="0"/>
        <w:spacing w:before="240" w:after="240" w:line="240" w:lineRule="auto"/>
        <w:ind w:left="1134" w:hanging="567"/>
        <w:jc w:val="both"/>
        <w:rPr>
          <w:rFonts w:cstheme="minorHAnsi"/>
          <w:color w:val="000000" w:themeColor="text1"/>
          <w:sz w:val="24"/>
          <w:szCs w:val="24"/>
        </w:rPr>
      </w:pPr>
      <w:r w:rsidRPr="004D320C">
        <w:rPr>
          <w:rFonts w:cstheme="minorHAnsi"/>
          <w:color w:val="000000" w:themeColor="text1"/>
          <w:sz w:val="24"/>
          <w:szCs w:val="24"/>
        </w:rPr>
        <w:t>if that Deed is amended or varied, including if:</w:t>
      </w:r>
    </w:p>
    <w:p w14:paraId="73424AC0" w14:textId="77777777" w:rsidR="00FD20E5" w:rsidRPr="004D320C" w:rsidRDefault="00FD20E5" w:rsidP="00FD20E5">
      <w:pPr>
        <w:numPr>
          <w:ilvl w:val="0"/>
          <w:numId w:val="24"/>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another entity becomes a party to that Deed; or</w:t>
      </w:r>
    </w:p>
    <w:p w14:paraId="513A8CAD" w14:textId="77777777" w:rsidR="00FD20E5" w:rsidRPr="004D320C" w:rsidRDefault="00FD20E5" w:rsidP="00FD20E5">
      <w:pPr>
        <w:numPr>
          <w:ilvl w:val="0"/>
          <w:numId w:val="24"/>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 xml:space="preserve">a party to that Deed ceases to be a party,  </w:t>
      </w:r>
    </w:p>
    <w:p w14:paraId="4E33BC76" w14:textId="77777777" w:rsidR="00FD20E5" w:rsidRPr="004D320C" w:rsidRDefault="00FD20E5" w:rsidP="00FD20E5">
      <w:pPr>
        <w:autoSpaceDE w:val="0"/>
        <w:autoSpaceDN w:val="0"/>
        <w:spacing w:before="240" w:after="240" w:line="240" w:lineRule="auto"/>
        <w:ind w:left="1134"/>
        <w:jc w:val="both"/>
        <w:rPr>
          <w:rFonts w:cstheme="minorHAnsi"/>
          <w:color w:val="000000" w:themeColor="text1"/>
          <w:sz w:val="24"/>
          <w:szCs w:val="24"/>
        </w:rPr>
      </w:pPr>
      <w:r w:rsidRPr="004D320C">
        <w:rPr>
          <w:rFonts w:eastAsia="Times New Roman" w:cstheme="minorHAnsi"/>
          <w:color w:val="000000" w:themeColor="text1"/>
          <w:sz w:val="24"/>
          <w:szCs w:val="24"/>
          <w:lang w:eastAsia="en-AU"/>
        </w:rPr>
        <w:t>provide a copy of the document amending or varying that Deed to the Commission within 30 days of the amendment or variation; and</w:t>
      </w:r>
    </w:p>
    <w:p w14:paraId="31D1DF1F" w14:textId="77777777" w:rsidR="00FD20E5" w:rsidRPr="004D320C" w:rsidRDefault="00FD20E5" w:rsidP="00FD20E5">
      <w:pPr>
        <w:numPr>
          <w:ilvl w:val="0"/>
          <w:numId w:val="23"/>
        </w:numPr>
        <w:autoSpaceDE w:val="0"/>
        <w:autoSpaceDN w:val="0"/>
        <w:spacing w:before="240" w:after="240" w:line="240" w:lineRule="auto"/>
        <w:ind w:left="1134" w:hanging="567"/>
        <w:jc w:val="both"/>
        <w:rPr>
          <w:rFonts w:cstheme="minorHAnsi"/>
          <w:color w:val="000000" w:themeColor="text1"/>
          <w:sz w:val="24"/>
          <w:szCs w:val="24"/>
        </w:rPr>
      </w:pPr>
      <w:r w:rsidRPr="004D320C">
        <w:rPr>
          <w:rFonts w:cstheme="minorHAnsi"/>
          <w:color w:val="000000" w:themeColor="text1"/>
          <w:sz w:val="24"/>
          <w:szCs w:val="24"/>
        </w:rPr>
        <w:t>notify the Commission within 7 days if:</w:t>
      </w:r>
    </w:p>
    <w:p w14:paraId="5B698373" w14:textId="77777777" w:rsidR="00FD20E5" w:rsidRPr="004D320C" w:rsidRDefault="00FD20E5" w:rsidP="00FD20E5">
      <w:pPr>
        <w:numPr>
          <w:ilvl w:val="0"/>
          <w:numId w:val="25"/>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the Australian Securities and Investments Commission informally or formally raises any issues in relation to that Deed; or</w:t>
      </w:r>
    </w:p>
    <w:p w14:paraId="79E4AEC9" w14:textId="77777777" w:rsidR="00FD20E5" w:rsidRPr="00ED5C03" w:rsidRDefault="00FD20E5" w:rsidP="00FD20E5">
      <w:pPr>
        <w:numPr>
          <w:ilvl w:val="0"/>
          <w:numId w:val="25"/>
        </w:numPr>
        <w:autoSpaceDE w:val="0"/>
        <w:autoSpaceDN w:val="0"/>
        <w:spacing w:before="240" w:after="240" w:line="240" w:lineRule="auto"/>
        <w:ind w:left="1701" w:hanging="567"/>
        <w:jc w:val="both"/>
        <w:rPr>
          <w:rFonts w:cstheme="minorHAnsi"/>
          <w:color w:val="000000" w:themeColor="text1"/>
          <w:sz w:val="24"/>
          <w:szCs w:val="24"/>
        </w:rPr>
      </w:pPr>
      <w:r w:rsidRPr="004D320C">
        <w:rPr>
          <w:rFonts w:cstheme="minorHAnsi"/>
          <w:color w:val="000000" w:themeColor="text1"/>
          <w:sz w:val="24"/>
          <w:szCs w:val="24"/>
        </w:rPr>
        <w:t>the Licensee becomes aware of any reason why a creditor of the Licensee may not be able to enforce that Deed.</w:t>
      </w:r>
    </w:p>
    <w:p w14:paraId="55125752" w14:textId="77777777" w:rsidR="00FD20E5" w:rsidRDefault="00FD20E5" w:rsidP="00FD20E5">
      <w:pPr>
        <w:spacing w:before="240" w:after="240" w:line="240" w:lineRule="auto"/>
        <w:ind w:left="567" w:hanging="567"/>
        <w:jc w:val="both"/>
        <w:rPr>
          <w:rFonts w:cstheme="minorHAnsi"/>
          <w:sz w:val="24"/>
          <w:szCs w:val="24"/>
        </w:rPr>
      </w:pPr>
      <w:bookmarkStart w:id="7" w:name="_Hlk23256865"/>
    </w:p>
    <w:p w14:paraId="3BACB9D5" w14:textId="09175B2B" w:rsidR="00FD20E5" w:rsidRPr="004D320C" w:rsidRDefault="00FD20E5" w:rsidP="00FD20E5">
      <w:pPr>
        <w:spacing w:before="240" w:after="240" w:line="240" w:lineRule="auto"/>
        <w:ind w:left="567" w:hanging="567"/>
        <w:jc w:val="both"/>
        <w:rPr>
          <w:rFonts w:cstheme="minorHAnsi"/>
          <w:sz w:val="24"/>
          <w:szCs w:val="24"/>
        </w:rPr>
      </w:pPr>
      <w:r w:rsidRPr="004D320C">
        <w:rPr>
          <w:rFonts w:cstheme="minorHAnsi"/>
          <w:sz w:val="24"/>
          <w:szCs w:val="24"/>
        </w:rPr>
        <w:t>Dated the</w:t>
      </w:r>
      <w:r w:rsidR="003F4837">
        <w:rPr>
          <w:rFonts w:cstheme="minorHAnsi"/>
          <w:sz w:val="24"/>
          <w:szCs w:val="24"/>
        </w:rPr>
        <w:t xml:space="preserve"> 22nd</w:t>
      </w:r>
      <w:r>
        <w:rPr>
          <w:rFonts w:cstheme="minorHAnsi"/>
          <w:sz w:val="24"/>
          <w:szCs w:val="24"/>
        </w:rPr>
        <w:t xml:space="preserve"> day of March 2023.</w:t>
      </w:r>
      <w:r w:rsidRPr="004D320C">
        <w:rPr>
          <w:rFonts w:cstheme="minorHAnsi"/>
          <w:sz w:val="24"/>
          <w:szCs w:val="24"/>
        </w:rPr>
        <w:t xml:space="preserve"> </w:t>
      </w:r>
      <w:bookmarkEnd w:id="7"/>
    </w:p>
    <w:p w14:paraId="6C62006F" w14:textId="77777777" w:rsidR="00FD20E5" w:rsidRPr="004D320C" w:rsidRDefault="00FD20E5" w:rsidP="00FD20E5">
      <w:pPr>
        <w:spacing w:before="240" w:after="240" w:line="240" w:lineRule="auto"/>
        <w:ind w:left="567" w:hanging="567"/>
        <w:jc w:val="both"/>
        <w:rPr>
          <w:rFonts w:cstheme="minorHAnsi"/>
          <w:color w:val="000000" w:themeColor="text1"/>
          <w:sz w:val="24"/>
          <w:szCs w:val="24"/>
        </w:rPr>
      </w:pPr>
    </w:p>
    <w:p w14:paraId="06B79D49" w14:textId="77777777" w:rsidR="00FD20E5" w:rsidRPr="004D320C" w:rsidRDefault="00FD20E5" w:rsidP="00FD20E5">
      <w:pPr>
        <w:spacing w:before="240" w:after="240" w:line="240" w:lineRule="auto"/>
        <w:ind w:left="567" w:hanging="567"/>
        <w:jc w:val="both"/>
        <w:rPr>
          <w:rFonts w:cstheme="minorHAnsi"/>
          <w:color w:val="000000" w:themeColor="text1"/>
          <w:sz w:val="24"/>
          <w:szCs w:val="24"/>
        </w:rPr>
      </w:pPr>
    </w:p>
    <w:p w14:paraId="4D19AFD8" w14:textId="77777777" w:rsidR="00FD20E5" w:rsidRPr="00B257AC" w:rsidRDefault="00FD20E5" w:rsidP="00FD20E5">
      <w:pPr>
        <w:pStyle w:val="NoSpacing"/>
        <w:rPr>
          <w:sz w:val="24"/>
          <w:szCs w:val="24"/>
        </w:rPr>
      </w:pPr>
      <w:bookmarkStart w:id="8" w:name="_Hlk23256889"/>
      <w:r w:rsidRPr="00B257AC">
        <w:rPr>
          <w:sz w:val="24"/>
          <w:szCs w:val="24"/>
        </w:rPr>
        <w:t>Peter Richards</w:t>
      </w:r>
    </w:p>
    <w:bookmarkEnd w:id="8"/>
    <w:p w14:paraId="6D7BBF64" w14:textId="77777777" w:rsidR="00FD20E5" w:rsidRPr="00B257AC" w:rsidRDefault="00FD20E5" w:rsidP="00FD20E5">
      <w:pPr>
        <w:pStyle w:val="NoSpacing"/>
        <w:rPr>
          <w:sz w:val="24"/>
          <w:szCs w:val="24"/>
        </w:rPr>
      </w:pPr>
      <w:r w:rsidRPr="00B257AC">
        <w:rPr>
          <w:sz w:val="24"/>
          <w:szCs w:val="24"/>
        </w:rPr>
        <w:t>Chairperson</w:t>
      </w:r>
    </w:p>
    <w:p w14:paraId="3F6A5BEF" w14:textId="77777777" w:rsidR="00FD20E5" w:rsidRPr="00B257AC" w:rsidRDefault="00FD20E5" w:rsidP="00FD20E5">
      <w:pPr>
        <w:pStyle w:val="NoSpacing"/>
        <w:rPr>
          <w:sz w:val="24"/>
          <w:szCs w:val="24"/>
        </w:rPr>
      </w:pPr>
      <w:r w:rsidRPr="00B257AC">
        <w:rPr>
          <w:sz w:val="24"/>
          <w:szCs w:val="24"/>
        </w:rPr>
        <w:t>Safety, Rehabilitation and Compensation Commission</w:t>
      </w:r>
    </w:p>
    <w:p w14:paraId="052F2F61" w14:textId="77777777" w:rsidR="00FD20E5" w:rsidRPr="00424B97" w:rsidRDefault="00FD20E5" w:rsidP="00424B97"/>
    <w:sectPr w:rsidR="00FD20E5"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3D8EF" w14:textId="77777777" w:rsidR="008E4F6C" w:rsidRDefault="008E4F6C" w:rsidP="003A707F">
      <w:pPr>
        <w:spacing w:after="0" w:line="240" w:lineRule="auto"/>
      </w:pPr>
      <w:r>
        <w:separator/>
      </w:r>
    </w:p>
  </w:endnote>
  <w:endnote w:type="continuationSeparator" w:id="0">
    <w:p w14:paraId="5DCD72AD"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623A99-E695-476D-9A2B-9C2D631415FA}"/>
    <w:embedBold r:id="rId2" w:fontKey="{55E21A9A-D5BE-417F-847A-0CB7F034BF58}"/>
    <w:embedItalic r:id="rId3" w:fontKey="{B7F953CD-5EA0-4B92-BD73-5209A288C3A2}"/>
    <w:embedBoldItalic r:id="rId4" w:fontKey="{745983DB-8E59-4664-B89A-64F936952D1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194D1" w14:textId="77777777" w:rsidR="008E4F6C" w:rsidRDefault="008E4F6C" w:rsidP="003A707F">
      <w:pPr>
        <w:spacing w:after="0" w:line="240" w:lineRule="auto"/>
      </w:pPr>
      <w:r>
        <w:separator/>
      </w:r>
    </w:p>
  </w:footnote>
  <w:footnote w:type="continuationSeparator" w:id="0">
    <w:p w14:paraId="55488DA5" w14:textId="77777777" w:rsidR="008E4F6C" w:rsidRDefault="008E4F6C" w:rsidP="003A707F">
      <w:pPr>
        <w:spacing w:after="0" w:line="240" w:lineRule="auto"/>
      </w:pPr>
      <w:r>
        <w:continuationSeparator/>
      </w:r>
    </w:p>
  </w:footnote>
  <w:footnote w:id="1">
    <w:p w14:paraId="6E55BC5C" w14:textId="77777777" w:rsidR="00FD20E5" w:rsidRDefault="00FD20E5" w:rsidP="00FD20E5">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C69613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D782653" w14:textId="77777777" w:rsidR="00F40885" w:rsidRPr="00CE796A" w:rsidRDefault="00F40885" w:rsidP="00840A06">
          <w:pPr>
            <w:spacing w:before="60" w:after="0"/>
            <w:ind w:left="-51"/>
            <w:rPr>
              <w:rFonts w:ascii="Arial" w:hAnsi="Arial"/>
              <w:sz w:val="12"/>
            </w:rPr>
          </w:pPr>
          <w:bookmarkStart w:id="9" w:name="OLE_LINK2"/>
          <w:r>
            <w:rPr>
              <w:rFonts w:ascii="Arial" w:hAnsi="Arial"/>
              <w:noProof/>
              <w:sz w:val="12"/>
              <w:lang w:eastAsia="en-AU"/>
            </w:rPr>
            <w:drawing>
              <wp:inline distT="0" distB="0" distL="0" distR="0" wp14:anchorId="704496E2" wp14:editId="125D4BF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562FDF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1B6C9D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9BF029E"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1C46D34" w14:textId="77777777" w:rsidR="00F40885" w:rsidRPr="00CE796A" w:rsidRDefault="00F40885" w:rsidP="00840A06">
          <w:pPr>
            <w:spacing w:after="0"/>
            <w:ind w:left="-51"/>
            <w:rPr>
              <w:rFonts w:ascii="Arial" w:hAnsi="Arial" w:cs="Arial"/>
              <w:sz w:val="14"/>
              <w:szCs w:val="14"/>
            </w:rPr>
          </w:pPr>
          <w:bookmarkStart w:id="10" w:name="GazNo"/>
          <w:bookmarkEnd w:id="10"/>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79E2A0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9"/>
  </w:tbl>
  <w:p w14:paraId="5FD44A74" w14:textId="77777777" w:rsidR="00F40885" w:rsidRPr="003A707F" w:rsidRDefault="00F40885" w:rsidP="00F40885">
    <w:pPr>
      <w:pStyle w:val="Header"/>
      <w:rPr>
        <w:sz w:val="2"/>
        <w:szCs w:val="2"/>
      </w:rPr>
    </w:pPr>
  </w:p>
  <w:p w14:paraId="6E3922E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9852EA00"/>
    <w:lvl w:ilvl="0" w:tplc="C7C6812E">
      <w:start w:val="1"/>
      <w:numFmt w:val="lowerLetter"/>
      <w:lvlText w:val="(%1)"/>
      <w:lvlJc w:val="left"/>
      <w:pPr>
        <w:tabs>
          <w:tab w:val="num" w:pos="927"/>
        </w:tabs>
        <w:ind w:left="927"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3E97725"/>
    <w:multiLevelType w:val="hybridMultilevel"/>
    <w:tmpl w:val="D5F46D38"/>
    <w:lvl w:ilvl="0" w:tplc="800E249A">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9428E"/>
    <w:multiLevelType w:val="hybridMultilevel"/>
    <w:tmpl w:val="4BA455D4"/>
    <w:lvl w:ilvl="0" w:tplc="FF2CED78">
      <w:start w:val="1"/>
      <w:numFmt w:val="lowerLetter"/>
      <w:lvlText w:val="(%1)"/>
      <w:lvlJc w:val="left"/>
      <w:pPr>
        <w:ind w:left="1287" w:hanging="720"/>
      </w:pPr>
      <w:rPr>
        <w:rFonts w:hint="default"/>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6B23562"/>
    <w:multiLevelType w:val="hybridMultilevel"/>
    <w:tmpl w:val="C8445ACC"/>
    <w:lvl w:ilvl="0" w:tplc="BA8AF584">
      <w:start w:val="1"/>
      <w:numFmt w:val="lowerRoman"/>
      <w:lvlText w:val="(%1)"/>
      <w:lvlJc w:val="left"/>
      <w:pPr>
        <w:ind w:left="1429" w:hanging="360"/>
      </w:pPr>
      <w:rPr>
        <w:rFonts w:hint="default"/>
        <w:b w:val="0"/>
        <w:bCs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F7D010A"/>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5B34591"/>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38A13B3C"/>
    <w:multiLevelType w:val="hybridMultilevel"/>
    <w:tmpl w:val="87289756"/>
    <w:lvl w:ilvl="0" w:tplc="9AF637A0">
      <w:start w:val="45"/>
      <w:numFmt w:val="decimal"/>
      <w:lvlText w:val="%1."/>
      <w:lvlJc w:val="left"/>
      <w:pPr>
        <w:ind w:left="360" w:hanging="360"/>
      </w:pPr>
      <w:rPr>
        <w:rFonts w:hint="default"/>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B925CD6"/>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18" w15:restartNumberingAfterBreak="0">
    <w:nsid w:val="52CE7B9D"/>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97E11F9"/>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601B400E"/>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7514F10"/>
    <w:multiLevelType w:val="hybridMultilevel"/>
    <w:tmpl w:val="1562D6D2"/>
    <w:lvl w:ilvl="0" w:tplc="C0ECAAD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D772AFB"/>
    <w:multiLevelType w:val="hybridMultilevel"/>
    <w:tmpl w:val="E23A7ED0"/>
    <w:lvl w:ilvl="0" w:tplc="64DA57C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70C75489"/>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C830C05"/>
    <w:multiLevelType w:val="hybridMultilevel"/>
    <w:tmpl w:val="C330A69C"/>
    <w:lvl w:ilvl="0" w:tplc="0C09000F">
      <w:start w:val="3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52458F"/>
    <w:multiLevelType w:val="hybridMultilevel"/>
    <w:tmpl w:val="1562D6D2"/>
    <w:lvl w:ilvl="0" w:tplc="C0ECAAD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FD14D9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780947698">
    <w:abstractNumId w:val="3"/>
  </w:num>
  <w:num w:numId="2" w16cid:durableId="1824814958">
    <w:abstractNumId w:val="16"/>
  </w:num>
  <w:num w:numId="3" w16cid:durableId="127361677">
    <w:abstractNumId w:val="23"/>
  </w:num>
  <w:num w:numId="4" w16cid:durableId="2005736834">
    <w:abstractNumId w:val="7"/>
  </w:num>
  <w:num w:numId="5" w16cid:durableId="855196404">
    <w:abstractNumId w:val="10"/>
  </w:num>
  <w:num w:numId="6" w16cid:durableId="1340082693">
    <w:abstractNumId w:val="28"/>
  </w:num>
  <w:num w:numId="7" w16cid:durableId="219681616">
    <w:abstractNumId w:val="5"/>
  </w:num>
  <w:num w:numId="8" w16cid:durableId="367529082">
    <w:abstractNumId w:val="2"/>
  </w:num>
  <w:num w:numId="9" w16cid:durableId="1214197283">
    <w:abstractNumId w:val="0"/>
    <w:lvlOverride w:ilvl="0">
      <w:startOverride w:val="1"/>
    </w:lvlOverride>
  </w:num>
  <w:num w:numId="10" w16cid:durableId="1099065823">
    <w:abstractNumId w:val="11"/>
  </w:num>
  <w:num w:numId="11" w16cid:durableId="1751929889">
    <w:abstractNumId w:val="8"/>
  </w:num>
  <w:num w:numId="12" w16cid:durableId="1068384686">
    <w:abstractNumId w:val="26"/>
  </w:num>
  <w:num w:numId="13" w16cid:durableId="2099477894">
    <w:abstractNumId w:val="12"/>
  </w:num>
  <w:num w:numId="14" w16cid:durableId="1355113039">
    <w:abstractNumId w:val="15"/>
  </w:num>
  <w:num w:numId="15" w16cid:durableId="1322391477">
    <w:abstractNumId w:val="1"/>
  </w:num>
  <w:num w:numId="16" w16cid:durableId="888423750">
    <w:abstractNumId w:val="20"/>
  </w:num>
  <w:num w:numId="17" w16cid:durableId="1655062049">
    <w:abstractNumId w:val="19"/>
  </w:num>
  <w:num w:numId="18" w16cid:durableId="938415962">
    <w:abstractNumId w:val="4"/>
  </w:num>
  <w:num w:numId="19" w16cid:durableId="2105955139">
    <w:abstractNumId w:val="21"/>
  </w:num>
  <w:num w:numId="20" w16cid:durableId="153106388">
    <w:abstractNumId w:val="30"/>
  </w:num>
  <w:num w:numId="21" w16cid:durableId="1875918673">
    <w:abstractNumId w:val="13"/>
  </w:num>
  <w:num w:numId="22" w16cid:durableId="1305158596">
    <w:abstractNumId w:val="24"/>
  </w:num>
  <w:num w:numId="23" w16cid:durableId="1519849711">
    <w:abstractNumId w:val="25"/>
  </w:num>
  <w:num w:numId="24" w16cid:durableId="1522236713">
    <w:abstractNumId w:val="22"/>
  </w:num>
  <w:num w:numId="25" w16cid:durableId="1380856905">
    <w:abstractNumId w:val="9"/>
  </w:num>
  <w:num w:numId="26" w16cid:durableId="454518583">
    <w:abstractNumId w:val="18"/>
  </w:num>
  <w:num w:numId="27" w16cid:durableId="79957933">
    <w:abstractNumId w:val="31"/>
  </w:num>
  <w:num w:numId="28" w16cid:durableId="261767494">
    <w:abstractNumId w:val="14"/>
  </w:num>
  <w:num w:numId="29" w16cid:durableId="1415584754">
    <w:abstractNumId w:val="29"/>
  </w:num>
  <w:num w:numId="30" w16cid:durableId="1202474289">
    <w:abstractNumId w:val="17"/>
  </w:num>
  <w:num w:numId="31" w16cid:durableId="462121603">
    <w:abstractNumId w:val="27"/>
  </w:num>
  <w:num w:numId="32" w16cid:durableId="20695717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E1D85"/>
    <w:rsid w:val="003F2CBD"/>
    <w:rsid w:val="003F4837"/>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 w:val="00FD2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86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FD20E5"/>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FD20E5"/>
  </w:style>
  <w:style w:type="character" w:styleId="FootnoteReference">
    <w:name w:val="footnote reference"/>
    <w:basedOn w:val="DefaultParagraphFont"/>
    <w:uiPriority w:val="99"/>
    <w:semiHidden/>
    <w:rsid w:val="00FD20E5"/>
    <w:rPr>
      <w:vertAlign w:val="superscript"/>
    </w:rPr>
  </w:style>
  <w:style w:type="paragraph" w:styleId="FootnoteText">
    <w:name w:val="footnote text"/>
    <w:basedOn w:val="Normal"/>
    <w:link w:val="FootnoteTextChar"/>
    <w:uiPriority w:val="99"/>
    <w:semiHidden/>
    <w:unhideWhenUsed/>
    <w:rsid w:val="00FD2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20E5"/>
    <w:rPr>
      <w:sz w:val="20"/>
      <w:szCs w:val="20"/>
    </w:rPr>
  </w:style>
  <w:style w:type="paragraph" w:styleId="NoSpacing">
    <w:name w:val="No Spacing"/>
    <w:uiPriority w:val="1"/>
    <w:qFormat/>
    <w:rsid w:val="00FD20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4002</Words>
  <Characters>22815</Characters>
  <Application>Microsoft Office Word</Application>
  <DocSecurity>0</DocSecurity>
  <PresentationFormat/>
  <Lines>190</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2023-03-23T03:04:00Z</dcterms:created>
  <dcterms:modified xsi:type="dcterms:W3CDTF">2023-03-23T03:04:00Z</dcterms:modified>
  <cp:category/>
  <cp:contentStatus/>
  <dc:language/>
  <cp:version/>
</cp:coreProperties>
</file>