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E5A5" w14:textId="77777777" w:rsidR="00AF0CDF" w:rsidRDefault="00AF0CDF" w:rsidP="00654C80">
      <w:pPr>
        <w:jc w:val="center"/>
        <w:rPr>
          <w:rFonts w:ascii="Arial" w:hAnsi="Arial" w:cs="Arial"/>
          <w:b/>
          <w:bCs/>
        </w:rPr>
      </w:pPr>
    </w:p>
    <w:p w14:paraId="32813C63" w14:textId="6B7BB108" w:rsidR="00654C80" w:rsidRPr="007F3D57" w:rsidRDefault="00E21C49" w:rsidP="00654C80">
      <w:pPr>
        <w:jc w:val="center"/>
        <w:rPr>
          <w:rFonts w:ascii="Arial" w:hAnsi="Arial" w:cs="Arial"/>
          <w:b/>
          <w:bCs/>
        </w:rPr>
      </w:pPr>
      <w:r w:rsidRPr="007F3D57">
        <w:rPr>
          <w:rFonts w:ascii="Arial" w:hAnsi="Arial" w:cs="Arial"/>
          <w:b/>
          <w:bCs/>
        </w:rPr>
        <w:t xml:space="preserve">A/G </w:t>
      </w:r>
      <w:r w:rsidR="00E83A9C" w:rsidRPr="007F3D57">
        <w:rPr>
          <w:rFonts w:ascii="Arial" w:hAnsi="Arial" w:cs="Arial"/>
          <w:b/>
          <w:bCs/>
        </w:rPr>
        <w:t>BRANCH HEAD</w:t>
      </w:r>
      <w:r w:rsidR="00654C80" w:rsidRPr="007F3D57">
        <w:rPr>
          <w:rFonts w:ascii="Arial" w:hAnsi="Arial" w:cs="Arial"/>
          <w:b/>
          <w:bCs/>
        </w:rPr>
        <w:t xml:space="preserve">, </w:t>
      </w:r>
      <w:r w:rsidR="003530B2" w:rsidRPr="007F3D57">
        <w:rPr>
          <w:rFonts w:ascii="Arial" w:hAnsi="Arial" w:cs="Arial"/>
          <w:b/>
          <w:bCs/>
        </w:rPr>
        <w:t>LIQUID FUELS</w:t>
      </w:r>
      <w:r w:rsidR="00654C80" w:rsidRPr="007F3D57">
        <w:rPr>
          <w:rFonts w:ascii="Arial" w:hAnsi="Arial" w:cs="Arial"/>
          <w:b/>
          <w:bCs/>
        </w:rPr>
        <w:t xml:space="preserve"> BRANCH</w:t>
      </w:r>
    </w:p>
    <w:p w14:paraId="32813C64" w14:textId="2DEA92CA" w:rsidR="00654C80" w:rsidRPr="007F3D57" w:rsidRDefault="00654C80" w:rsidP="00654C80">
      <w:pPr>
        <w:jc w:val="center"/>
        <w:rPr>
          <w:rFonts w:ascii="Arial" w:hAnsi="Arial" w:cs="Arial"/>
          <w:b/>
          <w:bCs/>
        </w:rPr>
      </w:pPr>
      <w:r w:rsidRPr="007F3D57">
        <w:rPr>
          <w:rFonts w:ascii="Arial" w:hAnsi="Arial" w:cs="Arial"/>
          <w:b/>
          <w:bCs/>
        </w:rPr>
        <w:t xml:space="preserve">DEPARTMENT OF </w:t>
      </w:r>
      <w:r w:rsidR="00E83A9C" w:rsidRPr="007F3D57">
        <w:rPr>
          <w:rFonts w:ascii="Arial" w:hAnsi="Arial" w:cs="Arial"/>
          <w:b/>
          <w:bCs/>
        </w:rPr>
        <w:t>CLIMATE CHANGE, ENERGY, THE ENVIRONMENT AND WATER</w:t>
      </w:r>
    </w:p>
    <w:p w14:paraId="32813C66" w14:textId="0F69054F" w:rsidR="00654C80" w:rsidRPr="007F3D57" w:rsidRDefault="00654C80" w:rsidP="007F70B1">
      <w:pPr>
        <w:spacing w:after="0"/>
        <w:rPr>
          <w:rFonts w:ascii="Arial" w:hAnsi="Arial" w:cs="Arial"/>
          <w:b/>
          <w:bCs/>
        </w:rPr>
      </w:pPr>
      <w:r w:rsidRPr="007F3D57">
        <w:rPr>
          <w:rFonts w:ascii="Arial" w:hAnsi="Arial" w:cs="Arial"/>
          <w:b/>
          <w:bCs/>
        </w:rPr>
        <w:t xml:space="preserve">NOTICE UNDER SECTION 17E (3) OF THE </w:t>
      </w:r>
      <w:r w:rsidRPr="007F3D57">
        <w:rPr>
          <w:rFonts w:ascii="Arial" w:hAnsi="Arial" w:cs="Arial"/>
          <w:b/>
          <w:bCs/>
          <w:i/>
        </w:rPr>
        <w:t>FUEL QUALITY STANDARDS ACT 2000</w:t>
      </w:r>
      <w:r w:rsidRPr="007F3D57">
        <w:rPr>
          <w:rFonts w:ascii="Arial" w:hAnsi="Arial" w:cs="Arial"/>
          <w:b/>
          <w:bCs/>
        </w:rPr>
        <w:t xml:space="preserve"> CONCERNING A </w:t>
      </w:r>
      <w:r w:rsidR="00D150BD" w:rsidRPr="007F3D57">
        <w:rPr>
          <w:rFonts w:ascii="Arial" w:hAnsi="Arial" w:cs="Arial"/>
          <w:b/>
          <w:bCs/>
        </w:rPr>
        <w:t xml:space="preserve">DECISION TO </w:t>
      </w:r>
      <w:r w:rsidR="0003217B" w:rsidRPr="007F3D57">
        <w:rPr>
          <w:rFonts w:ascii="Arial" w:hAnsi="Arial" w:cs="Arial"/>
          <w:b/>
          <w:bCs/>
        </w:rPr>
        <w:t xml:space="preserve">AMEND </w:t>
      </w:r>
      <w:r w:rsidR="00D150BD" w:rsidRPr="007F3D57">
        <w:rPr>
          <w:rFonts w:ascii="Arial" w:hAnsi="Arial" w:cs="Arial"/>
          <w:b/>
          <w:bCs/>
        </w:rPr>
        <w:t>A</w:t>
      </w:r>
      <w:r w:rsidR="0003217B" w:rsidRPr="007F3D57">
        <w:rPr>
          <w:rFonts w:ascii="Arial" w:hAnsi="Arial" w:cs="Arial"/>
          <w:b/>
          <w:bCs/>
        </w:rPr>
        <w:t xml:space="preserve"> VARIATION</w:t>
      </w:r>
      <w:r w:rsidR="00D150BD" w:rsidRPr="007F3D57">
        <w:rPr>
          <w:rFonts w:ascii="Arial" w:hAnsi="Arial" w:cs="Arial"/>
          <w:b/>
          <w:bCs/>
        </w:rPr>
        <w:t xml:space="preserve"> UNDER SECTION </w:t>
      </w:r>
      <w:r w:rsidRPr="007F3D57">
        <w:rPr>
          <w:rFonts w:ascii="Arial" w:hAnsi="Arial" w:cs="Arial"/>
          <w:b/>
          <w:bCs/>
        </w:rPr>
        <w:t>13 OF THAT ACT</w:t>
      </w:r>
      <w:r w:rsidR="002A5089" w:rsidRPr="007F3D57">
        <w:rPr>
          <w:rFonts w:ascii="Arial" w:hAnsi="Arial" w:cs="Arial"/>
          <w:b/>
          <w:bCs/>
        </w:rPr>
        <w:t xml:space="preserve"> – </w:t>
      </w:r>
      <w:r w:rsidR="007F70B1" w:rsidRPr="007F3D57">
        <w:rPr>
          <w:rFonts w:ascii="Arial" w:hAnsi="Arial" w:cs="Arial"/>
          <w:b/>
          <w:bCs/>
        </w:rPr>
        <w:t xml:space="preserve">INTERNATIONAL MOTORSPORT SOLUTIONS PTY LTD </w:t>
      </w:r>
    </w:p>
    <w:p w14:paraId="39FEF4E1" w14:textId="77777777" w:rsidR="007F70B1" w:rsidRPr="007F3D57" w:rsidRDefault="007F70B1" w:rsidP="007F70B1">
      <w:pPr>
        <w:spacing w:after="0"/>
        <w:rPr>
          <w:rFonts w:ascii="Arial" w:hAnsi="Arial" w:cs="Arial"/>
          <w:b/>
          <w:bCs/>
          <w:iCs/>
          <w:sz w:val="20"/>
          <w:szCs w:val="20"/>
        </w:rPr>
      </w:pPr>
    </w:p>
    <w:p w14:paraId="32813C67" w14:textId="0FD98021" w:rsidR="00654C80" w:rsidRPr="007F3D57" w:rsidRDefault="00654C80" w:rsidP="00654C80">
      <w:pPr>
        <w:rPr>
          <w:rFonts w:ascii="Arial" w:hAnsi="Arial" w:cs="Arial"/>
        </w:rPr>
      </w:pPr>
      <w:r w:rsidRPr="007F3D57">
        <w:rPr>
          <w:rFonts w:ascii="Arial" w:hAnsi="Arial" w:cs="Arial"/>
          <w:bCs/>
        </w:rPr>
        <w:t xml:space="preserve">I, </w:t>
      </w:r>
      <w:r w:rsidR="00026D38" w:rsidRPr="007F3D57">
        <w:rPr>
          <w:rFonts w:ascii="Arial" w:hAnsi="Arial" w:cs="Arial"/>
          <w:bCs/>
        </w:rPr>
        <w:t>Cris Cano</w:t>
      </w:r>
      <w:r w:rsidR="0048005F" w:rsidRPr="007F3D57">
        <w:rPr>
          <w:rFonts w:ascii="Arial" w:hAnsi="Arial" w:cs="Arial"/>
          <w:bCs/>
        </w:rPr>
        <w:t xml:space="preserve">, </w:t>
      </w:r>
      <w:r w:rsidR="00026D38" w:rsidRPr="007F3D57">
        <w:rPr>
          <w:rFonts w:ascii="Arial" w:hAnsi="Arial" w:cs="Arial"/>
          <w:bCs/>
        </w:rPr>
        <w:t xml:space="preserve">A/g </w:t>
      </w:r>
      <w:r w:rsidR="0048005F" w:rsidRPr="007F3D57">
        <w:rPr>
          <w:rFonts w:ascii="Arial" w:hAnsi="Arial" w:cs="Arial"/>
          <w:bCs/>
        </w:rPr>
        <w:t>Branch</w:t>
      </w:r>
      <w:r w:rsidR="00254615" w:rsidRPr="007F3D57">
        <w:rPr>
          <w:rFonts w:ascii="Arial" w:hAnsi="Arial" w:cs="Arial"/>
          <w:bCs/>
        </w:rPr>
        <w:t xml:space="preserve"> Head</w:t>
      </w:r>
      <w:r w:rsidRPr="007F3D57">
        <w:rPr>
          <w:rFonts w:ascii="Arial" w:hAnsi="Arial" w:cs="Arial"/>
          <w:bCs/>
        </w:rPr>
        <w:t xml:space="preserve">, </w:t>
      </w:r>
      <w:r w:rsidR="00C80EF0" w:rsidRPr="007F3D57">
        <w:rPr>
          <w:rFonts w:ascii="Arial" w:hAnsi="Arial" w:cs="Arial"/>
          <w:bCs/>
        </w:rPr>
        <w:t>Liquid Fuels Branch,</w:t>
      </w:r>
      <w:r w:rsidRPr="007F3D57">
        <w:rPr>
          <w:rFonts w:ascii="Arial" w:hAnsi="Arial" w:cs="Arial"/>
          <w:bCs/>
        </w:rPr>
        <w:t xml:space="preserve"> delegate of the Minister for </w:t>
      </w:r>
      <w:r w:rsidR="009B7A24" w:rsidRPr="007F3D57">
        <w:rPr>
          <w:rFonts w:ascii="Arial" w:hAnsi="Arial" w:cs="Arial"/>
          <w:bCs/>
        </w:rPr>
        <w:t>Climate</w:t>
      </w:r>
      <w:r w:rsidR="00254615" w:rsidRPr="007F3D57">
        <w:rPr>
          <w:rFonts w:ascii="Arial" w:hAnsi="Arial" w:cs="Arial"/>
          <w:bCs/>
        </w:rPr>
        <w:t xml:space="preserve"> </w:t>
      </w:r>
      <w:r w:rsidR="009B7A24" w:rsidRPr="007F3D57">
        <w:rPr>
          <w:rFonts w:ascii="Arial" w:hAnsi="Arial" w:cs="Arial"/>
          <w:bCs/>
        </w:rPr>
        <w:t>Change and Energy</w:t>
      </w:r>
      <w:r w:rsidRPr="007F3D57">
        <w:rPr>
          <w:rFonts w:ascii="Arial" w:hAnsi="Arial" w:cs="Arial"/>
          <w:bCs/>
        </w:rPr>
        <w:t>, p</w:t>
      </w:r>
      <w:r w:rsidRPr="007F3D57">
        <w:rPr>
          <w:rFonts w:ascii="Arial" w:hAnsi="Arial" w:cs="Arial"/>
        </w:rPr>
        <w:t xml:space="preserve">rovide the following information concerning my decision to </w:t>
      </w:r>
      <w:r w:rsidR="00C935AC" w:rsidRPr="007F3D57">
        <w:rPr>
          <w:rFonts w:ascii="Arial" w:hAnsi="Arial" w:cs="Arial"/>
        </w:rPr>
        <w:t xml:space="preserve">amend </w:t>
      </w:r>
      <w:r w:rsidRPr="007F3D57">
        <w:rPr>
          <w:rFonts w:ascii="Arial" w:hAnsi="Arial" w:cs="Arial"/>
        </w:rPr>
        <w:t xml:space="preserve">an </w:t>
      </w:r>
      <w:r w:rsidR="00B639B2" w:rsidRPr="007F3D57">
        <w:rPr>
          <w:rFonts w:ascii="Arial" w:hAnsi="Arial" w:cs="Arial"/>
        </w:rPr>
        <w:t xml:space="preserve">existing </w:t>
      </w:r>
      <w:r w:rsidR="00C935AC" w:rsidRPr="007F3D57">
        <w:rPr>
          <w:rFonts w:ascii="Arial" w:hAnsi="Arial" w:cs="Arial"/>
        </w:rPr>
        <w:t>variation</w:t>
      </w:r>
      <w:r w:rsidRPr="007F3D57">
        <w:rPr>
          <w:rFonts w:ascii="Arial" w:hAnsi="Arial" w:cs="Arial"/>
        </w:rPr>
        <w:t xml:space="preserve"> under section 13 of the</w:t>
      </w:r>
      <w:r w:rsidRPr="007F3D57">
        <w:rPr>
          <w:rFonts w:ascii="Arial" w:hAnsi="Arial" w:cs="Arial"/>
          <w:i/>
        </w:rPr>
        <w:t xml:space="preserve"> Fuel Quality Standards Act 2000</w:t>
      </w:r>
      <w:r w:rsidR="0048005F" w:rsidRPr="007F3D57">
        <w:rPr>
          <w:rFonts w:ascii="Arial" w:hAnsi="Arial" w:cs="Arial"/>
          <w:i/>
        </w:rPr>
        <w:t xml:space="preserve"> </w:t>
      </w:r>
      <w:r w:rsidR="0048005F" w:rsidRPr="007F3D57">
        <w:rPr>
          <w:rFonts w:ascii="Arial" w:hAnsi="Arial" w:cs="Arial"/>
          <w:iCs/>
        </w:rPr>
        <w:t>(the Act).</w:t>
      </w:r>
    </w:p>
    <w:p w14:paraId="32813C68" w14:textId="77777777" w:rsidR="00654C80" w:rsidRPr="007F3D57" w:rsidRDefault="00654C80" w:rsidP="00654C80">
      <w:pPr>
        <w:rPr>
          <w:rFonts w:ascii="Arial" w:hAnsi="Arial" w:cs="Arial"/>
          <w:b/>
        </w:rPr>
      </w:pPr>
      <w:r w:rsidRPr="007F3D57">
        <w:rPr>
          <w:rFonts w:ascii="Arial" w:hAnsi="Arial" w:cs="Arial"/>
          <w:b/>
        </w:rPr>
        <w:t>Name of approval holder</w:t>
      </w:r>
    </w:p>
    <w:p w14:paraId="359777DF" w14:textId="405CED54" w:rsidR="00F74D90" w:rsidRPr="007F3D57" w:rsidRDefault="00F74D90" w:rsidP="00654C80">
      <w:pPr>
        <w:rPr>
          <w:rFonts w:ascii="Arial" w:hAnsi="Arial" w:cs="Arial"/>
        </w:rPr>
      </w:pPr>
      <w:r w:rsidRPr="007F3D57">
        <w:rPr>
          <w:rFonts w:ascii="Arial" w:hAnsi="Arial" w:cs="Arial"/>
        </w:rPr>
        <w:t>International Motorsport Solutions Pty Ltd (</w:t>
      </w:r>
      <w:r w:rsidR="00241828" w:rsidRPr="007F3D57">
        <w:rPr>
          <w:rFonts w:ascii="Arial" w:hAnsi="Arial" w:cs="Arial"/>
        </w:rPr>
        <w:t>ABN 40</w:t>
      </w:r>
      <w:r w:rsidR="006D6294" w:rsidRPr="007F3D57">
        <w:rPr>
          <w:rFonts w:ascii="Arial" w:hAnsi="Arial" w:cs="Arial"/>
        </w:rPr>
        <w:t xml:space="preserve"> </w:t>
      </w:r>
      <w:r w:rsidR="00241828" w:rsidRPr="007F3D57">
        <w:rPr>
          <w:rFonts w:ascii="Arial" w:hAnsi="Arial" w:cs="Arial"/>
        </w:rPr>
        <w:t>122</w:t>
      </w:r>
      <w:r w:rsidR="006D6294" w:rsidRPr="007F3D57">
        <w:rPr>
          <w:rFonts w:ascii="Arial" w:hAnsi="Arial" w:cs="Arial"/>
        </w:rPr>
        <w:t xml:space="preserve"> </w:t>
      </w:r>
      <w:r w:rsidR="00241828" w:rsidRPr="007F3D57">
        <w:rPr>
          <w:rFonts w:ascii="Arial" w:hAnsi="Arial" w:cs="Arial"/>
        </w:rPr>
        <w:t>179</w:t>
      </w:r>
      <w:r w:rsidR="006D6294" w:rsidRPr="007F3D57">
        <w:rPr>
          <w:rFonts w:ascii="Arial" w:hAnsi="Arial" w:cs="Arial"/>
        </w:rPr>
        <w:t xml:space="preserve"> </w:t>
      </w:r>
      <w:r w:rsidR="00241828" w:rsidRPr="007F3D57">
        <w:rPr>
          <w:rFonts w:ascii="Arial" w:hAnsi="Arial" w:cs="Arial"/>
        </w:rPr>
        <w:t xml:space="preserve">524) </w:t>
      </w:r>
    </w:p>
    <w:p w14:paraId="32813C6A" w14:textId="2374095A" w:rsidR="00654C80" w:rsidRPr="007F3D57" w:rsidRDefault="00654C80" w:rsidP="00654C80">
      <w:pPr>
        <w:rPr>
          <w:rFonts w:ascii="Arial" w:hAnsi="Arial" w:cs="Arial"/>
          <w:b/>
        </w:rPr>
      </w:pPr>
      <w:r w:rsidRPr="007F3D57">
        <w:rPr>
          <w:rFonts w:ascii="Arial" w:hAnsi="Arial" w:cs="Arial"/>
          <w:b/>
        </w:rPr>
        <w:t xml:space="preserve">Details of the variation </w:t>
      </w:r>
    </w:p>
    <w:p w14:paraId="4D759041" w14:textId="1F6F18EF" w:rsidR="00D675EE" w:rsidRPr="007F3D57" w:rsidRDefault="00D675EE" w:rsidP="00323CEC">
      <w:pPr>
        <w:ind w:right="84"/>
        <w:rPr>
          <w:rFonts w:ascii="Arial" w:eastAsia="Calibri" w:hAnsi="Arial"/>
        </w:rPr>
      </w:pPr>
      <w:r w:rsidRPr="007F3D57">
        <w:rPr>
          <w:rFonts w:ascii="Arial" w:eastAsia="Calibri" w:hAnsi="Arial"/>
        </w:rPr>
        <w:t xml:space="preserve">On </w:t>
      </w:r>
      <w:r w:rsidR="00A85739" w:rsidRPr="007F3D57">
        <w:rPr>
          <w:rFonts w:ascii="Arial" w:eastAsia="Calibri" w:hAnsi="Arial"/>
        </w:rPr>
        <w:t>23 June 2023, a</w:t>
      </w:r>
      <w:r w:rsidR="00EE58B7" w:rsidRPr="007F3D57">
        <w:rPr>
          <w:rFonts w:ascii="Arial" w:eastAsia="Calibri" w:hAnsi="Arial"/>
        </w:rPr>
        <w:t xml:space="preserve"> variation </w:t>
      </w:r>
      <w:r w:rsidRPr="007F3D57">
        <w:rPr>
          <w:rFonts w:ascii="Arial" w:eastAsia="Calibri" w:hAnsi="Arial"/>
        </w:rPr>
        <w:t xml:space="preserve">was granted to International Motorsport Solutions Pty Ltd to vary the Fuel Quality Standards (Petrol) Determination 2019 and the Fuel Quality Standards (Ethanol E85) Determination 2019 to permit the supply of specialist unleaded racing fuel as specified in the approval. </w:t>
      </w:r>
      <w:r w:rsidR="007840DA" w:rsidRPr="007F3D57">
        <w:rPr>
          <w:rFonts w:ascii="Arial" w:eastAsia="Calibri" w:hAnsi="Arial"/>
        </w:rPr>
        <w:t>IMS</w:t>
      </w:r>
      <w:r w:rsidRPr="007F3D57">
        <w:rPr>
          <w:rFonts w:ascii="Arial" w:eastAsia="Calibri" w:hAnsi="Arial"/>
        </w:rPr>
        <w:t xml:space="preserve"> has since applied to </w:t>
      </w:r>
      <w:r w:rsidR="00EE58B7" w:rsidRPr="007F3D57">
        <w:rPr>
          <w:rFonts w:ascii="Arial" w:eastAsia="Calibri" w:hAnsi="Arial"/>
        </w:rPr>
        <w:t xml:space="preserve">amend </w:t>
      </w:r>
      <w:r w:rsidRPr="007F3D57">
        <w:rPr>
          <w:rFonts w:ascii="Arial" w:eastAsia="Calibri" w:hAnsi="Arial"/>
        </w:rPr>
        <w:t>the approval by adding the following regulated persons</w:t>
      </w:r>
      <w:r w:rsidR="005E1854" w:rsidRPr="007F3D57">
        <w:rPr>
          <w:rFonts w:ascii="Arial" w:eastAsia="Calibri" w:hAnsi="Arial"/>
        </w:rPr>
        <w:t>.</w:t>
      </w:r>
    </w:p>
    <w:p w14:paraId="6E52530C" w14:textId="041C3EED" w:rsidR="00323CEC" w:rsidRPr="007F3D57" w:rsidRDefault="00323CEC" w:rsidP="00323CEC">
      <w:pPr>
        <w:ind w:right="84"/>
        <w:rPr>
          <w:rFonts w:ascii="Arial" w:eastAsia="Calibri" w:hAnsi="Arial"/>
        </w:rPr>
      </w:pPr>
      <w:r w:rsidRPr="007F3D57">
        <w:rPr>
          <w:rFonts w:ascii="Arial" w:eastAsia="Calibri" w:hAnsi="Arial"/>
        </w:rPr>
        <w:t xml:space="preserve">Pursuant to subsection 17E of the Act, this adds the following regulated person to the approval: </w:t>
      </w:r>
    </w:p>
    <w:tbl>
      <w:tblPr>
        <w:tblStyle w:val="TableGrid"/>
        <w:tblW w:w="9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2267"/>
        <w:gridCol w:w="2830"/>
      </w:tblGrid>
      <w:tr w:rsidR="007F3360" w:rsidRPr="007F3D57" w14:paraId="699F2B81" w14:textId="77777777" w:rsidTr="007F3360">
        <w:trPr>
          <w:trHeight w:val="497"/>
        </w:trPr>
        <w:tc>
          <w:tcPr>
            <w:tcW w:w="4390" w:type="dxa"/>
            <w:hideMark/>
          </w:tcPr>
          <w:p w14:paraId="15BBC14E" w14:textId="77777777" w:rsidR="00323CEC" w:rsidRPr="007F3D57" w:rsidRDefault="00323CEC" w:rsidP="001508AA">
            <w:pPr>
              <w:rPr>
                <w:rFonts w:ascii="Arial" w:hAnsi="Arial" w:cs="Arial"/>
                <w:b/>
                <w:bCs/>
              </w:rPr>
            </w:pPr>
            <w:r w:rsidRPr="007F3D57">
              <w:rPr>
                <w:rFonts w:ascii="Arial" w:hAnsi="Arial" w:cs="Arial"/>
                <w:b/>
                <w:bCs/>
              </w:rPr>
              <w:t xml:space="preserve">Name </w:t>
            </w:r>
          </w:p>
        </w:tc>
        <w:tc>
          <w:tcPr>
            <w:tcW w:w="2268" w:type="dxa"/>
            <w:hideMark/>
          </w:tcPr>
          <w:p w14:paraId="5EF38EA7" w14:textId="77777777" w:rsidR="00323CEC" w:rsidRPr="007F3D57" w:rsidRDefault="00323CEC" w:rsidP="001508AA">
            <w:pPr>
              <w:rPr>
                <w:rFonts w:ascii="Arial" w:hAnsi="Arial" w:cs="Arial"/>
                <w:b/>
                <w:bCs/>
              </w:rPr>
            </w:pPr>
            <w:r w:rsidRPr="007F3D57">
              <w:rPr>
                <w:rFonts w:ascii="Arial" w:hAnsi="Arial" w:cs="Arial"/>
                <w:b/>
                <w:bCs/>
              </w:rPr>
              <w:t>ABN</w:t>
            </w:r>
          </w:p>
        </w:tc>
        <w:tc>
          <w:tcPr>
            <w:tcW w:w="2831" w:type="dxa"/>
            <w:hideMark/>
          </w:tcPr>
          <w:p w14:paraId="40B48D57" w14:textId="77777777" w:rsidR="00323CEC" w:rsidRPr="007F3D57" w:rsidRDefault="00323CEC" w:rsidP="001508AA">
            <w:pPr>
              <w:spacing w:line="276" w:lineRule="auto"/>
              <w:rPr>
                <w:rFonts w:ascii="Arial" w:hAnsi="Arial" w:cs="Arial"/>
                <w:b/>
                <w:bCs/>
              </w:rPr>
            </w:pPr>
            <w:r w:rsidRPr="007F3D57">
              <w:rPr>
                <w:rFonts w:ascii="Arial" w:hAnsi="Arial" w:cs="Arial"/>
                <w:b/>
                <w:bCs/>
              </w:rPr>
              <w:t>Street Address</w:t>
            </w:r>
          </w:p>
        </w:tc>
      </w:tr>
      <w:tr w:rsidR="00C85EF4" w:rsidRPr="007F3D57" w14:paraId="0B357EF1" w14:textId="77777777" w:rsidTr="00677490">
        <w:trPr>
          <w:trHeight w:val="624"/>
        </w:trPr>
        <w:tc>
          <w:tcPr>
            <w:tcW w:w="4390" w:type="dxa"/>
          </w:tcPr>
          <w:p w14:paraId="1A54D918" w14:textId="163A7B05" w:rsidR="001508AA" w:rsidRPr="007F3D57" w:rsidRDefault="00C85EF4" w:rsidP="00C85EF4">
            <w:pPr>
              <w:tabs>
                <w:tab w:val="left" w:pos="1305"/>
              </w:tabs>
              <w:spacing w:line="276" w:lineRule="auto"/>
              <w:rPr>
                <w:rFonts w:ascii="Arial" w:hAnsi="Arial" w:cs="Arial"/>
              </w:rPr>
            </w:pPr>
            <w:r w:rsidRPr="007F3D57">
              <w:rPr>
                <w:rFonts w:ascii="Arial" w:hAnsi="Arial" w:cs="Arial"/>
              </w:rPr>
              <w:t xml:space="preserve">The Trustee for </w:t>
            </w:r>
            <w:proofErr w:type="spellStart"/>
            <w:r w:rsidRPr="007F3D57">
              <w:rPr>
                <w:rFonts w:ascii="Arial" w:hAnsi="Arial" w:cs="Arial"/>
              </w:rPr>
              <w:t>Apro</w:t>
            </w:r>
            <w:proofErr w:type="spellEnd"/>
            <w:r w:rsidRPr="007F3D57">
              <w:rPr>
                <w:rFonts w:ascii="Arial" w:hAnsi="Arial" w:cs="Arial"/>
              </w:rPr>
              <w:t xml:space="preserve"> Motorsports Trust</w:t>
            </w:r>
          </w:p>
        </w:tc>
        <w:tc>
          <w:tcPr>
            <w:tcW w:w="2268" w:type="dxa"/>
          </w:tcPr>
          <w:p w14:paraId="44193068" w14:textId="78E29ED6" w:rsidR="001508AA" w:rsidRPr="007F3D57" w:rsidRDefault="00C85EF4" w:rsidP="001508AA">
            <w:pPr>
              <w:spacing w:after="200" w:line="276" w:lineRule="auto"/>
              <w:rPr>
                <w:rFonts w:ascii="Arial" w:hAnsi="Arial" w:cs="Arial"/>
              </w:rPr>
            </w:pPr>
            <w:r w:rsidRPr="007F3D57">
              <w:rPr>
                <w:rFonts w:ascii="Arial" w:hAnsi="Arial" w:cs="Arial"/>
              </w:rPr>
              <w:t>76 502 533 157</w:t>
            </w:r>
          </w:p>
        </w:tc>
        <w:tc>
          <w:tcPr>
            <w:tcW w:w="2831" w:type="dxa"/>
          </w:tcPr>
          <w:p w14:paraId="1562D296" w14:textId="279741D4" w:rsidR="001508AA" w:rsidRPr="007F3D57" w:rsidRDefault="00677490" w:rsidP="001508AA">
            <w:pPr>
              <w:tabs>
                <w:tab w:val="left" w:pos="1305"/>
              </w:tabs>
              <w:spacing w:after="200" w:line="276" w:lineRule="auto"/>
              <w:rPr>
                <w:rFonts w:ascii="Arial" w:eastAsia="Times New Roman" w:hAnsi="Arial" w:cs="Arial"/>
              </w:rPr>
            </w:pPr>
            <w:r w:rsidRPr="007F3D57">
              <w:rPr>
                <w:rFonts w:ascii="Arial" w:eastAsia="Times New Roman" w:hAnsi="Arial" w:cs="Arial"/>
              </w:rPr>
              <w:t xml:space="preserve">44/7 </w:t>
            </w:r>
            <w:proofErr w:type="spellStart"/>
            <w:r w:rsidRPr="007F3D57">
              <w:rPr>
                <w:rFonts w:ascii="Arial" w:eastAsia="Times New Roman" w:hAnsi="Arial" w:cs="Arial"/>
              </w:rPr>
              <w:t>Waynote</w:t>
            </w:r>
            <w:proofErr w:type="spellEnd"/>
            <w:r w:rsidRPr="007F3D57">
              <w:rPr>
                <w:rFonts w:ascii="Arial" w:eastAsia="Times New Roman" w:hAnsi="Arial" w:cs="Arial"/>
              </w:rPr>
              <w:t xml:space="preserve"> Place </w:t>
            </w:r>
            <w:r w:rsidRPr="007F3D57">
              <w:rPr>
                <w:rFonts w:ascii="Arial" w:eastAsia="Times New Roman" w:hAnsi="Arial" w:cs="Arial"/>
              </w:rPr>
              <w:br/>
              <w:t>Unanderra NSW 2526</w:t>
            </w:r>
          </w:p>
        </w:tc>
      </w:tr>
      <w:tr w:rsidR="00C85EF4" w:rsidRPr="007F3D57" w14:paraId="1B7F8481" w14:textId="77777777" w:rsidTr="00677490">
        <w:trPr>
          <w:trHeight w:val="738"/>
        </w:trPr>
        <w:tc>
          <w:tcPr>
            <w:tcW w:w="4395" w:type="dxa"/>
          </w:tcPr>
          <w:p w14:paraId="10CBB35A" w14:textId="0742A95F" w:rsidR="00C85EF4" w:rsidRPr="007F3D57" w:rsidDel="00C85EF4" w:rsidRDefault="00C85EF4" w:rsidP="00677490">
            <w:pPr>
              <w:tabs>
                <w:tab w:val="left" w:pos="1305"/>
              </w:tabs>
              <w:spacing w:line="276" w:lineRule="auto"/>
              <w:rPr>
                <w:rFonts w:ascii="Arial" w:hAnsi="Arial" w:cs="Arial"/>
              </w:rPr>
            </w:pPr>
            <w:proofErr w:type="spellStart"/>
            <w:r w:rsidRPr="007F3D57">
              <w:rPr>
                <w:rFonts w:ascii="Arial" w:hAnsi="Arial" w:cs="Arial"/>
              </w:rPr>
              <w:t>Adicted</w:t>
            </w:r>
            <w:proofErr w:type="spellEnd"/>
            <w:r w:rsidRPr="007F3D57">
              <w:rPr>
                <w:rFonts w:ascii="Arial" w:hAnsi="Arial" w:cs="Arial"/>
              </w:rPr>
              <w:t xml:space="preserve"> Performance</w:t>
            </w:r>
          </w:p>
        </w:tc>
        <w:tc>
          <w:tcPr>
            <w:tcW w:w="2268" w:type="dxa"/>
          </w:tcPr>
          <w:p w14:paraId="71AC2AE1" w14:textId="1383AC30" w:rsidR="00C85EF4" w:rsidRPr="007F3D57" w:rsidDel="00094C98" w:rsidRDefault="00677490" w:rsidP="001508AA">
            <w:pPr>
              <w:rPr>
                <w:rFonts w:ascii="Arial" w:hAnsi="Arial" w:cs="Arial"/>
              </w:rPr>
            </w:pPr>
            <w:r w:rsidRPr="007F3D57">
              <w:rPr>
                <w:rFonts w:ascii="Arial" w:hAnsi="Arial"/>
              </w:rPr>
              <w:t>41 681 976 421</w:t>
            </w:r>
          </w:p>
        </w:tc>
        <w:tc>
          <w:tcPr>
            <w:tcW w:w="2826" w:type="dxa"/>
          </w:tcPr>
          <w:p w14:paraId="142D02BD" w14:textId="77777777" w:rsidR="00677490" w:rsidRPr="007F3D57" w:rsidRDefault="00677490" w:rsidP="00677490">
            <w:pPr>
              <w:tabs>
                <w:tab w:val="left" w:pos="1305"/>
              </w:tabs>
              <w:rPr>
                <w:rFonts w:ascii="Arial" w:hAnsi="Arial" w:cs="Arial"/>
              </w:rPr>
            </w:pPr>
            <w:r w:rsidRPr="007F3D57">
              <w:rPr>
                <w:rFonts w:ascii="Arial" w:hAnsi="Arial" w:cs="Arial"/>
              </w:rPr>
              <w:t xml:space="preserve">2-14 Rimfire Drive </w:t>
            </w:r>
          </w:p>
          <w:p w14:paraId="74F5F9DD" w14:textId="1DCECF46" w:rsidR="00C85EF4" w:rsidRPr="007F3D57" w:rsidDel="00094C98" w:rsidRDefault="00677490" w:rsidP="00677490">
            <w:pPr>
              <w:tabs>
                <w:tab w:val="left" w:pos="1305"/>
              </w:tabs>
              <w:rPr>
                <w:rFonts w:ascii="Arial" w:hAnsi="Arial" w:cs="Arial"/>
              </w:rPr>
            </w:pPr>
            <w:r w:rsidRPr="007F3D57">
              <w:rPr>
                <w:rFonts w:ascii="Arial" w:hAnsi="Arial" w:cs="Arial"/>
              </w:rPr>
              <w:t>Hallam VIC 3803</w:t>
            </w:r>
          </w:p>
        </w:tc>
      </w:tr>
      <w:tr w:rsidR="00C85EF4" w:rsidRPr="007F3D57" w14:paraId="2397113B" w14:textId="77777777" w:rsidTr="00677490">
        <w:trPr>
          <w:trHeight w:val="738"/>
        </w:trPr>
        <w:tc>
          <w:tcPr>
            <w:tcW w:w="4395" w:type="dxa"/>
          </w:tcPr>
          <w:p w14:paraId="060B0E07" w14:textId="7E72098C" w:rsidR="00C85EF4" w:rsidRPr="007F3D57" w:rsidDel="00C85EF4" w:rsidRDefault="00C85EF4" w:rsidP="001508AA">
            <w:pPr>
              <w:tabs>
                <w:tab w:val="left" w:pos="1305"/>
              </w:tabs>
              <w:rPr>
                <w:rFonts w:ascii="Arial" w:hAnsi="Arial" w:cs="Arial"/>
              </w:rPr>
            </w:pPr>
            <w:r w:rsidRPr="007F3D57">
              <w:rPr>
                <w:rFonts w:ascii="Arial" w:hAnsi="Arial" w:cs="Arial"/>
              </w:rPr>
              <w:t>Bowtie Tiling Pty Ltd</w:t>
            </w:r>
          </w:p>
        </w:tc>
        <w:tc>
          <w:tcPr>
            <w:tcW w:w="2268" w:type="dxa"/>
          </w:tcPr>
          <w:p w14:paraId="7125C8C1" w14:textId="5BB21055" w:rsidR="00C85EF4" w:rsidRPr="007F3D57" w:rsidDel="00094C98" w:rsidRDefault="00677490" w:rsidP="001508AA">
            <w:pPr>
              <w:rPr>
                <w:rFonts w:ascii="Arial" w:hAnsi="Arial" w:cs="Arial"/>
              </w:rPr>
            </w:pPr>
            <w:r w:rsidRPr="007F3D57">
              <w:rPr>
                <w:rFonts w:ascii="Arial" w:eastAsia="Calibri" w:hAnsi="Arial"/>
              </w:rPr>
              <w:t>71 199 431 286</w:t>
            </w:r>
          </w:p>
        </w:tc>
        <w:tc>
          <w:tcPr>
            <w:tcW w:w="2826" w:type="dxa"/>
          </w:tcPr>
          <w:p w14:paraId="18E19D9F" w14:textId="77777777" w:rsidR="00677490" w:rsidRPr="007F3D57" w:rsidRDefault="00677490" w:rsidP="00677490">
            <w:pPr>
              <w:tabs>
                <w:tab w:val="left" w:pos="1305"/>
              </w:tabs>
              <w:rPr>
                <w:rFonts w:ascii="Arial" w:hAnsi="Arial" w:cs="Arial"/>
              </w:rPr>
            </w:pPr>
            <w:r w:rsidRPr="007F3D57">
              <w:rPr>
                <w:rFonts w:ascii="Arial" w:hAnsi="Arial" w:cs="Arial"/>
              </w:rPr>
              <w:t xml:space="preserve">PO Box 1037 </w:t>
            </w:r>
          </w:p>
          <w:p w14:paraId="51938661" w14:textId="22688AC5" w:rsidR="00C85EF4" w:rsidRPr="007F3D57" w:rsidDel="00094C98" w:rsidRDefault="00677490" w:rsidP="00677490">
            <w:pPr>
              <w:tabs>
                <w:tab w:val="left" w:pos="1305"/>
              </w:tabs>
              <w:rPr>
                <w:rFonts w:ascii="Arial" w:hAnsi="Arial" w:cs="Arial"/>
              </w:rPr>
            </w:pPr>
            <w:r w:rsidRPr="007F3D57">
              <w:rPr>
                <w:rFonts w:ascii="Arial" w:hAnsi="Arial" w:cs="Arial"/>
              </w:rPr>
              <w:t>Flinders Park SA 5025</w:t>
            </w:r>
          </w:p>
        </w:tc>
      </w:tr>
    </w:tbl>
    <w:p w14:paraId="1F89E41E" w14:textId="5CFF7DE4" w:rsidR="00323CEC" w:rsidRPr="007F3D57" w:rsidRDefault="00654C80" w:rsidP="00654C80">
      <w:pPr>
        <w:rPr>
          <w:rFonts w:ascii="Arial" w:hAnsi="Arial" w:cs="Arial"/>
          <w:b/>
        </w:rPr>
      </w:pPr>
      <w:r w:rsidRPr="007F3D57">
        <w:rPr>
          <w:rFonts w:ascii="Arial" w:hAnsi="Arial" w:cs="Arial"/>
          <w:b/>
        </w:rPr>
        <w:t>Period of operation</w:t>
      </w:r>
    </w:p>
    <w:p w14:paraId="32813C7D" w14:textId="27C1F68D" w:rsidR="00654C80" w:rsidRPr="007F3D57" w:rsidRDefault="00654C80" w:rsidP="00654C80">
      <w:pPr>
        <w:rPr>
          <w:rFonts w:ascii="Arial" w:hAnsi="Arial" w:cs="Arial"/>
        </w:rPr>
      </w:pPr>
      <w:r w:rsidRPr="007F3D57">
        <w:rPr>
          <w:rFonts w:ascii="Arial" w:hAnsi="Arial" w:cs="Arial"/>
        </w:rPr>
        <w:t>The</w:t>
      </w:r>
      <w:r w:rsidR="00EE58B7" w:rsidRPr="007F3D57">
        <w:rPr>
          <w:rFonts w:ascii="Arial" w:hAnsi="Arial" w:cs="Arial"/>
        </w:rPr>
        <w:t xml:space="preserve"> amendment</w:t>
      </w:r>
      <w:r w:rsidR="6B013ED7" w:rsidRPr="007F3D57">
        <w:rPr>
          <w:rFonts w:ascii="Arial" w:hAnsi="Arial" w:cs="Arial"/>
        </w:rPr>
        <w:t xml:space="preserve"> </w:t>
      </w:r>
      <w:r w:rsidRPr="007F3D57">
        <w:rPr>
          <w:rFonts w:ascii="Arial" w:hAnsi="Arial" w:cs="Arial"/>
        </w:rPr>
        <w:t xml:space="preserve">comes into force </w:t>
      </w:r>
      <w:r w:rsidR="4ECA452F" w:rsidRPr="007F3D57">
        <w:rPr>
          <w:rFonts w:ascii="Arial" w:hAnsi="Arial" w:cs="Arial"/>
        </w:rPr>
        <w:t xml:space="preserve">from </w:t>
      </w:r>
      <w:r w:rsidR="00EE58B7" w:rsidRPr="007F3D57">
        <w:rPr>
          <w:rFonts w:ascii="Arial" w:hAnsi="Arial" w:cs="Arial"/>
        </w:rPr>
        <w:t xml:space="preserve">the date of this approval </w:t>
      </w:r>
      <w:r w:rsidRPr="007F3D57">
        <w:rPr>
          <w:rFonts w:ascii="Arial" w:hAnsi="Arial" w:cs="Arial"/>
        </w:rPr>
        <w:t>and remains in force until</w:t>
      </w:r>
      <w:r w:rsidR="50EA343B" w:rsidRPr="007F3D57">
        <w:rPr>
          <w:rFonts w:ascii="Arial" w:hAnsi="Arial" w:cs="Arial"/>
        </w:rPr>
        <w:t xml:space="preserve"> </w:t>
      </w:r>
      <w:r w:rsidR="00EA2643" w:rsidRPr="007F3D57">
        <w:rPr>
          <w:rFonts w:ascii="Arial" w:hAnsi="Arial" w:cs="Arial"/>
        </w:rPr>
        <w:t>30 June 2024</w:t>
      </w:r>
      <w:r w:rsidR="51B80E9E" w:rsidRPr="007F3D57">
        <w:rPr>
          <w:rFonts w:ascii="Arial" w:hAnsi="Arial" w:cs="Arial"/>
        </w:rPr>
        <w:t xml:space="preserve">. </w:t>
      </w:r>
    </w:p>
    <w:p w14:paraId="32813C7E" w14:textId="77777777" w:rsidR="00654C80" w:rsidRPr="007F3D57" w:rsidRDefault="00654C80" w:rsidP="00654C80">
      <w:pPr>
        <w:spacing w:before="240"/>
        <w:rPr>
          <w:rFonts w:ascii="Arial" w:hAnsi="Arial" w:cs="Arial"/>
          <w:b/>
        </w:rPr>
      </w:pPr>
      <w:r w:rsidRPr="007F3D57">
        <w:rPr>
          <w:rFonts w:ascii="Arial" w:hAnsi="Arial" w:cs="Arial"/>
          <w:b/>
        </w:rPr>
        <w:t>Summary of reasons for the variation</w:t>
      </w:r>
    </w:p>
    <w:p w14:paraId="32813C7F" w14:textId="77777777" w:rsidR="00654C80" w:rsidRPr="007F3D57" w:rsidRDefault="00654C80" w:rsidP="00654C80">
      <w:pPr>
        <w:rPr>
          <w:rFonts w:ascii="Arial" w:hAnsi="Arial" w:cs="Arial"/>
        </w:rPr>
      </w:pPr>
      <w:r w:rsidRPr="007F3D57">
        <w:rPr>
          <w:rFonts w:ascii="Arial" w:hAnsi="Arial" w:cs="Arial"/>
        </w:rPr>
        <w:t>I grant the variation as provided for in section 15 of the Act for the following reasons:</w:t>
      </w:r>
    </w:p>
    <w:p w14:paraId="7FF65C0F" w14:textId="571C59E3" w:rsidR="00C77D19" w:rsidRPr="007F3D57" w:rsidRDefault="00654C80" w:rsidP="004449E5">
      <w:pPr>
        <w:pStyle w:val="ListParagraph"/>
        <w:numPr>
          <w:ilvl w:val="0"/>
          <w:numId w:val="1"/>
        </w:numPr>
        <w:ind w:left="709"/>
        <w:rPr>
          <w:rFonts w:ascii="Arial" w:hAnsi="Arial" w:cs="Arial"/>
        </w:rPr>
      </w:pPr>
      <w:r w:rsidRPr="007F3D57">
        <w:rPr>
          <w:rFonts w:ascii="Arial" w:hAnsi="Arial" w:cs="Arial"/>
        </w:rPr>
        <w:t>The protection of the environment</w:t>
      </w:r>
    </w:p>
    <w:p w14:paraId="698DB75C" w14:textId="77777777" w:rsidR="00C77D19" w:rsidRPr="007F3D57" w:rsidRDefault="00C77D19" w:rsidP="007F3360">
      <w:pPr>
        <w:pStyle w:val="ListParagraph"/>
        <w:ind w:left="709"/>
      </w:pPr>
    </w:p>
    <w:p w14:paraId="262CB205" w14:textId="30D153EF" w:rsidR="00707031" w:rsidRPr="007F3D57" w:rsidRDefault="00707031" w:rsidP="00C77D19">
      <w:pPr>
        <w:pStyle w:val="ListNumber"/>
        <w:keepNext/>
        <w:numPr>
          <w:ilvl w:val="0"/>
          <w:numId w:val="0"/>
        </w:numPr>
        <w:ind w:left="709"/>
      </w:pPr>
      <w:bookmarkStart w:id="0" w:name="_Hlk143102822"/>
      <w:r w:rsidRPr="007F3D57">
        <w:lastRenderedPageBreak/>
        <w:t xml:space="preserve">This variation does not amend any of the conditions imposed on the original approval and does not create any additional impacts on the environment. </w:t>
      </w:r>
    </w:p>
    <w:p w14:paraId="5E740413" w14:textId="6CF8ADA7" w:rsidR="00707031" w:rsidRPr="007F3D57" w:rsidRDefault="00707031" w:rsidP="005F7AEB">
      <w:pPr>
        <w:pStyle w:val="ListNumber"/>
        <w:keepNext/>
        <w:numPr>
          <w:ilvl w:val="0"/>
          <w:numId w:val="0"/>
        </w:numPr>
        <w:ind w:left="709"/>
      </w:pPr>
      <w:r w:rsidRPr="007F3D57">
        <w:t xml:space="preserve">The </w:t>
      </w:r>
      <w:r w:rsidR="00EE58B7" w:rsidRPr="007F3D57">
        <w:t xml:space="preserve">addition </w:t>
      </w:r>
      <w:r w:rsidRPr="007F3D57">
        <w:t xml:space="preserve">of </w:t>
      </w:r>
      <w:r w:rsidR="00EE58B7" w:rsidRPr="007F3D57">
        <w:t xml:space="preserve">the requested </w:t>
      </w:r>
      <w:r w:rsidR="00CE2B95" w:rsidRPr="007F3D57">
        <w:t>three</w:t>
      </w:r>
      <w:r w:rsidRPr="007F3D57">
        <w:t xml:space="preserve"> regulated </w:t>
      </w:r>
      <w:r w:rsidR="00EE58B7" w:rsidRPr="007F3D57">
        <w:t>persons, is</w:t>
      </w:r>
      <w:r w:rsidRPr="007F3D57">
        <w:t xml:space="preserve"> not expected to significantly alter the volume of the original approval. The original approval also requires the holder to report the quantity of fuel supplied.</w:t>
      </w:r>
    </w:p>
    <w:p w14:paraId="33C22B8A" w14:textId="0C89AAFE" w:rsidR="00C77D19" w:rsidRPr="007F3D57" w:rsidRDefault="00C77D19" w:rsidP="005F7AEB">
      <w:pPr>
        <w:pStyle w:val="ListNumber"/>
        <w:keepNext/>
        <w:numPr>
          <w:ilvl w:val="0"/>
          <w:numId w:val="0"/>
        </w:numPr>
        <w:ind w:left="709"/>
      </w:pPr>
      <w:r w:rsidRPr="007F3D57">
        <w:t xml:space="preserve">Specialist racing fuels are supplied to regulated persons in limited quantities and regulated persons must comply with any conditions imposed by the existing variation, which includes strict limitations on the usage of the fuel. </w:t>
      </w:r>
    </w:p>
    <w:bookmarkEnd w:id="0"/>
    <w:p w14:paraId="32813C83" w14:textId="77777777" w:rsidR="00654C80" w:rsidRPr="007F3D57" w:rsidRDefault="00654C80" w:rsidP="00654C80">
      <w:pPr>
        <w:pStyle w:val="ListNumber"/>
        <w:keepNext/>
        <w:numPr>
          <w:ilvl w:val="0"/>
          <w:numId w:val="1"/>
        </w:numPr>
        <w:ind w:left="709"/>
      </w:pPr>
      <w:r w:rsidRPr="007F3D57">
        <w:t>The protection of occupational and public health and safety</w:t>
      </w:r>
    </w:p>
    <w:p w14:paraId="15035777" w14:textId="1AD7F71E" w:rsidR="00C77D19" w:rsidRPr="007F3D57" w:rsidRDefault="00741E78" w:rsidP="00741E78">
      <w:pPr>
        <w:pStyle w:val="ListNumber"/>
        <w:keepNext/>
        <w:numPr>
          <w:ilvl w:val="0"/>
          <w:numId w:val="0"/>
        </w:numPr>
        <w:ind w:left="709"/>
      </w:pPr>
      <w:bookmarkStart w:id="1" w:name="_Hlk143102848"/>
      <w:r w:rsidRPr="007F3D57">
        <w:t>Specialist racing fuels are supplied in sealed containers of up to 200 litres capacity and are used in small quantities, predominantly in off-road activities, and in widely dispersed locations</w:t>
      </w:r>
      <w:r w:rsidR="00EE58B7" w:rsidRPr="007F3D57">
        <w:t>.</w:t>
      </w:r>
      <w:r w:rsidRPr="007F3D57">
        <w:t xml:space="preserve"> Safe handling information </w:t>
      </w:r>
      <w:r w:rsidR="00EE58B7" w:rsidRPr="007F3D57">
        <w:t xml:space="preserve">and limitations of where this fuel can be used are provided in the </w:t>
      </w:r>
      <w:r w:rsidR="00C77D19" w:rsidRPr="007F3D57">
        <w:t>existing</w:t>
      </w:r>
      <w:r w:rsidR="00EE58B7" w:rsidRPr="007F3D57">
        <w:t xml:space="preserve"> approval</w:t>
      </w:r>
      <w:r w:rsidRPr="007F3D57">
        <w:t xml:space="preserve">. </w:t>
      </w:r>
    </w:p>
    <w:p w14:paraId="38706F9A" w14:textId="76BC6B7F" w:rsidR="00C77D19" w:rsidRPr="007F3D57" w:rsidRDefault="00C77D19" w:rsidP="00741E78">
      <w:pPr>
        <w:pStyle w:val="ListNumber"/>
        <w:keepNext/>
        <w:numPr>
          <w:ilvl w:val="0"/>
          <w:numId w:val="0"/>
        </w:numPr>
        <w:ind w:left="709"/>
      </w:pPr>
      <w:r w:rsidRPr="007F3D57">
        <w:t>Given the existing approval conditions also apply to the new regulated persons, the change is not expected to adversely impact occupational health and safety.</w:t>
      </w:r>
    </w:p>
    <w:bookmarkEnd w:id="1"/>
    <w:p w14:paraId="32813C85" w14:textId="77777777" w:rsidR="00654C80" w:rsidRPr="007F3D57" w:rsidRDefault="00654C80" w:rsidP="00654C80">
      <w:pPr>
        <w:pStyle w:val="ListParagraph"/>
        <w:numPr>
          <w:ilvl w:val="0"/>
          <w:numId w:val="1"/>
        </w:numPr>
        <w:ind w:left="709"/>
        <w:rPr>
          <w:rFonts w:ascii="Arial" w:hAnsi="Arial" w:cs="Arial"/>
        </w:rPr>
      </w:pPr>
      <w:r w:rsidRPr="007F3D57">
        <w:rPr>
          <w:rFonts w:ascii="Arial" w:hAnsi="Arial" w:cs="Arial"/>
        </w:rPr>
        <w:t>The interests of consumers</w:t>
      </w:r>
    </w:p>
    <w:p w14:paraId="2C1AD5DA" w14:textId="77777777" w:rsidR="002606AC" w:rsidRPr="007F3D57" w:rsidRDefault="002606AC" w:rsidP="002606AC">
      <w:pPr>
        <w:pStyle w:val="ListParagraph"/>
        <w:ind w:left="709"/>
        <w:rPr>
          <w:rFonts w:ascii="Arial" w:hAnsi="Arial" w:cs="Arial"/>
        </w:rPr>
      </w:pPr>
    </w:p>
    <w:p w14:paraId="14948EBB" w14:textId="02C9574E" w:rsidR="007971FA" w:rsidRPr="007F3D57" w:rsidRDefault="00C77D19" w:rsidP="00C77D19">
      <w:pPr>
        <w:pStyle w:val="ListParagraph"/>
        <w:ind w:left="709"/>
        <w:rPr>
          <w:rFonts w:ascii="Arial" w:hAnsi="Arial" w:cs="Arial"/>
        </w:rPr>
      </w:pPr>
      <w:bookmarkStart w:id="2" w:name="_Hlk143102877"/>
      <w:r w:rsidRPr="007F3D57">
        <w:rPr>
          <w:rFonts w:ascii="Arial" w:hAnsi="Arial" w:cs="Arial"/>
        </w:rPr>
        <w:t>Specialist racing fuel meets the needs of a niche market for specific classes of motor sport.</w:t>
      </w:r>
      <w:r w:rsidRPr="007F3D57">
        <w:t xml:space="preserve"> </w:t>
      </w:r>
      <w:r w:rsidRPr="007F3D57">
        <w:rPr>
          <w:rFonts w:ascii="Arial" w:hAnsi="Arial" w:cs="Arial"/>
        </w:rPr>
        <w:t xml:space="preserve">The consumers using these fuels seek the performance and operability characteristics provided by these fuels. </w:t>
      </w:r>
    </w:p>
    <w:p w14:paraId="5E99A44D" w14:textId="77777777" w:rsidR="007971FA" w:rsidRPr="007F3D57" w:rsidRDefault="007971FA" w:rsidP="007971FA">
      <w:pPr>
        <w:pStyle w:val="ListParagraph"/>
        <w:ind w:left="709"/>
        <w:rPr>
          <w:rFonts w:ascii="Arial" w:hAnsi="Arial" w:cs="Arial"/>
        </w:rPr>
      </w:pPr>
    </w:p>
    <w:p w14:paraId="1F8971D9" w14:textId="4D2D516D" w:rsidR="008C3DC3" w:rsidRPr="007F3D57" w:rsidRDefault="007971FA" w:rsidP="007971FA">
      <w:pPr>
        <w:pStyle w:val="ListParagraph"/>
        <w:ind w:left="709"/>
        <w:rPr>
          <w:rFonts w:ascii="Arial" w:hAnsi="Arial" w:cs="Arial"/>
        </w:rPr>
      </w:pPr>
      <w:r w:rsidRPr="007F3D57">
        <w:rPr>
          <w:rFonts w:ascii="Arial" w:hAnsi="Arial" w:cs="Arial"/>
        </w:rPr>
        <w:t>The addition of three regulated persons is not expected to negatively impact the interests of the consumers.</w:t>
      </w:r>
    </w:p>
    <w:bookmarkEnd w:id="2"/>
    <w:p w14:paraId="50C9F7EE" w14:textId="77777777" w:rsidR="007971FA" w:rsidRPr="007F3D57" w:rsidRDefault="007971FA" w:rsidP="002606AC">
      <w:pPr>
        <w:pStyle w:val="ListParagraph"/>
        <w:ind w:left="709"/>
        <w:rPr>
          <w:rFonts w:ascii="Arial" w:hAnsi="Arial" w:cs="Arial"/>
        </w:rPr>
      </w:pPr>
    </w:p>
    <w:p w14:paraId="32813C87" w14:textId="5CFB822B" w:rsidR="00654C80" w:rsidRPr="007F3D57" w:rsidRDefault="00654C80" w:rsidP="00654C80">
      <w:pPr>
        <w:pStyle w:val="ListParagraph"/>
        <w:numPr>
          <w:ilvl w:val="0"/>
          <w:numId w:val="1"/>
        </w:numPr>
        <w:ind w:left="709"/>
        <w:rPr>
          <w:rFonts w:ascii="Arial" w:hAnsi="Arial" w:cs="Arial"/>
        </w:rPr>
      </w:pPr>
      <w:r w:rsidRPr="007F3D57">
        <w:rPr>
          <w:rFonts w:ascii="Arial" w:hAnsi="Arial" w:cs="Arial"/>
        </w:rPr>
        <w:t xml:space="preserve">The impact on economic and regional development </w:t>
      </w:r>
    </w:p>
    <w:p w14:paraId="48254722" w14:textId="1E65D420" w:rsidR="00C00210" w:rsidRPr="007F3D57" w:rsidRDefault="00C00210" w:rsidP="00677490">
      <w:pPr>
        <w:pStyle w:val="ListNumber"/>
        <w:keepNext/>
        <w:numPr>
          <w:ilvl w:val="0"/>
          <w:numId w:val="0"/>
        </w:numPr>
        <w:ind w:left="709"/>
      </w:pPr>
      <w:bookmarkStart w:id="3" w:name="_Hlk143102904"/>
      <w:r w:rsidRPr="007F3D57">
        <w:t xml:space="preserve">Many racing venues are located outside major population areas. Motor and water sports events provide an ongoing financial benefit to these regional communities. </w:t>
      </w:r>
    </w:p>
    <w:p w14:paraId="34D4B83B" w14:textId="2157D3D8" w:rsidR="00C77D19" w:rsidRPr="007F3D57" w:rsidRDefault="00C00210" w:rsidP="00677490">
      <w:pPr>
        <w:pStyle w:val="ListNumber"/>
        <w:keepNext/>
        <w:numPr>
          <w:ilvl w:val="0"/>
          <w:numId w:val="0"/>
        </w:numPr>
        <w:ind w:left="709"/>
      </w:pPr>
      <w:r w:rsidRPr="007F3D57">
        <w:t>This minor change in the addition of three regulated persons would not have an adverse effect on economic or regional development.</w:t>
      </w:r>
    </w:p>
    <w:bookmarkEnd w:id="3"/>
    <w:p w14:paraId="785D7C6E" w14:textId="77777777" w:rsidR="00C77D19" w:rsidRPr="007F3D57" w:rsidRDefault="00C77D19" w:rsidP="00C00210">
      <w:pPr>
        <w:pStyle w:val="Bullet"/>
        <w:numPr>
          <w:ilvl w:val="0"/>
          <w:numId w:val="0"/>
        </w:numPr>
        <w:spacing w:after="120"/>
        <w:ind w:left="720"/>
        <w:rPr>
          <w:rFonts w:ascii="Arial" w:hAnsi="Arial" w:cs="Arial"/>
          <w:sz w:val="22"/>
          <w:szCs w:val="22"/>
        </w:rPr>
      </w:pPr>
    </w:p>
    <w:p w14:paraId="32813C8A" w14:textId="487E420D" w:rsidR="00654C80" w:rsidRPr="007F3D57" w:rsidRDefault="00654C80" w:rsidP="00654C80">
      <w:pPr>
        <w:spacing w:after="0"/>
        <w:rPr>
          <w:rFonts w:ascii="Arial" w:hAnsi="Arial" w:cs="Arial"/>
          <w:b/>
        </w:rPr>
      </w:pPr>
      <w:r w:rsidRPr="007F3D57">
        <w:rPr>
          <w:rFonts w:ascii="Arial" w:eastAsia="Calibri" w:hAnsi="Arial"/>
        </w:rPr>
        <w:t>The variation is granted subject to the conditions specified in section 17 of the Act.</w:t>
      </w:r>
    </w:p>
    <w:p w14:paraId="32813C8B" w14:textId="77777777" w:rsidR="00654C80" w:rsidRPr="007F3D57" w:rsidRDefault="00654C80" w:rsidP="00654C80">
      <w:pPr>
        <w:spacing w:after="0"/>
        <w:rPr>
          <w:rFonts w:ascii="Arial" w:hAnsi="Arial" w:cs="Arial"/>
          <w:b/>
          <w:bCs/>
        </w:rPr>
      </w:pPr>
    </w:p>
    <w:p w14:paraId="32813C8D" w14:textId="77777777" w:rsidR="00654C80" w:rsidRPr="007F3D57" w:rsidRDefault="00654C80" w:rsidP="00654C80">
      <w:pPr>
        <w:spacing w:after="0"/>
        <w:rPr>
          <w:rFonts w:ascii="Arial" w:hAnsi="Arial" w:cs="Arial"/>
          <w:b/>
          <w:bCs/>
        </w:rPr>
      </w:pPr>
    </w:p>
    <w:p w14:paraId="32813C8F" w14:textId="474118C8" w:rsidR="00654C80" w:rsidRPr="007F3D57" w:rsidRDefault="00654C80" w:rsidP="00654C80">
      <w:pPr>
        <w:spacing w:after="0"/>
        <w:rPr>
          <w:rFonts w:ascii="Arial" w:hAnsi="Arial" w:cs="Arial"/>
          <w:b/>
          <w:bCs/>
        </w:rPr>
      </w:pPr>
      <w:r w:rsidRPr="007F3D57">
        <w:rPr>
          <w:rFonts w:ascii="Arial" w:hAnsi="Arial" w:cs="Arial"/>
          <w:bCs/>
        </w:rPr>
        <w:br/>
      </w:r>
    </w:p>
    <w:p w14:paraId="5F152AAA" w14:textId="77777777" w:rsidR="002F5111" w:rsidRPr="007F3D57" w:rsidRDefault="002F5111" w:rsidP="002F5111">
      <w:pPr>
        <w:pStyle w:val="paragraph"/>
        <w:spacing w:before="0" w:beforeAutospacing="0" w:after="0" w:afterAutospacing="0"/>
        <w:ind w:right="75"/>
        <w:jc w:val="right"/>
        <w:textAlignment w:val="baseline"/>
        <w:rPr>
          <w:rFonts w:ascii="Segoe UI" w:hAnsi="Segoe UI" w:cs="Segoe UI"/>
          <w:sz w:val="18"/>
          <w:szCs w:val="18"/>
        </w:rPr>
      </w:pPr>
      <w:r w:rsidRPr="007F3D57">
        <w:rPr>
          <w:rStyle w:val="normaltextrun"/>
          <w:rFonts w:ascii="Arial" w:hAnsi="Arial" w:cs="Arial"/>
          <w:b/>
          <w:bCs/>
          <w:sz w:val="22"/>
          <w:szCs w:val="22"/>
        </w:rPr>
        <w:t>……......................................................</w:t>
      </w:r>
      <w:r w:rsidRPr="007F3D57">
        <w:rPr>
          <w:rStyle w:val="eop"/>
          <w:rFonts w:ascii="Arial" w:hAnsi="Arial" w:cs="Arial"/>
          <w:sz w:val="22"/>
          <w:szCs w:val="22"/>
        </w:rPr>
        <w:t> </w:t>
      </w:r>
    </w:p>
    <w:p w14:paraId="54697AD7" w14:textId="77777777" w:rsidR="002F5111" w:rsidRPr="007F3D57" w:rsidRDefault="002F5111" w:rsidP="002F5111">
      <w:pPr>
        <w:pStyle w:val="paragraph"/>
        <w:spacing w:before="0" w:beforeAutospacing="0" w:after="0" w:afterAutospacing="0"/>
        <w:ind w:right="75"/>
        <w:jc w:val="right"/>
        <w:textAlignment w:val="baseline"/>
        <w:rPr>
          <w:rStyle w:val="normaltextrun"/>
          <w:rFonts w:ascii="Arial" w:hAnsi="Arial" w:cs="Arial"/>
          <w:b/>
          <w:bCs/>
          <w:sz w:val="22"/>
          <w:szCs w:val="22"/>
        </w:rPr>
      </w:pPr>
    </w:p>
    <w:p w14:paraId="4A129DD7" w14:textId="670F9CBA" w:rsidR="002F5111" w:rsidRPr="007F3D57" w:rsidRDefault="00C77D19" w:rsidP="002F5111">
      <w:pPr>
        <w:pStyle w:val="paragraph"/>
        <w:spacing w:before="0" w:beforeAutospacing="0" w:after="0" w:afterAutospacing="0"/>
        <w:ind w:right="75"/>
        <w:jc w:val="right"/>
        <w:textAlignment w:val="baseline"/>
        <w:rPr>
          <w:rFonts w:ascii="Segoe UI" w:hAnsi="Segoe UI" w:cs="Segoe UI"/>
          <w:sz w:val="18"/>
          <w:szCs w:val="18"/>
        </w:rPr>
      </w:pPr>
      <w:r w:rsidRPr="007F3D57">
        <w:rPr>
          <w:rStyle w:val="normaltextrun"/>
          <w:rFonts w:ascii="Arial" w:hAnsi="Arial" w:cs="Arial"/>
          <w:b/>
          <w:bCs/>
          <w:sz w:val="22"/>
          <w:szCs w:val="22"/>
        </w:rPr>
        <w:t>Cris Cano</w:t>
      </w:r>
    </w:p>
    <w:p w14:paraId="32813C91" w14:textId="5CFC87E0" w:rsidR="004B2753" w:rsidRPr="007F3D57" w:rsidRDefault="00094C98" w:rsidP="002F5111">
      <w:pPr>
        <w:pStyle w:val="paragraph"/>
        <w:spacing w:before="0" w:beforeAutospacing="0" w:after="0" w:afterAutospacing="0"/>
        <w:ind w:right="75"/>
        <w:jc w:val="right"/>
        <w:textAlignment w:val="baseline"/>
        <w:rPr>
          <w:rStyle w:val="normaltextrun"/>
          <w:rFonts w:ascii="Arial" w:hAnsi="Arial" w:cs="Arial"/>
          <w:b/>
          <w:bCs/>
          <w:sz w:val="22"/>
          <w:szCs w:val="22"/>
        </w:rPr>
      </w:pPr>
      <w:r w:rsidRPr="007F3D57">
        <w:rPr>
          <w:rStyle w:val="normaltextrun"/>
          <w:rFonts w:ascii="Arial" w:hAnsi="Arial" w:cs="Arial"/>
          <w:b/>
          <w:bCs/>
          <w:sz w:val="22"/>
          <w:szCs w:val="22"/>
        </w:rPr>
        <w:t xml:space="preserve">  </w:t>
      </w:r>
      <w:r w:rsidR="00C77D19" w:rsidRPr="007F3D57">
        <w:rPr>
          <w:rStyle w:val="normaltextrun"/>
          <w:rFonts w:ascii="Arial" w:hAnsi="Arial" w:cs="Arial"/>
          <w:b/>
          <w:bCs/>
          <w:sz w:val="22"/>
          <w:szCs w:val="22"/>
        </w:rPr>
        <w:t xml:space="preserve">A/g </w:t>
      </w:r>
      <w:r w:rsidR="002F5111" w:rsidRPr="007F3D57">
        <w:rPr>
          <w:rStyle w:val="normaltextrun"/>
          <w:rFonts w:ascii="Arial" w:hAnsi="Arial" w:cs="Arial"/>
          <w:b/>
          <w:bCs/>
          <w:sz w:val="22"/>
          <w:szCs w:val="22"/>
        </w:rPr>
        <w:t xml:space="preserve">Branch Head, </w:t>
      </w:r>
      <w:r w:rsidR="00804C77" w:rsidRPr="007F3D57">
        <w:rPr>
          <w:rStyle w:val="normaltextrun"/>
          <w:rFonts w:ascii="Arial" w:hAnsi="Arial" w:cs="Arial"/>
          <w:b/>
          <w:bCs/>
          <w:sz w:val="22"/>
          <w:szCs w:val="22"/>
        </w:rPr>
        <w:t>Liquid Fuels Branch</w:t>
      </w:r>
    </w:p>
    <w:p w14:paraId="011A7193" w14:textId="01C64BB9" w:rsidR="00DE7A9B" w:rsidRPr="002F5111" w:rsidRDefault="00DE7A9B" w:rsidP="002F5111">
      <w:pPr>
        <w:pStyle w:val="paragraph"/>
        <w:spacing w:before="0" w:beforeAutospacing="0" w:after="0" w:afterAutospacing="0"/>
        <w:ind w:right="75"/>
        <w:jc w:val="right"/>
        <w:textAlignment w:val="baseline"/>
        <w:rPr>
          <w:rFonts w:ascii="Segoe UI" w:hAnsi="Segoe UI" w:cs="Segoe UI"/>
          <w:sz w:val="18"/>
          <w:szCs w:val="18"/>
        </w:rPr>
      </w:pPr>
      <w:r w:rsidRPr="007F3D57">
        <w:rPr>
          <w:rStyle w:val="normaltextrun"/>
          <w:rFonts w:ascii="Arial" w:hAnsi="Arial" w:cs="Arial"/>
          <w:b/>
          <w:bCs/>
          <w:sz w:val="22"/>
          <w:szCs w:val="22"/>
        </w:rPr>
        <w:t>Department of Climate Change, Energy, the Env</w:t>
      </w:r>
      <w:r w:rsidR="00804C77" w:rsidRPr="007F3D57">
        <w:rPr>
          <w:rStyle w:val="normaltextrun"/>
          <w:rFonts w:ascii="Arial" w:hAnsi="Arial" w:cs="Arial"/>
          <w:b/>
          <w:bCs/>
          <w:sz w:val="22"/>
          <w:szCs w:val="22"/>
        </w:rPr>
        <w:t>ironment and Water</w:t>
      </w:r>
    </w:p>
    <w:sectPr w:rsidR="00DE7A9B" w:rsidRPr="002F5111"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62DC" w14:textId="77777777" w:rsidR="00E77B17" w:rsidRDefault="00E77B17" w:rsidP="003A707F">
      <w:pPr>
        <w:spacing w:after="0" w:line="240" w:lineRule="auto"/>
      </w:pPr>
      <w:r>
        <w:separator/>
      </w:r>
    </w:p>
  </w:endnote>
  <w:endnote w:type="continuationSeparator" w:id="0">
    <w:p w14:paraId="6C523103" w14:textId="77777777" w:rsidR="00E77B17" w:rsidRDefault="00E77B17" w:rsidP="003A707F">
      <w:pPr>
        <w:spacing w:after="0" w:line="240" w:lineRule="auto"/>
      </w:pPr>
      <w:r>
        <w:continuationSeparator/>
      </w:r>
    </w:p>
  </w:endnote>
  <w:endnote w:type="continuationNotice" w:id="1">
    <w:p w14:paraId="334482B9" w14:textId="77777777" w:rsidR="00E77B17" w:rsidRDefault="00E77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EF97E2F1-84A7-4C8A-A912-3D15054DAFA4}"/>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6CB3" w14:textId="77777777" w:rsidR="00E77B17" w:rsidRDefault="00E77B17" w:rsidP="003A707F">
      <w:pPr>
        <w:spacing w:after="0" w:line="240" w:lineRule="auto"/>
      </w:pPr>
      <w:r>
        <w:separator/>
      </w:r>
    </w:p>
  </w:footnote>
  <w:footnote w:type="continuationSeparator" w:id="0">
    <w:p w14:paraId="5991277C" w14:textId="77777777" w:rsidR="00E77B17" w:rsidRDefault="00E77B17" w:rsidP="003A707F">
      <w:pPr>
        <w:spacing w:after="0" w:line="240" w:lineRule="auto"/>
      </w:pPr>
      <w:r>
        <w:continuationSeparator/>
      </w:r>
    </w:p>
  </w:footnote>
  <w:footnote w:type="continuationNotice" w:id="1">
    <w:p w14:paraId="383A0DE9" w14:textId="77777777" w:rsidR="00E77B17" w:rsidRDefault="00E77B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2813C99"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2813C96" w14:textId="77777777" w:rsidR="00F40885" w:rsidRPr="00CE796A" w:rsidRDefault="00F40885" w:rsidP="00840A06">
          <w:pPr>
            <w:spacing w:before="60" w:after="0"/>
            <w:ind w:left="-51"/>
            <w:rPr>
              <w:rFonts w:ascii="Arial" w:hAnsi="Arial"/>
              <w:sz w:val="12"/>
            </w:rPr>
          </w:pPr>
          <w:bookmarkStart w:id="4" w:name="OLE_LINK2"/>
          <w:r>
            <w:rPr>
              <w:rFonts w:ascii="Arial" w:hAnsi="Arial"/>
              <w:noProof/>
              <w:sz w:val="12"/>
              <w:lang w:eastAsia="en-AU"/>
            </w:rPr>
            <w:drawing>
              <wp:inline distT="0" distB="0" distL="0" distR="0" wp14:anchorId="32813C9F" wp14:editId="32813CA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2813C97"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2813C98"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2813C9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2813C9A" w14:textId="77777777" w:rsidR="00F40885" w:rsidRPr="00CE796A" w:rsidRDefault="00F40885" w:rsidP="00840A06">
          <w:pPr>
            <w:spacing w:after="0"/>
            <w:ind w:left="-51"/>
            <w:rPr>
              <w:rFonts w:ascii="Arial" w:hAnsi="Arial" w:cs="Arial"/>
              <w:sz w:val="14"/>
              <w:szCs w:val="14"/>
            </w:rPr>
          </w:pPr>
          <w:bookmarkStart w:id="5" w:name="GazNo"/>
          <w:bookmarkEnd w:id="5"/>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2813C9B"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14:paraId="32813C9D" w14:textId="77777777" w:rsidR="00F40885" w:rsidRPr="003A707F" w:rsidRDefault="00F40885" w:rsidP="00F40885">
    <w:pPr>
      <w:pStyle w:val="Header"/>
      <w:rPr>
        <w:sz w:val="2"/>
        <w:szCs w:val="2"/>
      </w:rPr>
    </w:pPr>
  </w:p>
  <w:p w14:paraId="32813C9E"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A920424"/>
    <w:lvl w:ilvl="0">
      <w:start w:val="1"/>
      <w:numFmt w:val="decimal"/>
      <w:lvlText w:val="%1."/>
      <w:lvlJc w:val="left"/>
      <w:pPr>
        <w:tabs>
          <w:tab w:val="num" w:pos="360"/>
        </w:tabs>
        <w:ind w:left="360" w:hanging="360"/>
      </w:pPr>
    </w:lvl>
  </w:abstractNum>
  <w:abstractNum w:abstractNumId="1"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65456429"/>
    <w:multiLevelType w:val="multilevel"/>
    <w:tmpl w:val="E898CC72"/>
    <w:numStyleLink w:val="KeyPoints"/>
  </w:abstractNum>
  <w:abstractNum w:abstractNumId="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15:restartNumberingAfterBreak="0">
    <w:nsid w:val="76A6127E"/>
    <w:multiLevelType w:val="hybridMultilevel"/>
    <w:tmpl w:val="A31E5ED8"/>
    <w:lvl w:ilvl="0" w:tplc="0DE8CE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857007">
    <w:abstractNumId w:val="4"/>
  </w:num>
  <w:num w:numId="2" w16cid:durableId="697970814">
    <w:abstractNumId w:val="3"/>
  </w:num>
  <w:num w:numId="3" w16cid:durableId="1834681960">
    <w:abstractNumId w:val="2"/>
  </w:num>
  <w:num w:numId="4" w16cid:durableId="1832331362">
    <w:abstractNumId w:val="1"/>
  </w:num>
  <w:num w:numId="5" w16cid:durableId="451897382">
    <w:abstractNumId w:val="0"/>
  </w:num>
  <w:num w:numId="6" w16cid:durableId="270474141">
    <w:abstractNumId w:val="2"/>
  </w:num>
  <w:num w:numId="7" w16cid:durableId="362680195">
    <w:abstractNumId w:val="0"/>
  </w:num>
  <w:num w:numId="8" w16cid:durableId="826240903">
    <w:abstractNumId w:val="2"/>
  </w:num>
  <w:num w:numId="9" w16cid:durableId="484858213">
    <w:abstractNumId w:val="2"/>
  </w:num>
  <w:num w:numId="10" w16cid:durableId="544684608">
    <w:abstractNumId w:val="0"/>
  </w:num>
  <w:num w:numId="11" w16cid:durableId="761729124">
    <w:abstractNumId w:val="0"/>
  </w:num>
  <w:num w:numId="12" w16cid:durableId="154888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26D38"/>
    <w:rsid w:val="0003217B"/>
    <w:rsid w:val="00034D6D"/>
    <w:rsid w:val="00051C10"/>
    <w:rsid w:val="0005378C"/>
    <w:rsid w:val="00094C98"/>
    <w:rsid w:val="000E1F2B"/>
    <w:rsid w:val="001011A9"/>
    <w:rsid w:val="001508AA"/>
    <w:rsid w:val="00151713"/>
    <w:rsid w:val="0015286F"/>
    <w:rsid w:val="0017580B"/>
    <w:rsid w:val="00176951"/>
    <w:rsid w:val="001A2210"/>
    <w:rsid w:val="001C2AAD"/>
    <w:rsid w:val="001F6E54"/>
    <w:rsid w:val="0023354D"/>
    <w:rsid w:val="002413E5"/>
    <w:rsid w:val="00241828"/>
    <w:rsid w:val="00254615"/>
    <w:rsid w:val="002606AC"/>
    <w:rsid w:val="00273B24"/>
    <w:rsid w:val="00280BCD"/>
    <w:rsid w:val="002A07A0"/>
    <w:rsid w:val="002A3F5F"/>
    <w:rsid w:val="002A5089"/>
    <w:rsid w:val="002C6DA4"/>
    <w:rsid w:val="002F0D63"/>
    <w:rsid w:val="002F5111"/>
    <w:rsid w:val="002F60AF"/>
    <w:rsid w:val="003227D9"/>
    <w:rsid w:val="00323CEC"/>
    <w:rsid w:val="003530B2"/>
    <w:rsid w:val="00373E92"/>
    <w:rsid w:val="003A707F"/>
    <w:rsid w:val="003B0EC1"/>
    <w:rsid w:val="003B573B"/>
    <w:rsid w:val="003C7128"/>
    <w:rsid w:val="003C7616"/>
    <w:rsid w:val="003F0435"/>
    <w:rsid w:val="003F2CBD"/>
    <w:rsid w:val="004103FD"/>
    <w:rsid w:val="00424B97"/>
    <w:rsid w:val="00432BA2"/>
    <w:rsid w:val="004449E5"/>
    <w:rsid w:val="0048005F"/>
    <w:rsid w:val="004B2333"/>
    <w:rsid w:val="004B2753"/>
    <w:rsid w:val="0050585B"/>
    <w:rsid w:val="00520873"/>
    <w:rsid w:val="005272F3"/>
    <w:rsid w:val="005560CE"/>
    <w:rsid w:val="00567649"/>
    <w:rsid w:val="00573D44"/>
    <w:rsid w:val="005E1854"/>
    <w:rsid w:val="005F7AEB"/>
    <w:rsid w:val="00611430"/>
    <w:rsid w:val="006214F8"/>
    <w:rsid w:val="00622254"/>
    <w:rsid w:val="0064780A"/>
    <w:rsid w:val="00654C80"/>
    <w:rsid w:val="00657C47"/>
    <w:rsid w:val="00677490"/>
    <w:rsid w:val="00684B0E"/>
    <w:rsid w:val="006B35CF"/>
    <w:rsid w:val="006D6294"/>
    <w:rsid w:val="006D71C9"/>
    <w:rsid w:val="006E36E2"/>
    <w:rsid w:val="006E7EF5"/>
    <w:rsid w:val="00707031"/>
    <w:rsid w:val="00741E78"/>
    <w:rsid w:val="007840DA"/>
    <w:rsid w:val="007971FA"/>
    <w:rsid w:val="007B51FC"/>
    <w:rsid w:val="007E6E19"/>
    <w:rsid w:val="007F3360"/>
    <w:rsid w:val="007F3D57"/>
    <w:rsid w:val="007F70B1"/>
    <w:rsid w:val="007F72B4"/>
    <w:rsid w:val="00804C77"/>
    <w:rsid w:val="00814956"/>
    <w:rsid w:val="00816F5D"/>
    <w:rsid w:val="00840A06"/>
    <w:rsid w:val="00842B4C"/>
    <w:rsid w:val="008439B7"/>
    <w:rsid w:val="008624FD"/>
    <w:rsid w:val="0087253F"/>
    <w:rsid w:val="008838DF"/>
    <w:rsid w:val="008B546E"/>
    <w:rsid w:val="008C3DC3"/>
    <w:rsid w:val="008E4F6C"/>
    <w:rsid w:val="008F457F"/>
    <w:rsid w:val="009024B6"/>
    <w:rsid w:val="009178DE"/>
    <w:rsid w:val="009539C7"/>
    <w:rsid w:val="0096442C"/>
    <w:rsid w:val="009860A7"/>
    <w:rsid w:val="00997C2E"/>
    <w:rsid w:val="009B7A24"/>
    <w:rsid w:val="009E0FFF"/>
    <w:rsid w:val="009F04F7"/>
    <w:rsid w:val="009F4419"/>
    <w:rsid w:val="00A00F21"/>
    <w:rsid w:val="00A64BC8"/>
    <w:rsid w:val="00A7733F"/>
    <w:rsid w:val="00A85739"/>
    <w:rsid w:val="00A87728"/>
    <w:rsid w:val="00AB16E1"/>
    <w:rsid w:val="00AF0CDF"/>
    <w:rsid w:val="00B07392"/>
    <w:rsid w:val="00B147A8"/>
    <w:rsid w:val="00B16766"/>
    <w:rsid w:val="00B21794"/>
    <w:rsid w:val="00B570AC"/>
    <w:rsid w:val="00B639B2"/>
    <w:rsid w:val="00B70896"/>
    <w:rsid w:val="00B84226"/>
    <w:rsid w:val="00B94F23"/>
    <w:rsid w:val="00BA7507"/>
    <w:rsid w:val="00BE7780"/>
    <w:rsid w:val="00C00210"/>
    <w:rsid w:val="00C63C4E"/>
    <w:rsid w:val="00C72C30"/>
    <w:rsid w:val="00C75BEA"/>
    <w:rsid w:val="00C77D19"/>
    <w:rsid w:val="00C80EF0"/>
    <w:rsid w:val="00C85EF4"/>
    <w:rsid w:val="00C935AC"/>
    <w:rsid w:val="00CE2B95"/>
    <w:rsid w:val="00CE2D94"/>
    <w:rsid w:val="00CE75DD"/>
    <w:rsid w:val="00D011CE"/>
    <w:rsid w:val="00D150BD"/>
    <w:rsid w:val="00D229E5"/>
    <w:rsid w:val="00D30192"/>
    <w:rsid w:val="00D50D0A"/>
    <w:rsid w:val="00D675EE"/>
    <w:rsid w:val="00D77A88"/>
    <w:rsid w:val="00DE0D22"/>
    <w:rsid w:val="00DE7A9B"/>
    <w:rsid w:val="00E03A0A"/>
    <w:rsid w:val="00E108CB"/>
    <w:rsid w:val="00E145F0"/>
    <w:rsid w:val="00E21C49"/>
    <w:rsid w:val="00E77B17"/>
    <w:rsid w:val="00E83A9C"/>
    <w:rsid w:val="00EA2643"/>
    <w:rsid w:val="00ED02A6"/>
    <w:rsid w:val="00EE58B7"/>
    <w:rsid w:val="00EE79CC"/>
    <w:rsid w:val="00EE7B62"/>
    <w:rsid w:val="00F03910"/>
    <w:rsid w:val="00F05BC8"/>
    <w:rsid w:val="00F2413D"/>
    <w:rsid w:val="00F40885"/>
    <w:rsid w:val="00F52B59"/>
    <w:rsid w:val="00F74D90"/>
    <w:rsid w:val="00FA2560"/>
    <w:rsid w:val="00FA539B"/>
    <w:rsid w:val="00FC266E"/>
    <w:rsid w:val="00FE06BA"/>
    <w:rsid w:val="00FF6C1A"/>
    <w:rsid w:val="0324A35B"/>
    <w:rsid w:val="12EC54B7"/>
    <w:rsid w:val="177CA142"/>
    <w:rsid w:val="1B3D957A"/>
    <w:rsid w:val="2536D2C3"/>
    <w:rsid w:val="2C37345C"/>
    <w:rsid w:val="37CAF886"/>
    <w:rsid w:val="388ACD8B"/>
    <w:rsid w:val="395B5DA7"/>
    <w:rsid w:val="41E52E71"/>
    <w:rsid w:val="436D574C"/>
    <w:rsid w:val="4DF632B9"/>
    <w:rsid w:val="4ECA452F"/>
    <w:rsid w:val="4F95597F"/>
    <w:rsid w:val="50107747"/>
    <w:rsid w:val="50EA343B"/>
    <w:rsid w:val="51B80E9E"/>
    <w:rsid w:val="69E91EC1"/>
    <w:rsid w:val="6B013ED7"/>
    <w:rsid w:val="734E1E30"/>
    <w:rsid w:val="7665419F"/>
    <w:rsid w:val="77805043"/>
    <w:rsid w:val="79559212"/>
    <w:rsid w:val="7A585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1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numbering" w:customStyle="1" w:styleId="KeyPoints">
    <w:name w:val="Key Points"/>
    <w:basedOn w:val="NoList"/>
    <w:uiPriority w:val="99"/>
    <w:rsid w:val="00654C80"/>
    <w:pPr>
      <w:numPr>
        <w:numId w:val="2"/>
      </w:numPr>
    </w:pPr>
  </w:style>
  <w:style w:type="paragraph" w:styleId="ListNumber">
    <w:name w:val="List Number"/>
    <w:basedOn w:val="Normal"/>
    <w:uiPriority w:val="99"/>
    <w:qFormat/>
    <w:rsid w:val="00654C80"/>
    <w:pPr>
      <w:numPr>
        <w:numId w:val="3"/>
      </w:numPr>
    </w:pPr>
    <w:rPr>
      <w:rFonts w:ascii="Arial" w:eastAsia="Calibri" w:hAnsi="Arial" w:cs="Times New Roman"/>
    </w:rPr>
  </w:style>
  <w:style w:type="paragraph" w:styleId="ListNumber2">
    <w:name w:val="List Number 2"/>
    <w:basedOn w:val="Normal"/>
    <w:uiPriority w:val="99"/>
    <w:rsid w:val="00654C80"/>
    <w:pPr>
      <w:numPr>
        <w:ilvl w:val="1"/>
        <w:numId w:val="3"/>
      </w:numPr>
    </w:pPr>
    <w:rPr>
      <w:rFonts w:ascii="Arial" w:eastAsia="Calibri" w:hAnsi="Arial" w:cs="Times New Roman"/>
      <w:sz w:val="20"/>
      <w:szCs w:val="20"/>
    </w:rPr>
  </w:style>
  <w:style w:type="paragraph" w:styleId="ListNumber3">
    <w:name w:val="List Number 3"/>
    <w:basedOn w:val="Normal"/>
    <w:uiPriority w:val="99"/>
    <w:rsid w:val="00654C80"/>
    <w:pPr>
      <w:numPr>
        <w:ilvl w:val="2"/>
        <w:numId w:val="3"/>
      </w:numPr>
    </w:pPr>
    <w:rPr>
      <w:rFonts w:ascii="Arial" w:eastAsia="Calibri" w:hAnsi="Arial" w:cs="Times New Roman"/>
      <w:sz w:val="20"/>
      <w:szCs w:val="20"/>
    </w:rPr>
  </w:style>
  <w:style w:type="paragraph" w:styleId="ListNumber4">
    <w:name w:val="List Number 4"/>
    <w:basedOn w:val="Normal"/>
    <w:uiPriority w:val="99"/>
    <w:rsid w:val="00654C80"/>
    <w:pPr>
      <w:numPr>
        <w:ilvl w:val="3"/>
        <w:numId w:val="3"/>
      </w:numPr>
    </w:pPr>
    <w:rPr>
      <w:rFonts w:ascii="Arial" w:eastAsia="Calibri" w:hAnsi="Arial" w:cs="Times New Roman"/>
      <w:sz w:val="20"/>
      <w:szCs w:val="20"/>
    </w:rPr>
  </w:style>
  <w:style w:type="paragraph" w:styleId="ListNumber5">
    <w:name w:val="List Number 5"/>
    <w:basedOn w:val="Normal"/>
    <w:uiPriority w:val="99"/>
    <w:rsid w:val="00654C80"/>
    <w:pPr>
      <w:numPr>
        <w:ilvl w:val="4"/>
        <w:numId w:val="3"/>
      </w:numPr>
    </w:pPr>
    <w:rPr>
      <w:rFonts w:ascii="Arial" w:eastAsia="Calibri" w:hAnsi="Arial" w:cs="Times New Roman"/>
      <w:sz w:val="20"/>
      <w:szCs w:val="20"/>
    </w:rPr>
  </w:style>
  <w:style w:type="paragraph" w:styleId="ListParagraph">
    <w:name w:val="List Paragraph"/>
    <w:basedOn w:val="Normal"/>
    <w:uiPriority w:val="34"/>
    <w:qFormat/>
    <w:rsid w:val="00654C80"/>
    <w:pPr>
      <w:ind w:left="720"/>
      <w:contextualSpacing/>
    </w:pPr>
  </w:style>
  <w:style w:type="paragraph" w:customStyle="1" w:styleId="Bullet">
    <w:name w:val="Bullet"/>
    <w:basedOn w:val="Normal"/>
    <w:uiPriority w:val="99"/>
    <w:rsid w:val="00654C80"/>
    <w:pPr>
      <w:numPr>
        <w:numId w:val="4"/>
      </w:numPr>
      <w:spacing w:after="240" w:line="240" w:lineRule="auto"/>
    </w:pPr>
    <w:rPr>
      <w:rFonts w:ascii="Times New Roman" w:eastAsia="Times New Roman" w:hAnsi="Times New Roman" w:cs="Times New Roman"/>
      <w:sz w:val="24"/>
      <w:szCs w:val="24"/>
    </w:rPr>
  </w:style>
  <w:style w:type="paragraph" w:customStyle="1" w:styleId="Dash">
    <w:name w:val="Dash"/>
    <w:basedOn w:val="Normal"/>
    <w:uiPriority w:val="99"/>
    <w:rsid w:val="00654C80"/>
    <w:pPr>
      <w:numPr>
        <w:ilvl w:val="1"/>
        <w:numId w:val="4"/>
      </w:numPr>
      <w:spacing w:after="240" w:line="240" w:lineRule="auto"/>
    </w:pPr>
    <w:rPr>
      <w:rFonts w:ascii="Times New Roman" w:eastAsia="Times New Roman" w:hAnsi="Times New Roman" w:cs="Times New Roman"/>
      <w:sz w:val="24"/>
      <w:szCs w:val="24"/>
    </w:rPr>
  </w:style>
  <w:style w:type="paragraph" w:customStyle="1" w:styleId="DoubleDot">
    <w:name w:val="Double Dot"/>
    <w:basedOn w:val="Normal"/>
    <w:uiPriority w:val="99"/>
    <w:rsid w:val="00654C80"/>
    <w:pPr>
      <w:numPr>
        <w:ilvl w:val="2"/>
        <w:numId w:val="4"/>
      </w:numPr>
      <w:spacing w:after="24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54C80"/>
    <w:pPr>
      <w:spacing w:after="0" w:line="240" w:lineRule="auto"/>
    </w:pPr>
    <w:rPr>
      <w:rFonts w:ascii="Arial" w:eastAsia="Calibri" w:hAnsi="Arial" w:cs="Times New Roman"/>
      <w:sz w:val="20"/>
      <w:szCs w:val="20"/>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Arial" w:hAnsi="Arial" w:cs="Arial" w:hint="default"/>
        <w:sz w:val="20"/>
        <w:szCs w:val="20"/>
      </w:rPr>
    </w:tblStylePr>
    <w:tblStylePr w:type="lastRow">
      <w:pPr>
        <w:wordWrap/>
        <w:spacing w:beforeLines="0" w:before="100" w:beforeAutospacing="1" w:afterLines="0" w:after="100" w:afterAutospacing="1"/>
      </w:pPr>
      <w:rPr>
        <w:rFonts w:ascii="Arial" w:hAnsi="Arial" w:cs="Arial" w:hint="default"/>
        <w:sz w:val="20"/>
        <w:szCs w:val="20"/>
      </w:rPr>
    </w:tblStylePr>
    <w:tblStylePr w:type="band1Horz">
      <w:pPr>
        <w:wordWrap/>
        <w:spacing w:beforeLines="0" w:before="100" w:beforeAutospacing="1" w:afterLines="0" w:after="100" w:afterAutospacing="1" w:line="240" w:lineRule="auto"/>
        <w:mirrorIndents w:val="0"/>
      </w:pPr>
      <w:rPr>
        <w:rFonts w:ascii="Arial" w:hAnsi="Arial" w:cs="Arial" w:hint="default"/>
        <w:sz w:val="20"/>
        <w:szCs w:val="20"/>
      </w:rPr>
    </w:tblStylePr>
    <w:tblStylePr w:type="band2Horz">
      <w:pPr>
        <w:wordWrap/>
        <w:spacing w:beforeLines="0" w:before="100" w:beforeAutospacing="1" w:afterLines="0" w:after="100" w:afterAutospacing="1"/>
        <w:mirrorIndents w:val="0"/>
      </w:pPr>
      <w:rPr>
        <w:rFonts w:ascii="Arial" w:hAnsi="Arial" w:cs="Arial" w:hint="default"/>
        <w:sz w:val="20"/>
        <w:szCs w:val="20"/>
      </w:rPr>
    </w:tblStylePr>
  </w:style>
  <w:style w:type="table" w:styleId="TableGrid">
    <w:name w:val="Table Grid"/>
    <w:basedOn w:val="TableNormal"/>
    <w:uiPriority w:val="59"/>
    <w:rsid w:val="0065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F51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F5111"/>
  </w:style>
  <w:style w:type="character" w:customStyle="1" w:styleId="eop">
    <w:name w:val="eop"/>
    <w:basedOn w:val="DefaultParagraphFont"/>
    <w:rsid w:val="002F5111"/>
  </w:style>
  <w:style w:type="paragraph" w:styleId="Revision">
    <w:name w:val="Revision"/>
    <w:hidden/>
    <w:uiPriority w:val="99"/>
    <w:semiHidden/>
    <w:rsid w:val="006D6294"/>
    <w:pPr>
      <w:spacing w:after="0" w:line="240" w:lineRule="auto"/>
    </w:pPr>
  </w:style>
  <w:style w:type="character" w:styleId="CommentReference">
    <w:name w:val="annotation reference"/>
    <w:basedOn w:val="DefaultParagraphFont"/>
    <w:uiPriority w:val="99"/>
    <w:semiHidden/>
    <w:unhideWhenUsed/>
    <w:rsid w:val="007F3360"/>
    <w:rPr>
      <w:sz w:val="16"/>
      <w:szCs w:val="16"/>
    </w:rPr>
  </w:style>
  <w:style w:type="paragraph" w:styleId="CommentText">
    <w:name w:val="annotation text"/>
    <w:basedOn w:val="Normal"/>
    <w:link w:val="CommentTextChar"/>
    <w:uiPriority w:val="99"/>
    <w:unhideWhenUsed/>
    <w:rsid w:val="007F3360"/>
    <w:pPr>
      <w:spacing w:line="240" w:lineRule="auto"/>
    </w:pPr>
    <w:rPr>
      <w:sz w:val="20"/>
      <w:szCs w:val="20"/>
    </w:rPr>
  </w:style>
  <w:style w:type="character" w:customStyle="1" w:styleId="CommentTextChar">
    <w:name w:val="Comment Text Char"/>
    <w:basedOn w:val="DefaultParagraphFont"/>
    <w:link w:val="CommentText"/>
    <w:uiPriority w:val="99"/>
    <w:rsid w:val="007F3360"/>
    <w:rPr>
      <w:sz w:val="20"/>
      <w:szCs w:val="20"/>
    </w:rPr>
  </w:style>
  <w:style w:type="paragraph" w:styleId="CommentSubject">
    <w:name w:val="annotation subject"/>
    <w:basedOn w:val="CommentText"/>
    <w:next w:val="CommentText"/>
    <w:link w:val="CommentSubjectChar"/>
    <w:uiPriority w:val="99"/>
    <w:semiHidden/>
    <w:unhideWhenUsed/>
    <w:rsid w:val="007F3360"/>
    <w:rPr>
      <w:b/>
      <w:bCs/>
    </w:rPr>
  </w:style>
  <w:style w:type="character" w:customStyle="1" w:styleId="CommentSubjectChar">
    <w:name w:val="Comment Subject Char"/>
    <w:basedOn w:val="CommentTextChar"/>
    <w:link w:val="CommentSubject"/>
    <w:uiPriority w:val="99"/>
    <w:semiHidden/>
    <w:rsid w:val="007F33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66587">
      <w:bodyDiv w:val="1"/>
      <w:marLeft w:val="0"/>
      <w:marRight w:val="0"/>
      <w:marTop w:val="0"/>
      <w:marBottom w:val="0"/>
      <w:divBdr>
        <w:top w:val="none" w:sz="0" w:space="0" w:color="auto"/>
        <w:left w:val="none" w:sz="0" w:space="0" w:color="auto"/>
        <w:bottom w:val="none" w:sz="0" w:space="0" w:color="auto"/>
        <w:right w:val="none" w:sz="0" w:space="0" w:color="auto"/>
      </w:divBdr>
    </w:div>
    <w:div w:id="1967201150">
      <w:bodyDiv w:val="1"/>
      <w:marLeft w:val="0"/>
      <w:marRight w:val="0"/>
      <w:marTop w:val="0"/>
      <w:marBottom w:val="0"/>
      <w:divBdr>
        <w:top w:val="none" w:sz="0" w:space="0" w:color="auto"/>
        <w:left w:val="none" w:sz="0" w:space="0" w:color="auto"/>
        <w:bottom w:val="none" w:sz="0" w:space="0" w:color="auto"/>
        <w:right w:val="none" w:sz="0" w:space="0" w:color="auto"/>
      </w:divBdr>
      <w:divsChild>
        <w:div w:id="329407747">
          <w:marLeft w:val="0"/>
          <w:marRight w:val="0"/>
          <w:marTop w:val="0"/>
          <w:marBottom w:val="0"/>
          <w:divBdr>
            <w:top w:val="none" w:sz="0" w:space="0" w:color="auto"/>
            <w:left w:val="none" w:sz="0" w:space="0" w:color="auto"/>
            <w:bottom w:val="none" w:sz="0" w:space="0" w:color="auto"/>
            <w:right w:val="none" w:sz="0" w:space="0" w:color="auto"/>
          </w:divBdr>
        </w:div>
        <w:div w:id="1472287618">
          <w:marLeft w:val="0"/>
          <w:marRight w:val="0"/>
          <w:marTop w:val="0"/>
          <w:marBottom w:val="0"/>
          <w:divBdr>
            <w:top w:val="none" w:sz="0" w:space="0" w:color="auto"/>
            <w:left w:val="none" w:sz="0" w:space="0" w:color="auto"/>
            <w:bottom w:val="none" w:sz="0" w:space="0" w:color="auto"/>
            <w:right w:val="none" w:sz="0" w:space="0" w:color="auto"/>
          </w:divBdr>
        </w:div>
        <w:div w:id="81025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d685b8a-def3-4936-bd4a-ad0cbaabd365">
      <Terms xmlns="http://schemas.microsoft.com/office/infopath/2007/PartnerControls"/>
    </lcf76f155ced4ddcb4097134ff3c332f>
    <SharedWithUsers xmlns="4c70a926-dbaa-45f1-afc0-26a9639aec76">
      <UserInfo>
        <DisplayName>Lello, Miranda</DisplayName>
        <AccountId>213</AccountId>
        <AccountType/>
      </UserInfo>
      <UserInfo>
        <DisplayName>Cano, Cris</DisplayName>
        <AccountId>119</AccountId>
        <AccountType/>
      </UserInfo>
      <UserInfo>
        <DisplayName>Thompson, James</DisplayName>
        <AccountId>198</AccountId>
        <AccountType/>
      </UserInfo>
      <UserInfo>
        <DisplayName>Davies, Samantha</DisplayName>
        <AccountId>1168</AccountId>
        <AccountType/>
      </UserInfo>
      <UserInfo>
        <DisplayName>Zhou, Alex</DisplayName>
        <AccountId>105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864D4CE6FDB46B0D3B305863633F3" ma:contentTypeVersion="11" ma:contentTypeDescription="Create a new document." ma:contentTypeScope="" ma:versionID="70e1edb0f5e16b71b55c44b80083c3d5">
  <xsd:schema xmlns:xsd="http://www.w3.org/2001/XMLSchema" xmlns:xs="http://www.w3.org/2001/XMLSchema" xmlns:p="http://schemas.microsoft.com/office/2006/metadata/properties" xmlns:ns2="bd685b8a-def3-4936-bd4a-ad0cbaabd365" xmlns:ns3="81c01dc6-2c49-4730-b140-874c95cac377" xmlns:ns4="4c70a926-dbaa-45f1-afc0-26a9639aec76" targetNamespace="http://schemas.microsoft.com/office/2006/metadata/properties" ma:root="true" ma:fieldsID="8d7c34dfce0f20facb6c36472490b890" ns2:_="" ns3:_="" ns4:_="">
    <xsd:import namespace="bd685b8a-def3-4936-bd4a-ad0cbaabd365"/>
    <xsd:import namespace="81c01dc6-2c49-4730-b140-874c95cac377"/>
    <xsd:import namespace="4c70a926-dbaa-45f1-afc0-26a9639aec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85b8a-def3-4936-bd4a-ad0cbaabd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4cfa41-87e7-495b-8786-25a9ab2375f4}"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4477F-F1CD-4000-BFE1-E12526405CC5}">
  <ds:schemaRefs>
    <ds:schemaRef ds:uri="http://schemas.openxmlformats.org/officeDocument/2006/bibliography"/>
  </ds:schemaRefs>
</ds:datastoreItem>
</file>

<file path=customXml/itemProps2.xml><?xml version="1.0" encoding="utf-8"?>
<ds:datastoreItem xmlns:ds="http://schemas.openxmlformats.org/officeDocument/2006/customXml" ds:itemID="{14B3861B-A547-412A-B485-E05DD3A4E8E2}">
  <ds:schemaRefs>
    <ds:schemaRef ds:uri="http://schemas.microsoft.com/sharepoint/v3/contenttype/forms"/>
  </ds:schemaRefs>
</ds:datastoreItem>
</file>

<file path=customXml/itemProps3.xml><?xml version="1.0" encoding="utf-8"?>
<ds:datastoreItem xmlns:ds="http://schemas.openxmlformats.org/officeDocument/2006/customXml" ds:itemID="{1E0A07A5-DF5F-4675-99C7-5BAF6FE2C37D}">
  <ds:schemaRefs>
    <ds:schemaRef ds:uri="http://schemas.microsoft.com/office/2006/metadata/properties"/>
    <ds:schemaRef ds:uri="http://schemas.microsoft.com/office/infopath/2007/PartnerControls"/>
    <ds:schemaRef ds:uri="81c01dc6-2c49-4730-b140-874c95cac377"/>
    <ds:schemaRef ds:uri="bd685b8a-def3-4936-bd4a-ad0cbaabd365"/>
    <ds:schemaRef ds:uri="4c70a926-dbaa-45f1-afc0-26a9639aec76"/>
  </ds:schemaRefs>
</ds:datastoreItem>
</file>

<file path=customXml/itemProps4.xml><?xml version="1.0" encoding="utf-8"?>
<ds:datastoreItem xmlns:ds="http://schemas.openxmlformats.org/officeDocument/2006/customXml" ds:itemID="{0D8E2DBE-61FB-4A39-A8F2-D4B54D884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85b8a-def3-4936-bd4a-ad0cbaabd365"/>
    <ds:schemaRef ds:uri="81c01dc6-2c49-4730-b140-874c95cac377"/>
    <ds:schemaRef ds:uri="4c70a926-dbaa-45f1-afc0-26a9639ae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PresentationFormat/>
  <Lines>26</Lines>
  <Paragraphs>7</Paragraphs>
  <ScaleCrop>false</ScaleCrop>
  <Manager/>
  <Company/>
  <LinksUpToDate>false</LinksUpToDate>
  <CharactersWithSpaces>3770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2023-09-01T01:25:00Z</dcterms:created>
  <dcterms:modified xsi:type="dcterms:W3CDTF">2023-09-01T01:28:00Z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0x010100E80864D4CE6FDB46B0D3B305863633F3</vt:lpwstr>
  </property>
  <property fmtid="{D5CDD505-2E9C-101B-9397-08002B2CF9AE}" pid="3" name="DocHub_Year">
    <vt:lpwstr/>
  </property>
  <property fmtid="{D5CDD505-2E9C-101B-9397-08002B2CF9AE}" pid="4" name="DocHub_FuelPolicyWorkTopics">
    <vt:lpwstr>268;#Section 13 Approvals|1c9d125f-04bd-4ac0-bb4e-85127482c3cd</vt:lpwstr>
  </property>
  <property fmtid="{D5CDD505-2E9C-101B-9397-08002B2CF9AE}" pid="5" name="DocHub_DocumentType">
    <vt:lpwstr>622;#Gazette Notice|35b9c3bb-84c5-466d-977e-c64f6d5b248c</vt:lpwstr>
  </property>
  <property fmtid="{D5CDD505-2E9C-101B-9397-08002B2CF9AE}" pid="6" name="DocHub_SecurityClassification">
    <vt:lpwstr>1;#OFFICIAL|6106d03b-a1a0-4e30-9d91-d5e9fb4314f9</vt:lpwstr>
  </property>
  <property fmtid="{D5CDD505-2E9C-101B-9397-08002B2CF9AE}" pid="7" name="DocHub_FuelTypes">
    <vt:lpwstr/>
  </property>
  <property fmtid="{D5CDD505-2E9C-101B-9397-08002B2CF9AE}" pid="8" name="DocHub_Keywords">
    <vt:lpwstr>2673;#Refinery Upgrades Program|a255215d-5ce6-4ccf-9109-a27b0e106c2f;#2872;# RUP|b9100d31-edb8-4a4a-8d1d-27dfd6f522af;#1812;# Grants Management|abaecad7-39f6-4fa3-8151-09b5bee18a6d;#2873;# Fuel Program|93481ce0-cfac-4ed6-88bc-c5f1ef6d45a4;#105;# Liquid fuel security|3ab2717d-078d-4d48-bcb6-654f4c28480e;#2874;# Desulfurisation|f092a10a-131a-4dd7-831d-3860d95ed549</vt:lpwstr>
  </property>
  <property fmtid="{D5CDD505-2E9C-101B-9397-08002B2CF9AE}" pid="9" name="DocHub_WorkActivity">
    <vt:lpwstr/>
  </property>
  <property fmtid="{D5CDD505-2E9C-101B-9397-08002B2CF9AE}" pid="10" name="MediaServiceImageTags">
    <vt:lpwstr/>
  </property>
</Properties>
</file>