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7E3319" w14:textId="77777777" w:rsidR="00037A9D" w:rsidRPr="00037A9D" w:rsidRDefault="00037A9D" w:rsidP="007227A3">
      <w:pPr>
        <w:contextualSpacing/>
        <w:jc w:val="both"/>
        <w:rPr>
          <w:b/>
          <w:bCs/>
          <w:sz w:val="28"/>
          <w:szCs w:val="28"/>
        </w:rPr>
      </w:pPr>
      <w:r w:rsidRPr="00037A9D">
        <w:rPr>
          <w:b/>
          <w:bCs/>
          <w:sz w:val="28"/>
          <w:szCs w:val="28"/>
        </w:rPr>
        <w:t>Heavy Vehicle National Law</w:t>
      </w:r>
    </w:p>
    <w:p w14:paraId="427B1E1F" w14:textId="09B478F4" w:rsidR="00037A9D" w:rsidRPr="00037A9D" w:rsidRDefault="00037A9D" w:rsidP="007227A3">
      <w:pPr>
        <w:contextualSpacing/>
        <w:jc w:val="both"/>
        <w:rPr>
          <w:b/>
          <w:bCs/>
          <w:sz w:val="28"/>
          <w:szCs w:val="28"/>
        </w:rPr>
      </w:pPr>
      <w:r w:rsidRPr="00037A9D">
        <w:rPr>
          <w:b/>
          <w:bCs/>
          <w:sz w:val="28"/>
          <w:szCs w:val="28"/>
        </w:rPr>
        <w:t>Heavy Vehicle Stated Maps – Network Suspension and Amendment Notice 2023 (No.</w:t>
      </w:r>
      <w:r w:rsidR="00FA4863">
        <w:rPr>
          <w:b/>
          <w:bCs/>
          <w:sz w:val="28"/>
          <w:szCs w:val="28"/>
        </w:rPr>
        <w:t>1</w:t>
      </w:r>
      <w:r w:rsidR="008356F4">
        <w:rPr>
          <w:b/>
          <w:bCs/>
          <w:sz w:val="28"/>
          <w:szCs w:val="28"/>
        </w:rPr>
        <w:t>1</w:t>
      </w:r>
      <w:r w:rsidRPr="00037A9D">
        <w:rPr>
          <w:b/>
          <w:bCs/>
          <w:sz w:val="28"/>
          <w:szCs w:val="28"/>
        </w:rPr>
        <w:t>)</w:t>
      </w:r>
    </w:p>
    <w:p w14:paraId="083F7584" w14:textId="77777777" w:rsidR="00037A9D" w:rsidRDefault="00037A9D" w:rsidP="007227A3">
      <w:pPr>
        <w:contextualSpacing/>
        <w:jc w:val="both"/>
      </w:pPr>
    </w:p>
    <w:p w14:paraId="3EB9DF80" w14:textId="77777777" w:rsidR="00037A9D" w:rsidRDefault="00037A9D" w:rsidP="007227A3">
      <w:pPr>
        <w:pStyle w:val="ListParagraph"/>
        <w:numPr>
          <w:ilvl w:val="0"/>
          <w:numId w:val="1"/>
        </w:numPr>
        <w:jc w:val="both"/>
        <w:rPr>
          <w:b/>
          <w:bCs/>
        </w:rPr>
      </w:pPr>
      <w:r w:rsidRPr="006C4295">
        <w:rPr>
          <w:b/>
          <w:bCs/>
        </w:rPr>
        <w:t>Purpose</w:t>
      </w:r>
    </w:p>
    <w:p w14:paraId="290150FC" w14:textId="77777777" w:rsidR="006C4295" w:rsidRPr="006C4295" w:rsidRDefault="006C4295" w:rsidP="007227A3">
      <w:pPr>
        <w:pStyle w:val="ListParagraph"/>
        <w:jc w:val="both"/>
        <w:rPr>
          <w:b/>
          <w:bCs/>
        </w:rPr>
      </w:pPr>
    </w:p>
    <w:p w14:paraId="3CE8027A" w14:textId="714A148E" w:rsidR="006C4295" w:rsidRDefault="00037A9D" w:rsidP="007227A3">
      <w:pPr>
        <w:pStyle w:val="ListParagraph"/>
        <w:ind w:left="1080"/>
        <w:jc w:val="both"/>
      </w:pPr>
      <w:r>
        <w:t xml:space="preserve">The purpose of this Notice is to amend stated networks for vehicles on the Regulators initiative.    </w:t>
      </w:r>
    </w:p>
    <w:p w14:paraId="1CD1993C" w14:textId="77777777" w:rsidR="00312940" w:rsidRDefault="00312940" w:rsidP="007227A3">
      <w:pPr>
        <w:pStyle w:val="ListParagraph"/>
        <w:ind w:left="1080"/>
        <w:jc w:val="both"/>
      </w:pPr>
    </w:p>
    <w:p w14:paraId="410394D1" w14:textId="5028D212" w:rsidR="00037A9D" w:rsidRDefault="00037A9D" w:rsidP="007227A3">
      <w:pPr>
        <w:pStyle w:val="ListParagraph"/>
        <w:numPr>
          <w:ilvl w:val="0"/>
          <w:numId w:val="1"/>
        </w:numPr>
        <w:jc w:val="both"/>
        <w:rPr>
          <w:b/>
          <w:bCs/>
        </w:rPr>
      </w:pPr>
      <w:r w:rsidRPr="006C4295">
        <w:rPr>
          <w:b/>
          <w:bCs/>
        </w:rPr>
        <w:t>Commencement date</w:t>
      </w:r>
    </w:p>
    <w:p w14:paraId="7EE26171" w14:textId="77777777" w:rsidR="00312940" w:rsidRPr="00312940" w:rsidRDefault="00312940" w:rsidP="007227A3">
      <w:pPr>
        <w:pStyle w:val="ListParagraph"/>
        <w:jc w:val="both"/>
        <w:rPr>
          <w:b/>
          <w:bCs/>
        </w:rPr>
      </w:pPr>
    </w:p>
    <w:p w14:paraId="2363529F" w14:textId="345ECF1F" w:rsidR="00037A9D" w:rsidRDefault="00037A9D" w:rsidP="007227A3">
      <w:pPr>
        <w:pStyle w:val="ListParagraph"/>
        <w:numPr>
          <w:ilvl w:val="0"/>
          <w:numId w:val="3"/>
        </w:numPr>
        <w:ind w:left="1080"/>
        <w:jc w:val="both"/>
      </w:pPr>
      <w:r>
        <w:t>Suspension or amendment of the routes in Schedule 1 under s</w:t>
      </w:r>
      <w:r w:rsidR="007227A3">
        <w:t>4</w:t>
      </w:r>
      <w:r>
        <w:t xml:space="preserve">(1)(a) </w:t>
      </w:r>
      <w:r w:rsidR="007227A3">
        <w:t>below</w:t>
      </w:r>
      <w:r>
        <w:t xml:space="preserve"> commences immediately upon publication of this Notice; and</w:t>
      </w:r>
    </w:p>
    <w:p w14:paraId="358335F1" w14:textId="77777777" w:rsidR="00312940" w:rsidRDefault="00312940" w:rsidP="007227A3">
      <w:pPr>
        <w:pStyle w:val="ListParagraph"/>
        <w:ind w:left="1080"/>
        <w:jc w:val="both"/>
      </w:pPr>
    </w:p>
    <w:p w14:paraId="2F435350" w14:textId="39960C19" w:rsidR="00037A9D" w:rsidRDefault="00037A9D" w:rsidP="007227A3">
      <w:pPr>
        <w:pStyle w:val="ListParagraph"/>
        <w:numPr>
          <w:ilvl w:val="0"/>
          <w:numId w:val="3"/>
        </w:numPr>
        <w:ind w:left="1080"/>
        <w:jc w:val="both"/>
      </w:pPr>
      <w:r>
        <w:t>Cancellation or amendment of the routes in Schedule 1 under s</w:t>
      </w:r>
      <w:r w:rsidR="007227A3">
        <w:t>4</w:t>
      </w:r>
      <w:r>
        <w:t xml:space="preserve">(1)(b) </w:t>
      </w:r>
      <w:r w:rsidR="007227A3">
        <w:t>below</w:t>
      </w:r>
      <w:r>
        <w:t xml:space="preserve"> commences 28 days after publication of this Notice.</w:t>
      </w:r>
    </w:p>
    <w:p w14:paraId="02823046" w14:textId="77777777" w:rsidR="00312940" w:rsidRDefault="00312940" w:rsidP="007227A3">
      <w:pPr>
        <w:pStyle w:val="ListParagraph"/>
        <w:ind w:left="1080"/>
        <w:jc w:val="both"/>
      </w:pPr>
    </w:p>
    <w:p w14:paraId="44E001A6" w14:textId="77777777" w:rsidR="00037A9D" w:rsidRDefault="00037A9D" w:rsidP="007227A3">
      <w:pPr>
        <w:pStyle w:val="ListParagraph"/>
        <w:numPr>
          <w:ilvl w:val="0"/>
          <w:numId w:val="1"/>
        </w:numPr>
        <w:jc w:val="both"/>
        <w:rPr>
          <w:b/>
          <w:bCs/>
        </w:rPr>
      </w:pPr>
      <w:r w:rsidRPr="006C4295">
        <w:rPr>
          <w:b/>
          <w:bCs/>
        </w:rPr>
        <w:t>Title</w:t>
      </w:r>
    </w:p>
    <w:p w14:paraId="146D1194" w14:textId="77777777" w:rsidR="00312940" w:rsidRPr="006C4295" w:rsidRDefault="00312940" w:rsidP="007227A3">
      <w:pPr>
        <w:pStyle w:val="ListParagraph"/>
        <w:jc w:val="both"/>
        <w:rPr>
          <w:b/>
          <w:bCs/>
        </w:rPr>
      </w:pPr>
    </w:p>
    <w:p w14:paraId="45418136" w14:textId="2DEC2CFF" w:rsidR="006C4295" w:rsidRDefault="00037A9D" w:rsidP="007227A3">
      <w:pPr>
        <w:pStyle w:val="ListParagraph"/>
        <w:ind w:left="1080"/>
        <w:jc w:val="both"/>
      </w:pPr>
      <w:r>
        <w:t xml:space="preserve">This Notice may be cited as the </w:t>
      </w:r>
      <w:r w:rsidRPr="00537155">
        <w:rPr>
          <w:i/>
          <w:iCs/>
        </w:rPr>
        <w:t>Heavy Vehicle Stated Maps – Suspension and Amendment Notice 2023 (No.</w:t>
      </w:r>
      <w:r w:rsidR="00FA4863">
        <w:rPr>
          <w:i/>
          <w:iCs/>
        </w:rPr>
        <w:t>1</w:t>
      </w:r>
      <w:r w:rsidR="008356F4">
        <w:rPr>
          <w:i/>
          <w:iCs/>
        </w:rPr>
        <w:t>1</w:t>
      </w:r>
      <w:r w:rsidRPr="00537155">
        <w:rPr>
          <w:i/>
          <w:iCs/>
        </w:rPr>
        <w:t>)</w:t>
      </w:r>
      <w:r w:rsidR="00537155">
        <w:rPr>
          <w:i/>
          <w:iCs/>
        </w:rPr>
        <w:t>.</w:t>
      </w:r>
    </w:p>
    <w:p w14:paraId="352120A1" w14:textId="77777777" w:rsidR="00312940" w:rsidRDefault="00312940" w:rsidP="007227A3">
      <w:pPr>
        <w:pStyle w:val="ListParagraph"/>
        <w:ind w:left="1080"/>
        <w:jc w:val="both"/>
      </w:pPr>
    </w:p>
    <w:p w14:paraId="54B714B2" w14:textId="0C1277A1" w:rsidR="006C4295" w:rsidRDefault="006C4295" w:rsidP="007227A3">
      <w:pPr>
        <w:pStyle w:val="ListParagraph"/>
        <w:numPr>
          <w:ilvl w:val="0"/>
          <w:numId w:val="1"/>
        </w:numPr>
        <w:jc w:val="both"/>
        <w:rPr>
          <w:b/>
          <w:bCs/>
        </w:rPr>
      </w:pPr>
      <w:r w:rsidRPr="006C4295">
        <w:rPr>
          <w:b/>
          <w:bCs/>
        </w:rPr>
        <w:t>Authorising provision</w:t>
      </w:r>
    </w:p>
    <w:p w14:paraId="53DD2FCC" w14:textId="77777777" w:rsidR="00312940" w:rsidRPr="00312940" w:rsidRDefault="00312940" w:rsidP="007227A3">
      <w:pPr>
        <w:pStyle w:val="ListParagraph"/>
        <w:jc w:val="both"/>
        <w:rPr>
          <w:b/>
          <w:bCs/>
        </w:rPr>
      </w:pPr>
    </w:p>
    <w:p w14:paraId="713B7903" w14:textId="03EA089A" w:rsidR="006C4295" w:rsidRDefault="006C4295" w:rsidP="007227A3">
      <w:pPr>
        <w:pStyle w:val="ListParagraph"/>
        <w:numPr>
          <w:ilvl w:val="0"/>
          <w:numId w:val="5"/>
        </w:numPr>
        <w:jc w:val="both"/>
      </w:pPr>
      <w:r>
        <w:t xml:space="preserve">This Notice is made under: </w:t>
      </w:r>
    </w:p>
    <w:p w14:paraId="1A6E06FA" w14:textId="77777777" w:rsidR="00312940" w:rsidRDefault="00312940" w:rsidP="007227A3">
      <w:pPr>
        <w:pStyle w:val="ListParagraph"/>
        <w:ind w:left="1080"/>
        <w:jc w:val="both"/>
      </w:pPr>
    </w:p>
    <w:p w14:paraId="119E6C0B" w14:textId="77777777" w:rsidR="006C4295" w:rsidRDefault="006C4295" w:rsidP="007227A3">
      <w:pPr>
        <w:pStyle w:val="ListParagraph"/>
        <w:numPr>
          <w:ilvl w:val="0"/>
          <w:numId w:val="6"/>
        </w:numPr>
        <w:jc w:val="both"/>
      </w:pPr>
      <w:r>
        <w:t>Section 175, immediately suspending or amending the routes listed in Schedule 1 of this Notice to prevent or minimize serious harm to public safety or significant damage to road infrastructure; and</w:t>
      </w:r>
    </w:p>
    <w:p w14:paraId="444020C7" w14:textId="7B1EFD5A" w:rsidR="00037A9D" w:rsidRDefault="006C4295" w:rsidP="007227A3">
      <w:pPr>
        <w:pStyle w:val="ListParagraph"/>
        <w:numPr>
          <w:ilvl w:val="0"/>
          <w:numId w:val="6"/>
        </w:numPr>
        <w:jc w:val="both"/>
      </w:pPr>
      <w:r>
        <w:t>Section 173, cancelling or amending the routes listed in Schedule 1 of this Notice on the Regulators initiative.</w:t>
      </w:r>
    </w:p>
    <w:p w14:paraId="49CDAD15" w14:textId="77777777" w:rsidR="00312940" w:rsidRDefault="00312940" w:rsidP="007227A3">
      <w:pPr>
        <w:pStyle w:val="ListParagraph"/>
        <w:ind w:left="1440"/>
        <w:jc w:val="both"/>
      </w:pPr>
    </w:p>
    <w:p w14:paraId="6B36533F" w14:textId="77777777" w:rsidR="00037A9D" w:rsidRDefault="00037A9D" w:rsidP="007227A3">
      <w:pPr>
        <w:pStyle w:val="ListParagraph"/>
        <w:numPr>
          <w:ilvl w:val="0"/>
          <w:numId w:val="1"/>
        </w:numPr>
        <w:jc w:val="both"/>
        <w:rPr>
          <w:b/>
          <w:bCs/>
        </w:rPr>
      </w:pPr>
      <w:r w:rsidRPr="00312940">
        <w:rPr>
          <w:b/>
          <w:bCs/>
        </w:rPr>
        <w:t>Application</w:t>
      </w:r>
    </w:p>
    <w:p w14:paraId="20B56E91" w14:textId="77777777" w:rsidR="00312940" w:rsidRPr="00312940" w:rsidRDefault="00312940" w:rsidP="007227A3">
      <w:pPr>
        <w:pStyle w:val="ListParagraph"/>
        <w:jc w:val="both"/>
        <w:rPr>
          <w:b/>
          <w:bCs/>
        </w:rPr>
      </w:pPr>
    </w:p>
    <w:p w14:paraId="7D2AB941" w14:textId="71E91F93" w:rsidR="00037A9D" w:rsidRDefault="00037A9D" w:rsidP="007227A3">
      <w:pPr>
        <w:pStyle w:val="ListParagraph"/>
        <w:ind w:left="1080"/>
        <w:jc w:val="both"/>
      </w:pPr>
      <w:r>
        <w:t xml:space="preserve">This Notice applies in all participating jurisdictions.  </w:t>
      </w:r>
    </w:p>
    <w:p w14:paraId="5275C070" w14:textId="77777777" w:rsidR="00312940" w:rsidRDefault="00312940" w:rsidP="007227A3">
      <w:pPr>
        <w:pStyle w:val="ListParagraph"/>
        <w:ind w:left="1080"/>
        <w:jc w:val="both"/>
      </w:pPr>
    </w:p>
    <w:p w14:paraId="29807A67" w14:textId="50B57EF0" w:rsidR="00037A9D" w:rsidRDefault="00037A9D" w:rsidP="007227A3">
      <w:pPr>
        <w:pStyle w:val="ListParagraph"/>
        <w:numPr>
          <w:ilvl w:val="0"/>
          <w:numId w:val="1"/>
        </w:numPr>
        <w:jc w:val="both"/>
        <w:rPr>
          <w:b/>
          <w:bCs/>
        </w:rPr>
      </w:pPr>
      <w:r w:rsidRPr="00312940">
        <w:rPr>
          <w:b/>
          <w:bCs/>
        </w:rPr>
        <w:t>Amendments</w:t>
      </w:r>
    </w:p>
    <w:p w14:paraId="1C86147D" w14:textId="77777777" w:rsidR="00312940" w:rsidRPr="00312940" w:rsidRDefault="00312940" w:rsidP="007227A3">
      <w:pPr>
        <w:pStyle w:val="ListParagraph"/>
        <w:jc w:val="both"/>
        <w:rPr>
          <w:b/>
          <w:bCs/>
        </w:rPr>
      </w:pPr>
    </w:p>
    <w:p w14:paraId="6EDDE225" w14:textId="7348633E" w:rsidR="00312940" w:rsidRDefault="00037A9D" w:rsidP="007227A3">
      <w:pPr>
        <w:pStyle w:val="ListParagraph"/>
        <w:jc w:val="both"/>
      </w:pPr>
      <w:r>
        <w:t>The specified networks in Column 2 of Schedule 1 to this Notice are amended as specified in Column 4 for the Road Manager’s reasons shown in Column 5.</w:t>
      </w:r>
    </w:p>
    <w:p w14:paraId="113EC45C" w14:textId="77777777" w:rsidR="00312940" w:rsidRDefault="00312940" w:rsidP="007227A3">
      <w:pPr>
        <w:pStyle w:val="ListParagraph"/>
        <w:jc w:val="both"/>
      </w:pPr>
    </w:p>
    <w:p w14:paraId="01404190" w14:textId="77777777" w:rsidR="00312940" w:rsidRDefault="00312940" w:rsidP="007227A3">
      <w:pPr>
        <w:jc w:val="both"/>
        <w:rPr>
          <w:b/>
          <w:bCs/>
        </w:rPr>
      </w:pPr>
      <w:r>
        <w:rPr>
          <w:b/>
          <w:bCs/>
        </w:rPr>
        <w:br w:type="page"/>
      </w:r>
    </w:p>
    <w:p w14:paraId="4A19ACF5" w14:textId="07B7BB88" w:rsidR="00037A9D" w:rsidRDefault="00037A9D" w:rsidP="007227A3">
      <w:pPr>
        <w:pStyle w:val="ListParagraph"/>
        <w:numPr>
          <w:ilvl w:val="0"/>
          <w:numId w:val="1"/>
        </w:numPr>
        <w:jc w:val="both"/>
        <w:rPr>
          <w:b/>
          <w:bCs/>
        </w:rPr>
      </w:pPr>
      <w:r w:rsidRPr="00312940">
        <w:rPr>
          <w:b/>
          <w:bCs/>
        </w:rPr>
        <w:lastRenderedPageBreak/>
        <w:t xml:space="preserve">Public notice of amendment </w:t>
      </w:r>
    </w:p>
    <w:p w14:paraId="1B5BA5AB" w14:textId="77777777" w:rsidR="00BD5369" w:rsidRPr="00BD5369" w:rsidRDefault="00BD5369" w:rsidP="007227A3">
      <w:pPr>
        <w:pStyle w:val="ListParagraph"/>
        <w:jc w:val="both"/>
        <w:rPr>
          <w:b/>
          <w:bCs/>
        </w:rPr>
      </w:pPr>
    </w:p>
    <w:p w14:paraId="560D16BC" w14:textId="77777777" w:rsidR="00037A9D" w:rsidRDefault="00037A9D" w:rsidP="007227A3">
      <w:pPr>
        <w:pStyle w:val="ListParagraph"/>
        <w:ind w:left="1080"/>
        <w:jc w:val="both"/>
      </w:pPr>
      <w:r>
        <w:t xml:space="preserve">Any person affected by the purpose of the action they make written representation to the Regulator within 14 days of the publication of the notice about why the amendment should not be made. </w:t>
      </w:r>
    </w:p>
    <w:p w14:paraId="4F2DFB12" w14:textId="77777777" w:rsidR="00037A9D" w:rsidRDefault="00037A9D" w:rsidP="007227A3">
      <w:pPr>
        <w:contextualSpacing/>
        <w:jc w:val="both"/>
      </w:pPr>
    </w:p>
    <w:p w14:paraId="3205B409" w14:textId="4EDBFD81" w:rsidR="00037A9D" w:rsidRDefault="00037A9D" w:rsidP="007227A3">
      <w:pPr>
        <w:ind w:firstLine="720"/>
        <w:contextualSpacing/>
        <w:jc w:val="both"/>
      </w:pPr>
      <w:r>
        <w:t xml:space="preserve">Dated: </w:t>
      </w:r>
      <w:r w:rsidR="00811C88">
        <w:t>3</w:t>
      </w:r>
      <w:r w:rsidR="008356F4">
        <w:t>1</w:t>
      </w:r>
      <w:r w:rsidR="00FA4863">
        <w:t>/1</w:t>
      </w:r>
      <w:r w:rsidR="00811C88">
        <w:t>0</w:t>
      </w:r>
      <w:r w:rsidR="00FA4863">
        <w:t>/2023</w:t>
      </w:r>
    </w:p>
    <w:p w14:paraId="1FD89696" w14:textId="77777777" w:rsidR="00037A9D" w:rsidRDefault="00037A9D" w:rsidP="007227A3">
      <w:pPr>
        <w:ind w:firstLine="720"/>
        <w:contextualSpacing/>
        <w:jc w:val="both"/>
      </w:pPr>
      <w:r>
        <w:t>Jose Arredondo</w:t>
      </w:r>
    </w:p>
    <w:p w14:paraId="5315BFC0" w14:textId="77777777" w:rsidR="00037A9D" w:rsidRPr="00DE0083" w:rsidRDefault="00037A9D" w:rsidP="007227A3">
      <w:pPr>
        <w:ind w:firstLine="720"/>
        <w:contextualSpacing/>
        <w:jc w:val="both"/>
        <w:rPr>
          <w:i/>
          <w:iCs/>
        </w:rPr>
      </w:pPr>
      <w:r w:rsidRPr="00DE0083">
        <w:rPr>
          <w:i/>
          <w:iCs/>
        </w:rPr>
        <w:t>Manager Network Access Policy</w:t>
      </w:r>
    </w:p>
    <w:p w14:paraId="1A7086E4" w14:textId="0469F8A1" w:rsidR="001E270F" w:rsidRDefault="00037A9D" w:rsidP="007227A3">
      <w:pPr>
        <w:ind w:firstLine="720"/>
        <w:contextualSpacing/>
        <w:jc w:val="both"/>
        <w:rPr>
          <w:b/>
          <w:bCs/>
        </w:rPr>
      </w:pPr>
      <w:r w:rsidRPr="00DE0083">
        <w:rPr>
          <w:b/>
          <w:bCs/>
        </w:rPr>
        <w:t>National Heavy Vehicle Regulator</w:t>
      </w:r>
    </w:p>
    <w:p w14:paraId="4D49CC1F" w14:textId="77777777" w:rsidR="00621DDA" w:rsidRDefault="00621DDA">
      <w:pPr>
        <w:rPr>
          <w:b/>
          <w:bCs/>
        </w:rPr>
        <w:sectPr w:rsidR="00621DDA" w:rsidSect="00B60811">
          <w:footerReference w:type="default" r:id="rId8"/>
          <w:headerReference w:type="first" r:id="rId9"/>
          <w:pgSz w:w="11906" w:h="16838"/>
          <w:pgMar w:top="1440" w:right="1440" w:bottom="1440" w:left="1440" w:header="708" w:footer="708" w:gutter="0"/>
          <w:cols w:space="708"/>
          <w:titlePg/>
          <w:docGrid w:linePitch="360"/>
        </w:sectPr>
      </w:pPr>
    </w:p>
    <w:p w14:paraId="3F80455D" w14:textId="276A4EFB" w:rsidR="00DE0083" w:rsidRDefault="00594F18" w:rsidP="00594F18">
      <w:pPr>
        <w:contextualSpacing/>
        <w:rPr>
          <w:b/>
          <w:bCs/>
        </w:rPr>
      </w:pPr>
      <w:r>
        <w:rPr>
          <w:b/>
          <w:bCs/>
        </w:rPr>
        <w:lastRenderedPageBreak/>
        <w:t>Schedule 1 Table of Amended Routes</w:t>
      </w:r>
    </w:p>
    <w:tbl>
      <w:tblPr>
        <w:tblStyle w:val="TableGrid"/>
        <w:tblW w:w="14170" w:type="dxa"/>
        <w:tblLook w:val="04A0" w:firstRow="1" w:lastRow="0" w:firstColumn="1" w:lastColumn="0" w:noHBand="0" w:noVBand="1"/>
        <w:tblCaption w:val="Schedule 1 Table of Amended Routes"/>
        <w:tblDescription w:val="A table of route amendments made under this notice, stating the route, the loacal area, the amendment, and the reason."/>
      </w:tblPr>
      <w:tblGrid>
        <w:gridCol w:w="1416"/>
        <w:gridCol w:w="1416"/>
        <w:gridCol w:w="1416"/>
        <w:gridCol w:w="4961"/>
        <w:gridCol w:w="4961"/>
      </w:tblGrid>
      <w:tr w:rsidR="00594F18" w14:paraId="5E3FDFD3" w14:textId="77777777" w:rsidTr="003F51E6">
        <w:tc>
          <w:tcPr>
            <w:tcW w:w="1416" w:type="dxa"/>
            <w:vAlign w:val="center"/>
          </w:tcPr>
          <w:p w14:paraId="0F90FB0A" w14:textId="77777777" w:rsidR="00594F18" w:rsidRDefault="00594F18" w:rsidP="003F51E6">
            <w:pPr>
              <w:contextualSpacing/>
              <w:jc w:val="center"/>
              <w:rPr>
                <w:b/>
                <w:bCs/>
              </w:rPr>
            </w:pPr>
            <w:r>
              <w:rPr>
                <w:b/>
                <w:bCs/>
              </w:rPr>
              <w:t>Column 1</w:t>
            </w:r>
          </w:p>
          <w:p w14:paraId="1F0907EA" w14:textId="5E27EE72" w:rsidR="00901CB8" w:rsidRDefault="00901CB8" w:rsidP="003F51E6">
            <w:pPr>
              <w:contextualSpacing/>
              <w:jc w:val="center"/>
              <w:rPr>
                <w:b/>
                <w:bCs/>
              </w:rPr>
            </w:pPr>
            <w:r>
              <w:rPr>
                <w:b/>
                <w:bCs/>
              </w:rPr>
              <w:t>Authorising Provision</w:t>
            </w:r>
          </w:p>
        </w:tc>
        <w:tc>
          <w:tcPr>
            <w:tcW w:w="1416" w:type="dxa"/>
            <w:vAlign w:val="center"/>
          </w:tcPr>
          <w:p w14:paraId="45DBF5F5" w14:textId="77777777" w:rsidR="00594F18" w:rsidRDefault="00901CB8" w:rsidP="003F51E6">
            <w:pPr>
              <w:contextualSpacing/>
              <w:jc w:val="center"/>
              <w:rPr>
                <w:b/>
                <w:bCs/>
              </w:rPr>
            </w:pPr>
            <w:r>
              <w:rPr>
                <w:b/>
                <w:bCs/>
              </w:rPr>
              <w:t>Column 2</w:t>
            </w:r>
          </w:p>
          <w:p w14:paraId="38817194" w14:textId="4A5BE092" w:rsidR="00901CB8" w:rsidRDefault="00901CB8" w:rsidP="003F51E6">
            <w:pPr>
              <w:contextualSpacing/>
              <w:jc w:val="center"/>
              <w:rPr>
                <w:b/>
                <w:bCs/>
              </w:rPr>
            </w:pPr>
            <w:r>
              <w:rPr>
                <w:b/>
                <w:bCs/>
              </w:rPr>
              <w:t>Network</w:t>
            </w:r>
          </w:p>
        </w:tc>
        <w:tc>
          <w:tcPr>
            <w:tcW w:w="1416" w:type="dxa"/>
            <w:vAlign w:val="center"/>
          </w:tcPr>
          <w:p w14:paraId="1B44CF91" w14:textId="77777777" w:rsidR="00594F18" w:rsidRDefault="00901CB8" w:rsidP="003F51E6">
            <w:pPr>
              <w:contextualSpacing/>
              <w:jc w:val="center"/>
              <w:rPr>
                <w:b/>
                <w:bCs/>
              </w:rPr>
            </w:pPr>
            <w:r>
              <w:rPr>
                <w:b/>
                <w:bCs/>
              </w:rPr>
              <w:t>Column 3</w:t>
            </w:r>
          </w:p>
          <w:p w14:paraId="58EEFEE0" w14:textId="539DC90A" w:rsidR="00901CB8" w:rsidRDefault="00975CA4" w:rsidP="003F51E6">
            <w:pPr>
              <w:contextualSpacing/>
              <w:jc w:val="center"/>
              <w:rPr>
                <w:b/>
                <w:bCs/>
              </w:rPr>
            </w:pPr>
            <w:r>
              <w:rPr>
                <w:b/>
                <w:bCs/>
              </w:rPr>
              <w:t>Locality</w:t>
            </w:r>
          </w:p>
        </w:tc>
        <w:tc>
          <w:tcPr>
            <w:tcW w:w="4961" w:type="dxa"/>
            <w:vAlign w:val="center"/>
          </w:tcPr>
          <w:p w14:paraId="2ABF260C" w14:textId="77777777" w:rsidR="00594F18" w:rsidRDefault="00901CB8" w:rsidP="003F51E6">
            <w:pPr>
              <w:contextualSpacing/>
              <w:jc w:val="center"/>
              <w:rPr>
                <w:b/>
                <w:bCs/>
              </w:rPr>
            </w:pPr>
            <w:r>
              <w:rPr>
                <w:b/>
                <w:bCs/>
              </w:rPr>
              <w:t>Column 4</w:t>
            </w:r>
          </w:p>
          <w:p w14:paraId="63B4B57C" w14:textId="5BD7EF81" w:rsidR="00975CA4" w:rsidRDefault="00975CA4" w:rsidP="003F51E6">
            <w:pPr>
              <w:contextualSpacing/>
              <w:jc w:val="center"/>
              <w:rPr>
                <w:b/>
                <w:bCs/>
              </w:rPr>
            </w:pPr>
            <w:r>
              <w:rPr>
                <w:b/>
                <w:bCs/>
              </w:rPr>
              <w:t>Changes to Route</w:t>
            </w:r>
          </w:p>
        </w:tc>
        <w:tc>
          <w:tcPr>
            <w:tcW w:w="4961" w:type="dxa"/>
            <w:vAlign w:val="center"/>
          </w:tcPr>
          <w:p w14:paraId="7289F892" w14:textId="77777777" w:rsidR="00594F18" w:rsidRDefault="0060768C" w:rsidP="003F51E6">
            <w:pPr>
              <w:contextualSpacing/>
              <w:jc w:val="center"/>
              <w:rPr>
                <w:b/>
                <w:bCs/>
              </w:rPr>
            </w:pPr>
            <w:r>
              <w:rPr>
                <w:b/>
                <w:bCs/>
              </w:rPr>
              <w:t>Column 5</w:t>
            </w:r>
          </w:p>
          <w:p w14:paraId="26A33548" w14:textId="69EBA5AF" w:rsidR="0060768C" w:rsidRDefault="0060768C" w:rsidP="003F51E6">
            <w:pPr>
              <w:contextualSpacing/>
              <w:jc w:val="center"/>
              <w:rPr>
                <w:b/>
                <w:bCs/>
              </w:rPr>
            </w:pPr>
            <w:r>
              <w:rPr>
                <w:b/>
                <w:bCs/>
              </w:rPr>
              <w:t>Road manager Reasons for Change</w:t>
            </w:r>
          </w:p>
        </w:tc>
      </w:tr>
      <w:tr w:rsidR="00594F18" w:rsidRPr="00DD6918" w14:paraId="4A02CA7D" w14:textId="77777777" w:rsidTr="00755BCA">
        <w:tc>
          <w:tcPr>
            <w:tcW w:w="1416" w:type="dxa"/>
          </w:tcPr>
          <w:p w14:paraId="537A853B" w14:textId="28887C78" w:rsidR="00594F18" w:rsidRPr="00DD6918" w:rsidRDefault="00DD6918" w:rsidP="00594F18">
            <w:pPr>
              <w:contextualSpacing/>
              <w:rPr>
                <w:sz w:val="20"/>
                <w:szCs w:val="20"/>
              </w:rPr>
            </w:pPr>
            <w:r w:rsidRPr="00DD6918">
              <w:rPr>
                <w:sz w:val="20"/>
                <w:szCs w:val="20"/>
              </w:rPr>
              <w:t>s173 and s175 HVNL</w:t>
            </w:r>
          </w:p>
        </w:tc>
        <w:tc>
          <w:tcPr>
            <w:tcW w:w="1416" w:type="dxa"/>
          </w:tcPr>
          <w:p w14:paraId="172BC935" w14:textId="77777777" w:rsidR="00594F18" w:rsidRDefault="00DD6918" w:rsidP="00594F18">
            <w:pPr>
              <w:contextualSpacing/>
              <w:rPr>
                <w:sz w:val="20"/>
                <w:szCs w:val="20"/>
              </w:rPr>
            </w:pPr>
            <w:r w:rsidRPr="00DD6918">
              <w:rPr>
                <w:sz w:val="20"/>
                <w:szCs w:val="20"/>
              </w:rPr>
              <w:t>Victoria –</w:t>
            </w:r>
            <w:r>
              <w:rPr>
                <w:sz w:val="20"/>
                <w:szCs w:val="20"/>
              </w:rPr>
              <w:t xml:space="preserve"> </w:t>
            </w:r>
          </w:p>
          <w:p w14:paraId="624E68D2" w14:textId="3CD6C5CF" w:rsidR="007B50BB" w:rsidRDefault="007B50BB" w:rsidP="00594F18">
            <w:pPr>
              <w:contextualSpacing/>
              <w:rPr>
                <w:sz w:val="20"/>
                <w:szCs w:val="20"/>
              </w:rPr>
            </w:pPr>
            <w:r>
              <w:rPr>
                <w:sz w:val="20"/>
                <w:szCs w:val="20"/>
              </w:rPr>
              <w:t xml:space="preserve">Multiple Networks – </w:t>
            </w:r>
          </w:p>
          <w:p w14:paraId="1E5611A3" w14:textId="164504AE" w:rsidR="00DD6918" w:rsidRPr="00DD6918" w:rsidRDefault="00DF48D0" w:rsidP="00594F18">
            <w:pPr>
              <w:contextualSpacing/>
              <w:rPr>
                <w:sz w:val="20"/>
                <w:szCs w:val="20"/>
              </w:rPr>
            </w:pPr>
            <w:r w:rsidRPr="00DF48D0">
              <w:rPr>
                <w:sz w:val="20"/>
                <w:szCs w:val="20"/>
              </w:rPr>
              <w:t>All 2A PBS network maps</w:t>
            </w:r>
            <w:r w:rsidR="00DD6918">
              <w:rPr>
                <w:sz w:val="20"/>
                <w:szCs w:val="20"/>
              </w:rPr>
              <w:t>.</w:t>
            </w:r>
          </w:p>
        </w:tc>
        <w:tc>
          <w:tcPr>
            <w:tcW w:w="1416" w:type="dxa"/>
          </w:tcPr>
          <w:p w14:paraId="66EF4E96" w14:textId="5D4106F2" w:rsidR="00594F18" w:rsidRPr="00DD6918" w:rsidRDefault="00DF48D0" w:rsidP="00594F18">
            <w:pPr>
              <w:contextualSpacing/>
              <w:rPr>
                <w:sz w:val="20"/>
                <w:szCs w:val="20"/>
              </w:rPr>
            </w:pPr>
            <w:r w:rsidRPr="00DF48D0">
              <w:rPr>
                <w:sz w:val="20"/>
                <w:szCs w:val="20"/>
              </w:rPr>
              <w:t>Department of Transport and Planning</w:t>
            </w:r>
          </w:p>
        </w:tc>
        <w:tc>
          <w:tcPr>
            <w:tcW w:w="4961" w:type="dxa"/>
          </w:tcPr>
          <w:p w14:paraId="65743824" w14:textId="77777777" w:rsidR="00594F18" w:rsidRPr="00DD6918" w:rsidRDefault="00DD6918" w:rsidP="00594F18">
            <w:pPr>
              <w:contextualSpacing/>
              <w:rPr>
                <w:b/>
                <w:bCs/>
                <w:sz w:val="20"/>
                <w:szCs w:val="20"/>
              </w:rPr>
            </w:pPr>
            <w:r w:rsidRPr="00DD6918">
              <w:rPr>
                <w:b/>
                <w:bCs/>
                <w:sz w:val="20"/>
                <w:szCs w:val="20"/>
              </w:rPr>
              <w:t>Remove the following roads:</w:t>
            </w:r>
          </w:p>
          <w:p w14:paraId="05A6CF6D" w14:textId="44A601C0" w:rsidR="00DD6918" w:rsidRPr="00DD6918" w:rsidRDefault="00DF48D0" w:rsidP="00DD6918">
            <w:pPr>
              <w:contextualSpacing/>
              <w:rPr>
                <w:sz w:val="20"/>
                <w:szCs w:val="20"/>
              </w:rPr>
            </w:pPr>
            <w:r w:rsidRPr="00DF48D0">
              <w:rPr>
                <w:sz w:val="20"/>
                <w:szCs w:val="20"/>
              </w:rPr>
              <w:t>High Street/Warren Street in Echuca</w:t>
            </w:r>
          </w:p>
        </w:tc>
        <w:tc>
          <w:tcPr>
            <w:tcW w:w="4961" w:type="dxa"/>
          </w:tcPr>
          <w:p w14:paraId="6B703088" w14:textId="219FD566" w:rsidR="00594F18" w:rsidRPr="00DD6918" w:rsidRDefault="00DF48D0" w:rsidP="00594F18">
            <w:pPr>
              <w:contextualSpacing/>
              <w:rPr>
                <w:sz w:val="20"/>
                <w:szCs w:val="20"/>
              </w:rPr>
            </w:pPr>
            <w:r w:rsidRPr="00DF48D0">
              <w:rPr>
                <w:sz w:val="20"/>
                <w:szCs w:val="20"/>
              </w:rPr>
              <w:t>Now that there is a new bridge in play too across the Murray River, we should probably be trying to encourage all larger trucks to use the major highways rather than the C class road within Echuca that goes straight through a key town activity centre. (</w:t>
            </w:r>
            <w:proofErr w:type="gramStart"/>
            <w:r w:rsidRPr="00DF48D0">
              <w:rPr>
                <w:sz w:val="20"/>
                <w:szCs w:val="20"/>
              </w:rPr>
              <w:t>e.g.</w:t>
            </w:r>
            <w:proofErr w:type="gramEnd"/>
            <w:r w:rsidRPr="00DF48D0">
              <w:rPr>
                <w:sz w:val="20"/>
                <w:szCs w:val="20"/>
              </w:rPr>
              <w:t xml:space="preserve"> if trucks are heading between NSW and Victoria they use the highways are unsuitable from a safety risk.</w:t>
            </w:r>
          </w:p>
        </w:tc>
      </w:tr>
      <w:tr w:rsidR="00594F18" w:rsidRPr="00DD6918" w14:paraId="2A9705C2" w14:textId="77777777" w:rsidTr="00755BCA">
        <w:tc>
          <w:tcPr>
            <w:tcW w:w="1416" w:type="dxa"/>
          </w:tcPr>
          <w:p w14:paraId="39C0F1CF" w14:textId="5C526199" w:rsidR="00594F18" w:rsidRPr="00DD6918" w:rsidRDefault="007B50BB" w:rsidP="00594F18">
            <w:pPr>
              <w:contextualSpacing/>
              <w:rPr>
                <w:sz w:val="20"/>
                <w:szCs w:val="20"/>
              </w:rPr>
            </w:pPr>
            <w:bookmarkStart w:id="2" w:name="_Hlk149555415"/>
            <w:r w:rsidRPr="007B50BB">
              <w:rPr>
                <w:sz w:val="20"/>
                <w:szCs w:val="20"/>
              </w:rPr>
              <w:t>s173 and s175 HVNL</w:t>
            </w:r>
          </w:p>
        </w:tc>
        <w:tc>
          <w:tcPr>
            <w:tcW w:w="1416" w:type="dxa"/>
          </w:tcPr>
          <w:p w14:paraId="738B1E9D" w14:textId="726F9149" w:rsidR="007B50BB" w:rsidRDefault="003F7110" w:rsidP="007B50BB">
            <w:pPr>
              <w:contextualSpacing/>
              <w:rPr>
                <w:sz w:val="20"/>
                <w:szCs w:val="20"/>
              </w:rPr>
            </w:pPr>
            <w:r>
              <w:rPr>
                <w:sz w:val="20"/>
                <w:szCs w:val="20"/>
              </w:rPr>
              <w:t>South Australia</w:t>
            </w:r>
            <w:r w:rsidR="007B50BB" w:rsidRPr="00DD6918">
              <w:rPr>
                <w:sz w:val="20"/>
                <w:szCs w:val="20"/>
              </w:rPr>
              <w:t xml:space="preserve"> –</w:t>
            </w:r>
            <w:r w:rsidR="007B50BB">
              <w:rPr>
                <w:sz w:val="20"/>
                <w:szCs w:val="20"/>
              </w:rPr>
              <w:t xml:space="preserve"> </w:t>
            </w:r>
          </w:p>
          <w:p w14:paraId="3A095782" w14:textId="7813CEC6" w:rsidR="00594F18" w:rsidRPr="00DD6918" w:rsidRDefault="007B50BB" w:rsidP="003F7110">
            <w:pPr>
              <w:contextualSpacing/>
              <w:rPr>
                <w:sz w:val="20"/>
                <w:szCs w:val="20"/>
              </w:rPr>
            </w:pPr>
            <w:r>
              <w:rPr>
                <w:sz w:val="20"/>
                <w:szCs w:val="20"/>
              </w:rPr>
              <w:t xml:space="preserve">Multiple Networks – </w:t>
            </w:r>
            <w:r w:rsidR="003F7110" w:rsidRPr="003F7110">
              <w:rPr>
                <w:sz w:val="20"/>
                <w:szCs w:val="20"/>
              </w:rPr>
              <w:t>GML</w:t>
            </w:r>
            <w:r w:rsidR="003F7110">
              <w:rPr>
                <w:sz w:val="20"/>
                <w:szCs w:val="20"/>
              </w:rPr>
              <w:t xml:space="preserve"> Commodity Routes</w:t>
            </w:r>
            <w:r>
              <w:rPr>
                <w:sz w:val="20"/>
                <w:szCs w:val="20"/>
              </w:rPr>
              <w:t xml:space="preserve"> </w:t>
            </w:r>
            <w:r w:rsidRPr="00DD6918">
              <w:rPr>
                <w:sz w:val="20"/>
                <w:szCs w:val="20"/>
              </w:rPr>
              <w:t xml:space="preserve">B-double </w:t>
            </w:r>
            <w:r>
              <w:rPr>
                <w:sz w:val="20"/>
                <w:szCs w:val="20"/>
              </w:rPr>
              <w:t xml:space="preserve">and </w:t>
            </w:r>
            <w:r w:rsidR="003F7110">
              <w:rPr>
                <w:sz w:val="20"/>
                <w:szCs w:val="20"/>
              </w:rPr>
              <w:t>Type 1 Road Train</w:t>
            </w:r>
            <w:r>
              <w:rPr>
                <w:sz w:val="20"/>
                <w:szCs w:val="20"/>
              </w:rPr>
              <w:t xml:space="preserve"> </w:t>
            </w:r>
            <w:r w:rsidRPr="00DD6918">
              <w:rPr>
                <w:sz w:val="20"/>
                <w:szCs w:val="20"/>
              </w:rPr>
              <w:t>networks</w:t>
            </w:r>
            <w:r>
              <w:rPr>
                <w:sz w:val="20"/>
                <w:szCs w:val="20"/>
              </w:rPr>
              <w:t>.</w:t>
            </w:r>
          </w:p>
        </w:tc>
        <w:tc>
          <w:tcPr>
            <w:tcW w:w="1416" w:type="dxa"/>
          </w:tcPr>
          <w:p w14:paraId="136EF0BE" w14:textId="6D9AFE6C" w:rsidR="00594F18" w:rsidRPr="00DD6918" w:rsidRDefault="003F7110" w:rsidP="00594F18">
            <w:pPr>
              <w:contextualSpacing/>
              <w:rPr>
                <w:sz w:val="20"/>
                <w:szCs w:val="20"/>
              </w:rPr>
            </w:pPr>
            <w:r>
              <w:rPr>
                <w:sz w:val="20"/>
                <w:szCs w:val="20"/>
              </w:rPr>
              <w:t xml:space="preserve">Lower Eyre </w:t>
            </w:r>
            <w:r w:rsidR="007B50BB" w:rsidRPr="007B50BB">
              <w:rPr>
                <w:sz w:val="20"/>
                <w:szCs w:val="20"/>
              </w:rPr>
              <w:t>Council</w:t>
            </w:r>
          </w:p>
        </w:tc>
        <w:tc>
          <w:tcPr>
            <w:tcW w:w="4961" w:type="dxa"/>
          </w:tcPr>
          <w:p w14:paraId="7A617240" w14:textId="47732690" w:rsidR="007B50BB" w:rsidRDefault="003F7110" w:rsidP="007B50BB">
            <w:pPr>
              <w:contextualSpacing/>
              <w:rPr>
                <w:b/>
                <w:bCs/>
                <w:sz w:val="20"/>
                <w:szCs w:val="20"/>
              </w:rPr>
            </w:pPr>
            <w:r>
              <w:rPr>
                <w:b/>
                <w:bCs/>
                <w:sz w:val="20"/>
                <w:szCs w:val="20"/>
              </w:rPr>
              <w:t>Add restrictions on</w:t>
            </w:r>
            <w:r w:rsidR="007B50BB" w:rsidRPr="00DD6918">
              <w:rPr>
                <w:b/>
                <w:bCs/>
                <w:sz w:val="20"/>
                <w:szCs w:val="20"/>
              </w:rPr>
              <w:t xml:space="preserve"> the following road:</w:t>
            </w:r>
          </w:p>
          <w:p w14:paraId="3A8D2C98" w14:textId="6531D8DF" w:rsidR="003F7110" w:rsidRPr="003F7110" w:rsidRDefault="003F7110" w:rsidP="007B50BB">
            <w:pPr>
              <w:contextualSpacing/>
              <w:rPr>
                <w:sz w:val="20"/>
                <w:szCs w:val="20"/>
              </w:rPr>
            </w:pPr>
            <w:r w:rsidRPr="003F7110">
              <w:rPr>
                <w:sz w:val="20"/>
                <w:szCs w:val="20"/>
              </w:rPr>
              <w:t>Speed limit 40km/h</w:t>
            </w:r>
          </w:p>
          <w:p w14:paraId="26EC8F18" w14:textId="77777777" w:rsidR="007B50BB" w:rsidRDefault="003F7110" w:rsidP="007B50BB">
            <w:pPr>
              <w:contextualSpacing/>
              <w:rPr>
                <w:sz w:val="20"/>
                <w:szCs w:val="20"/>
              </w:rPr>
            </w:pPr>
            <w:r w:rsidRPr="003F7110">
              <w:rPr>
                <w:sz w:val="20"/>
                <w:szCs w:val="20"/>
              </w:rPr>
              <w:t>Gap Road, Coulta SA</w:t>
            </w:r>
          </w:p>
          <w:p w14:paraId="7F37E173" w14:textId="68723681" w:rsidR="003F7110" w:rsidRDefault="003F7110" w:rsidP="007B50BB">
            <w:pPr>
              <w:contextualSpacing/>
              <w:rPr>
                <w:sz w:val="20"/>
                <w:szCs w:val="20"/>
              </w:rPr>
            </w:pPr>
            <w:r w:rsidRPr="003F7110">
              <w:rPr>
                <w:sz w:val="20"/>
                <w:szCs w:val="20"/>
              </w:rPr>
              <w:t>RRD 000 (Flinders Highway) to RRD 10260m</w:t>
            </w:r>
          </w:p>
          <w:p w14:paraId="22166CB0" w14:textId="1ECED115" w:rsidR="003F7110" w:rsidRPr="00DD6918" w:rsidRDefault="003F7110" w:rsidP="007B50BB">
            <w:pPr>
              <w:contextualSpacing/>
              <w:rPr>
                <w:sz w:val="20"/>
                <w:szCs w:val="20"/>
              </w:rPr>
            </w:pPr>
            <w:r w:rsidRPr="003F7110">
              <w:rPr>
                <w:sz w:val="20"/>
                <w:szCs w:val="20"/>
              </w:rPr>
              <w:t>RRD 10260 to Settlers Road</w:t>
            </w:r>
          </w:p>
        </w:tc>
        <w:tc>
          <w:tcPr>
            <w:tcW w:w="4961" w:type="dxa"/>
          </w:tcPr>
          <w:p w14:paraId="745ABECE" w14:textId="70798BB3" w:rsidR="003F7110" w:rsidRPr="003F7110" w:rsidRDefault="003F7110" w:rsidP="003F7110">
            <w:pPr>
              <w:contextualSpacing/>
              <w:rPr>
                <w:sz w:val="20"/>
                <w:szCs w:val="20"/>
              </w:rPr>
            </w:pPr>
            <w:r>
              <w:rPr>
                <w:sz w:val="20"/>
                <w:szCs w:val="20"/>
              </w:rPr>
              <w:t>Reduce speed limit to</w:t>
            </w:r>
            <w:r w:rsidRPr="003F7110">
              <w:rPr>
                <w:sz w:val="20"/>
                <w:szCs w:val="20"/>
              </w:rPr>
              <w:t xml:space="preserve"> 40km/h</w:t>
            </w:r>
            <w:r>
              <w:rPr>
                <w:sz w:val="20"/>
                <w:szCs w:val="20"/>
              </w:rPr>
              <w:t>.</w:t>
            </w:r>
          </w:p>
          <w:p w14:paraId="08F3A369" w14:textId="77777777" w:rsidR="003F7110" w:rsidRDefault="003F7110" w:rsidP="003F7110">
            <w:pPr>
              <w:contextualSpacing/>
              <w:rPr>
                <w:sz w:val="20"/>
                <w:szCs w:val="20"/>
              </w:rPr>
            </w:pPr>
          </w:p>
          <w:p w14:paraId="5154503D" w14:textId="3021F89C" w:rsidR="003F7110" w:rsidRPr="00DD6918" w:rsidRDefault="003F7110" w:rsidP="003F7110">
            <w:pPr>
              <w:contextualSpacing/>
              <w:rPr>
                <w:sz w:val="20"/>
                <w:szCs w:val="20"/>
              </w:rPr>
            </w:pPr>
            <w:r w:rsidRPr="003F7110">
              <w:rPr>
                <w:sz w:val="20"/>
                <w:szCs w:val="20"/>
              </w:rPr>
              <w:t>Issues are tight bends, widths around bends and steep gradients. This is also a school bus route.</w:t>
            </w:r>
          </w:p>
        </w:tc>
      </w:tr>
      <w:bookmarkEnd w:id="2"/>
    </w:tbl>
    <w:p w14:paraId="180388E9" w14:textId="77777777" w:rsidR="00594F18" w:rsidRPr="00DE0083" w:rsidRDefault="00594F18" w:rsidP="00594F18">
      <w:pPr>
        <w:contextualSpacing/>
        <w:rPr>
          <w:b/>
          <w:bCs/>
        </w:rPr>
      </w:pPr>
    </w:p>
    <w:sectPr w:rsidR="00594F18" w:rsidRPr="00DE0083" w:rsidSect="00621DDA">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212BE0" w14:textId="77777777" w:rsidR="007A3C4A" w:rsidRDefault="007A3C4A" w:rsidP="00537155">
      <w:pPr>
        <w:spacing w:after="0" w:line="240" w:lineRule="auto"/>
      </w:pPr>
      <w:r>
        <w:separator/>
      </w:r>
    </w:p>
  </w:endnote>
  <w:endnote w:type="continuationSeparator" w:id="0">
    <w:p w14:paraId="5C52727C" w14:textId="77777777" w:rsidR="007A3C4A" w:rsidRDefault="007A3C4A" w:rsidP="005371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B8BE9" w14:textId="77777777" w:rsidR="00537155" w:rsidRDefault="00537155" w:rsidP="00537155">
    <w:pPr>
      <w:pStyle w:val="Footer"/>
      <w:jc w:val="right"/>
      <w:rPr>
        <w:i/>
        <w:iCs/>
      </w:rPr>
    </w:pPr>
  </w:p>
  <w:p w14:paraId="78B7BFC2" w14:textId="5CB440BD" w:rsidR="00537155" w:rsidRPr="00DE0083" w:rsidRDefault="00537155" w:rsidP="008356F4">
    <w:pPr>
      <w:pStyle w:val="Footer"/>
      <w:jc w:val="right"/>
    </w:pPr>
    <w:r w:rsidRPr="00DE0083">
      <w:t>Heavy Vehicle Stated Maps – Suspension and Amendment Notice 2023 (No.</w:t>
    </w:r>
    <w:r w:rsidR="00FA4863">
      <w:t>1</w:t>
    </w:r>
    <w:r w:rsidR="008356F4">
      <w:t>1</w:t>
    </w:r>
    <w:r w:rsidRPr="00DE0083">
      <w:t>)</w:t>
    </w:r>
  </w:p>
  <w:sdt>
    <w:sdtPr>
      <w:id w:val="752395455"/>
      <w:docPartObj>
        <w:docPartGallery w:val="Page Numbers (Bottom of Page)"/>
        <w:docPartUnique/>
      </w:docPartObj>
    </w:sdtPr>
    <w:sdtEndPr/>
    <w:sdtContent>
      <w:sdt>
        <w:sdtPr>
          <w:id w:val="-1769616900"/>
          <w:docPartObj>
            <w:docPartGallery w:val="Page Numbers (Top of Page)"/>
            <w:docPartUnique/>
          </w:docPartObj>
        </w:sdtPr>
        <w:sdtEndPr/>
        <w:sdtContent>
          <w:p w14:paraId="67B25D48" w14:textId="11509FF8" w:rsidR="00537155" w:rsidRDefault="00537155" w:rsidP="0053715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A23449" w14:textId="77777777" w:rsidR="007A3C4A" w:rsidRDefault="007A3C4A" w:rsidP="00537155">
      <w:pPr>
        <w:spacing w:after="0" w:line="240" w:lineRule="auto"/>
      </w:pPr>
      <w:r>
        <w:separator/>
      </w:r>
    </w:p>
  </w:footnote>
  <w:footnote w:type="continuationSeparator" w:id="0">
    <w:p w14:paraId="7CA008F6" w14:textId="77777777" w:rsidR="007A3C4A" w:rsidRDefault="007A3C4A" w:rsidP="005371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77" w:type="dxa"/>
      <w:tblInd w:w="80" w:type="dxa"/>
      <w:tblLayout w:type="fixed"/>
      <w:tblLook w:val="01E0" w:firstRow="1" w:lastRow="1" w:firstColumn="1" w:lastColumn="1" w:noHBand="0" w:noVBand="0"/>
    </w:tblPr>
    <w:tblGrid>
      <w:gridCol w:w="1263"/>
      <w:gridCol w:w="4435"/>
      <w:gridCol w:w="3979"/>
    </w:tblGrid>
    <w:tr w:rsidR="00B60811" w:rsidRPr="00CE796A" w14:paraId="0CA7D9E9" w14:textId="77777777" w:rsidTr="00131DA4">
      <w:trPr>
        <w:trHeight w:val="984"/>
      </w:trPr>
      <w:tc>
        <w:tcPr>
          <w:tcW w:w="1263" w:type="dxa"/>
          <w:tcBorders>
            <w:top w:val="single" w:sz="4" w:space="0" w:color="auto"/>
            <w:left w:val="nil"/>
            <w:bottom w:val="single" w:sz="4" w:space="0" w:color="auto"/>
            <w:right w:val="nil"/>
            <w:tl2br w:val="nil"/>
            <w:tr2bl w:val="nil"/>
          </w:tcBorders>
          <w:shd w:val="clear" w:color="auto" w:fill="auto"/>
        </w:tcPr>
        <w:p w14:paraId="4325EFC1" w14:textId="77777777" w:rsidR="00B60811" w:rsidRPr="00CE796A" w:rsidRDefault="00B60811" w:rsidP="00B60811">
          <w:pPr>
            <w:spacing w:before="60" w:after="0"/>
            <w:ind w:left="-51"/>
            <w:rPr>
              <w:rFonts w:ascii="Arial" w:hAnsi="Arial"/>
              <w:sz w:val="12"/>
            </w:rPr>
          </w:pPr>
          <w:bookmarkStart w:id="0" w:name="OLE_LINK2"/>
          <w:r>
            <w:rPr>
              <w:rFonts w:ascii="Arial" w:hAnsi="Arial"/>
              <w:noProof/>
              <w:sz w:val="12"/>
              <w:lang w:eastAsia="en-AU"/>
            </w:rPr>
            <w:drawing>
              <wp:inline distT="0" distB="0" distL="0" distR="0" wp14:anchorId="29C6F8D9" wp14:editId="51456609">
                <wp:extent cx="702945" cy="544195"/>
                <wp:effectExtent l="0" t="0" r="0" b="8255"/>
                <wp:docPr id="1" name="Picture 1" title="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14:paraId="216B9954" w14:textId="77777777" w:rsidR="00B60811" w:rsidRPr="00CE796A" w:rsidRDefault="00B60811" w:rsidP="00B60811">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of Australia</w:t>
          </w:r>
        </w:p>
      </w:tc>
      <w:tc>
        <w:tcPr>
          <w:tcW w:w="3979" w:type="dxa"/>
          <w:tcBorders>
            <w:top w:val="single" w:sz="4" w:space="0" w:color="auto"/>
            <w:left w:val="nil"/>
            <w:bottom w:val="single" w:sz="4" w:space="0" w:color="auto"/>
            <w:right w:val="nil"/>
            <w:tl2br w:val="nil"/>
            <w:tr2bl w:val="nil"/>
          </w:tcBorders>
          <w:shd w:val="clear" w:color="auto" w:fill="auto"/>
        </w:tcPr>
        <w:p w14:paraId="37E5F9AB" w14:textId="77777777" w:rsidR="00B60811" w:rsidRPr="00CE796A" w:rsidRDefault="00B60811" w:rsidP="00B60811">
          <w:pPr>
            <w:spacing w:before="180" w:after="0" w:line="800" w:lineRule="exact"/>
            <w:jc w:val="right"/>
            <w:rPr>
              <w:rFonts w:ascii="Arial" w:hAnsi="Arial" w:cs="Arial"/>
              <w:b/>
              <w:sz w:val="100"/>
              <w:szCs w:val="100"/>
            </w:rPr>
          </w:pPr>
          <w:r w:rsidRPr="00CE796A">
            <w:rPr>
              <w:rFonts w:ascii="Arial" w:hAnsi="Arial" w:cs="Arial"/>
              <w:b/>
              <w:sz w:val="100"/>
              <w:szCs w:val="100"/>
            </w:rPr>
            <w:t>Gazette</w:t>
          </w:r>
        </w:p>
      </w:tc>
    </w:tr>
    <w:tr w:rsidR="00B60811" w:rsidRPr="00CE796A" w14:paraId="26230D6E" w14:textId="77777777" w:rsidTr="00131DA4">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14:paraId="1E5F6962" w14:textId="77777777" w:rsidR="00B60811" w:rsidRPr="00CE796A" w:rsidRDefault="00B60811" w:rsidP="00B60811">
          <w:pPr>
            <w:spacing w:after="0"/>
            <w:ind w:left="-51"/>
            <w:rPr>
              <w:rFonts w:ascii="Arial" w:hAnsi="Arial" w:cs="Arial"/>
              <w:sz w:val="14"/>
              <w:szCs w:val="14"/>
            </w:rPr>
          </w:pPr>
          <w:bookmarkStart w:id="1" w:name="GazNo"/>
          <w:bookmarkEnd w:id="1"/>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14:paraId="4D5A8EBF" w14:textId="77777777" w:rsidR="00B60811" w:rsidRPr="00840A06" w:rsidRDefault="00B60811" w:rsidP="00B60811">
          <w:pPr>
            <w:spacing w:after="0"/>
            <w:jc w:val="right"/>
            <w:rPr>
              <w:rFonts w:ascii="Arial" w:hAnsi="Arial" w:cs="Arial"/>
              <w:b/>
              <w:sz w:val="24"/>
              <w:szCs w:val="24"/>
            </w:rPr>
          </w:pPr>
          <w:r w:rsidRPr="00840A06">
            <w:rPr>
              <w:rFonts w:ascii="Arial" w:hAnsi="Arial" w:cs="Arial"/>
              <w:b/>
              <w:sz w:val="24"/>
              <w:szCs w:val="24"/>
            </w:rPr>
            <w:t>GOVERNMENT NOTICES</w:t>
          </w:r>
        </w:p>
      </w:tc>
    </w:tr>
    <w:bookmarkEnd w:id="0"/>
  </w:tbl>
  <w:p w14:paraId="769F7CCE" w14:textId="77777777" w:rsidR="00B60811" w:rsidRDefault="00B608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D2D5A"/>
    <w:multiLevelType w:val="hybridMultilevel"/>
    <w:tmpl w:val="1F88040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3902718"/>
    <w:multiLevelType w:val="hybridMultilevel"/>
    <w:tmpl w:val="17543D1A"/>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278B3067"/>
    <w:multiLevelType w:val="hybridMultilevel"/>
    <w:tmpl w:val="35F68AA6"/>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8861C39"/>
    <w:multiLevelType w:val="hybridMultilevel"/>
    <w:tmpl w:val="DA824762"/>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38B35C3F"/>
    <w:multiLevelType w:val="hybridMultilevel"/>
    <w:tmpl w:val="561CD326"/>
    <w:lvl w:ilvl="0" w:tplc="0C090017">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 w15:restartNumberingAfterBreak="0">
    <w:nsid w:val="541749ED"/>
    <w:multiLevelType w:val="hybridMultilevel"/>
    <w:tmpl w:val="C076F9FE"/>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68C04ADA"/>
    <w:multiLevelType w:val="hybridMultilevel"/>
    <w:tmpl w:val="B0808A72"/>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15:restartNumberingAfterBreak="0">
    <w:nsid w:val="72EF02B5"/>
    <w:multiLevelType w:val="hybridMultilevel"/>
    <w:tmpl w:val="049C31B4"/>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15:restartNumberingAfterBreak="0">
    <w:nsid w:val="7ACA7CC8"/>
    <w:multiLevelType w:val="hybridMultilevel"/>
    <w:tmpl w:val="EA741996"/>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15:restartNumberingAfterBreak="0">
    <w:nsid w:val="7B0550AD"/>
    <w:multiLevelType w:val="hybridMultilevel"/>
    <w:tmpl w:val="860841AC"/>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822841721">
    <w:abstractNumId w:val="0"/>
  </w:num>
  <w:num w:numId="2" w16cid:durableId="1684866245">
    <w:abstractNumId w:val="3"/>
  </w:num>
  <w:num w:numId="3" w16cid:durableId="908922788">
    <w:abstractNumId w:val="2"/>
  </w:num>
  <w:num w:numId="4" w16cid:durableId="896819599">
    <w:abstractNumId w:val="6"/>
  </w:num>
  <w:num w:numId="5" w16cid:durableId="2111317100">
    <w:abstractNumId w:val="8"/>
  </w:num>
  <w:num w:numId="6" w16cid:durableId="906765288">
    <w:abstractNumId w:val="4"/>
  </w:num>
  <w:num w:numId="7" w16cid:durableId="1340886625">
    <w:abstractNumId w:val="1"/>
  </w:num>
  <w:num w:numId="8" w16cid:durableId="1076592498">
    <w:abstractNumId w:val="9"/>
  </w:num>
  <w:num w:numId="9" w16cid:durableId="927350559">
    <w:abstractNumId w:val="5"/>
  </w:num>
  <w:num w:numId="10" w16cid:durableId="13471712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0B8"/>
    <w:rsid w:val="00037A9D"/>
    <w:rsid w:val="001E270F"/>
    <w:rsid w:val="002C767F"/>
    <w:rsid w:val="00312940"/>
    <w:rsid w:val="00385B21"/>
    <w:rsid w:val="003F51E6"/>
    <w:rsid w:val="003F7110"/>
    <w:rsid w:val="005054A8"/>
    <w:rsid w:val="00537155"/>
    <w:rsid w:val="00594F18"/>
    <w:rsid w:val="005E23D6"/>
    <w:rsid w:val="0060768C"/>
    <w:rsid w:val="00621DDA"/>
    <w:rsid w:val="006C4295"/>
    <w:rsid w:val="007227A3"/>
    <w:rsid w:val="00755BCA"/>
    <w:rsid w:val="007A3C4A"/>
    <w:rsid w:val="007B50BB"/>
    <w:rsid w:val="00811C88"/>
    <w:rsid w:val="008356F4"/>
    <w:rsid w:val="00901CB8"/>
    <w:rsid w:val="00917D1D"/>
    <w:rsid w:val="00975CA4"/>
    <w:rsid w:val="00994B0C"/>
    <w:rsid w:val="00B60811"/>
    <w:rsid w:val="00BD5369"/>
    <w:rsid w:val="00C212FD"/>
    <w:rsid w:val="00DD6918"/>
    <w:rsid w:val="00DE0083"/>
    <w:rsid w:val="00DF48D0"/>
    <w:rsid w:val="00E20891"/>
    <w:rsid w:val="00E3582E"/>
    <w:rsid w:val="00F01F72"/>
    <w:rsid w:val="00F240B8"/>
    <w:rsid w:val="00FA486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04AEB6"/>
  <w15:chartTrackingRefBased/>
  <w15:docId w15:val="{FB65C188-DED7-447E-87E2-F15F5CA4B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4295"/>
    <w:pPr>
      <w:ind w:left="720"/>
      <w:contextualSpacing/>
    </w:pPr>
  </w:style>
  <w:style w:type="paragraph" w:styleId="Header">
    <w:name w:val="header"/>
    <w:basedOn w:val="Normal"/>
    <w:link w:val="HeaderChar"/>
    <w:uiPriority w:val="99"/>
    <w:unhideWhenUsed/>
    <w:rsid w:val="005371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7155"/>
  </w:style>
  <w:style w:type="paragraph" w:styleId="Footer">
    <w:name w:val="footer"/>
    <w:basedOn w:val="Normal"/>
    <w:link w:val="FooterChar"/>
    <w:uiPriority w:val="99"/>
    <w:unhideWhenUsed/>
    <w:rsid w:val="005371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7155"/>
  </w:style>
  <w:style w:type="table" w:styleId="TableGrid">
    <w:name w:val="Table Grid"/>
    <w:basedOn w:val="TableNormal"/>
    <w:uiPriority w:val="39"/>
    <w:rsid w:val="00594F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K a p i s h F i l e n a m e T o U r i M a p p i n g s   x m l n s : x s d = " h t t p : / / w w w . w 3 . o r g / 2 0 0 1 / X M L S c h e m a "   x m l n s : x s i = " h t t p : / / w w w . w 3 . o r g / 2 0 0 1 / X M L S c h e m a - i n s t a n c e " / > 
</file>

<file path=customXml/itemProps1.xml><?xml version="1.0" encoding="utf-8"?>
<ds:datastoreItem xmlns:ds="http://schemas.openxmlformats.org/officeDocument/2006/customXml" ds:itemID="{87CF4E66-3F08-4BD2-9F1A-7B9EF3C47E5C}">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3</Pages>
  <Words>433</Words>
  <Characters>2230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Crapnell</dc:creator>
  <cp:keywords/>
  <dc:description/>
  <cp:lastModifiedBy>Robert Crapnell</cp:lastModifiedBy>
  <cp:revision>28</cp:revision>
  <dcterms:created xsi:type="dcterms:W3CDTF">2023-09-17T23:15:00Z</dcterms:created>
  <dcterms:modified xsi:type="dcterms:W3CDTF">2023-10-31T23:39:00Z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3e79dde2e81169a60c428b98c286d419fdf5f009759f36aecb2d952c1faaec0c</vt:lpwstr>
  </property>
</Properties>
</file>