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74623929"/>
    <w:p w14:paraId="4E30ED5D" w14:textId="5094AA3B" w:rsidR="002B353C" w:rsidRDefault="002B353C" w:rsidP="002B353C">
      <w:r>
        <w:object w:dxaOrig="2146" w:dyaOrig="1561" w14:anchorId="145BE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89393890" r:id="rId8"/>
        </w:object>
      </w:r>
    </w:p>
    <w:p w14:paraId="601E5E3E" w14:textId="77777777" w:rsidR="002B353C" w:rsidRDefault="002B353C" w:rsidP="002B353C"/>
    <w:p w14:paraId="7F286C1B" w14:textId="77777777" w:rsidR="002B353C" w:rsidRDefault="002B353C" w:rsidP="002B353C"/>
    <w:p w14:paraId="0D52A257" w14:textId="77777777" w:rsidR="002B353C" w:rsidRDefault="002B353C" w:rsidP="002B353C"/>
    <w:p w14:paraId="4C0ECB78" w14:textId="77777777" w:rsidR="002B353C" w:rsidRDefault="002B353C" w:rsidP="002B353C"/>
    <w:p w14:paraId="1F43FEC9" w14:textId="77777777" w:rsidR="002B353C" w:rsidRDefault="002B353C" w:rsidP="002B353C"/>
    <w:p w14:paraId="60925977" w14:textId="77777777" w:rsidR="002B353C" w:rsidRDefault="002B353C" w:rsidP="002B353C"/>
    <w:bookmarkEnd w:id="0"/>
    <w:p w14:paraId="043716C8" w14:textId="1F67830D" w:rsidR="0048364F" w:rsidRPr="00700F82" w:rsidRDefault="002B353C" w:rsidP="002B353C">
      <w:pPr>
        <w:pStyle w:val="ShortT"/>
      </w:pPr>
      <w:r>
        <w:t>Paid Parental Leave Amendment (Adding Superannuation for a More Secure Retirement) Act 2024</w:t>
      </w:r>
    </w:p>
    <w:p w14:paraId="5071AB1B" w14:textId="229C9324" w:rsidR="0048364F" w:rsidRPr="00700F82" w:rsidRDefault="00C164CA" w:rsidP="002B353C">
      <w:pPr>
        <w:pStyle w:val="Actno"/>
        <w:spacing w:before="400"/>
      </w:pPr>
      <w:r w:rsidRPr="00700F82">
        <w:t>No.</w:t>
      </w:r>
      <w:r w:rsidR="005A4B07">
        <w:t xml:space="preserve"> 90</w:t>
      </w:r>
      <w:r w:rsidRPr="00700F82">
        <w:t xml:space="preserve">, </w:t>
      </w:r>
      <w:r w:rsidR="00B92576" w:rsidRPr="00700F82">
        <w:t>2024</w:t>
      </w:r>
    </w:p>
    <w:p w14:paraId="33BE0A58" w14:textId="77777777" w:rsidR="0048364F" w:rsidRPr="00700F82" w:rsidRDefault="0048364F" w:rsidP="0048364F"/>
    <w:p w14:paraId="5E66AC29" w14:textId="77777777" w:rsidR="00346B56" w:rsidRDefault="00346B56" w:rsidP="00346B56">
      <w:pPr>
        <w:rPr>
          <w:lang w:eastAsia="en-AU"/>
        </w:rPr>
      </w:pPr>
    </w:p>
    <w:p w14:paraId="323630E7" w14:textId="2A717A1E" w:rsidR="0048364F" w:rsidRPr="00700F82" w:rsidRDefault="0048364F" w:rsidP="0048364F"/>
    <w:p w14:paraId="63FED240" w14:textId="77777777" w:rsidR="0048364F" w:rsidRPr="00700F82" w:rsidRDefault="0048364F" w:rsidP="0048364F"/>
    <w:p w14:paraId="41D4D444" w14:textId="77777777" w:rsidR="0048364F" w:rsidRPr="00700F82" w:rsidRDefault="0048364F" w:rsidP="0048364F"/>
    <w:p w14:paraId="11EB71AE" w14:textId="77777777" w:rsidR="002B353C" w:rsidRDefault="002B353C" w:rsidP="002B353C">
      <w:pPr>
        <w:pStyle w:val="LongT"/>
      </w:pPr>
      <w:r>
        <w:t xml:space="preserve">An Act to amend the </w:t>
      </w:r>
      <w:r w:rsidRPr="002B353C">
        <w:rPr>
          <w:i/>
        </w:rPr>
        <w:t>Paid Parental Leave Act 2010</w:t>
      </w:r>
      <w:r>
        <w:t>, and for other purposes</w:t>
      </w:r>
    </w:p>
    <w:p w14:paraId="598F6832" w14:textId="10EA91E3" w:rsidR="0048364F" w:rsidRPr="00700F82" w:rsidRDefault="0048364F" w:rsidP="0048364F">
      <w:pPr>
        <w:pStyle w:val="Header"/>
        <w:tabs>
          <w:tab w:val="clear" w:pos="4150"/>
          <w:tab w:val="clear" w:pos="8307"/>
        </w:tabs>
      </w:pPr>
      <w:r w:rsidRPr="00700F82">
        <w:rPr>
          <w:rStyle w:val="CharAmSchNo"/>
        </w:rPr>
        <w:t xml:space="preserve"> </w:t>
      </w:r>
      <w:r w:rsidRPr="00700F82">
        <w:rPr>
          <w:rStyle w:val="CharAmSchText"/>
        </w:rPr>
        <w:t xml:space="preserve"> </w:t>
      </w:r>
    </w:p>
    <w:p w14:paraId="6D9D1F2D" w14:textId="77777777" w:rsidR="0048364F" w:rsidRPr="00700F82" w:rsidRDefault="0048364F" w:rsidP="0048364F">
      <w:pPr>
        <w:pStyle w:val="Header"/>
        <w:tabs>
          <w:tab w:val="clear" w:pos="4150"/>
          <w:tab w:val="clear" w:pos="8307"/>
        </w:tabs>
      </w:pPr>
      <w:r w:rsidRPr="00700F82">
        <w:rPr>
          <w:rStyle w:val="CharAmPartNo"/>
        </w:rPr>
        <w:t xml:space="preserve"> </w:t>
      </w:r>
      <w:r w:rsidRPr="00700F82">
        <w:rPr>
          <w:rStyle w:val="CharAmPartText"/>
        </w:rPr>
        <w:t xml:space="preserve"> </w:t>
      </w:r>
    </w:p>
    <w:p w14:paraId="3FC1F975" w14:textId="77777777" w:rsidR="0048364F" w:rsidRPr="00700F82" w:rsidRDefault="0048364F" w:rsidP="0048364F">
      <w:pPr>
        <w:sectPr w:rsidR="0048364F" w:rsidRPr="00700F82" w:rsidSect="002B353C">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F8BDDF1" w14:textId="77777777" w:rsidR="0048364F" w:rsidRPr="00700F82" w:rsidRDefault="0048364F" w:rsidP="0048364F">
      <w:pPr>
        <w:outlineLvl w:val="0"/>
        <w:rPr>
          <w:sz w:val="36"/>
        </w:rPr>
      </w:pPr>
      <w:r w:rsidRPr="00700F82">
        <w:rPr>
          <w:sz w:val="36"/>
        </w:rPr>
        <w:lastRenderedPageBreak/>
        <w:t>Contents</w:t>
      </w:r>
    </w:p>
    <w:p w14:paraId="5D35419B" w14:textId="5E80AD56" w:rsidR="005A4B07" w:rsidRDefault="005A4B0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A4B07">
        <w:rPr>
          <w:noProof/>
        </w:rPr>
        <w:tab/>
      </w:r>
      <w:r w:rsidRPr="005A4B07">
        <w:rPr>
          <w:noProof/>
        </w:rPr>
        <w:fldChar w:fldCharType="begin"/>
      </w:r>
      <w:r w:rsidRPr="005A4B07">
        <w:rPr>
          <w:noProof/>
        </w:rPr>
        <w:instrText xml:space="preserve"> PAGEREF _Toc178780351 \h </w:instrText>
      </w:r>
      <w:r w:rsidRPr="005A4B07">
        <w:rPr>
          <w:noProof/>
        </w:rPr>
      </w:r>
      <w:r w:rsidRPr="005A4B07">
        <w:rPr>
          <w:noProof/>
        </w:rPr>
        <w:fldChar w:fldCharType="separate"/>
      </w:r>
      <w:r w:rsidR="00972943">
        <w:rPr>
          <w:noProof/>
        </w:rPr>
        <w:t>1</w:t>
      </w:r>
      <w:r w:rsidRPr="005A4B07">
        <w:rPr>
          <w:noProof/>
        </w:rPr>
        <w:fldChar w:fldCharType="end"/>
      </w:r>
    </w:p>
    <w:p w14:paraId="5F22B0D9" w14:textId="0E7FCF8A" w:rsidR="005A4B07" w:rsidRDefault="005A4B07">
      <w:pPr>
        <w:pStyle w:val="TOC5"/>
        <w:rPr>
          <w:rFonts w:asciiTheme="minorHAnsi" w:eastAsiaTheme="minorEastAsia" w:hAnsiTheme="minorHAnsi" w:cstheme="minorBidi"/>
          <w:noProof/>
          <w:kern w:val="0"/>
          <w:sz w:val="22"/>
          <w:szCs w:val="22"/>
        </w:rPr>
      </w:pPr>
      <w:r>
        <w:rPr>
          <w:noProof/>
        </w:rPr>
        <w:t>2</w:t>
      </w:r>
      <w:r>
        <w:rPr>
          <w:noProof/>
        </w:rPr>
        <w:tab/>
        <w:t>Commencement</w:t>
      </w:r>
      <w:r w:rsidRPr="005A4B07">
        <w:rPr>
          <w:noProof/>
        </w:rPr>
        <w:tab/>
      </w:r>
      <w:r w:rsidRPr="005A4B07">
        <w:rPr>
          <w:noProof/>
        </w:rPr>
        <w:fldChar w:fldCharType="begin"/>
      </w:r>
      <w:r w:rsidRPr="005A4B07">
        <w:rPr>
          <w:noProof/>
        </w:rPr>
        <w:instrText xml:space="preserve"> PAGEREF _Toc178780352 \h </w:instrText>
      </w:r>
      <w:r w:rsidRPr="005A4B07">
        <w:rPr>
          <w:noProof/>
        </w:rPr>
      </w:r>
      <w:r w:rsidRPr="005A4B07">
        <w:rPr>
          <w:noProof/>
        </w:rPr>
        <w:fldChar w:fldCharType="separate"/>
      </w:r>
      <w:r w:rsidR="00972943">
        <w:rPr>
          <w:noProof/>
        </w:rPr>
        <w:t>2</w:t>
      </w:r>
      <w:r w:rsidRPr="005A4B07">
        <w:rPr>
          <w:noProof/>
        </w:rPr>
        <w:fldChar w:fldCharType="end"/>
      </w:r>
    </w:p>
    <w:p w14:paraId="50E750FE" w14:textId="1D690D38" w:rsidR="005A4B07" w:rsidRDefault="005A4B07">
      <w:pPr>
        <w:pStyle w:val="TOC5"/>
        <w:rPr>
          <w:rFonts w:asciiTheme="minorHAnsi" w:eastAsiaTheme="minorEastAsia" w:hAnsiTheme="minorHAnsi" w:cstheme="minorBidi"/>
          <w:noProof/>
          <w:kern w:val="0"/>
          <w:sz w:val="22"/>
          <w:szCs w:val="22"/>
        </w:rPr>
      </w:pPr>
      <w:r>
        <w:rPr>
          <w:noProof/>
        </w:rPr>
        <w:t>3</w:t>
      </w:r>
      <w:r>
        <w:rPr>
          <w:noProof/>
        </w:rPr>
        <w:tab/>
        <w:t>Schedules</w:t>
      </w:r>
      <w:r w:rsidRPr="005A4B07">
        <w:rPr>
          <w:noProof/>
        </w:rPr>
        <w:tab/>
      </w:r>
      <w:r w:rsidRPr="005A4B07">
        <w:rPr>
          <w:noProof/>
        </w:rPr>
        <w:fldChar w:fldCharType="begin"/>
      </w:r>
      <w:r w:rsidRPr="005A4B07">
        <w:rPr>
          <w:noProof/>
        </w:rPr>
        <w:instrText xml:space="preserve"> PAGEREF _Toc178780353 \h </w:instrText>
      </w:r>
      <w:r w:rsidRPr="005A4B07">
        <w:rPr>
          <w:noProof/>
        </w:rPr>
      </w:r>
      <w:r w:rsidRPr="005A4B07">
        <w:rPr>
          <w:noProof/>
        </w:rPr>
        <w:fldChar w:fldCharType="separate"/>
      </w:r>
      <w:r w:rsidR="00972943">
        <w:rPr>
          <w:noProof/>
        </w:rPr>
        <w:t>2</w:t>
      </w:r>
      <w:r w:rsidRPr="005A4B07">
        <w:rPr>
          <w:noProof/>
        </w:rPr>
        <w:fldChar w:fldCharType="end"/>
      </w:r>
    </w:p>
    <w:p w14:paraId="551B0A25" w14:textId="7116A320" w:rsidR="005A4B07" w:rsidRDefault="005A4B07">
      <w:pPr>
        <w:pStyle w:val="TOC6"/>
        <w:rPr>
          <w:rFonts w:asciiTheme="minorHAnsi" w:eastAsiaTheme="minorEastAsia" w:hAnsiTheme="minorHAnsi" w:cstheme="minorBidi"/>
          <w:b w:val="0"/>
          <w:noProof/>
          <w:kern w:val="0"/>
          <w:sz w:val="22"/>
          <w:szCs w:val="22"/>
        </w:rPr>
      </w:pPr>
      <w:r>
        <w:rPr>
          <w:noProof/>
        </w:rPr>
        <w:t>Schedule 1—Main amendments</w:t>
      </w:r>
      <w:r w:rsidRPr="005A4B07">
        <w:rPr>
          <w:b w:val="0"/>
          <w:noProof/>
          <w:sz w:val="18"/>
        </w:rPr>
        <w:tab/>
      </w:r>
      <w:r w:rsidRPr="005A4B07">
        <w:rPr>
          <w:b w:val="0"/>
          <w:noProof/>
          <w:sz w:val="18"/>
        </w:rPr>
        <w:fldChar w:fldCharType="begin"/>
      </w:r>
      <w:r w:rsidRPr="005A4B07">
        <w:rPr>
          <w:b w:val="0"/>
          <w:noProof/>
          <w:sz w:val="18"/>
        </w:rPr>
        <w:instrText xml:space="preserve"> PAGEREF _Toc178780354 \h </w:instrText>
      </w:r>
      <w:r w:rsidRPr="005A4B07">
        <w:rPr>
          <w:b w:val="0"/>
          <w:noProof/>
          <w:sz w:val="18"/>
        </w:rPr>
      </w:r>
      <w:r w:rsidRPr="005A4B07">
        <w:rPr>
          <w:b w:val="0"/>
          <w:noProof/>
          <w:sz w:val="18"/>
        </w:rPr>
        <w:fldChar w:fldCharType="separate"/>
      </w:r>
      <w:r w:rsidR="00972943">
        <w:rPr>
          <w:b w:val="0"/>
          <w:noProof/>
          <w:sz w:val="18"/>
        </w:rPr>
        <w:t>3</w:t>
      </w:r>
      <w:r w:rsidRPr="005A4B07">
        <w:rPr>
          <w:b w:val="0"/>
          <w:noProof/>
          <w:sz w:val="18"/>
        </w:rPr>
        <w:fldChar w:fldCharType="end"/>
      </w:r>
    </w:p>
    <w:p w14:paraId="09612089" w14:textId="2FAC35C0" w:rsidR="005A4B07" w:rsidRDefault="005A4B07">
      <w:pPr>
        <w:pStyle w:val="TOC9"/>
        <w:rPr>
          <w:rFonts w:asciiTheme="minorHAnsi" w:eastAsiaTheme="minorEastAsia" w:hAnsiTheme="minorHAnsi" w:cstheme="minorBidi"/>
          <w:i w:val="0"/>
          <w:noProof/>
          <w:kern w:val="0"/>
          <w:sz w:val="22"/>
          <w:szCs w:val="22"/>
        </w:rPr>
      </w:pPr>
      <w:r>
        <w:rPr>
          <w:noProof/>
        </w:rPr>
        <w:t>Paid Parental Leave Act 2010</w:t>
      </w:r>
      <w:r w:rsidRPr="005A4B07">
        <w:rPr>
          <w:i w:val="0"/>
          <w:noProof/>
          <w:sz w:val="18"/>
        </w:rPr>
        <w:tab/>
      </w:r>
      <w:r w:rsidRPr="005A4B07">
        <w:rPr>
          <w:i w:val="0"/>
          <w:noProof/>
          <w:sz w:val="18"/>
        </w:rPr>
        <w:fldChar w:fldCharType="begin"/>
      </w:r>
      <w:r w:rsidRPr="005A4B07">
        <w:rPr>
          <w:i w:val="0"/>
          <w:noProof/>
          <w:sz w:val="18"/>
        </w:rPr>
        <w:instrText xml:space="preserve"> PAGEREF _Toc178780355 \h </w:instrText>
      </w:r>
      <w:r w:rsidRPr="005A4B07">
        <w:rPr>
          <w:i w:val="0"/>
          <w:noProof/>
          <w:sz w:val="18"/>
        </w:rPr>
      </w:r>
      <w:r w:rsidRPr="005A4B07">
        <w:rPr>
          <w:i w:val="0"/>
          <w:noProof/>
          <w:sz w:val="18"/>
        </w:rPr>
        <w:fldChar w:fldCharType="separate"/>
      </w:r>
      <w:r w:rsidR="00972943">
        <w:rPr>
          <w:i w:val="0"/>
          <w:noProof/>
          <w:sz w:val="18"/>
        </w:rPr>
        <w:t>3</w:t>
      </w:r>
      <w:r w:rsidRPr="005A4B07">
        <w:rPr>
          <w:i w:val="0"/>
          <w:noProof/>
          <w:sz w:val="18"/>
        </w:rPr>
        <w:fldChar w:fldCharType="end"/>
      </w:r>
    </w:p>
    <w:p w14:paraId="6DF6924C" w14:textId="4294B9A4" w:rsidR="005A4B07" w:rsidRDefault="005A4B07">
      <w:pPr>
        <w:pStyle w:val="TOC9"/>
        <w:rPr>
          <w:rFonts w:asciiTheme="minorHAnsi" w:eastAsiaTheme="minorEastAsia" w:hAnsiTheme="minorHAnsi" w:cstheme="minorBidi"/>
          <w:i w:val="0"/>
          <w:noProof/>
          <w:kern w:val="0"/>
          <w:sz w:val="22"/>
          <w:szCs w:val="22"/>
        </w:rPr>
      </w:pPr>
      <w:r>
        <w:rPr>
          <w:noProof/>
        </w:rPr>
        <w:t>Small Superannuation Accounts Act 1995</w:t>
      </w:r>
      <w:r w:rsidRPr="005A4B07">
        <w:rPr>
          <w:i w:val="0"/>
          <w:noProof/>
          <w:sz w:val="18"/>
        </w:rPr>
        <w:tab/>
      </w:r>
      <w:r w:rsidRPr="005A4B07">
        <w:rPr>
          <w:i w:val="0"/>
          <w:noProof/>
          <w:sz w:val="18"/>
        </w:rPr>
        <w:fldChar w:fldCharType="begin"/>
      </w:r>
      <w:r w:rsidRPr="005A4B07">
        <w:rPr>
          <w:i w:val="0"/>
          <w:noProof/>
          <w:sz w:val="18"/>
        </w:rPr>
        <w:instrText xml:space="preserve"> PAGEREF _Toc178780406 \h </w:instrText>
      </w:r>
      <w:r w:rsidRPr="005A4B07">
        <w:rPr>
          <w:i w:val="0"/>
          <w:noProof/>
          <w:sz w:val="18"/>
        </w:rPr>
      </w:r>
      <w:r w:rsidRPr="005A4B07">
        <w:rPr>
          <w:i w:val="0"/>
          <w:noProof/>
          <w:sz w:val="18"/>
        </w:rPr>
        <w:fldChar w:fldCharType="separate"/>
      </w:r>
      <w:r w:rsidR="00972943">
        <w:rPr>
          <w:i w:val="0"/>
          <w:noProof/>
          <w:sz w:val="18"/>
        </w:rPr>
        <w:t>28</w:t>
      </w:r>
      <w:r w:rsidRPr="005A4B07">
        <w:rPr>
          <w:i w:val="0"/>
          <w:noProof/>
          <w:sz w:val="18"/>
        </w:rPr>
        <w:fldChar w:fldCharType="end"/>
      </w:r>
    </w:p>
    <w:p w14:paraId="4FAFEF18" w14:textId="1FA83B45" w:rsidR="005A4B07" w:rsidRDefault="005A4B07">
      <w:pPr>
        <w:pStyle w:val="TOC6"/>
        <w:rPr>
          <w:rFonts w:asciiTheme="minorHAnsi" w:eastAsiaTheme="minorEastAsia" w:hAnsiTheme="minorHAnsi" w:cstheme="minorBidi"/>
          <w:b w:val="0"/>
          <w:noProof/>
          <w:kern w:val="0"/>
          <w:sz w:val="22"/>
          <w:szCs w:val="22"/>
        </w:rPr>
      </w:pPr>
      <w:r>
        <w:rPr>
          <w:noProof/>
        </w:rPr>
        <w:t>Schedule 2—Other amendments</w:t>
      </w:r>
      <w:r w:rsidRPr="005A4B07">
        <w:rPr>
          <w:b w:val="0"/>
          <w:noProof/>
          <w:sz w:val="18"/>
        </w:rPr>
        <w:tab/>
      </w:r>
      <w:r w:rsidRPr="005A4B07">
        <w:rPr>
          <w:b w:val="0"/>
          <w:noProof/>
          <w:sz w:val="18"/>
        </w:rPr>
        <w:fldChar w:fldCharType="begin"/>
      </w:r>
      <w:r w:rsidRPr="005A4B07">
        <w:rPr>
          <w:b w:val="0"/>
          <w:noProof/>
          <w:sz w:val="18"/>
        </w:rPr>
        <w:instrText xml:space="preserve"> PAGEREF _Toc178780415 \h </w:instrText>
      </w:r>
      <w:r w:rsidRPr="005A4B07">
        <w:rPr>
          <w:b w:val="0"/>
          <w:noProof/>
          <w:sz w:val="18"/>
        </w:rPr>
      </w:r>
      <w:r w:rsidRPr="005A4B07">
        <w:rPr>
          <w:b w:val="0"/>
          <w:noProof/>
          <w:sz w:val="18"/>
        </w:rPr>
        <w:fldChar w:fldCharType="separate"/>
      </w:r>
      <w:r w:rsidR="00972943">
        <w:rPr>
          <w:b w:val="0"/>
          <w:noProof/>
          <w:sz w:val="18"/>
        </w:rPr>
        <w:t>31</w:t>
      </w:r>
      <w:r w:rsidRPr="005A4B07">
        <w:rPr>
          <w:b w:val="0"/>
          <w:noProof/>
          <w:sz w:val="18"/>
        </w:rPr>
        <w:fldChar w:fldCharType="end"/>
      </w:r>
    </w:p>
    <w:p w14:paraId="2B7443C3" w14:textId="74EEB525" w:rsidR="005A4B07" w:rsidRDefault="005A4B07">
      <w:pPr>
        <w:pStyle w:val="TOC9"/>
        <w:rPr>
          <w:rFonts w:asciiTheme="minorHAnsi" w:eastAsiaTheme="minorEastAsia" w:hAnsiTheme="minorHAnsi" w:cstheme="minorBidi"/>
          <w:i w:val="0"/>
          <w:noProof/>
          <w:kern w:val="0"/>
          <w:sz w:val="22"/>
          <w:szCs w:val="22"/>
        </w:rPr>
      </w:pPr>
      <w:r>
        <w:rPr>
          <w:noProof/>
        </w:rPr>
        <w:t>Fair Work Act 2009</w:t>
      </w:r>
      <w:r w:rsidRPr="005A4B07">
        <w:rPr>
          <w:i w:val="0"/>
          <w:noProof/>
          <w:sz w:val="18"/>
        </w:rPr>
        <w:tab/>
      </w:r>
      <w:r w:rsidRPr="005A4B07">
        <w:rPr>
          <w:i w:val="0"/>
          <w:noProof/>
          <w:sz w:val="18"/>
        </w:rPr>
        <w:fldChar w:fldCharType="begin"/>
      </w:r>
      <w:r w:rsidRPr="005A4B07">
        <w:rPr>
          <w:i w:val="0"/>
          <w:noProof/>
          <w:sz w:val="18"/>
        </w:rPr>
        <w:instrText xml:space="preserve"> PAGEREF _Toc178780416 \h </w:instrText>
      </w:r>
      <w:r w:rsidRPr="005A4B07">
        <w:rPr>
          <w:i w:val="0"/>
          <w:noProof/>
          <w:sz w:val="18"/>
        </w:rPr>
      </w:r>
      <w:r w:rsidRPr="005A4B07">
        <w:rPr>
          <w:i w:val="0"/>
          <w:noProof/>
          <w:sz w:val="18"/>
        </w:rPr>
        <w:fldChar w:fldCharType="separate"/>
      </w:r>
      <w:r w:rsidR="00972943">
        <w:rPr>
          <w:i w:val="0"/>
          <w:noProof/>
          <w:sz w:val="18"/>
        </w:rPr>
        <w:t>31</w:t>
      </w:r>
      <w:r w:rsidRPr="005A4B07">
        <w:rPr>
          <w:i w:val="0"/>
          <w:noProof/>
          <w:sz w:val="18"/>
        </w:rPr>
        <w:fldChar w:fldCharType="end"/>
      </w:r>
    </w:p>
    <w:p w14:paraId="265853BA" w14:textId="44274F01" w:rsidR="005A4B07" w:rsidRDefault="005A4B07">
      <w:pPr>
        <w:pStyle w:val="TOC9"/>
        <w:rPr>
          <w:rFonts w:asciiTheme="minorHAnsi" w:eastAsiaTheme="minorEastAsia" w:hAnsiTheme="minorHAnsi" w:cstheme="minorBidi"/>
          <w:i w:val="0"/>
          <w:noProof/>
          <w:kern w:val="0"/>
          <w:sz w:val="22"/>
          <w:szCs w:val="22"/>
        </w:rPr>
      </w:pPr>
      <w:r>
        <w:rPr>
          <w:noProof/>
        </w:rPr>
        <w:t>Income Tax Assessment Act 1997</w:t>
      </w:r>
      <w:r w:rsidRPr="005A4B07">
        <w:rPr>
          <w:i w:val="0"/>
          <w:noProof/>
          <w:sz w:val="18"/>
        </w:rPr>
        <w:tab/>
      </w:r>
      <w:r w:rsidRPr="005A4B07">
        <w:rPr>
          <w:i w:val="0"/>
          <w:noProof/>
          <w:sz w:val="18"/>
        </w:rPr>
        <w:fldChar w:fldCharType="begin"/>
      </w:r>
      <w:r w:rsidRPr="005A4B07">
        <w:rPr>
          <w:i w:val="0"/>
          <w:noProof/>
          <w:sz w:val="18"/>
        </w:rPr>
        <w:instrText xml:space="preserve"> PAGEREF _Toc178780417 \h </w:instrText>
      </w:r>
      <w:r w:rsidRPr="005A4B07">
        <w:rPr>
          <w:i w:val="0"/>
          <w:noProof/>
          <w:sz w:val="18"/>
        </w:rPr>
      </w:r>
      <w:r w:rsidRPr="005A4B07">
        <w:rPr>
          <w:i w:val="0"/>
          <w:noProof/>
          <w:sz w:val="18"/>
        </w:rPr>
        <w:fldChar w:fldCharType="separate"/>
      </w:r>
      <w:r w:rsidR="00972943">
        <w:rPr>
          <w:i w:val="0"/>
          <w:noProof/>
          <w:sz w:val="18"/>
        </w:rPr>
        <w:t>31</w:t>
      </w:r>
      <w:r w:rsidRPr="005A4B07">
        <w:rPr>
          <w:i w:val="0"/>
          <w:noProof/>
          <w:sz w:val="18"/>
        </w:rPr>
        <w:fldChar w:fldCharType="end"/>
      </w:r>
    </w:p>
    <w:p w14:paraId="3F7FCA87" w14:textId="54FDCF12" w:rsidR="005A4B07" w:rsidRDefault="005A4B07">
      <w:pPr>
        <w:pStyle w:val="TOC9"/>
        <w:rPr>
          <w:rFonts w:asciiTheme="minorHAnsi" w:eastAsiaTheme="minorEastAsia" w:hAnsiTheme="minorHAnsi" w:cstheme="minorBidi"/>
          <w:i w:val="0"/>
          <w:noProof/>
          <w:kern w:val="0"/>
          <w:sz w:val="22"/>
          <w:szCs w:val="22"/>
        </w:rPr>
      </w:pPr>
      <w:r>
        <w:rPr>
          <w:noProof/>
        </w:rPr>
        <w:t>Taxation Administration Act 1953</w:t>
      </w:r>
      <w:r w:rsidRPr="005A4B07">
        <w:rPr>
          <w:i w:val="0"/>
          <w:noProof/>
          <w:sz w:val="18"/>
        </w:rPr>
        <w:tab/>
      </w:r>
      <w:r w:rsidRPr="005A4B07">
        <w:rPr>
          <w:i w:val="0"/>
          <w:noProof/>
          <w:sz w:val="18"/>
        </w:rPr>
        <w:fldChar w:fldCharType="begin"/>
      </w:r>
      <w:r w:rsidRPr="005A4B07">
        <w:rPr>
          <w:i w:val="0"/>
          <w:noProof/>
          <w:sz w:val="18"/>
        </w:rPr>
        <w:instrText xml:space="preserve"> PAGEREF _Toc178780419 \h </w:instrText>
      </w:r>
      <w:r w:rsidRPr="005A4B07">
        <w:rPr>
          <w:i w:val="0"/>
          <w:noProof/>
          <w:sz w:val="18"/>
        </w:rPr>
      </w:r>
      <w:r w:rsidRPr="005A4B07">
        <w:rPr>
          <w:i w:val="0"/>
          <w:noProof/>
          <w:sz w:val="18"/>
        </w:rPr>
        <w:fldChar w:fldCharType="separate"/>
      </w:r>
      <w:r w:rsidR="00972943">
        <w:rPr>
          <w:i w:val="0"/>
          <w:noProof/>
          <w:sz w:val="18"/>
        </w:rPr>
        <w:t>32</w:t>
      </w:r>
      <w:r w:rsidRPr="005A4B07">
        <w:rPr>
          <w:i w:val="0"/>
          <w:noProof/>
          <w:sz w:val="18"/>
        </w:rPr>
        <w:fldChar w:fldCharType="end"/>
      </w:r>
    </w:p>
    <w:p w14:paraId="1990EF11" w14:textId="01A55C21" w:rsidR="00060FF9" w:rsidRPr="00700F82" w:rsidRDefault="005A4B07" w:rsidP="0048364F">
      <w:r>
        <w:fldChar w:fldCharType="end"/>
      </w:r>
    </w:p>
    <w:p w14:paraId="6830211C" w14:textId="77777777" w:rsidR="00FE7F93" w:rsidRPr="00700F82" w:rsidRDefault="00FE7F93" w:rsidP="0048364F">
      <w:pPr>
        <w:sectPr w:rsidR="00FE7F93" w:rsidRPr="00700F82" w:rsidSect="002B353C">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58E06E70" w14:textId="77777777" w:rsidR="002B353C" w:rsidRDefault="002B353C">
      <w:r>
        <w:object w:dxaOrig="2146" w:dyaOrig="1561" w14:anchorId="1A23577F">
          <v:shape id="_x0000_i1027" type="#_x0000_t75" alt="Commonwealth Coat of Arms of Australia" style="width:110.25pt;height:80.25pt" o:ole="" fillcolor="window">
            <v:imagedata r:id="rId7" o:title=""/>
          </v:shape>
          <o:OLEObject Type="Embed" ProgID="Word.Picture.8" ShapeID="_x0000_i1027" DrawAspect="Content" ObjectID="_1789393891" r:id="rId20"/>
        </w:object>
      </w:r>
    </w:p>
    <w:p w14:paraId="34F9AD95" w14:textId="77777777" w:rsidR="002B353C" w:rsidRDefault="002B353C"/>
    <w:p w14:paraId="6985005F" w14:textId="77777777" w:rsidR="002B353C" w:rsidRDefault="002B353C" w:rsidP="005A4B07">
      <w:pPr>
        <w:spacing w:line="240" w:lineRule="auto"/>
      </w:pPr>
    </w:p>
    <w:p w14:paraId="2E6C3526" w14:textId="4FCB7992" w:rsidR="002B353C" w:rsidRDefault="002B353C" w:rsidP="005A4B07">
      <w:pPr>
        <w:pStyle w:val="ShortTP1"/>
      </w:pPr>
      <w:fldSimple w:instr=" STYLEREF ShortT ">
        <w:r w:rsidR="00972943">
          <w:rPr>
            <w:noProof/>
          </w:rPr>
          <w:t>Paid Parental Leave Amendment (Adding Superannuation for a More Secure Retirement) Act 2024</w:t>
        </w:r>
      </w:fldSimple>
    </w:p>
    <w:p w14:paraId="083FB738" w14:textId="435CC979" w:rsidR="002B353C" w:rsidRDefault="002B353C" w:rsidP="005A4B07">
      <w:pPr>
        <w:pStyle w:val="ActNoP1"/>
      </w:pPr>
      <w:fldSimple w:instr=" STYLEREF Actno ">
        <w:r w:rsidR="00972943">
          <w:rPr>
            <w:noProof/>
          </w:rPr>
          <w:t>No. 90, 2024</w:t>
        </w:r>
      </w:fldSimple>
    </w:p>
    <w:p w14:paraId="0F648C9B" w14:textId="77777777" w:rsidR="002B353C" w:rsidRPr="009A0728" w:rsidRDefault="002B353C" w:rsidP="005A4B07">
      <w:pPr>
        <w:pBdr>
          <w:bottom w:val="single" w:sz="6" w:space="0" w:color="auto"/>
        </w:pBdr>
        <w:spacing w:before="400" w:line="240" w:lineRule="auto"/>
        <w:rPr>
          <w:rFonts w:eastAsia="Times New Roman"/>
          <w:b/>
          <w:sz w:val="28"/>
        </w:rPr>
      </w:pPr>
    </w:p>
    <w:p w14:paraId="1F72BEB2" w14:textId="77777777" w:rsidR="002B353C" w:rsidRPr="009A0728" w:rsidRDefault="002B353C" w:rsidP="005A4B07">
      <w:pPr>
        <w:spacing w:line="40" w:lineRule="exact"/>
        <w:rPr>
          <w:rFonts w:eastAsia="Calibri"/>
          <w:b/>
          <w:sz w:val="28"/>
        </w:rPr>
      </w:pPr>
    </w:p>
    <w:p w14:paraId="100A88D6" w14:textId="77777777" w:rsidR="002B353C" w:rsidRPr="009A0728" w:rsidRDefault="002B353C" w:rsidP="005A4B07">
      <w:pPr>
        <w:pBdr>
          <w:top w:val="single" w:sz="12" w:space="0" w:color="auto"/>
        </w:pBdr>
        <w:spacing w:line="240" w:lineRule="auto"/>
        <w:rPr>
          <w:rFonts w:eastAsia="Times New Roman"/>
          <w:b/>
          <w:sz w:val="28"/>
        </w:rPr>
      </w:pPr>
    </w:p>
    <w:p w14:paraId="1FA46BFC" w14:textId="77777777" w:rsidR="002B353C" w:rsidRDefault="002B353C" w:rsidP="002B353C">
      <w:pPr>
        <w:pStyle w:val="Page1"/>
        <w:spacing w:before="400"/>
      </w:pPr>
      <w:r>
        <w:t xml:space="preserve">An Act to amend the </w:t>
      </w:r>
      <w:r w:rsidRPr="002B353C">
        <w:rPr>
          <w:i/>
        </w:rPr>
        <w:t>Paid Parental Leave Act 2010</w:t>
      </w:r>
      <w:r>
        <w:t>, and for other purposes</w:t>
      </w:r>
    </w:p>
    <w:p w14:paraId="7F755578" w14:textId="74CF99F0" w:rsidR="005A4B07" w:rsidRDefault="005A4B07" w:rsidP="005A4B07">
      <w:pPr>
        <w:pStyle w:val="AssentDt"/>
        <w:spacing w:before="240"/>
        <w:rPr>
          <w:sz w:val="24"/>
        </w:rPr>
      </w:pPr>
      <w:r>
        <w:rPr>
          <w:sz w:val="24"/>
        </w:rPr>
        <w:t>[</w:t>
      </w:r>
      <w:r>
        <w:rPr>
          <w:i/>
          <w:sz w:val="24"/>
        </w:rPr>
        <w:t>Assented to 1 October 2024</w:t>
      </w:r>
      <w:r>
        <w:rPr>
          <w:sz w:val="24"/>
        </w:rPr>
        <w:t>]</w:t>
      </w:r>
    </w:p>
    <w:p w14:paraId="720751E4" w14:textId="6EB70CDC" w:rsidR="0048364F" w:rsidRPr="00700F82" w:rsidRDefault="0048364F" w:rsidP="00C7460E">
      <w:pPr>
        <w:spacing w:before="240" w:line="240" w:lineRule="auto"/>
        <w:rPr>
          <w:sz w:val="32"/>
        </w:rPr>
      </w:pPr>
      <w:r w:rsidRPr="00700F82">
        <w:rPr>
          <w:sz w:val="32"/>
        </w:rPr>
        <w:t>The Parliament of Australia enacts:</w:t>
      </w:r>
    </w:p>
    <w:p w14:paraId="1DDD8800" w14:textId="77777777" w:rsidR="0048364F" w:rsidRPr="00700F82" w:rsidRDefault="0048364F" w:rsidP="00C7460E">
      <w:pPr>
        <w:pStyle w:val="ActHead5"/>
      </w:pPr>
      <w:bookmarkStart w:id="1" w:name="_Toc178780351"/>
      <w:r w:rsidRPr="00700F82">
        <w:rPr>
          <w:rStyle w:val="CharSectno"/>
        </w:rPr>
        <w:t>1</w:t>
      </w:r>
      <w:r w:rsidRPr="00700F82">
        <w:t xml:space="preserve">  Short title</w:t>
      </w:r>
      <w:bookmarkEnd w:id="1"/>
    </w:p>
    <w:p w14:paraId="56B71854" w14:textId="77777777" w:rsidR="0048364F" w:rsidRPr="00700F82" w:rsidRDefault="0048364F" w:rsidP="00C7460E">
      <w:pPr>
        <w:pStyle w:val="subsection"/>
      </w:pPr>
      <w:r w:rsidRPr="00700F82">
        <w:tab/>
      </w:r>
      <w:r w:rsidRPr="00700F82">
        <w:tab/>
        <w:t xml:space="preserve">This Act </w:t>
      </w:r>
      <w:r w:rsidR="00275197" w:rsidRPr="00700F82">
        <w:t xml:space="preserve">is </w:t>
      </w:r>
      <w:r w:rsidRPr="00700F82">
        <w:t xml:space="preserve">the </w:t>
      </w:r>
      <w:bookmarkStart w:id="2" w:name="_GoBack"/>
      <w:r w:rsidR="00400564" w:rsidRPr="00700F82">
        <w:rPr>
          <w:i/>
        </w:rPr>
        <w:t xml:space="preserve">Paid Parental Leave Amendment (Adding Superannuation </w:t>
      </w:r>
      <w:r w:rsidR="00D35494" w:rsidRPr="00700F82">
        <w:rPr>
          <w:i/>
        </w:rPr>
        <w:t>for a More Secure Retirement</w:t>
      </w:r>
      <w:r w:rsidR="00400564" w:rsidRPr="00700F82">
        <w:rPr>
          <w:i/>
        </w:rPr>
        <w:t>)</w:t>
      </w:r>
      <w:r w:rsidR="00EE3E36" w:rsidRPr="00700F82">
        <w:rPr>
          <w:i/>
        </w:rPr>
        <w:t xml:space="preserve"> Act </w:t>
      </w:r>
      <w:r w:rsidR="00B92576" w:rsidRPr="00700F82">
        <w:rPr>
          <w:i/>
        </w:rPr>
        <w:t>2024</w:t>
      </w:r>
      <w:bookmarkEnd w:id="2"/>
      <w:r w:rsidRPr="00700F82">
        <w:t>.</w:t>
      </w:r>
    </w:p>
    <w:p w14:paraId="492D2E6C" w14:textId="77777777" w:rsidR="0048364F" w:rsidRPr="00700F82" w:rsidRDefault="0048364F" w:rsidP="00C7460E">
      <w:pPr>
        <w:pStyle w:val="ActHead5"/>
      </w:pPr>
      <w:bookmarkStart w:id="3" w:name="_Toc178780352"/>
      <w:r w:rsidRPr="00700F82">
        <w:rPr>
          <w:rStyle w:val="CharSectno"/>
        </w:rPr>
        <w:t>2</w:t>
      </w:r>
      <w:r w:rsidRPr="00700F82">
        <w:t xml:space="preserve">  Commencement</w:t>
      </w:r>
      <w:bookmarkEnd w:id="3"/>
    </w:p>
    <w:p w14:paraId="655AD241" w14:textId="77777777" w:rsidR="0048364F" w:rsidRPr="00700F82" w:rsidRDefault="0048364F" w:rsidP="00C7460E">
      <w:pPr>
        <w:pStyle w:val="subsection"/>
      </w:pPr>
      <w:r w:rsidRPr="00700F82">
        <w:tab/>
        <w:t>(1)</w:t>
      </w:r>
      <w:r w:rsidRPr="00700F82">
        <w:tab/>
        <w:t>Each provision of this Act specified in column 1 of the table commences, or is taken to have commenced, in accordance with column 2 of the table. Any other statement in column 2 has effect according to its terms.</w:t>
      </w:r>
    </w:p>
    <w:p w14:paraId="6840EC77" w14:textId="77777777" w:rsidR="0048364F" w:rsidRPr="00700F82" w:rsidRDefault="0048364F" w:rsidP="00C7460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00F82" w14:paraId="633302E1" w14:textId="77777777" w:rsidTr="00736705">
        <w:trPr>
          <w:tblHeader/>
        </w:trPr>
        <w:tc>
          <w:tcPr>
            <w:tcW w:w="7111" w:type="dxa"/>
            <w:gridSpan w:val="3"/>
            <w:tcBorders>
              <w:top w:val="single" w:sz="12" w:space="0" w:color="auto"/>
              <w:bottom w:val="single" w:sz="6" w:space="0" w:color="auto"/>
            </w:tcBorders>
            <w:shd w:val="clear" w:color="auto" w:fill="auto"/>
          </w:tcPr>
          <w:p w14:paraId="1DBC7DCE" w14:textId="77777777" w:rsidR="0048364F" w:rsidRPr="00700F82" w:rsidRDefault="0048364F" w:rsidP="00C7460E">
            <w:pPr>
              <w:pStyle w:val="TableHeading"/>
            </w:pPr>
            <w:r w:rsidRPr="00700F82">
              <w:lastRenderedPageBreak/>
              <w:t>Commencement information</w:t>
            </w:r>
          </w:p>
        </w:tc>
      </w:tr>
      <w:tr w:rsidR="0048364F" w:rsidRPr="00700F82" w14:paraId="4F85A35A" w14:textId="77777777" w:rsidTr="00736705">
        <w:trPr>
          <w:tblHeader/>
        </w:trPr>
        <w:tc>
          <w:tcPr>
            <w:tcW w:w="1701" w:type="dxa"/>
            <w:tcBorders>
              <w:top w:val="single" w:sz="6" w:space="0" w:color="auto"/>
              <w:bottom w:val="single" w:sz="6" w:space="0" w:color="auto"/>
            </w:tcBorders>
            <w:shd w:val="clear" w:color="auto" w:fill="auto"/>
          </w:tcPr>
          <w:p w14:paraId="370250AC" w14:textId="77777777" w:rsidR="0048364F" w:rsidRPr="00700F82" w:rsidRDefault="0048364F" w:rsidP="00C7460E">
            <w:pPr>
              <w:pStyle w:val="TableHeading"/>
            </w:pPr>
            <w:r w:rsidRPr="00700F82">
              <w:t>Column 1</w:t>
            </w:r>
          </w:p>
        </w:tc>
        <w:tc>
          <w:tcPr>
            <w:tcW w:w="3828" w:type="dxa"/>
            <w:tcBorders>
              <w:top w:val="single" w:sz="6" w:space="0" w:color="auto"/>
              <w:bottom w:val="single" w:sz="6" w:space="0" w:color="auto"/>
            </w:tcBorders>
            <w:shd w:val="clear" w:color="auto" w:fill="auto"/>
          </w:tcPr>
          <w:p w14:paraId="6EDDB5A4" w14:textId="77777777" w:rsidR="0048364F" w:rsidRPr="00700F82" w:rsidRDefault="0048364F" w:rsidP="00C7460E">
            <w:pPr>
              <w:pStyle w:val="TableHeading"/>
            </w:pPr>
            <w:r w:rsidRPr="00700F82">
              <w:t>Column 2</w:t>
            </w:r>
          </w:p>
        </w:tc>
        <w:tc>
          <w:tcPr>
            <w:tcW w:w="1582" w:type="dxa"/>
            <w:tcBorders>
              <w:top w:val="single" w:sz="6" w:space="0" w:color="auto"/>
              <w:bottom w:val="single" w:sz="6" w:space="0" w:color="auto"/>
            </w:tcBorders>
            <w:shd w:val="clear" w:color="auto" w:fill="auto"/>
          </w:tcPr>
          <w:p w14:paraId="4A8E48A4" w14:textId="77777777" w:rsidR="0048364F" w:rsidRPr="00700F82" w:rsidRDefault="0048364F" w:rsidP="00C7460E">
            <w:pPr>
              <w:pStyle w:val="TableHeading"/>
            </w:pPr>
            <w:r w:rsidRPr="00700F82">
              <w:t>Column 3</w:t>
            </w:r>
          </w:p>
        </w:tc>
      </w:tr>
      <w:tr w:rsidR="0048364F" w:rsidRPr="00700F82" w14:paraId="073DD2B1" w14:textId="77777777" w:rsidTr="00736705">
        <w:trPr>
          <w:tblHeader/>
        </w:trPr>
        <w:tc>
          <w:tcPr>
            <w:tcW w:w="1701" w:type="dxa"/>
            <w:tcBorders>
              <w:top w:val="single" w:sz="6" w:space="0" w:color="auto"/>
              <w:bottom w:val="single" w:sz="12" w:space="0" w:color="auto"/>
            </w:tcBorders>
            <w:shd w:val="clear" w:color="auto" w:fill="auto"/>
          </w:tcPr>
          <w:p w14:paraId="54D8A37D" w14:textId="77777777" w:rsidR="0048364F" w:rsidRPr="00700F82" w:rsidRDefault="0048364F" w:rsidP="00C7460E">
            <w:pPr>
              <w:pStyle w:val="TableHeading"/>
            </w:pPr>
            <w:r w:rsidRPr="00700F82">
              <w:t>Provisions</w:t>
            </w:r>
          </w:p>
        </w:tc>
        <w:tc>
          <w:tcPr>
            <w:tcW w:w="3828" w:type="dxa"/>
            <w:tcBorders>
              <w:top w:val="single" w:sz="6" w:space="0" w:color="auto"/>
              <w:bottom w:val="single" w:sz="12" w:space="0" w:color="auto"/>
            </w:tcBorders>
            <w:shd w:val="clear" w:color="auto" w:fill="auto"/>
          </w:tcPr>
          <w:p w14:paraId="1604CC8D" w14:textId="77777777" w:rsidR="0048364F" w:rsidRPr="00700F82" w:rsidRDefault="0048364F" w:rsidP="00C7460E">
            <w:pPr>
              <w:pStyle w:val="TableHeading"/>
            </w:pPr>
            <w:r w:rsidRPr="00700F82">
              <w:t>Commencement</w:t>
            </w:r>
          </w:p>
        </w:tc>
        <w:tc>
          <w:tcPr>
            <w:tcW w:w="1582" w:type="dxa"/>
            <w:tcBorders>
              <w:top w:val="single" w:sz="6" w:space="0" w:color="auto"/>
              <w:bottom w:val="single" w:sz="12" w:space="0" w:color="auto"/>
            </w:tcBorders>
            <w:shd w:val="clear" w:color="auto" w:fill="auto"/>
          </w:tcPr>
          <w:p w14:paraId="51280467" w14:textId="77777777" w:rsidR="0048364F" w:rsidRPr="00700F82" w:rsidRDefault="0048364F" w:rsidP="00C7460E">
            <w:pPr>
              <w:pStyle w:val="TableHeading"/>
            </w:pPr>
            <w:r w:rsidRPr="00700F82">
              <w:t>Date/Details</w:t>
            </w:r>
          </w:p>
        </w:tc>
      </w:tr>
      <w:tr w:rsidR="0048364F" w:rsidRPr="00700F82" w14:paraId="41D1FB1D" w14:textId="77777777" w:rsidTr="00700F82">
        <w:trPr>
          <w:cantSplit/>
        </w:trPr>
        <w:tc>
          <w:tcPr>
            <w:tcW w:w="1701" w:type="dxa"/>
            <w:tcBorders>
              <w:top w:val="single" w:sz="12" w:space="0" w:color="auto"/>
              <w:bottom w:val="single" w:sz="12" w:space="0" w:color="auto"/>
            </w:tcBorders>
            <w:shd w:val="clear" w:color="auto" w:fill="auto"/>
          </w:tcPr>
          <w:p w14:paraId="69C879A9" w14:textId="77777777" w:rsidR="0048364F" w:rsidRPr="00700F82" w:rsidRDefault="0048364F" w:rsidP="00C7460E">
            <w:pPr>
              <w:pStyle w:val="Tabletext"/>
            </w:pPr>
            <w:r w:rsidRPr="00700F82">
              <w:t xml:space="preserve">1.  </w:t>
            </w:r>
            <w:r w:rsidR="00CA03BC" w:rsidRPr="00700F82">
              <w:t>The whole of this Act</w:t>
            </w:r>
          </w:p>
        </w:tc>
        <w:tc>
          <w:tcPr>
            <w:tcW w:w="3828" w:type="dxa"/>
            <w:tcBorders>
              <w:top w:val="single" w:sz="12" w:space="0" w:color="auto"/>
              <w:bottom w:val="single" w:sz="12" w:space="0" w:color="auto"/>
            </w:tcBorders>
            <w:shd w:val="clear" w:color="auto" w:fill="auto"/>
          </w:tcPr>
          <w:p w14:paraId="4AF02C6C" w14:textId="77777777" w:rsidR="0048364F" w:rsidRPr="00700F82" w:rsidRDefault="0048364F" w:rsidP="00C7460E">
            <w:pPr>
              <w:pStyle w:val="Tabletext"/>
            </w:pPr>
            <w:r w:rsidRPr="00700F82">
              <w:t xml:space="preserve">The day </w:t>
            </w:r>
            <w:r w:rsidR="003B0EB8" w:rsidRPr="00700F82">
              <w:t xml:space="preserve">after </w:t>
            </w:r>
            <w:r w:rsidRPr="00700F82">
              <w:t>this Act receives the Royal Assent.</w:t>
            </w:r>
          </w:p>
        </w:tc>
        <w:tc>
          <w:tcPr>
            <w:tcW w:w="1582" w:type="dxa"/>
            <w:tcBorders>
              <w:top w:val="single" w:sz="12" w:space="0" w:color="auto"/>
              <w:bottom w:val="single" w:sz="12" w:space="0" w:color="auto"/>
            </w:tcBorders>
            <w:shd w:val="clear" w:color="auto" w:fill="auto"/>
          </w:tcPr>
          <w:p w14:paraId="7AE517E1" w14:textId="3E287F7D" w:rsidR="0048364F" w:rsidRPr="00700F82" w:rsidRDefault="005A4B07" w:rsidP="00C7460E">
            <w:pPr>
              <w:pStyle w:val="Tabletext"/>
            </w:pPr>
            <w:r>
              <w:t>2 October 2024</w:t>
            </w:r>
          </w:p>
        </w:tc>
      </w:tr>
    </w:tbl>
    <w:p w14:paraId="2F9B626D" w14:textId="77777777" w:rsidR="0048364F" w:rsidRPr="00700F82" w:rsidRDefault="00201D27" w:rsidP="00C7460E">
      <w:pPr>
        <w:pStyle w:val="notetext"/>
      </w:pPr>
      <w:r w:rsidRPr="00700F82">
        <w:t>Note:</w:t>
      </w:r>
      <w:r w:rsidRPr="00700F82">
        <w:tab/>
        <w:t>This table relates only to the provisions of this Act as originally enacted. It will not be amended to deal with any later amendments of this Act.</w:t>
      </w:r>
    </w:p>
    <w:p w14:paraId="771BAFBC" w14:textId="77777777" w:rsidR="0048364F" w:rsidRPr="00700F82" w:rsidRDefault="0048364F" w:rsidP="00C7460E">
      <w:pPr>
        <w:pStyle w:val="subsection"/>
      </w:pPr>
      <w:r w:rsidRPr="00700F82">
        <w:tab/>
        <w:t>(2)</w:t>
      </w:r>
      <w:r w:rsidRPr="00700F82">
        <w:tab/>
      </w:r>
      <w:r w:rsidR="00201D27" w:rsidRPr="00700F82">
        <w:t xml:space="preserve">Any information in </w:t>
      </w:r>
      <w:r w:rsidR="00877D48" w:rsidRPr="00700F82">
        <w:t>c</w:t>
      </w:r>
      <w:r w:rsidR="00201D27" w:rsidRPr="00700F82">
        <w:t>olumn 3 of the table is not part of this Act. Information may be inserted in this column, or information in it may be edited, in any published version of this Act.</w:t>
      </w:r>
    </w:p>
    <w:p w14:paraId="7C31ABB7" w14:textId="77777777" w:rsidR="0048364F" w:rsidRPr="00700F82" w:rsidRDefault="0048364F" w:rsidP="00C7460E">
      <w:pPr>
        <w:pStyle w:val="ActHead5"/>
      </w:pPr>
      <w:bookmarkStart w:id="4" w:name="_Toc178780353"/>
      <w:r w:rsidRPr="00700F82">
        <w:rPr>
          <w:rStyle w:val="CharSectno"/>
        </w:rPr>
        <w:t>3</w:t>
      </w:r>
      <w:r w:rsidRPr="00700F82">
        <w:t xml:space="preserve">  Schedules</w:t>
      </w:r>
      <w:bookmarkEnd w:id="4"/>
    </w:p>
    <w:p w14:paraId="18958564" w14:textId="77777777" w:rsidR="0048364F" w:rsidRPr="00700F82" w:rsidRDefault="0048364F" w:rsidP="00C7460E">
      <w:pPr>
        <w:pStyle w:val="subsection"/>
      </w:pPr>
      <w:r w:rsidRPr="00700F82">
        <w:tab/>
      </w:r>
      <w:r w:rsidRPr="00700F82">
        <w:tab/>
      </w:r>
      <w:r w:rsidR="00202618" w:rsidRPr="00700F82">
        <w:t>Legislation that is specified in a Schedule to this Act is amended or repealed as set out in the applicable items in the Schedule concerned, and any other item in a Schedule to this Act has effect according to its terms.</w:t>
      </w:r>
    </w:p>
    <w:p w14:paraId="3B2B152F" w14:textId="77777777" w:rsidR="008D3E94" w:rsidRPr="00700F82" w:rsidRDefault="00AE56E0" w:rsidP="00C7460E">
      <w:pPr>
        <w:pStyle w:val="ActHead6"/>
        <w:pageBreakBefore/>
      </w:pPr>
      <w:bookmarkStart w:id="5" w:name="opcAmSched"/>
      <w:bookmarkStart w:id="6" w:name="_Toc178780354"/>
      <w:r w:rsidRPr="00700F82">
        <w:rPr>
          <w:rStyle w:val="CharAmSchNo"/>
        </w:rPr>
        <w:lastRenderedPageBreak/>
        <w:t>Schedule 1</w:t>
      </w:r>
      <w:r w:rsidR="0048364F" w:rsidRPr="00700F82">
        <w:t>—</w:t>
      </w:r>
      <w:r w:rsidR="0044095D" w:rsidRPr="00700F82">
        <w:rPr>
          <w:rStyle w:val="CharAmSchText"/>
        </w:rPr>
        <w:t>Main a</w:t>
      </w:r>
      <w:r w:rsidR="00400564" w:rsidRPr="00700F82">
        <w:rPr>
          <w:rStyle w:val="CharAmSchText"/>
        </w:rPr>
        <w:t>mendments</w:t>
      </w:r>
      <w:bookmarkEnd w:id="6"/>
    </w:p>
    <w:bookmarkEnd w:id="5"/>
    <w:p w14:paraId="7ED88D54" w14:textId="77777777" w:rsidR="00C65E0A" w:rsidRPr="00700F82" w:rsidRDefault="00C65E0A" w:rsidP="00C7460E">
      <w:pPr>
        <w:pStyle w:val="Header"/>
      </w:pPr>
      <w:r w:rsidRPr="00700F82">
        <w:rPr>
          <w:rStyle w:val="CharAmPartNo"/>
        </w:rPr>
        <w:t xml:space="preserve"> </w:t>
      </w:r>
      <w:r w:rsidRPr="00700F82">
        <w:rPr>
          <w:rStyle w:val="CharAmPartText"/>
        </w:rPr>
        <w:t xml:space="preserve"> </w:t>
      </w:r>
    </w:p>
    <w:p w14:paraId="54B2C6E0" w14:textId="77777777" w:rsidR="008D3E94" w:rsidRPr="00700F82" w:rsidRDefault="004F4EB1" w:rsidP="00C7460E">
      <w:pPr>
        <w:pStyle w:val="ActHead9"/>
        <w:rPr>
          <w:i w:val="0"/>
        </w:rPr>
      </w:pPr>
      <w:bookmarkStart w:id="7" w:name="_Toc178780355"/>
      <w:r w:rsidRPr="00700F82">
        <w:t>Paid Parental Leave Act 2010</w:t>
      </w:r>
      <w:bookmarkEnd w:id="7"/>
    </w:p>
    <w:p w14:paraId="698466D9" w14:textId="77777777" w:rsidR="00981287" w:rsidRPr="00700F82" w:rsidRDefault="00896A03" w:rsidP="00C7460E">
      <w:pPr>
        <w:pStyle w:val="ItemHead"/>
      </w:pPr>
      <w:r w:rsidRPr="00700F82">
        <w:t>1</w:t>
      </w:r>
      <w:r w:rsidR="00981287" w:rsidRPr="00700F82">
        <w:t xml:space="preserve">  </w:t>
      </w:r>
      <w:r w:rsidR="00AE56E0" w:rsidRPr="00700F82">
        <w:t>Subsection 3</w:t>
      </w:r>
      <w:r w:rsidR="00981287" w:rsidRPr="00700F82">
        <w:t>A(1)</w:t>
      </w:r>
    </w:p>
    <w:p w14:paraId="176A8D1E" w14:textId="77777777" w:rsidR="00981287" w:rsidRPr="00700F82" w:rsidRDefault="00981287" w:rsidP="00C7460E">
      <w:pPr>
        <w:pStyle w:val="Item"/>
      </w:pPr>
      <w:r w:rsidRPr="00700F82">
        <w:t>After “parental leave pay”, insert “and paid parental leave superannuation contributions”.</w:t>
      </w:r>
    </w:p>
    <w:p w14:paraId="6DB47C28" w14:textId="77777777" w:rsidR="001C4993" w:rsidRPr="00700F82" w:rsidRDefault="00896A03" w:rsidP="00C7460E">
      <w:pPr>
        <w:pStyle w:val="ItemHead"/>
      </w:pPr>
      <w:r w:rsidRPr="00700F82">
        <w:t>2</w:t>
      </w:r>
      <w:r w:rsidR="001C4993" w:rsidRPr="00700F82">
        <w:t xml:space="preserve">  At the end of </w:t>
      </w:r>
      <w:r w:rsidR="00AE56E0" w:rsidRPr="00700F82">
        <w:t>paragraph 3</w:t>
      </w:r>
      <w:r w:rsidR="001C4993" w:rsidRPr="00700F82">
        <w:t>A(2)(c)</w:t>
      </w:r>
    </w:p>
    <w:p w14:paraId="400BF694" w14:textId="77777777" w:rsidR="001C4993" w:rsidRPr="00700F82" w:rsidRDefault="001C4993" w:rsidP="00C7460E">
      <w:pPr>
        <w:pStyle w:val="Item"/>
      </w:pPr>
      <w:r w:rsidRPr="00700F82">
        <w:t>Add:</w:t>
      </w:r>
    </w:p>
    <w:p w14:paraId="25FF62E9" w14:textId="77777777" w:rsidR="001C4993" w:rsidRPr="00700F82" w:rsidRDefault="001C4993" w:rsidP="00C7460E">
      <w:pPr>
        <w:pStyle w:val="paragraphsub"/>
      </w:pPr>
      <w:r w:rsidRPr="00700F82">
        <w:tab/>
        <w:t>; and (viii)</w:t>
      </w:r>
      <w:r w:rsidRPr="00700F82">
        <w:tab/>
        <w:t>reduce the long</w:t>
      </w:r>
      <w:r w:rsidR="00700F82">
        <w:noBreakHyphen/>
      </w:r>
      <w:r w:rsidR="006F65A5" w:rsidRPr="00700F82">
        <w:t>term financial impact of taking time off work to care for the child by adding to the superannuation</w:t>
      </w:r>
      <w:r w:rsidR="00C914E5" w:rsidRPr="00700F82">
        <w:t xml:space="preserve"> balances of those parents.</w:t>
      </w:r>
    </w:p>
    <w:p w14:paraId="518241A3" w14:textId="77777777" w:rsidR="00C00BCF" w:rsidRPr="00700F82" w:rsidRDefault="00896A03" w:rsidP="00C7460E">
      <w:pPr>
        <w:pStyle w:val="ItemHead"/>
      </w:pPr>
      <w:r w:rsidRPr="00700F82">
        <w:t>3</w:t>
      </w:r>
      <w:r w:rsidR="004F13F4" w:rsidRPr="00700F82">
        <w:t xml:space="preserve">  </w:t>
      </w:r>
      <w:r w:rsidR="00AE56E0" w:rsidRPr="00700F82">
        <w:t>Section 4</w:t>
      </w:r>
      <w:r w:rsidR="001518E3" w:rsidRPr="00700F82">
        <w:t xml:space="preserve"> (after the paragraph beginning “</w:t>
      </w:r>
      <w:r w:rsidR="00AE56E0" w:rsidRPr="00700F82">
        <w:t>Part 3</w:t>
      </w:r>
      <w:r w:rsidR="00700F82">
        <w:noBreakHyphen/>
      </w:r>
      <w:r w:rsidR="001518E3" w:rsidRPr="00700F82">
        <w:t>5 is about”)</w:t>
      </w:r>
    </w:p>
    <w:p w14:paraId="0D1CDE83" w14:textId="77777777" w:rsidR="001518E3" w:rsidRPr="00700F82" w:rsidRDefault="001518E3" w:rsidP="00C7460E">
      <w:pPr>
        <w:pStyle w:val="Item"/>
      </w:pPr>
      <w:r w:rsidRPr="00700F82">
        <w:t>Insert:</w:t>
      </w:r>
    </w:p>
    <w:p w14:paraId="27910854" w14:textId="77777777" w:rsidR="006E714E" w:rsidRPr="00700F82" w:rsidRDefault="00AE56E0" w:rsidP="00C7460E">
      <w:pPr>
        <w:pStyle w:val="SOHeadItalic"/>
      </w:pPr>
      <w:r w:rsidRPr="00700F82">
        <w:t>Chapter 3</w:t>
      </w:r>
      <w:r w:rsidR="006E714E" w:rsidRPr="00700F82">
        <w:t>A—PPL superannuation contributions</w:t>
      </w:r>
    </w:p>
    <w:p w14:paraId="01F955F6" w14:textId="77777777" w:rsidR="00140E53" w:rsidRPr="00700F82" w:rsidRDefault="00140E53" w:rsidP="00C7460E">
      <w:pPr>
        <w:pStyle w:val="SOText"/>
      </w:pPr>
      <w:r w:rsidRPr="00700F82">
        <w:t xml:space="preserve">A PPL superannuation contribution is payable for a person for an income year if </w:t>
      </w:r>
      <w:r w:rsidR="00D630FF" w:rsidRPr="00700F82">
        <w:t>one or more</w:t>
      </w:r>
      <w:r w:rsidRPr="00700F82">
        <w:t xml:space="preserve"> PPL funding amount</w:t>
      </w:r>
      <w:r w:rsidR="00D630FF" w:rsidRPr="00700F82">
        <w:t>s</w:t>
      </w:r>
      <w:r w:rsidRPr="00700F82">
        <w:t xml:space="preserve"> or instalment</w:t>
      </w:r>
      <w:r w:rsidR="00D630FF" w:rsidRPr="00700F82">
        <w:t>s</w:t>
      </w:r>
      <w:r w:rsidRPr="00700F82">
        <w:t xml:space="preserve"> relating to the person </w:t>
      </w:r>
      <w:r w:rsidR="00D630FF" w:rsidRPr="00700F82">
        <w:t xml:space="preserve">are </w:t>
      </w:r>
      <w:r w:rsidRPr="00700F82">
        <w:t xml:space="preserve">paid </w:t>
      </w:r>
      <w:r w:rsidR="00525BFC" w:rsidRPr="00700F82">
        <w:t>by the Secretary in the income year.</w:t>
      </w:r>
    </w:p>
    <w:p w14:paraId="556370DE" w14:textId="77777777" w:rsidR="006F0B61" w:rsidRPr="00700F82" w:rsidRDefault="005E32F6" w:rsidP="00C7460E">
      <w:pPr>
        <w:pStyle w:val="SOText"/>
      </w:pPr>
      <w:r w:rsidRPr="00700F82">
        <w:t>The amount of a PPL superannuation contribution is calculated on the basis of the SG charge percentage for the income year and</w:t>
      </w:r>
      <w:r w:rsidR="00DB31C3" w:rsidRPr="00700F82">
        <w:t xml:space="preserve"> is </w:t>
      </w:r>
      <w:r w:rsidR="00FF5346" w:rsidRPr="00700F82">
        <w:t xml:space="preserve">generally </w:t>
      </w:r>
      <w:r w:rsidR="00DB31C3" w:rsidRPr="00700F82">
        <w:t xml:space="preserve">paid by the Commissioner of Taxation </w:t>
      </w:r>
      <w:r w:rsidR="006F0B61" w:rsidRPr="00700F82">
        <w:t>in the subsequent income year</w:t>
      </w:r>
      <w:r w:rsidR="00DB31C3" w:rsidRPr="00700F82">
        <w:t xml:space="preserve"> to a complying superannuation fund </w:t>
      </w:r>
      <w:r w:rsidR="00B949B4" w:rsidRPr="00700F82">
        <w:t>for the person</w:t>
      </w:r>
      <w:r w:rsidR="006F0B61" w:rsidRPr="00700F82">
        <w:t>.</w:t>
      </w:r>
    </w:p>
    <w:p w14:paraId="62EDDED3" w14:textId="77777777" w:rsidR="00DB31C3" w:rsidRPr="00700F82" w:rsidRDefault="006F0B61" w:rsidP="00C7460E">
      <w:pPr>
        <w:pStyle w:val="SOText"/>
      </w:pPr>
      <w:r w:rsidRPr="00700F82">
        <w:t xml:space="preserve">The </w:t>
      </w:r>
      <w:r w:rsidR="00B949B4" w:rsidRPr="00700F82">
        <w:t xml:space="preserve">Commissioner of Taxation has the general administration of </w:t>
      </w:r>
      <w:r w:rsidR="00AE56E0" w:rsidRPr="00700F82">
        <w:t>Chapter 3</w:t>
      </w:r>
      <w:r w:rsidR="00B949B4" w:rsidRPr="00700F82">
        <w:t>A.</w:t>
      </w:r>
    </w:p>
    <w:p w14:paraId="5A8A1DE4" w14:textId="77777777" w:rsidR="00C00BCF" w:rsidRPr="00700F82" w:rsidRDefault="00896A03" w:rsidP="00C7460E">
      <w:pPr>
        <w:pStyle w:val="ItemHead"/>
      </w:pPr>
      <w:r w:rsidRPr="00700F82">
        <w:t>4</w:t>
      </w:r>
      <w:r w:rsidR="00FF5346" w:rsidRPr="00700F82">
        <w:t xml:space="preserve">  </w:t>
      </w:r>
      <w:r w:rsidR="00AE56E0" w:rsidRPr="00700F82">
        <w:t>Section 6</w:t>
      </w:r>
    </w:p>
    <w:p w14:paraId="7FA99A7A" w14:textId="77777777" w:rsidR="00C00BCF" w:rsidRPr="00700F82" w:rsidRDefault="00C00BCF" w:rsidP="00C7460E">
      <w:pPr>
        <w:pStyle w:val="Item"/>
      </w:pPr>
      <w:r w:rsidRPr="00700F82">
        <w:t>Insert:</w:t>
      </w:r>
    </w:p>
    <w:p w14:paraId="289834AE" w14:textId="77777777" w:rsidR="00FF5346" w:rsidRPr="00700F82" w:rsidRDefault="00FF5346" w:rsidP="00C7460E">
      <w:pPr>
        <w:pStyle w:val="Definition"/>
      </w:pPr>
      <w:r w:rsidRPr="00700F82">
        <w:rPr>
          <w:b/>
          <w:i/>
        </w:rPr>
        <w:t>base contribution</w:t>
      </w:r>
      <w:r w:rsidRPr="00700F82">
        <w:t>: see subsection</w:t>
      </w:r>
      <w:r w:rsidR="005F2E1D" w:rsidRPr="00700F82">
        <w:t xml:space="preserve"> </w:t>
      </w:r>
      <w:r w:rsidRPr="00700F82">
        <w:t>115</w:t>
      </w:r>
      <w:r w:rsidR="00F1687A" w:rsidRPr="00700F82">
        <w:t>C</w:t>
      </w:r>
      <w:r w:rsidRPr="00700F82">
        <w:t>(2).</w:t>
      </w:r>
    </w:p>
    <w:p w14:paraId="7229C283" w14:textId="77777777" w:rsidR="00CE3A35" w:rsidRPr="00700F82" w:rsidRDefault="00CE3A35" w:rsidP="00C7460E">
      <w:pPr>
        <w:pStyle w:val="Definition"/>
      </w:pPr>
      <w:r w:rsidRPr="00700F82">
        <w:rPr>
          <w:b/>
          <w:i/>
        </w:rPr>
        <w:lastRenderedPageBreak/>
        <w:t>base interest rate</w:t>
      </w:r>
      <w:r w:rsidRPr="00700F82">
        <w:t xml:space="preserve"> for a day has the same meaning as in section 8AAD of the </w:t>
      </w:r>
      <w:r w:rsidRPr="00700F82">
        <w:rPr>
          <w:i/>
        </w:rPr>
        <w:t>Taxation Administration Act 1953</w:t>
      </w:r>
      <w:r w:rsidRPr="00700F82">
        <w:t>.</w:t>
      </w:r>
    </w:p>
    <w:p w14:paraId="47180A7C" w14:textId="77777777" w:rsidR="00DD529F" w:rsidRPr="00700F82" w:rsidRDefault="00DD529F" w:rsidP="00C7460E">
      <w:pPr>
        <w:pStyle w:val="Definition"/>
      </w:pPr>
      <w:r w:rsidRPr="00700F82">
        <w:rPr>
          <w:b/>
          <w:i/>
        </w:rPr>
        <w:t>Commissioner</w:t>
      </w:r>
      <w:r w:rsidRPr="00700F82">
        <w:t xml:space="preserve"> means the Commissioner of Taxation.</w:t>
      </w:r>
    </w:p>
    <w:p w14:paraId="00570A4C" w14:textId="77777777" w:rsidR="003D57B1" w:rsidRPr="00700F82" w:rsidRDefault="003D57B1" w:rsidP="00C7460E">
      <w:pPr>
        <w:pStyle w:val="Definition"/>
      </w:pPr>
      <w:r w:rsidRPr="00700F82">
        <w:rPr>
          <w:b/>
          <w:i/>
        </w:rPr>
        <w:t>complying superannuation fund</w:t>
      </w:r>
      <w:r w:rsidRPr="00700F82">
        <w:t xml:space="preserve"> has the same meaning as in the </w:t>
      </w:r>
      <w:r w:rsidRPr="00700F82">
        <w:rPr>
          <w:i/>
        </w:rPr>
        <w:t>Income Tax Assessment Act 1997</w:t>
      </w:r>
      <w:r w:rsidRPr="00700F82">
        <w:t>.</w:t>
      </w:r>
    </w:p>
    <w:p w14:paraId="2632B185" w14:textId="77777777" w:rsidR="009450D0" w:rsidRPr="00700F82" w:rsidRDefault="009450D0" w:rsidP="00C7460E">
      <w:pPr>
        <w:pStyle w:val="Definition"/>
      </w:pPr>
      <w:r w:rsidRPr="00700F82">
        <w:rPr>
          <w:b/>
          <w:i/>
        </w:rPr>
        <w:t>constitutionally protected fun</w:t>
      </w:r>
      <w:r w:rsidR="004B73C8" w:rsidRPr="00700F82">
        <w:rPr>
          <w:b/>
          <w:i/>
        </w:rPr>
        <w:t xml:space="preserve">d </w:t>
      </w:r>
      <w:r w:rsidR="004B73C8" w:rsidRPr="00700F82">
        <w:t xml:space="preserve">has the same meaning as in the </w:t>
      </w:r>
      <w:r w:rsidR="004B73C8" w:rsidRPr="00700F82">
        <w:rPr>
          <w:i/>
        </w:rPr>
        <w:t>Income Tax Assessment Act 1997</w:t>
      </w:r>
      <w:r w:rsidR="004B73C8" w:rsidRPr="00700F82">
        <w:t>.</w:t>
      </w:r>
    </w:p>
    <w:p w14:paraId="01D0FFBB" w14:textId="77777777" w:rsidR="003D57B1" w:rsidRPr="00700F82" w:rsidRDefault="003D57B1" w:rsidP="00C7460E">
      <w:pPr>
        <w:pStyle w:val="Definition"/>
        <w:rPr>
          <w:b/>
          <w:i/>
        </w:rPr>
      </w:pPr>
      <w:r w:rsidRPr="00700F82">
        <w:rPr>
          <w:b/>
          <w:i/>
        </w:rPr>
        <w:t xml:space="preserve">credit </w:t>
      </w:r>
      <w:r w:rsidRPr="00700F82">
        <w:t xml:space="preserve">to an RSA that is a policy (within the meaning of the </w:t>
      </w:r>
      <w:r w:rsidRPr="00700F82">
        <w:rPr>
          <w:i/>
        </w:rPr>
        <w:t>Life Insurance Act 1995</w:t>
      </w:r>
      <w:r w:rsidRPr="00700F82">
        <w:t>) means pay as a premium in relation to the policy.</w:t>
      </w:r>
    </w:p>
    <w:p w14:paraId="49EF6494" w14:textId="77777777" w:rsidR="001971E3" w:rsidRPr="00700F82" w:rsidRDefault="001971E3" w:rsidP="00C7460E">
      <w:pPr>
        <w:pStyle w:val="Definition"/>
      </w:pPr>
      <w:r w:rsidRPr="00700F82">
        <w:rPr>
          <w:b/>
          <w:i/>
        </w:rPr>
        <w:t xml:space="preserve">general interest charge </w:t>
      </w:r>
      <w:r w:rsidRPr="00700F82">
        <w:t xml:space="preserve">means the charge worked out under Part IIA of the </w:t>
      </w:r>
      <w:r w:rsidRPr="00700F82">
        <w:rPr>
          <w:i/>
        </w:rPr>
        <w:t>Taxation Administration Act 1953</w:t>
      </w:r>
      <w:r w:rsidRPr="00700F82">
        <w:t>.</w:t>
      </w:r>
    </w:p>
    <w:p w14:paraId="7FF24BB8" w14:textId="77777777" w:rsidR="00D03AD5" w:rsidRPr="00700F82" w:rsidRDefault="00D03AD5" w:rsidP="00C7460E">
      <w:pPr>
        <w:pStyle w:val="Definition"/>
      </w:pPr>
      <w:r w:rsidRPr="00700F82">
        <w:rPr>
          <w:b/>
          <w:i/>
        </w:rPr>
        <w:t>legal personal representative</w:t>
      </w:r>
      <w:r w:rsidRPr="00700F82">
        <w:t xml:space="preserve"> of a person who has died means an executor or administrator of the person’s estate.</w:t>
      </w:r>
    </w:p>
    <w:p w14:paraId="0D4FCD67" w14:textId="77777777" w:rsidR="003D57B1" w:rsidRPr="00700F82" w:rsidRDefault="003D57B1" w:rsidP="00C7460E">
      <w:pPr>
        <w:pStyle w:val="Definition"/>
      </w:pPr>
      <w:r w:rsidRPr="00700F82">
        <w:rPr>
          <w:b/>
          <w:i/>
        </w:rPr>
        <w:t>nominal interest rate amount</w:t>
      </w:r>
      <w:r w:rsidRPr="00700F82">
        <w:t>: see subsection</w:t>
      </w:r>
      <w:r w:rsidR="001D0859" w:rsidRPr="00700F82">
        <w:t xml:space="preserve"> </w:t>
      </w:r>
      <w:r w:rsidRPr="00700F82">
        <w:t>115</w:t>
      </w:r>
      <w:r w:rsidR="00F1687A" w:rsidRPr="00700F82">
        <w:t>C</w:t>
      </w:r>
      <w:r w:rsidRPr="00700F82">
        <w:t>(5).</w:t>
      </w:r>
    </w:p>
    <w:p w14:paraId="4987B020" w14:textId="77777777" w:rsidR="00B17137" w:rsidRPr="00700F82" w:rsidRDefault="00B17137" w:rsidP="00C7460E">
      <w:pPr>
        <w:pStyle w:val="Definition"/>
      </w:pPr>
      <w:r w:rsidRPr="00700F82">
        <w:rPr>
          <w:b/>
          <w:i/>
        </w:rPr>
        <w:t>payment date</w:t>
      </w:r>
      <w:r w:rsidRPr="00700F82">
        <w:t xml:space="preserve"> means:</w:t>
      </w:r>
    </w:p>
    <w:p w14:paraId="757C8EF1" w14:textId="77777777" w:rsidR="00B17137" w:rsidRPr="00700F82" w:rsidRDefault="00B17137" w:rsidP="00C7460E">
      <w:pPr>
        <w:pStyle w:val="paragraph"/>
      </w:pPr>
      <w:r w:rsidRPr="00700F82">
        <w:tab/>
        <w:t>(a)</w:t>
      </w:r>
      <w:r w:rsidRPr="00700F82">
        <w:tab/>
        <w:t>for a PPL superannuation contribution—the date worked out in accordance with the PPL rules made for the purposes of section</w:t>
      </w:r>
      <w:r w:rsidR="001D0859" w:rsidRPr="00700F82">
        <w:t xml:space="preserve"> </w:t>
      </w:r>
      <w:r w:rsidRPr="00700F82">
        <w:t>115</w:t>
      </w:r>
      <w:r w:rsidR="00F1687A" w:rsidRPr="00700F82">
        <w:t>H</w:t>
      </w:r>
      <w:r w:rsidRPr="00700F82">
        <w:t>; or</w:t>
      </w:r>
    </w:p>
    <w:p w14:paraId="4684B327" w14:textId="77777777" w:rsidR="00B17137" w:rsidRPr="00700F82" w:rsidRDefault="00B17137" w:rsidP="00C7460E">
      <w:pPr>
        <w:pStyle w:val="paragraph"/>
      </w:pPr>
      <w:r w:rsidRPr="00700F82">
        <w:tab/>
        <w:t>(b)</w:t>
      </w:r>
      <w:r w:rsidRPr="00700F82">
        <w:tab/>
        <w:t>for an underpaid amount of a PPL superannuation contribution—the date worked out in accordance with the PPL rules made for the purposes of section</w:t>
      </w:r>
      <w:r w:rsidR="001D0859" w:rsidRPr="00700F82">
        <w:t xml:space="preserve"> </w:t>
      </w:r>
      <w:r w:rsidRPr="00700F82">
        <w:t>115</w:t>
      </w:r>
      <w:r w:rsidR="00F1687A" w:rsidRPr="00700F82">
        <w:t>M</w:t>
      </w:r>
      <w:r w:rsidRPr="00700F82">
        <w:t>.</w:t>
      </w:r>
    </w:p>
    <w:p w14:paraId="6BD9C5E4" w14:textId="77777777" w:rsidR="00DD529F" w:rsidRPr="00700F82" w:rsidRDefault="00DD529F" w:rsidP="00C7460E">
      <w:pPr>
        <w:pStyle w:val="Definition"/>
      </w:pPr>
      <w:r w:rsidRPr="00700F82">
        <w:rPr>
          <w:b/>
          <w:i/>
        </w:rPr>
        <w:t>PPL superannuation contribution</w:t>
      </w:r>
      <w:r w:rsidRPr="00700F82">
        <w:t xml:space="preserve"> (short for Paid Parental Leave superannuation contribution) means a PPL superannuation contribution payable under section</w:t>
      </w:r>
      <w:r w:rsidR="001D0859" w:rsidRPr="00700F82">
        <w:t xml:space="preserve"> </w:t>
      </w:r>
      <w:r w:rsidRPr="00700F82">
        <w:t>115</w:t>
      </w:r>
      <w:r w:rsidR="00F1687A" w:rsidRPr="00700F82">
        <w:t>B</w:t>
      </w:r>
      <w:r w:rsidRPr="00700F82">
        <w:t>.</w:t>
      </w:r>
    </w:p>
    <w:p w14:paraId="1C89BD28" w14:textId="77777777" w:rsidR="003D57B1" w:rsidRPr="00700F82" w:rsidRDefault="003D57B1" w:rsidP="00C7460E">
      <w:pPr>
        <w:pStyle w:val="Definition"/>
      </w:pPr>
      <w:r w:rsidRPr="00700F82">
        <w:rPr>
          <w:b/>
          <w:i/>
        </w:rPr>
        <w:t>provider</w:t>
      </w:r>
      <w:r w:rsidRPr="00700F82">
        <w:t xml:space="preserve"> of an RSA has the same meaning as in the </w:t>
      </w:r>
      <w:r w:rsidRPr="00700F82">
        <w:rPr>
          <w:i/>
        </w:rPr>
        <w:t>Retirement Savings Accounts Act 1997</w:t>
      </w:r>
      <w:r w:rsidRPr="00700F82">
        <w:t>.</w:t>
      </w:r>
    </w:p>
    <w:p w14:paraId="6B2A6EC9" w14:textId="77777777" w:rsidR="003D57B1" w:rsidRPr="00700F82" w:rsidRDefault="003D57B1" w:rsidP="00C7460E">
      <w:pPr>
        <w:pStyle w:val="Definition"/>
      </w:pPr>
      <w:r w:rsidRPr="00700F82">
        <w:rPr>
          <w:b/>
          <w:i/>
        </w:rPr>
        <w:t>RSA</w:t>
      </w:r>
      <w:r w:rsidRPr="00700F82">
        <w:t xml:space="preserve"> has the same meaning as in the </w:t>
      </w:r>
      <w:r w:rsidRPr="00700F82">
        <w:rPr>
          <w:i/>
        </w:rPr>
        <w:t>Retirement Savings Accounts Act 1997</w:t>
      </w:r>
      <w:r w:rsidRPr="00700F82">
        <w:t>.</w:t>
      </w:r>
    </w:p>
    <w:p w14:paraId="55E90B41" w14:textId="77777777" w:rsidR="00FF5346" w:rsidRPr="00700F82" w:rsidRDefault="00FF5346" w:rsidP="00C7460E">
      <w:pPr>
        <w:pStyle w:val="Definition"/>
      </w:pPr>
      <w:r w:rsidRPr="00700F82">
        <w:rPr>
          <w:b/>
          <w:i/>
        </w:rPr>
        <w:t>SG charge percentage</w:t>
      </w:r>
      <w:r w:rsidRPr="00700F82">
        <w:t>: see subsection</w:t>
      </w:r>
      <w:r w:rsidR="001D0859" w:rsidRPr="00700F82">
        <w:t xml:space="preserve"> </w:t>
      </w:r>
      <w:r w:rsidRPr="00700F82">
        <w:t>115</w:t>
      </w:r>
      <w:r w:rsidR="00F1687A" w:rsidRPr="00700F82">
        <w:t>C</w:t>
      </w:r>
      <w:r w:rsidRPr="00700F82">
        <w:t>(4).</w:t>
      </w:r>
    </w:p>
    <w:p w14:paraId="6861AEBA" w14:textId="77777777" w:rsidR="00DD529F" w:rsidRPr="00700F82" w:rsidRDefault="00DD529F" w:rsidP="00C7460E">
      <w:pPr>
        <w:pStyle w:val="Definition"/>
        <w:rPr>
          <w:i/>
        </w:rPr>
      </w:pPr>
      <w:r w:rsidRPr="00700F82">
        <w:rPr>
          <w:b/>
          <w:i/>
        </w:rPr>
        <w:lastRenderedPageBreak/>
        <w:t>Superannuation Holding Accounts Special Account</w:t>
      </w:r>
      <w:r w:rsidRPr="00700F82">
        <w:rPr>
          <w:i/>
        </w:rPr>
        <w:t xml:space="preserve"> </w:t>
      </w:r>
      <w:r w:rsidRPr="00700F82">
        <w:t xml:space="preserve">means the Superannuation Holding Accounts Special Account continued in existence by section 8 of the </w:t>
      </w:r>
      <w:r w:rsidRPr="00700F82">
        <w:rPr>
          <w:i/>
        </w:rPr>
        <w:t>Small Superannuation Accounts Act 1995</w:t>
      </w:r>
      <w:r w:rsidRPr="00700F82">
        <w:t>.</w:t>
      </w:r>
    </w:p>
    <w:p w14:paraId="067907EA" w14:textId="77777777" w:rsidR="00CE3A35" w:rsidRPr="00700F82" w:rsidRDefault="00CE3A35" w:rsidP="00C7460E">
      <w:pPr>
        <w:pStyle w:val="Definition"/>
      </w:pPr>
      <w:r w:rsidRPr="00700F82">
        <w:rPr>
          <w:b/>
          <w:i/>
        </w:rPr>
        <w:t>superannuation provider</w:t>
      </w:r>
      <w:r w:rsidRPr="00700F82">
        <w:t xml:space="preserve"> means:</w:t>
      </w:r>
    </w:p>
    <w:p w14:paraId="6C315686" w14:textId="77777777" w:rsidR="00CE3A35" w:rsidRPr="00700F82" w:rsidRDefault="00CE3A35" w:rsidP="00C7460E">
      <w:pPr>
        <w:pStyle w:val="paragraph"/>
      </w:pPr>
      <w:r w:rsidRPr="00700F82">
        <w:tab/>
        <w:t>(a)</w:t>
      </w:r>
      <w:r w:rsidRPr="00700F82">
        <w:tab/>
        <w:t>the trustee of a complying superannuation fund; or</w:t>
      </w:r>
    </w:p>
    <w:p w14:paraId="3BD14D90" w14:textId="77777777" w:rsidR="00CE3A35" w:rsidRPr="00700F82" w:rsidRDefault="00CE3A35" w:rsidP="00C7460E">
      <w:pPr>
        <w:pStyle w:val="paragraph"/>
      </w:pPr>
      <w:r w:rsidRPr="00700F82">
        <w:tab/>
        <w:t>(b)</w:t>
      </w:r>
      <w:r w:rsidRPr="00700F82">
        <w:tab/>
        <w:t>the provider of an RSA; or</w:t>
      </w:r>
    </w:p>
    <w:p w14:paraId="679962F4" w14:textId="77777777" w:rsidR="00CE3A35" w:rsidRPr="00700F82" w:rsidRDefault="00CE3A35" w:rsidP="00C7460E">
      <w:pPr>
        <w:pStyle w:val="paragraph"/>
      </w:pPr>
      <w:r w:rsidRPr="00700F82">
        <w:tab/>
        <w:t>(c)</w:t>
      </w:r>
      <w:r w:rsidRPr="00700F82">
        <w:tab/>
        <w:t>the trustee of a constitutionally protected fund.</w:t>
      </w:r>
    </w:p>
    <w:p w14:paraId="02761C16" w14:textId="77777777" w:rsidR="000855F8" w:rsidRPr="00700F82" w:rsidRDefault="000855F8" w:rsidP="00C7460E">
      <w:pPr>
        <w:pStyle w:val="Definition"/>
      </w:pPr>
      <w:r w:rsidRPr="00700F82">
        <w:rPr>
          <w:b/>
          <w:i/>
        </w:rPr>
        <w:t>taxation officer</w:t>
      </w:r>
      <w:r w:rsidRPr="00700F82">
        <w:t xml:space="preserve"> </w:t>
      </w:r>
      <w:r w:rsidR="00EC5DDD" w:rsidRPr="00700F82">
        <w:t>means a person who is a taxation officer within the meaning of subsection 355</w:t>
      </w:r>
      <w:r w:rsidR="00700F82">
        <w:noBreakHyphen/>
      </w:r>
      <w:r w:rsidR="00EC5DDD" w:rsidRPr="00700F82">
        <w:t xml:space="preserve">30(2) in Schedule 1 to the </w:t>
      </w:r>
      <w:r w:rsidR="00EC5DDD" w:rsidRPr="00700F82">
        <w:rPr>
          <w:i/>
        </w:rPr>
        <w:t>Taxation Administration Act 1953</w:t>
      </w:r>
      <w:r w:rsidRPr="00700F82">
        <w:t>.</w:t>
      </w:r>
    </w:p>
    <w:p w14:paraId="08202B9F" w14:textId="77777777" w:rsidR="00DD529F" w:rsidRPr="00700F82" w:rsidRDefault="00DD529F" w:rsidP="00C7460E">
      <w:pPr>
        <w:pStyle w:val="Definition"/>
      </w:pPr>
      <w:r w:rsidRPr="00700F82">
        <w:rPr>
          <w:b/>
          <w:i/>
        </w:rPr>
        <w:t>trustee</w:t>
      </w:r>
      <w:r w:rsidRPr="00700F82">
        <w:t xml:space="preserve"> of a superannuation fund, or constitutionally protected fund, means:</w:t>
      </w:r>
    </w:p>
    <w:p w14:paraId="55362C02" w14:textId="77777777" w:rsidR="00DD529F" w:rsidRPr="00700F82" w:rsidRDefault="00DD529F" w:rsidP="00C7460E">
      <w:pPr>
        <w:pStyle w:val="paragraph"/>
      </w:pPr>
      <w:r w:rsidRPr="00700F82">
        <w:tab/>
        <w:t>(a)</w:t>
      </w:r>
      <w:r w:rsidRPr="00700F82">
        <w:tab/>
        <w:t>if there is a trustee (within the ordinary meaning of that expression) of the fund—the trustee; or</w:t>
      </w:r>
    </w:p>
    <w:p w14:paraId="1A4330DF" w14:textId="77777777" w:rsidR="00DD529F" w:rsidRPr="00700F82" w:rsidRDefault="00DD529F" w:rsidP="00C7460E">
      <w:pPr>
        <w:pStyle w:val="paragraph"/>
      </w:pPr>
      <w:r w:rsidRPr="00700F82">
        <w:tab/>
        <w:t>(b)</w:t>
      </w:r>
      <w:r w:rsidRPr="00700F82">
        <w:tab/>
        <w:t>otherwise—the person who manages the fund.</w:t>
      </w:r>
    </w:p>
    <w:p w14:paraId="1EB691A3" w14:textId="77777777" w:rsidR="00FF5346" w:rsidRPr="00700F82" w:rsidRDefault="00DD529F" w:rsidP="00C7460E">
      <w:pPr>
        <w:pStyle w:val="Definition"/>
      </w:pPr>
      <w:r w:rsidRPr="00700F82">
        <w:rPr>
          <w:b/>
          <w:i/>
        </w:rPr>
        <w:t>underpaid amount</w:t>
      </w:r>
      <w:r w:rsidRPr="00700F82">
        <w:t xml:space="preserve"> of a PPL superannuation contribution has the meaning given by subsection</w:t>
      </w:r>
      <w:r w:rsidR="001D0859" w:rsidRPr="00700F82">
        <w:t xml:space="preserve"> </w:t>
      </w:r>
      <w:r w:rsidRPr="00700F82">
        <w:t>115</w:t>
      </w:r>
      <w:r w:rsidR="00F1687A" w:rsidRPr="00700F82">
        <w:t>K</w:t>
      </w:r>
      <w:r w:rsidRPr="00700F82">
        <w:t>(2).</w:t>
      </w:r>
    </w:p>
    <w:p w14:paraId="5CFDDDA6" w14:textId="77777777" w:rsidR="004F4EB1" w:rsidRPr="00700F82" w:rsidRDefault="00896A03" w:rsidP="00C7460E">
      <w:pPr>
        <w:pStyle w:val="ItemHead"/>
      </w:pPr>
      <w:r w:rsidRPr="00700F82">
        <w:t>5</w:t>
      </w:r>
      <w:r w:rsidR="00C00BCF" w:rsidRPr="00700F82">
        <w:t xml:space="preserve">  </w:t>
      </w:r>
      <w:r w:rsidR="004F13F4" w:rsidRPr="00700F82">
        <w:t xml:space="preserve">After </w:t>
      </w:r>
      <w:r w:rsidR="00AE56E0" w:rsidRPr="00700F82">
        <w:t>Chapter 3</w:t>
      </w:r>
    </w:p>
    <w:p w14:paraId="122D156E" w14:textId="77777777" w:rsidR="004F13F4" w:rsidRPr="00700F82" w:rsidRDefault="004F13F4" w:rsidP="00C7460E">
      <w:pPr>
        <w:pStyle w:val="Item"/>
      </w:pPr>
      <w:r w:rsidRPr="00700F82">
        <w:t>Insert:</w:t>
      </w:r>
    </w:p>
    <w:p w14:paraId="669BD48E" w14:textId="77777777" w:rsidR="004F13F4" w:rsidRPr="00700F82" w:rsidRDefault="00AE56E0" w:rsidP="00C7460E">
      <w:pPr>
        <w:pStyle w:val="ActHead1"/>
      </w:pPr>
      <w:bookmarkStart w:id="8" w:name="_Toc178780356"/>
      <w:r w:rsidRPr="00700F82">
        <w:rPr>
          <w:rStyle w:val="CharChapNo"/>
        </w:rPr>
        <w:lastRenderedPageBreak/>
        <w:t>Chapter 3</w:t>
      </w:r>
      <w:r w:rsidR="004F13F4" w:rsidRPr="00700F82">
        <w:rPr>
          <w:rStyle w:val="CharChapNo"/>
        </w:rPr>
        <w:t>A</w:t>
      </w:r>
      <w:r w:rsidR="004F13F4" w:rsidRPr="00700F82">
        <w:t>—</w:t>
      </w:r>
      <w:r w:rsidR="00705CE3" w:rsidRPr="00700F82">
        <w:rPr>
          <w:rStyle w:val="CharChapText"/>
        </w:rPr>
        <w:t>Paid Parental Leave Superannuation Contributions</w:t>
      </w:r>
      <w:bookmarkEnd w:id="8"/>
    </w:p>
    <w:p w14:paraId="03364340" w14:textId="77777777" w:rsidR="001633B2" w:rsidRPr="00700F82" w:rsidRDefault="00AE56E0" w:rsidP="00C7460E">
      <w:pPr>
        <w:pStyle w:val="ActHead2"/>
      </w:pPr>
      <w:bookmarkStart w:id="9" w:name="_Toc178780357"/>
      <w:r w:rsidRPr="00700F82">
        <w:rPr>
          <w:rStyle w:val="CharPartNo"/>
        </w:rPr>
        <w:t>Part 1</w:t>
      </w:r>
      <w:r w:rsidR="00556B76" w:rsidRPr="00700F82">
        <w:t>—</w:t>
      </w:r>
      <w:r w:rsidR="006D4DC1" w:rsidRPr="00700F82">
        <w:rPr>
          <w:rStyle w:val="CharPartText"/>
        </w:rPr>
        <w:t>Payability</w:t>
      </w:r>
      <w:r w:rsidR="00747C2B" w:rsidRPr="00700F82">
        <w:rPr>
          <w:rStyle w:val="CharPartText"/>
        </w:rPr>
        <w:t xml:space="preserve"> and amount</w:t>
      </w:r>
      <w:r w:rsidR="00E36AF5" w:rsidRPr="00700F82">
        <w:rPr>
          <w:rStyle w:val="CharPartText"/>
        </w:rPr>
        <w:t xml:space="preserve"> </w:t>
      </w:r>
      <w:r w:rsidR="00A32032" w:rsidRPr="00700F82">
        <w:rPr>
          <w:rStyle w:val="CharPartText"/>
        </w:rPr>
        <w:t>of</w:t>
      </w:r>
      <w:r w:rsidR="00556B76" w:rsidRPr="00700F82">
        <w:rPr>
          <w:rStyle w:val="CharPartText"/>
        </w:rPr>
        <w:t xml:space="preserve"> </w:t>
      </w:r>
      <w:r w:rsidR="006629DF" w:rsidRPr="00700F82">
        <w:rPr>
          <w:rStyle w:val="CharPartText"/>
        </w:rPr>
        <w:t xml:space="preserve">PPL </w:t>
      </w:r>
      <w:r w:rsidR="00556B76" w:rsidRPr="00700F82">
        <w:rPr>
          <w:rStyle w:val="CharPartText"/>
        </w:rPr>
        <w:t>superannuation contribution</w:t>
      </w:r>
      <w:bookmarkEnd w:id="9"/>
    </w:p>
    <w:p w14:paraId="53BEA4CC" w14:textId="77777777" w:rsidR="006D08BF" w:rsidRPr="00700F82" w:rsidRDefault="00AE56E0" w:rsidP="00C7460E">
      <w:pPr>
        <w:pStyle w:val="ActHead3"/>
      </w:pPr>
      <w:bookmarkStart w:id="10" w:name="_Toc178780358"/>
      <w:r w:rsidRPr="00700F82">
        <w:rPr>
          <w:rStyle w:val="CharDivNo"/>
        </w:rPr>
        <w:t>Division 1</w:t>
      </w:r>
      <w:r w:rsidR="006D08BF" w:rsidRPr="00700F82">
        <w:t>—</w:t>
      </w:r>
      <w:r w:rsidR="006D08BF" w:rsidRPr="00700F82">
        <w:rPr>
          <w:rStyle w:val="CharDivText"/>
        </w:rPr>
        <w:t>Guide to this Part</w:t>
      </w:r>
      <w:bookmarkEnd w:id="10"/>
    </w:p>
    <w:p w14:paraId="53C508F1" w14:textId="77777777" w:rsidR="000F1447" w:rsidRPr="00700F82" w:rsidRDefault="000F1447" w:rsidP="00C7460E">
      <w:pPr>
        <w:pStyle w:val="ActHead5"/>
      </w:pPr>
      <w:bookmarkStart w:id="11" w:name="_Toc178780359"/>
      <w:r w:rsidRPr="00700F82">
        <w:rPr>
          <w:rStyle w:val="CharSectno"/>
        </w:rPr>
        <w:t>115A</w:t>
      </w:r>
      <w:r w:rsidRPr="00700F82">
        <w:t xml:space="preserve">  Guide to this Part</w:t>
      </w:r>
      <w:bookmarkEnd w:id="11"/>
    </w:p>
    <w:p w14:paraId="48F4E66F" w14:textId="77777777" w:rsidR="006D08BF" w:rsidRPr="00700F82" w:rsidRDefault="00F31987" w:rsidP="00C7460E">
      <w:pPr>
        <w:pStyle w:val="SOText"/>
      </w:pPr>
      <w:r w:rsidRPr="00700F82">
        <w:t xml:space="preserve">A person is eligible for a PPL superannuation contribution for an income year if the Secretary </w:t>
      </w:r>
      <w:r w:rsidR="004B4F31" w:rsidRPr="00700F82">
        <w:t xml:space="preserve">pays </w:t>
      </w:r>
      <w:r w:rsidR="00D26A9B" w:rsidRPr="00700F82">
        <w:t>one or more</w:t>
      </w:r>
      <w:r w:rsidR="004B4F31" w:rsidRPr="00700F82">
        <w:t xml:space="preserve"> PPL funding amount</w:t>
      </w:r>
      <w:r w:rsidR="00D26A9B" w:rsidRPr="00700F82">
        <w:t>s</w:t>
      </w:r>
      <w:r w:rsidR="004B4F31" w:rsidRPr="00700F82">
        <w:t xml:space="preserve"> or instalment</w:t>
      </w:r>
      <w:r w:rsidR="00D26A9B" w:rsidRPr="00700F82">
        <w:t>s</w:t>
      </w:r>
      <w:r w:rsidR="004B4F31" w:rsidRPr="00700F82">
        <w:t xml:space="preserve"> for the person during the income year.</w:t>
      </w:r>
    </w:p>
    <w:p w14:paraId="763904D7" w14:textId="77777777" w:rsidR="004B4F31" w:rsidRPr="00700F82" w:rsidRDefault="007C2F7A" w:rsidP="00C7460E">
      <w:pPr>
        <w:pStyle w:val="SOText"/>
      </w:pPr>
      <w:r w:rsidRPr="00700F82">
        <w:t xml:space="preserve">The Commissioner of Taxation works out the amount of the </w:t>
      </w:r>
      <w:r w:rsidR="00A801CE" w:rsidRPr="00700F82">
        <w:t>P</w:t>
      </w:r>
      <w:r w:rsidRPr="00700F82">
        <w:t xml:space="preserve">PL superannuation contribution </w:t>
      </w:r>
      <w:r w:rsidR="004B4F31" w:rsidRPr="00700F82">
        <w:t xml:space="preserve">on the basis of the sum of all PPL funding amounts </w:t>
      </w:r>
      <w:r w:rsidR="00FC2AD7" w:rsidRPr="00700F82">
        <w:t>and instalments paid for the person during the income year multiplied by the SG charge percentage. An interest component is then added</w:t>
      </w:r>
      <w:r w:rsidR="00622691" w:rsidRPr="00700F82">
        <w:t xml:space="preserve"> to the amount of the contribution to account for the PPL superannuation contribution being paid at a later time than the PPL funding amounts or instalments.</w:t>
      </w:r>
    </w:p>
    <w:p w14:paraId="047BA81E" w14:textId="77777777" w:rsidR="003E5E99" w:rsidRPr="00700F82" w:rsidRDefault="00AE56E0" w:rsidP="00C7460E">
      <w:pPr>
        <w:pStyle w:val="ActHead3"/>
      </w:pPr>
      <w:bookmarkStart w:id="12" w:name="_Toc178780360"/>
      <w:r w:rsidRPr="00700F82">
        <w:rPr>
          <w:rStyle w:val="CharDivNo"/>
        </w:rPr>
        <w:t>Division 2</w:t>
      </w:r>
      <w:r w:rsidR="003E5E99" w:rsidRPr="00700F82">
        <w:t>—</w:t>
      </w:r>
      <w:r w:rsidR="00AE3A47" w:rsidRPr="00700F82">
        <w:rPr>
          <w:rStyle w:val="CharDivText"/>
        </w:rPr>
        <w:t>Payability</w:t>
      </w:r>
      <w:r w:rsidR="00A32032" w:rsidRPr="00700F82">
        <w:rPr>
          <w:rStyle w:val="CharDivText"/>
        </w:rPr>
        <w:t xml:space="preserve"> and amount of PPL superannuation contribution</w:t>
      </w:r>
      <w:bookmarkEnd w:id="12"/>
    </w:p>
    <w:p w14:paraId="16ED2BB1" w14:textId="77777777" w:rsidR="003E5E99" w:rsidRPr="00700F82" w:rsidRDefault="00800BB9" w:rsidP="00C7460E">
      <w:pPr>
        <w:pStyle w:val="ActHead5"/>
      </w:pPr>
      <w:bookmarkStart w:id="13" w:name="_Toc178780361"/>
      <w:r w:rsidRPr="00700F82">
        <w:rPr>
          <w:rStyle w:val="CharSectno"/>
        </w:rPr>
        <w:t>115</w:t>
      </w:r>
      <w:r w:rsidR="00F1687A" w:rsidRPr="00700F82">
        <w:rPr>
          <w:rStyle w:val="CharSectno"/>
        </w:rPr>
        <w:t>B</w:t>
      </w:r>
      <w:r w:rsidR="0034522A" w:rsidRPr="00700F82">
        <w:t xml:space="preserve">  Person for whom </w:t>
      </w:r>
      <w:r w:rsidR="006629DF" w:rsidRPr="00700F82">
        <w:t xml:space="preserve">PPL </w:t>
      </w:r>
      <w:r w:rsidR="0034522A" w:rsidRPr="00700F82">
        <w:t>superannuation contribution payable</w:t>
      </w:r>
      <w:bookmarkEnd w:id="13"/>
    </w:p>
    <w:p w14:paraId="23B1DFE6" w14:textId="77777777" w:rsidR="005E2CD1" w:rsidRPr="00700F82" w:rsidRDefault="0034522A" w:rsidP="00C7460E">
      <w:pPr>
        <w:pStyle w:val="subsection"/>
      </w:pPr>
      <w:r w:rsidRPr="00700F82">
        <w:tab/>
      </w:r>
      <w:r w:rsidR="002F2D43" w:rsidRPr="00700F82">
        <w:t>(1)</w:t>
      </w:r>
      <w:r w:rsidRPr="00700F82">
        <w:tab/>
        <w:t xml:space="preserve">A </w:t>
      </w:r>
      <w:r w:rsidR="006629DF" w:rsidRPr="00700F82">
        <w:t xml:space="preserve">PPL </w:t>
      </w:r>
      <w:r w:rsidRPr="00700F82">
        <w:t xml:space="preserve">superannuation contribution is payable under this </w:t>
      </w:r>
      <w:r w:rsidR="00705CE3" w:rsidRPr="00700F82">
        <w:t xml:space="preserve">section </w:t>
      </w:r>
      <w:r w:rsidRPr="00700F82">
        <w:t xml:space="preserve">for a person for </w:t>
      </w:r>
      <w:r w:rsidR="00BC5F30" w:rsidRPr="00700F82">
        <w:t>an income</w:t>
      </w:r>
      <w:r w:rsidR="005C5B57" w:rsidRPr="00700F82">
        <w:t xml:space="preserve"> </w:t>
      </w:r>
      <w:r w:rsidRPr="00700F82">
        <w:t>year</w:t>
      </w:r>
      <w:r w:rsidR="00BC5F30" w:rsidRPr="00700F82">
        <w:t xml:space="preserve"> </w:t>
      </w:r>
      <w:r w:rsidRPr="00700F82">
        <w:t>if</w:t>
      </w:r>
      <w:r w:rsidR="000B2CB1" w:rsidRPr="00700F82">
        <w:t xml:space="preserve"> either or both of the following apply</w:t>
      </w:r>
      <w:r w:rsidR="005E2CD1" w:rsidRPr="00700F82">
        <w:t>:</w:t>
      </w:r>
    </w:p>
    <w:p w14:paraId="79E72FAD" w14:textId="77777777" w:rsidR="005C5B57" w:rsidRPr="00700F82" w:rsidRDefault="005E2CD1" w:rsidP="00C7460E">
      <w:pPr>
        <w:pStyle w:val="paragraph"/>
      </w:pPr>
      <w:r w:rsidRPr="00700F82">
        <w:tab/>
        <w:t>(a)</w:t>
      </w:r>
      <w:r w:rsidRPr="00700F82">
        <w:tab/>
        <w:t>a PPL funding amount</w:t>
      </w:r>
      <w:r w:rsidR="00DC5359" w:rsidRPr="00700F82">
        <w:t xml:space="preserve"> </w:t>
      </w:r>
      <w:r w:rsidR="00BE20CD" w:rsidRPr="00700F82">
        <w:t>relating to the person</w:t>
      </w:r>
      <w:r w:rsidR="00F82D3B" w:rsidRPr="00700F82">
        <w:t xml:space="preserve"> is paid</w:t>
      </w:r>
      <w:r w:rsidR="00865D47" w:rsidRPr="00700F82">
        <w:t xml:space="preserve"> under section 75</w:t>
      </w:r>
      <w:r w:rsidR="00F82D3B" w:rsidRPr="00700F82">
        <w:t xml:space="preserve"> </w:t>
      </w:r>
      <w:r w:rsidR="00355E90" w:rsidRPr="00700F82">
        <w:t xml:space="preserve">in the </w:t>
      </w:r>
      <w:r w:rsidR="00BC5F30" w:rsidRPr="00700F82">
        <w:t>income</w:t>
      </w:r>
      <w:r w:rsidR="00355E90" w:rsidRPr="00700F82">
        <w:t xml:space="preserve"> year </w:t>
      </w:r>
      <w:r w:rsidR="00F82D3B" w:rsidRPr="00700F82">
        <w:t xml:space="preserve">by the </w:t>
      </w:r>
      <w:r w:rsidR="0096095A" w:rsidRPr="00700F82">
        <w:t>S</w:t>
      </w:r>
      <w:r w:rsidR="00F82D3B" w:rsidRPr="00700F82">
        <w:t xml:space="preserve">ecretary </w:t>
      </w:r>
      <w:r w:rsidR="00E40948" w:rsidRPr="00700F82">
        <w:t xml:space="preserve">to </w:t>
      </w:r>
      <w:r w:rsidR="00DC5359" w:rsidRPr="00700F82">
        <w:t>an employer of the person</w:t>
      </w:r>
      <w:r w:rsidR="00E40948" w:rsidRPr="00700F82">
        <w:t>;</w:t>
      </w:r>
    </w:p>
    <w:p w14:paraId="351CF7BC" w14:textId="77777777" w:rsidR="000C7B8D" w:rsidRPr="00700F82" w:rsidRDefault="00E40948" w:rsidP="00C7460E">
      <w:pPr>
        <w:pStyle w:val="paragraph"/>
      </w:pPr>
      <w:r w:rsidRPr="00700F82">
        <w:tab/>
        <w:t>(b)</w:t>
      </w:r>
      <w:r w:rsidRPr="00700F82">
        <w:tab/>
      </w:r>
      <w:r w:rsidR="00F27BEF" w:rsidRPr="00700F82">
        <w:t xml:space="preserve">an instalment </w:t>
      </w:r>
      <w:r w:rsidR="00355E90" w:rsidRPr="00700F82">
        <w:t>is</w:t>
      </w:r>
      <w:r w:rsidR="000C7B8D" w:rsidRPr="00700F82">
        <w:t xml:space="preserve"> both:</w:t>
      </w:r>
    </w:p>
    <w:p w14:paraId="3358B2C0" w14:textId="77777777" w:rsidR="000C7B8D" w:rsidRPr="00700F82" w:rsidRDefault="000C7B8D" w:rsidP="00C7460E">
      <w:pPr>
        <w:pStyle w:val="paragraphsub"/>
      </w:pPr>
      <w:r w:rsidRPr="00700F82">
        <w:tab/>
        <w:t>(</w:t>
      </w:r>
      <w:r w:rsidR="004D1D60" w:rsidRPr="00700F82">
        <w:t>i</w:t>
      </w:r>
      <w:r w:rsidRPr="00700F82">
        <w:t>)</w:t>
      </w:r>
      <w:r w:rsidRPr="00700F82">
        <w:tab/>
        <w:t>payable</w:t>
      </w:r>
      <w:r w:rsidR="00CD27AD" w:rsidRPr="00700F82">
        <w:t xml:space="preserve"> to the </w:t>
      </w:r>
      <w:r w:rsidR="004D1D60" w:rsidRPr="00700F82">
        <w:t xml:space="preserve">person under </w:t>
      </w:r>
      <w:r w:rsidR="00AE56E0" w:rsidRPr="00700F82">
        <w:t>section 6</w:t>
      </w:r>
      <w:r w:rsidR="004D1D60" w:rsidRPr="00700F82">
        <w:t>3; and</w:t>
      </w:r>
    </w:p>
    <w:p w14:paraId="6CCE4637" w14:textId="77777777" w:rsidR="00E40948" w:rsidRPr="00700F82" w:rsidRDefault="004D1D60" w:rsidP="00C7460E">
      <w:pPr>
        <w:pStyle w:val="paragraphsub"/>
      </w:pPr>
      <w:r w:rsidRPr="00700F82">
        <w:lastRenderedPageBreak/>
        <w:tab/>
        <w:t>(ii)</w:t>
      </w:r>
      <w:r w:rsidRPr="00700F82">
        <w:tab/>
      </w:r>
      <w:r w:rsidR="00355E90" w:rsidRPr="00700F82">
        <w:t>paid</w:t>
      </w:r>
      <w:r w:rsidR="00865D47" w:rsidRPr="00700F82">
        <w:t xml:space="preserve"> under section 84</w:t>
      </w:r>
      <w:r w:rsidR="00355E90" w:rsidRPr="00700F82">
        <w:t xml:space="preserve"> in the </w:t>
      </w:r>
      <w:r w:rsidR="00BC5F30" w:rsidRPr="00700F82">
        <w:t>income</w:t>
      </w:r>
      <w:r w:rsidR="00355E90" w:rsidRPr="00700F82">
        <w:t xml:space="preserve"> year by the Secretary </w:t>
      </w:r>
      <w:r w:rsidR="00F27BEF" w:rsidRPr="00700F82">
        <w:t>to the person</w:t>
      </w:r>
      <w:r w:rsidR="00A77AAF" w:rsidRPr="00700F82">
        <w:t>.</w:t>
      </w:r>
    </w:p>
    <w:p w14:paraId="40689D59" w14:textId="77777777" w:rsidR="00A77AAF" w:rsidRPr="00700F82" w:rsidRDefault="00A77AAF" w:rsidP="00C7460E">
      <w:pPr>
        <w:pStyle w:val="subsection"/>
      </w:pPr>
      <w:r w:rsidRPr="00700F82">
        <w:tab/>
        <w:t>(2)</w:t>
      </w:r>
      <w:r w:rsidRPr="00700F82">
        <w:tab/>
        <w:t xml:space="preserve">For the purposes of </w:t>
      </w:r>
      <w:r w:rsidR="00AE56E0" w:rsidRPr="00700F82">
        <w:t>paragraph (</w:t>
      </w:r>
      <w:r w:rsidRPr="00700F82">
        <w:t xml:space="preserve">1)(a), disregard any </w:t>
      </w:r>
      <w:r w:rsidR="00E82B49" w:rsidRPr="00700F82">
        <w:t xml:space="preserve">amount of a PPL funding amount that is a </w:t>
      </w:r>
      <w:r w:rsidR="009128CB" w:rsidRPr="00700F82">
        <w:t xml:space="preserve">debt due to the Commonwealth under </w:t>
      </w:r>
      <w:r w:rsidR="00AE56E0" w:rsidRPr="00700F82">
        <w:t>subsection 1</w:t>
      </w:r>
      <w:r w:rsidR="009128CB" w:rsidRPr="00700F82">
        <w:t>68</w:t>
      </w:r>
      <w:r w:rsidR="00E82B49" w:rsidRPr="00700F82">
        <w:t>(2).</w:t>
      </w:r>
    </w:p>
    <w:p w14:paraId="0869326E" w14:textId="77777777" w:rsidR="003D1E1A" w:rsidRPr="00700F82" w:rsidRDefault="00800BB9" w:rsidP="00C7460E">
      <w:pPr>
        <w:pStyle w:val="ActHead5"/>
      </w:pPr>
      <w:bookmarkStart w:id="14" w:name="_Toc178780362"/>
      <w:r w:rsidRPr="00700F82">
        <w:rPr>
          <w:rStyle w:val="CharSectno"/>
        </w:rPr>
        <w:t>115</w:t>
      </w:r>
      <w:r w:rsidR="00F1687A" w:rsidRPr="00700F82">
        <w:rPr>
          <w:rStyle w:val="CharSectno"/>
        </w:rPr>
        <w:t>C</w:t>
      </w:r>
      <w:r w:rsidR="003D1E1A" w:rsidRPr="00700F82">
        <w:t xml:space="preserve">  Amount of </w:t>
      </w:r>
      <w:r w:rsidR="00545E27" w:rsidRPr="00700F82">
        <w:t xml:space="preserve">PPL </w:t>
      </w:r>
      <w:r w:rsidR="003D1E1A" w:rsidRPr="00700F82">
        <w:t>superannuation contribution</w:t>
      </w:r>
      <w:bookmarkEnd w:id="14"/>
    </w:p>
    <w:p w14:paraId="46C06A4C" w14:textId="77777777" w:rsidR="00E10FE2" w:rsidRPr="00700F82" w:rsidRDefault="003D1E1A" w:rsidP="00C7460E">
      <w:pPr>
        <w:pStyle w:val="subsection"/>
      </w:pPr>
      <w:r w:rsidRPr="00700F82">
        <w:tab/>
      </w:r>
      <w:r w:rsidR="006925B0" w:rsidRPr="00700F82">
        <w:t>(1)</w:t>
      </w:r>
      <w:r w:rsidRPr="00700F82">
        <w:tab/>
        <w:t xml:space="preserve">The amount of a </w:t>
      </w:r>
      <w:r w:rsidR="0079430D" w:rsidRPr="00700F82">
        <w:t xml:space="preserve">PPL </w:t>
      </w:r>
      <w:r w:rsidRPr="00700F82">
        <w:t xml:space="preserve">superannuation contribution </w:t>
      </w:r>
      <w:r w:rsidR="008B40ED" w:rsidRPr="00700F82">
        <w:t>payable</w:t>
      </w:r>
      <w:r w:rsidR="00495CF3" w:rsidRPr="00700F82">
        <w:t xml:space="preserve"> under </w:t>
      </w:r>
      <w:r w:rsidR="00705907" w:rsidRPr="00700F82">
        <w:t>section</w:t>
      </w:r>
      <w:r w:rsidR="001D0859" w:rsidRPr="00700F82">
        <w:t xml:space="preserve"> </w:t>
      </w:r>
      <w:r w:rsidR="00705907" w:rsidRPr="00700F82">
        <w:t>1</w:t>
      </w:r>
      <w:r w:rsidR="00495CF3" w:rsidRPr="00700F82">
        <w:t>15</w:t>
      </w:r>
      <w:r w:rsidR="00F1687A" w:rsidRPr="00700F82">
        <w:t>B</w:t>
      </w:r>
      <w:r w:rsidR="008B40ED" w:rsidRPr="00700F82">
        <w:t xml:space="preserve"> </w:t>
      </w:r>
      <w:r w:rsidRPr="00700F82">
        <w:t>for a person</w:t>
      </w:r>
      <w:r w:rsidR="00344FD7" w:rsidRPr="00700F82">
        <w:t xml:space="preserve"> </w:t>
      </w:r>
      <w:r w:rsidRPr="00700F82">
        <w:t xml:space="preserve">for </w:t>
      </w:r>
      <w:r w:rsidR="000855F8" w:rsidRPr="00700F82">
        <w:t>an income</w:t>
      </w:r>
      <w:r w:rsidRPr="00700F82">
        <w:t xml:space="preserve"> year </w:t>
      </w:r>
      <w:r w:rsidR="008B40ED" w:rsidRPr="00700F82">
        <w:t>i</w:t>
      </w:r>
      <w:r w:rsidR="00E10FE2" w:rsidRPr="00700F82">
        <w:t>s the sum of the following:</w:t>
      </w:r>
    </w:p>
    <w:p w14:paraId="5EBAB242" w14:textId="77777777" w:rsidR="008B40ED" w:rsidRPr="00700F82" w:rsidRDefault="008B40ED" w:rsidP="00C7460E">
      <w:pPr>
        <w:pStyle w:val="paragraph"/>
      </w:pPr>
      <w:r w:rsidRPr="00700F82">
        <w:tab/>
        <w:t>(a)</w:t>
      </w:r>
      <w:r w:rsidRPr="00700F82">
        <w:tab/>
      </w:r>
      <w:r w:rsidR="004E24C1" w:rsidRPr="00700F82">
        <w:t>the base contribution for the person</w:t>
      </w:r>
      <w:r w:rsidR="00A7296B" w:rsidRPr="00700F82">
        <w:t xml:space="preserve"> </w:t>
      </w:r>
      <w:r w:rsidR="004E24C1" w:rsidRPr="00700F82">
        <w:t>for the year</w:t>
      </w:r>
      <w:r w:rsidR="00A73B71" w:rsidRPr="00700F82">
        <w:t xml:space="preserve"> multiplied by the SG charge percentage for that year;</w:t>
      </w:r>
    </w:p>
    <w:p w14:paraId="3B558736" w14:textId="77777777" w:rsidR="009240D1" w:rsidRPr="00700F82" w:rsidRDefault="008B40ED" w:rsidP="00C7460E">
      <w:pPr>
        <w:pStyle w:val="paragraph"/>
      </w:pPr>
      <w:r w:rsidRPr="00700F82">
        <w:tab/>
        <w:t>(b)</w:t>
      </w:r>
      <w:r w:rsidRPr="00700F82">
        <w:tab/>
        <w:t xml:space="preserve">the </w:t>
      </w:r>
      <w:r w:rsidR="006925B0" w:rsidRPr="00700F82">
        <w:t xml:space="preserve">nominal interest rate </w:t>
      </w:r>
      <w:r w:rsidR="004E24C1" w:rsidRPr="00700F82">
        <w:t>amount</w:t>
      </w:r>
      <w:r w:rsidR="006A3BE7" w:rsidRPr="00700F82">
        <w:t xml:space="preserve"> for the person for the year</w:t>
      </w:r>
      <w:r w:rsidR="004E24C1" w:rsidRPr="00700F82">
        <w:t>.</w:t>
      </w:r>
    </w:p>
    <w:p w14:paraId="5B30F869" w14:textId="77777777" w:rsidR="009E6456" w:rsidRPr="00700F82" w:rsidRDefault="004E24C1" w:rsidP="00C7460E">
      <w:pPr>
        <w:pStyle w:val="subsection"/>
      </w:pPr>
      <w:r w:rsidRPr="00700F82">
        <w:tab/>
        <w:t>(2)</w:t>
      </w:r>
      <w:r w:rsidRPr="00700F82">
        <w:tab/>
        <w:t xml:space="preserve">The </w:t>
      </w:r>
      <w:r w:rsidRPr="00700F82">
        <w:rPr>
          <w:b/>
          <w:i/>
        </w:rPr>
        <w:t xml:space="preserve">base </w:t>
      </w:r>
      <w:r w:rsidR="007C040B" w:rsidRPr="00700F82">
        <w:rPr>
          <w:b/>
          <w:i/>
        </w:rPr>
        <w:t>contribution</w:t>
      </w:r>
      <w:r w:rsidRPr="00700F82">
        <w:rPr>
          <w:b/>
          <w:i/>
        </w:rPr>
        <w:t xml:space="preserve"> </w:t>
      </w:r>
      <w:r w:rsidRPr="00700F82">
        <w:t xml:space="preserve">for </w:t>
      </w:r>
      <w:r w:rsidR="007C040B" w:rsidRPr="00700F82">
        <w:t>a</w:t>
      </w:r>
      <w:r w:rsidRPr="00700F82">
        <w:t xml:space="preserve"> person</w:t>
      </w:r>
      <w:r w:rsidR="00A7296B" w:rsidRPr="00700F82">
        <w:t xml:space="preserve"> </w:t>
      </w:r>
      <w:r w:rsidRPr="00700F82">
        <w:t xml:space="preserve">for </w:t>
      </w:r>
      <w:r w:rsidR="00230589" w:rsidRPr="00700F82">
        <w:t>an income year</w:t>
      </w:r>
      <w:r w:rsidRPr="00700F82">
        <w:t xml:space="preserve"> </w:t>
      </w:r>
      <w:r w:rsidR="009E6456" w:rsidRPr="00700F82">
        <w:t>is</w:t>
      </w:r>
      <w:r w:rsidR="00230589" w:rsidRPr="00700F82">
        <w:t xml:space="preserve"> the sum of the following</w:t>
      </w:r>
      <w:r w:rsidR="009E6456" w:rsidRPr="00700F82">
        <w:t>:</w:t>
      </w:r>
    </w:p>
    <w:p w14:paraId="00B6AD2A" w14:textId="77777777" w:rsidR="009E6456" w:rsidRPr="00700F82" w:rsidRDefault="009E6456" w:rsidP="00C7460E">
      <w:pPr>
        <w:pStyle w:val="paragraph"/>
      </w:pPr>
      <w:r w:rsidRPr="00700F82">
        <w:tab/>
        <w:t>(a)</w:t>
      </w:r>
      <w:r w:rsidRPr="00700F82">
        <w:tab/>
      </w:r>
      <w:r w:rsidR="00D84ED9" w:rsidRPr="00700F82">
        <w:t>the</w:t>
      </w:r>
      <w:r w:rsidR="001B15A7" w:rsidRPr="00700F82">
        <w:t xml:space="preserve"> sum of all</w:t>
      </w:r>
      <w:r w:rsidR="00D84ED9" w:rsidRPr="00700F82">
        <w:t xml:space="preserve"> PPL funding amounts </w:t>
      </w:r>
      <w:r w:rsidR="00127EAA" w:rsidRPr="00700F82">
        <w:t xml:space="preserve">relating to the person </w:t>
      </w:r>
      <w:r w:rsidR="001B15A7" w:rsidRPr="00700F82">
        <w:t>paid</w:t>
      </w:r>
      <w:r w:rsidR="00021D6B" w:rsidRPr="00700F82">
        <w:t xml:space="preserve"> </w:t>
      </w:r>
      <w:r w:rsidR="00865D47" w:rsidRPr="00700F82">
        <w:t xml:space="preserve">under section 75 </w:t>
      </w:r>
      <w:r w:rsidR="00021D6B" w:rsidRPr="00700F82">
        <w:t xml:space="preserve">in the </w:t>
      </w:r>
      <w:r w:rsidR="00230589" w:rsidRPr="00700F82">
        <w:t xml:space="preserve">income </w:t>
      </w:r>
      <w:r w:rsidR="00021D6B" w:rsidRPr="00700F82">
        <w:t>year</w:t>
      </w:r>
      <w:r w:rsidR="00F60EAC" w:rsidRPr="00700F82">
        <w:t xml:space="preserve"> by the Secretary to an employer of the person</w:t>
      </w:r>
      <w:r w:rsidRPr="00700F82">
        <w:t>;</w:t>
      </w:r>
    </w:p>
    <w:p w14:paraId="7B1DCFA3" w14:textId="77777777" w:rsidR="00A12B15" w:rsidRPr="00700F82" w:rsidRDefault="009E6456" w:rsidP="00C7460E">
      <w:pPr>
        <w:pStyle w:val="paragraph"/>
      </w:pPr>
      <w:r w:rsidRPr="00700F82">
        <w:tab/>
        <w:t>(b)</w:t>
      </w:r>
      <w:r w:rsidRPr="00700F82">
        <w:tab/>
      </w:r>
      <w:r w:rsidR="00A32B50" w:rsidRPr="00700F82">
        <w:t xml:space="preserve">the sum of all instalments </w:t>
      </w:r>
      <w:r w:rsidR="00BC65C2" w:rsidRPr="00700F82">
        <w:t xml:space="preserve">(as increased (if any) under </w:t>
      </w:r>
      <w:r w:rsidR="00AD7F23" w:rsidRPr="00700F82">
        <w:t>subsection (</w:t>
      </w:r>
      <w:r w:rsidR="00BC65C2" w:rsidRPr="00700F82">
        <w:t xml:space="preserve">3)) </w:t>
      </w:r>
      <w:r w:rsidR="00A12B15" w:rsidRPr="00700F82">
        <w:t>to which both of the following apply:</w:t>
      </w:r>
    </w:p>
    <w:p w14:paraId="41B3A6F0" w14:textId="77777777" w:rsidR="00E36814" w:rsidRPr="00700F82" w:rsidRDefault="00A12B15" w:rsidP="00C7460E">
      <w:pPr>
        <w:pStyle w:val="paragraphsub"/>
      </w:pPr>
      <w:r w:rsidRPr="00700F82">
        <w:tab/>
        <w:t>(i)</w:t>
      </w:r>
      <w:r w:rsidRPr="00700F82">
        <w:tab/>
      </w:r>
      <w:r w:rsidR="00BC65C2" w:rsidRPr="00700F82">
        <w:t xml:space="preserve">the instalment </w:t>
      </w:r>
      <w:r w:rsidR="00E36814" w:rsidRPr="00700F82">
        <w:t xml:space="preserve">is payable to the person under </w:t>
      </w:r>
      <w:r w:rsidR="00AE56E0" w:rsidRPr="00700F82">
        <w:t>section 6</w:t>
      </w:r>
      <w:r w:rsidR="00E36814" w:rsidRPr="00700F82">
        <w:t>3;</w:t>
      </w:r>
    </w:p>
    <w:p w14:paraId="24181AD5" w14:textId="77777777" w:rsidR="000E4530" w:rsidRPr="00700F82" w:rsidRDefault="00E36814" w:rsidP="00C7460E">
      <w:pPr>
        <w:pStyle w:val="paragraphsub"/>
      </w:pPr>
      <w:r w:rsidRPr="00700F82">
        <w:tab/>
        <w:t>(ii)</w:t>
      </w:r>
      <w:r w:rsidRPr="00700F82">
        <w:tab/>
      </w:r>
      <w:r w:rsidR="00BC65C2" w:rsidRPr="00700F82">
        <w:t xml:space="preserve">the instalment </w:t>
      </w:r>
      <w:r w:rsidRPr="00700F82">
        <w:t xml:space="preserve">is </w:t>
      </w:r>
      <w:r w:rsidR="00A32B50" w:rsidRPr="00700F82">
        <w:t>paid</w:t>
      </w:r>
      <w:r w:rsidR="00021D6B" w:rsidRPr="00700F82">
        <w:t xml:space="preserve"> </w:t>
      </w:r>
      <w:r w:rsidR="00865D47" w:rsidRPr="00700F82">
        <w:t xml:space="preserve">under section 84 </w:t>
      </w:r>
      <w:r w:rsidR="00021D6B" w:rsidRPr="00700F82">
        <w:t xml:space="preserve">in the </w:t>
      </w:r>
      <w:r w:rsidR="00B721C9" w:rsidRPr="00700F82">
        <w:t>income</w:t>
      </w:r>
      <w:r w:rsidR="00021D6B" w:rsidRPr="00700F82">
        <w:t xml:space="preserve"> year</w:t>
      </w:r>
      <w:r w:rsidR="00A32B50" w:rsidRPr="00700F82">
        <w:t xml:space="preserve"> by the Secretary </w:t>
      </w:r>
      <w:r w:rsidR="009A4F65" w:rsidRPr="00700F82">
        <w:t>to the person</w:t>
      </w:r>
      <w:r w:rsidR="009E6456" w:rsidRPr="00700F82">
        <w:t>.</w:t>
      </w:r>
    </w:p>
    <w:p w14:paraId="4BCA2875" w14:textId="77777777" w:rsidR="002119EF" w:rsidRPr="00700F82" w:rsidRDefault="002119EF" w:rsidP="00C7460E">
      <w:pPr>
        <w:pStyle w:val="subsection"/>
      </w:pPr>
      <w:r w:rsidRPr="00700F82">
        <w:tab/>
        <w:t>(3)</w:t>
      </w:r>
      <w:r w:rsidRPr="00700F82">
        <w:tab/>
      </w:r>
      <w:r w:rsidR="00844BA7" w:rsidRPr="00700F82">
        <w:t xml:space="preserve">If the Secretary has </w:t>
      </w:r>
      <w:r w:rsidR="002649C5" w:rsidRPr="00700F82">
        <w:t xml:space="preserve">made one or more deductions </w:t>
      </w:r>
      <w:r w:rsidR="002B01E7" w:rsidRPr="00700F82">
        <w:t xml:space="preserve">under any of </w:t>
      </w:r>
      <w:r w:rsidR="00705907" w:rsidRPr="00700F82">
        <w:t>sections 6</w:t>
      </w:r>
      <w:r w:rsidR="002B01E7" w:rsidRPr="00700F82">
        <w:t>7 to 69B</w:t>
      </w:r>
      <w:r w:rsidR="00133324" w:rsidRPr="00700F82">
        <w:t xml:space="preserve"> from an instalment referred to in </w:t>
      </w:r>
      <w:r w:rsidR="00AE56E0" w:rsidRPr="00700F82">
        <w:t>paragraph (</w:t>
      </w:r>
      <w:r w:rsidR="00133324" w:rsidRPr="00700F82">
        <w:t xml:space="preserve">2)(b), the </w:t>
      </w:r>
      <w:r w:rsidR="005A1DF9" w:rsidRPr="00700F82">
        <w:t xml:space="preserve">instalment is taken, for the purposes of that paragraph, to be increased </w:t>
      </w:r>
      <w:r w:rsidR="00CA759B" w:rsidRPr="00700F82">
        <w:t xml:space="preserve">by </w:t>
      </w:r>
      <w:r w:rsidR="002B01E7" w:rsidRPr="00700F82">
        <w:t xml:space="preserve">the </w:t>
      </w:r>
      <w:r w:rsidR="009E3461" w:rsidRPr="00700F82">
        <w:t xml:space="preserve">sum of </w:t>
      </w:r>
      <w:r w:rsidR="00790C82" w:rsidRPr="00700F82">
        <w:t>those deductions</w:t>
      </w:r>
      <w:r w:rsidR="00544B2B" w:rsidRPr="00700F82">
        <w:t>.</w:t>
      </w:r>
    </w:p>
    <w:p w14:paraId="257EEA7F" w14:textId="77777777" w:rsidR="005F05F5" w:rsidRPr="00700F82" w:rsidRDefault="005F05F5" w:rsidP="00C7460E">
      <w:pPr>
        <w:pStyle w:val="subsection"/>
      </w:pPr>
      <w:r w:rsidRPr="00700F82">
        <w:tab/>
        <w:t>(</w:t>
      </w:r>
      <w:r w:rsidR="00891CD5" w:rsidRPr="00700F82">
        <w:t>4</w:t>
      </w:r>
      <w:r w:rsidRPr="00700F82">
        <w:t>)</w:t>
      </w:r>
      <w:r w:rsidRPr="00700F82">
        <w:tab/>
        <w:t xml:space="preserve">The </w:t>
      </w:r>
      <w:r w:rsidRPr="00700F82">
        <w:rPr>
          <w:b/>
          <w:i/>
        </w:rPr>
        <w:t>SG charge percentage</w:t>
      </w:r>
      <w:r w:rsidRPr="00700F82">
        <w:t xml:space="preserve"> for </w:t>
      </w:r>
      <w:r w:rsidR="00B721C9" w:rsidRPr="00700F82">
        <w:t xml:space="preserve">an income </w:t>
      </w:r>
      <w:r w:rsidRPr="00700F82">
        <w:t>year</w:t>
      </w:r>
      <w:r w:rsidR="00E440A5" w:rsidRPr="00700F82">
        <w:t xml:space="preserve"> </w:t>
      </w:r>
      <w:r w:rsidR="00EA122D" w:rsidRPr="00700F82">
        <w:t>means the charge percentage for the year, worked out</w:t>
      </w:r>
      <w:r w:rsidRPr="00700F82">
        <w:t xml:space="preserve"> </w:t>
      </w:r>
      <w:r w:rsidR="00EA122D" w:rsidRPr="00700F82">
        <w:t xml:space="preserve">using </w:t>
      </w:r>
      <w:r w:rsidR="00B721C9" w:rsidRPr="00700F82">
        <w:t xml:space="preserve">the table in </w:t>
      </w:r>
      <w:r w:rsidR="00AE56E0" w:rsidRPr="00700F82">
        <w:t>subsection 1</w:t>
      </w:r>
      <w:r w:rsidR="00016E14" w:rsidRPr="00700F82">
        <w:t xml:space="preserve">9(2) of the </w:t>
      </w:r>
      <w:r w:rsidR="00016E14" w:rsidRPr="00700F82">
        <w:rPr>
          <w:i/>
        </w:rPr>
        <w:t>Superannuation Guarantee (Administration) Act 1992</w:t>
      </w:r>
      <w:r w:rsidRPr="00700F82">
        <w:t>.</w:t>
      </w:r>
    </w:p>
    <w:p w14:paraId="10F6C363" w14:textId="77777777" w:rsidR="004E24C1" w:rsidRPr="00700F82" w:rsidRDefault="004E24C1" w:rsidP="00C7460E">
      <w:pPr>
        <w:pStyle w:val="subsection"/>
      </w:pPr>
      <w:r w:rsidRPr="00700F82">
        <w:tab/>
        <w:t>(</w:t>
      </w:r>
      <w:r w:rsidR="00891CD5" w:rsidRPr="00700F82">
        <w:t>5</w:t>
      </w:r>
      <w:r w:rsidRPr="00700F82">
        <w:t>)</w:t>
      </w:r>
      <w:r w:rsidRPr="00700F82">
        <w:tab/>
        <w:t xml:space="preserve">The </w:t>
      </w:r>
      <w:r w:rsidRPr="00700F82">
        <w:rPr>
          <w:b/>
          <w:i/>
        </w:rPr>
        <w:t>nominal interest rate amount</w:t>
      </w:r>
      <w:r w:rsidR="00503360" w:rsidRPr="00700F82">
        <w:t xml:space="preserve"> for a </w:t>
      </w:r>
      <w:r w:rsidR="00006454" w:rsidRPr="00700F82">
        <w:t xml:space="preserve">person for </w:t>
      </w:r>
      <w:r w:rsidR="00B721C9" w:rsidRPr="00700F82">
        <w:t>an income</w:t>
      </w:r>
      <w:r w:rsidR="00503360" w:rsidRPr="00700F82">
        <w:t xml:space="preserve"> year</w:t>
      </w:r>
      <w:r w:rsidR="00532828" w:rsidRPr="00700F82">
        <w:t xml:space="preserve"> </w:t>
      </w:r>
      <w:r w:rsidR="007C040B" w:rsidRPr="00700F82">
        <w:t xml:space="preserve">is the </w:t>
      </w:r>
      <w:r w:rsidR="00006454" w:rsidRPr="00700F82">
        <w:t>amount</w:t>
      </w:r>
      <w:r w:rsidR="006A3BE7" w:rsidRPr="00700F82">
        <w:t xml:space="preserve"> for the person referred to in </w:t>
      </w:r>
      <w:r w:rsidR="00AE56E0" w:rsidRPr="00700F82">
        <w:t>paragraph (</w:t>
      </w:r>
      <w:r w:rsidR="006A3BE7" w:rsidRPr="00700F82">
        <w:t>1)(a)</w:t>
      </w:r>
      <w:r w:rsidR="007C040B" w:rsidRPr="00700F82">
        <w:t xml:space="preserve"> </w:t>
      </w:r>
      <w:r w:rsidR="007C040B" w:rsidRPr="00700F82">
        <w:lastRenderedPageBreak/>
        <w:t xml:space="preserve">multiplied by the </w:t>
      </w:r>
      <w:r w:rsidR="00C074FC" w:rsidRPr="00700F82">
        <w:t>amount</w:t>
      </w:r>
      <w:r w:rsidR="00205E64" w:rsidRPr="00700F82">
        <w:t xml:space="preserve"> </w:t>
      </w:r>
      <w:r w:rsidR="00002C4B" w:rsidRPr="00700F82">
        <w:t>worked out in accordance with the method prescribed by the</w:t>
      </w:r>
      <w:r w:rsidR="00C61575" w:rsidRPr="00700F82">
        <w:t xml:space="preserve"> PPL</w:t>
      </w:r>
      <w:r w:rsidR="00002C4B" w:rsidRPr="00700F82">
        <w:t xml:space="preserve"> rules.</w:t>
      </w:r>
    </w:p>
    <w:p w14:paraId="65B257BF" w14:textId="77777777" w:rsidR="004D7ED3" w:rsidRPr="00700F82" w:rsidRDefault="004D7ED3" w:rsidP="00C7460E">
      <w:pPr>
        <w:pStyle w:val="subsection"/>
      </w:pPr>
      <w:r w:rsidRPr="00700F82">
        <w:tab/>
        <w:t>(6)</w:t>
      </w:r>
      <w:r w:rsidRPr="00700F82">
        <w:tab/>
        <w:t xml:space="preserve">For the purposes of </w:t>
      </w:r>
      <w:r w:rsidR="00AE56E0" w:rsidRPr="00700F82">
        <w:t>paragraph (</w:t>
      </w:r>
      <w:r w:rsidRPr="00700F82">
        <w:t xml:space="preserve">2)(a), disregard any amount of a PPL funding amount that is a debt due to the Commonwealth under </w:t>
      </w:r>
      <w:r w:rsidR="00AE56E0" w:rsidRPr="00700F82">
        <w:t>subsection 1</w:t>
      </w:r>
      <w:r w:rsidRPr="00700F82">
        <w:t>68(2).</w:t>
      </w:r>
    </w:p>
    <w:p w14:paraId="05DD2FBA" w14:textId="77777777" w:rsidR="006158F1" w:rsidRPr="00700F82" w:rsidRDefault="00556B76" w:rsidP="00C7460E">
      <w:pPr>
        <w:pStyle w:val="ActHead5"/>
      </w:pPr>
      <w:bookmarkStart w:id="15" w:name="_Toc178780363"/>
      <w:r w:rsidRPr="00700F82">
        <w:rPr>
          <w:rStyle w:val="CharSectno"/>
        </w:rPr>
        <w:t>115</w:t>
      </w:r>
      <w:r w:rsidR="00F1687A" w:rsidRPr="00700F82">
        <w:rPr>
          <w:rStyle w:val="CharSectno"/>
        </w:rPr>
        <w:t>D</w:t>
      </w:r>
      <w:r w:rsidR="007B13E6" w:rsidRPr="00700F82">
        <w:t xml:space="preserve">  Commissioner’s determination</w:t>
      </w:r>
      <w:bookmarkEnd w:id="15"/>
    </w:p>
    <w:p w14:paraId="117CB748" w14:textId="77777777" w:rsidR="002F18A1" w:rsidRPr="00700F82" w:rsidRDefault="007B13E6" w:rsidP="00C7460E">
      <w:pPr>
        <w:pStyle w:val="subsection"/>
      </w:pPr>
      <w:r w:rsidRPr="00700F82">
        <w:tab/>
      </w:r>
      <w:r w:rsidR="006C4B4F" w:rsidRPr="00700F82">
        <w:t>(1)</w:t>
      </w:r>
      <w:r w:rsidR="00B427AE" w:rsidRPr="00700F82">
        <w:tab/>
      </w:r>
      <w:r w:rsidRPr="00700F82">
        <w:t>The Commissioner must determine</w:t>
      </w:r>
      <w:r w:rsidR="00772BD7" w:rsidRPr="00700F82">
        <w:t xml:space="preserve"> the amount of</w:t>
      </w:r>
      <w:r w:rsidRPr="00700F82">
        <w:t xml:space="preserve"> a </w:t>
      </w:r>
      <w:r w:rsidR="00D2376E" w:rsidRPr="00700F82">
        <w:t xml:space="preserve">PPL </w:t>
      </w:r>
      <w:r w:rsidRPr="00700F82">
        <w:t xml:space="preserve">superannuation contribution </w:t>
      </w:r>
      <w:r w:rsidR="00772BD7" w:rsidRPr="00700F82">
        <w:t xml:space="preserve">that </w:t>
      </w:r>
      <w:r w:rsidRPr="00700F82">
        <w:t xml:space="preserve">is payable for a person for </w:t>
      </w:r>
      <w:r w:rsidR="00B13300" w:rsidRPr="00700F82">
        <w:t>an income</w:t>
      </w:r>
      <w:r w:rsidRPr="00700F82">
        <w:t xml:space="preserve"> year under </w:t>
      </w:r>
      <w:r w:rsidR="00705907" w:rsidRPr="00700F82">
        <w:t>section</w:t>
      </w:r>
      <w:r w:rsidR="00062271" w:rsidRPr="00700F82">
        <w:t xml:space="preserve"> </w:t>
      </w:r>
      <w:r w:rsidR="00705907" w:rsidRPr="00700F82">
        <w:t>1</w:t>
      </w:r>
      <w:r w:rsidR="00B427AE" w:rsidRPr="00700F82">
        <w:t>15</w:t>
      </w:r>
      <w:r w:rsidR="00F1687A" w:rsidRPr="00700F82">
        <w:t>C</w:t>
      </w:r>
      <w:r w:rsidRPr="00700F82">
        <w:t>.</w:t>
      </w:r>
    </w:p>
    <w:p w14:paraId="78900E48" w14:textId="77777777" w:rsidR="006C4B4F" w:rsidRPr="00700F82" w:rsidRDefault="006C4B4F" w:rsidP="00C7460E">
      <w:pPr>
        <w:pStyle w:val="subsection"/>
      </w:pPr>
      <w:r w:rsidRPr="00700F82">
        <w:tab/>
        <w:t>(2)</w:t>
      </w:r>
      <w:r w:rsidRPr="00700F82">
        <w:tab/>
        <w:t>The PPL rules may prescribe the time within which determinations under this section are to be made.</w:t>
      </w:r>
    </w:p>
    <w:p w14:paraId="4980EB26" w14:textId="77777777" w:rsidR="003C0D88" w:rsidRPr="00700F82" w:rsidRDefault="00705907" w:rsidP="00C7460E">
      <w:pPr>
        <w:pStyle w:val="ActHead2"/>
      </w:pPr>
      <w:bookmarkStart w:id="16" w:name="_Toc178780364"/>
      <w:r w:rsidRPr="00700F82">
        <w:rPr>
          <w:rStyle w:val="CharPartNo"/>
        </w:rPr>
        <w:t>Part 2</w:t>
      </w:r>
      <w:r w:rsidR="00556B76" w:rsidRPr="00700F82">
        <w:t>—</w:t>
      </w:r>
      <w:r w:rsidR="00556B76" w:rsidRPr="00700F82">
        <w:rPr>
          <w:rStyle w:val="CharPartText"/>
        </w:rPr>
        <w:t xml:space="preserve">Payment of </w:t>
      </w:r>
      <w:r w:rsidR="006629DF" w:rsidRPr="00700F82">
        <w:rPr>
          <w:rStyle w:val="CharPartText"/>
        </w:rPr>
        <w:t xml:space="preserve">PPL </w:t>
      </w:r>
      <w:r w:rsidR="00556B76" w:rsidRPr="00700F82">
        <w:rPr>
          <w:rStyle w:val="CharPartText"/>
        </w:rPr>
        <w:t>superannuation contribution</w:t>
      </w:r>
      <w:r w:rsidR="00646926" w:rsidRPr="00700F82">
        <w:rPr>
          <w:rStyle w:val="CharPartText"/>
        </w:rPr>
        <w:t>s</w:t>
      </w:r>
      <w:bookmarkEnd w:id="16"/>
    </w:p>
    <w:p w14:paraId="71C9E88B" w14:textId="77777777" w:rsidR="00546626" w:rsidRPr="00700F82" w:rsidRDefault="00AE56E0" w:rsidP="00C7460E">
      <w:pPr>
        <w:pStyle w:val="ActHead3"/>
      </w:pPr>
      <w:bookmarkStart w:id="17" w:name="_Toc178780365"/>
      <w:r w:rsidRPr="00700F82">
        <w:rPr>
          <w:rStyle w:val="CharDivNo"/>
        </w:rPr>
        <w:t>Division 1</w:t>
      </w:r>
      <w:r w:rsidR="00546626" w:rsidRPr="00700F82">
        <w:t>—</w:t>
      </w:r>
      <w:r w:rsidR="00546626" w:rsidRPr="00700F82">
        <w:rPr>
          <w:rStyle w:val="CharDivText"/>
        </w:rPr>
        <w:t>Guide to this Part</w:t>
      </w:r>
      <w:bookmarkEnd w:id="17"/>
    </w:p>
    <w:p w14:paraId="69EB113B" w14:textId="77777777" w:rsidR="001C1BB0" w:rsidRPr="00700F82" w:rsidRDefault="001C1BB0" w:rsidP="00C7460E">
      <w:pPr>
        <w:pStyle w:val="ActHead5"/>
      </w:pPr>
      <w:bookmarkStart w:id="18" w:name="_Toc178780366"/>
      <w:r w:rsidRPr="00700F82">
        <w:rPr>
          <w:rStyle w:val="CharSectno"/>
        </w:rPr>
        <w:t>115</w:t>
      </w:r>
      <w:r w:rsidR="00F1687A" w:rsidRPr="00700F82">
        <w:rPr>
          <w:rStyle w:val="CharSectno"/>
        </w:rPr>
        <w:t>E</w:t>
      </w:r>
      <w:r w:rsidRPr="00700F82">
        <w:t xml:space="preserve">  Guide to this Part</w:t>
      </w:r>
      <w:bookmarkEnd w:id="18"/>
    </w:p>
    <w:p w14:paraId="7A0104A2" w14:textId="77777777" w:rsidR="00D26A9B" w:rsidRPr="00700F82" w:rsidRDefault="00D26A9B" w:rsidP="00C7460E">
      <w:pPr>
        <w:pStyle w:val="SOText"/>
      </w:pPr>
      <w:r w:rsidRPr="00700F82">
        <w:t xml:space="preserve">The Commissioner of Taxation generally pays a PPL superannuation contribution </w:t>
      </w:r>
      <w:r w:rsidR="005D6B19" w:rsidRPr="00700F82">
        <w:t xml:space="preserve">(and any underpaid amounts) </w:t>
      </w:r>
      <w:r w:rsidRPr="00700F82">
        <w:t>for a person to the trustee of a complying superannuation fund for crediting to an account of the person within that fund. Interest is paid on underpaid amounts in certain circumstances.</w:t>
      </w:r>
    </w:p>
    <w:p w14:paraId="141BB2E4" w14:textId="77777777" w:rsidR="00D26A9B" w:rsidRPr="00700F82" w:rsidRDefault="00D26A9B" w:rsidP="00C7460E">
      <w:pPr>
        <w:pStyle w:val="SOText"/>
      </w:pPr>
      <w:r w:rsidRPr="00700F82">
        <w:t xml:space="preserve">The trustee of the fund must return a PPL </w:t>
      </w:r>
      <w:r w:rsidR="007731B6" w:rsidRPr="00700F82">
        <w:t xml:space="preserve">superannuation </w:t>
      </w:r>
      <w:r w:rsidRPr="00700F82">
        <w:t>contribution or underpaid amount that cannot be credited to an account of the person.</w:t>
      </w:r>
    </w:p>
    <w:p w14:paraId="05AA8802" w14:textId="77777777" w:rsidR="00D26A9B" w:rsidRPr="00700F82" w:rsidRDefault="00D26A9B" w:rsidP="00C7460E">
      <w:pPr>
        <w:pStyle w:val="SOText"/>
      </w:pPr>
      <w:r w:rsidRPr="00700F82">
        <w:t>If an amount of a PPL superannuation contribution is overpaid the Commissioner of Taxation may recover the overpaid amount. General interest charge is payable in some circumstances in relation to overpaid amounts.</w:t>
      </w:r>
    </w:p>
    <w:p w14:paraId="7A306A86" w14:textId="77777777" w:rsidR="00546626" w:rsidRPr="00700F82" w:rsidRDefault="00AE56E0" w:rsidP="00C7460E">
      <w:pPr>
        <w:pStyle w:val="ActHead3"/>
      </w:pPr>
      <w:bookmarkStart w:id="19" w:name="_Toc178780367"/>
      <w:r w:rsidRPr="00700F82">
        <w:rPr>
          <w:rStyle w:val="CharDivNo"/>
        </w:rPr>
        <w:lastRenderedPageBreak/>
        <w:t>Division 2</w:t>
      </w:r>
      <w:r w:rsidR="00546626" w:rsidRPr="00700F82">
        <w:t>—</w:t>
      </w:r>
      <w:r w:rsidR="00FA22B7" w:rsidRPr="00700F82">
        <w:rPr>
          <w:rStyle w:val="CharDivText"/>
        </w:rPr>
        <w:t>How payments are made</w:t>
      </w:r>
      <w:bookmarkEnd w:id="19"/>
    </w:p>
    <w:p w14:paraId="2E73808E" w14:textId="77777777" w:rsidR="00356C69" w:rsidRPr="00700F82" w:rsidRDefault="00356C69" w:rsidP="00C7460E">
      <w:pPr>
        <w:pStyle w:val="ActHead5"/>
      </w:pPr>
      <w:bookmarkStart w:id="20" w:name="_Toc178780368"/>
      <w:r w:rsidRPr="00700F82">
        <w:rPr>
          <w:rStyle w:val="CharSectno"/>
        </w:rPr>
        <w:t>115</w:t>
      </w:r>
      <w:r w:rsidR="00F1687A" w:rsidRPr="00700F82">
        <w:rPr>
          <w:rStyle w:val="CharSectno"/>
        </w:rPr>
        <w:t>F</w:t>
      </w:r>
      <w:r w:rsidRPr="00700F82">
        <w:t xml:space="preserve">  Commissioner to determine where </w:t>
      </w:r>
      <w:r w:rsidR="00A51970" w:rsidRPr="00700F82">
        <w:t xml:space="preserve">PPL </w:t>
      </w:r>
      <w:r w:rsidR="007F7589" w:rsidRPr="00700F82">
        <w:t>superannuation contribution</w:t>
      </w:r>
      <w:r w:rsidRPr="00700F82">
        <w:t xml:space="preserve"> is to be directed</w:t>
      </w:r>
      <w:bookmarkEnd w:id="20"/>
    </w:p>
    <w:p w14:paraId="20179464" w14:textId="77777777" w:rsidR="00356C69" w:rsidRPr="00700F82" w:rsidRDefault="00356C69" w:rsidP="00C7460E">
      <w:pPr>
        <w:pStyle w:val="subsection"/>
      </w:pPr>
      <w:r w:rsidRPr="00700F82">
        <w:tab/>
        <w:t>(1)</w:t>
      </w:r>
      <w:r w:rsidRPr="00700F82">
        <w:tab/>
        <w:t xml:space="preserve">If the Commissioner makes a determination </w:t>
      </w:r>
      <w:r w:rsidR="00982CAD" w:rsidRPr="00700F82">
        <w:t xml:space="preserve">of the amount of a PPL superannuation contribution </w:t>
      </w:r>
      <w:r w:rsidRPr="00700F82">
        <w:t xml:space="preserve">under </w:t>
      </w:r>
      <w:r w:rsidR="00705907" w:rsidRPr="00700F82">
        <w:t>section</w:t>
      </w:r>
      <w:r w:rsidR="001D0859" w:rsidRPr="00700F82">
        <w:t xml:space="preserve"> </w:t>
      </w:r>
      <w:r w:rsidR="00705907" w:rsidRPr="00700F82">
        <w:t>1</w:t>
      </w:r>
      <w:r w:rsidR="007F7589" w:rsidRPr="00700F82">
        <w:t>15</w:t>
      </w:r>
      <w:r w:rsidR="007731B6" w:rsidRPr="00700F82">
        <w:t>D</w:t>
      </w:r>
      <w:r w:rsidRPr="00700F82">
        <w:t xml:space="preserve"> </w:t>
      </w:r>
      <w:r w:rsidR="007F7589" w:rsidRPr="00700F82">
        <w:t>for</w:t>
      </w:r>
      <w:r w:rsidRPr="00700F82">
        <w:t xml:space="preserve"> a person for </w:t>
      </w:r>
      <w:r w:rsidR="00934C83" w:rsidRPr="00700F82">
        <w:t>an income</w:t>
      </w:r>
      <w:r w:rsidR="007F7589" w:rsidRPr="00700F82">
        <w:t xml:space="preserve"> </w:t>
      </w:r>
      <w:r w:rsidRPr="00700F82">
        <w:t xml:space="preserve">year, the Commissioner must determine whether the </w:t>
      </w:r>
      <w:r w:rsidR="00EE0B3D" w:rsidRPr="00700F82">
        <w:t xml:space="preserve">PPL </w:t>
      </w:r>
      <w:r w:rsidR="007F7589" w:rsidRPr="00700F82">
        <w:t>superannuation contribution</w:t>
      </w:r>
      <w:r w:rsidRPr="00700F82">
        <w:t xml:space="preserve"> is to be paid:</w:t>
      </w:r>
    </w:p>
    <w:p w14:paraId="43A47AC6" w14:textId="77777777" w:rsidR="00356C69" w:rsidRPr="00700F82" w:rsidRDefault="00356C69" w:rsidP="00C7460E">
      <w:pPr>
        <w:pStyle w:val="paragraph"/>
      </w:pPr>
      <w:r w:rsidRPr="00700F82">
        <w:tab/>
        <w:t>(a)</w:t>
      </w:r>
      <w:r w:rsidRPr="00700F82">
        <w:tab/>
        <w:t>to the trustee of a complying superannuation fund for crediting to an account of the person within that fund; or</w:t>
      </w:r>
    </w:p>
    <w:p w14:paraId="1806CB7C" w14:textId="77777777" w:rsidR="00356C69" w:rsidRPr="00700F82" w:rsidRDefault="00356C69" w:rsidP="00C7460E">
      <w:pPr>
        <w:pStyle w:val="paragraph"/>
      </w:pPr>
      <w:r w:rsidRPr="00700F82">
        <w:tab/>
        <w:t>(b)</w:t>
      </w:r>
      <w:r w:rsidRPr="00700F82">
        <w:tab/>
        <w:t>to the provider of an RSA that the person holds for crediting to the RSA; or</w:t>
      </w:r>
    </w:p>
    <w:p w14:paraId="57B90772" w14:textId="77777777" w:rsidR="00356C69" w:rsidRPr="00700F82" w:rsidRDefault="00356C69" w:rsidP="00C7460E">
      <w:pPr>
        <w:pStyle w:val="paragraph"/>
      </w:pPr>
      <w:r w:rsidRPr="00700F82">
        <w:tab/>
        <w:t>(</w:t>
      </w:r>
      <w:r w:rsidR="0034303E" w:rsidRPr="00700F82">
        <w:t>c</w:t>
      </w:r>
      <w:r w:rsidRPr="00700F82">
        <w:t>)</w:t>
      </w:r>
      <w:r w:rsidRPr="00700F82">
        <w:tab/>
        <w:t>to the person’s legal personal representative; or</w:t>
      </w:r>
    </w:p>
    <w:p w14:paraId="705F917A" w14:textId="77777777" w:rsidR="00356C69" w:rsidRPr="00700F82" w:rsidRDefault="00356C69" w:rsidP="00C7460E">
      <w:pPr>
        <w:pStyle w:val="paragraph"/>
      </w:pPr>
      <w:r w:rsidRPr="00700F82">
        <w:tab/>
        <w:t>(</w:t>
      </w:r>
      <w:r w:rsidR="0034303E" w:rsidRPr="00700F82">
        <w:t>d</w:t>
      </w:r>
      <w:r w:rsidRPr="00700F82">
        <w:t>)</w:t>
      </w:r>
      <w:r w:rsidRPr="00700F82">
        <w:tab/>
        <w:t>into an account of the person in the Superannuation Holding Accounts Special Account.</w:t>
      </w:r>
    </w:p>
    <w:p w14:paraId="1D5CF932" w14:textId="77777777" w:rsidR="00356C69" w:rsidRPr="00700F82" w:rsidRDefault="00356C69" w:rsidP="00C7460E">
      <w:pPr>
        <w:pStyle w:val="subsection"/>
      </w:pPr>
      <w:r w:rsidRPr="00700F82">
        <w:tab/>
        <w:t>(2)</w:t>
      </w:r>
      <w:r w:rsidRPr="00700F82">
        <w:tab/>
        <w:t xml:space="preserve">If the Commissioner makes a determination under </w:t>
      </w:r>
      <w:r w:rsidR="00AE56E0" w:rsidRPr="00700F82">
        <w:t>paragraph (</w:t>
      </w:r>
      <w:r w:rsidRPr="00700F82">
        <w:t xml:space="preserve">1)(a) or (b), the Commissioner must also determine which particular account the </w:t>
      </w:r>
      <w:r w:rsidR="00EE0B3D" w:rsidRPr="00700F82">
        <w:t xml:space="preserve">PPL </w:t>
      </w:r>
      <w:r w:rsidR="00205E64" w:rsidRPr="00700F82">
        <w:t>superannuation contribution</w:t>
      </w:r>
      <w:r w:rsidRPr="00700F82">
        <w:t xml:space="preserve"> is to be paid into.</w:t>
      </w:r>
    </w:p>
    <w:p w14:paraId="12D0C105" w14:textId="77777777" w:rsidR="00356C69" w:rsidRPr="00700F82" w:rsidRDefault="00356C69" w:rsidP="00C7460E">
      <w:pPr>
        <w:pStyle w:val="subsection"/>
      </w:pPr>
      <w:r w:rsidRPr="00700F82">
        <w:tab/>
        <w:t>(3)</w:t>
      </w:r>
      <w:r w:rsidRPr="00700F82">
        <w:tab/>
        <w:t xml:space="preserve">The Commissioner must make determinations under </w:t>
      </w:r>
      <w:r w:rsidR="00705907" w:rsidRPr="00700F82">
        <w:t>subsections (</w:t>
      </w:r>
      <w:r w:rsidRPr="00700F82">
        <w:t xml:space="preserve">1) and (2) in accordance with </w:t>
      </w:r>
      <w:r w:rsidR="00205E64" w:rsidRPr="00700F82">
        <w:t>any requirements prescribed by the PPL rules</w:t>
      </w:r>
      <w:r w:rsidRPr="00700F82">
        <w:t>.</w:t>
      </w:r>
    </w:p>
    <w:p w14:paraId="6D8985BA" w14:textId="77777777" w:rsidR="00356C69" w:rsidRPr="00700F82" w:rsidRDefault="00356C69" w:rsidP="00C7460E">
      <w:pPr>
        <w:pStyle w:val="subsection"/>
      </w:pPr>
      <w:r w:rsidRPr="00700F82">
        <w:tab/>
        <w:t>(4)</w:t>
      </w:r>
      <w:r w:rsidRPr="00700F82">
        <w:tab/>
        <w:t>The Commissioner may revoke a determination made under this section if the Commissioner is satisfied that:</w:t>
      </w:r>
    </w:p>
    <w:p w14:paraId="4FDC1127" w14:textId="77777777" w:rsidR="00356C69" w:rsidRPr="00700F82" w:rsidRDefault="00356C69" w:rsidP="00C7460E">
      <w:pPr>
        <w:pStyle w:val="paragraph"/>
      </w:pPr>
      <w:r w:rsidRPr="00700F82">
        <w:tab/>
        <w:t>(a)</w:t>
      </w:r>
      <w:r w:rsidRPr="00700F82">
        <w:tab/>
        <w:t>payment of the</w:t>
      </w:r>
      <w:r w:rsidR="007E5E11" w:rsidRPr="00700F82">
        <w:t xml:space="preserve"> PPL</w:t>
      </w:r>
      <w:r w:rsidRPr="00700F82">
        <w:t xml:space="preserve"> </w:t>
      </w:r>
      <w:r w:rsidR="005E0F56" w:rsidRPr="00700F82">
        <w:t>superannuation contribution</w:t>
      </w:r>
      <w:r w:rsidRPr="00700F82">
        <w:t xml:space="preserve"> cannot be effected in accordance with the determination; or</w:t>
      </w:r>
    </w:p>
    <w:p w14:paraId="488AE440" w14:textId="77777777" w:rsidR="00356C69" w:rsidRPr="00700F82" w:rsidRDefault="00356C69" w:rsidP="00C7460E">
      <w:pPr>
        <w:pStyle w:val="paragraph"/>
      </w:pPr>
      <w:r w:rsidRPr="00700F82">
        <w:tab/>
        <w:t>(b)</w:t>
      </w:r>
      <w:r w:rsidRPr="00700F82">
        <w:tab/>
        <w:t>it is otherwise appropriate in the circumstances to revoke the determination.</w:t>
      </w:r>
    </w:p>
    <w:p w14:paraId="13635859" w14:textId="77777777" w:rsidR="00655636" w:rsidRPr="00700F82" w:rsidRDefault="00356C69" w:rsidP="00C7460E">
      <w:pPr>
        <w:pStyle w:val="subsection"/>
      </w:pPr>
      <w:r w:rsidRPr="00700F82">
        <w:tab/>
        <w:t>(5)</w:t>
      </w:r>
      <w:r w:rsidRPr="00700F82">
        <w:tab/>
        <w:t xml:space="preserve">The </w:t>
      </w:r>
      <w:r w:rsidR="005E0F56" w:rsidRPr="00700F82">
        <w:t>PPL rules</w:t>
      </w:r>
      <w:r w:rsidRPr="00700F82">
        <w:t xml:space="preserve"> may prescribe the time within which determinations under this section are to be made.</w:t>
      </w:r>
    </w:p>
    <w:p w14:paraId="654113CA" w14:textId="77777777" w:rsidR="00356C69" w:rsidRPr="00700F82" w:rsidRDefault="00200695" w:rsidP="00C7460E">
      <w:pPr>
        <w:pStyle w:val="ActHead5"/>
      </w:pPr>
      <w:bookmarkStart w:id="21" w:name="_Toc178780369"/>
      <w:r w:rsidRPr="00700F82">
        <w:rPr>
          <w:rStyle w:val="CharSectno"/>
        </w:rPr>
        <w:t>115</w:t>
      </w:r>
      <w:r w:rsidR="00F1687A" w:rsidRPr="00700F82">
        <w:rPr>
          <w:rStyle w:val="CharSectno"/>
        </w:rPr>
        <w:t>G</w:t>
      </w:r>
      <w:r w:rsidR="00356C69" w:rsidRPr="00700F82">
        <w:t xml:space="preserve">  </w:t>
      </w:r>
      <w:r w:rsidR="00A03715" w:rsidRPr="00700F82">
        <w:t>Return of</w:t>
      </w:r>
      <w:r w:rsidR="00356C69" w:rsidRPr="00700F82">
        <w:t xml:space="preserve"> </w:t>
      </w:r>
      <w:r w:rsidR="006629DF" w:rsidRPr="00700F82">
        <w:t>PPL superannuation contribution</w:t>
      </w:r>
      <w:r w:rsidR="00356C69" w:rsidRPr="00700F82">
        <w:t xml:space="preserve"> that cannot be credited to account</w:t>
      </w:r>
      <w:bookmarkEnd w:id="21"/>
    </w:p>
    <w:p w14:paraId="0CA114D6" w14:textId="77777777" w:rsidR="00356C69" w:rsidRPr="00700F82" w:rsidRDefault="00356C69" w:rsidP="00C7460E">
      <w:pPr>
        <w:pStyle w:val="subsection"/>
      </w:pPr>
      <w:r w:rsidRPr="00700F82">
        <w:tab/>
        <w:t>(1)</w:t>
      </w:r>
      <w:r w:rsidRPr="00700F82">
        <w:tab/>
        <w:t>If:</w:t>
      </w:r>
    </w:p>
    <w:p w14:paraId="1AA9112A" w14:textId="77777777" w:rsidR="00356C69" w:rsidRPr="00700F82" w:rsidRDefault="00356C69" w:rsidP="00C7460E">
      <w:pPr>
        <w:pStyle w:val="paragraph"/>
      </w:pPr>
      <w:r w:rsidRPr="00700F82">
        <w:lastRenderedPageBreak/>
        <w:tab/>
        <w:t>(a)</w:t>
      </w:r>
      <w:r w:rsidRPr="00700F82">
        <w:tab/>
        <w:t xml:space="preserve">a </w:t>
      </w:r>
      <w:r w:rsidR="00E9128B" w:rsidRPr="00700F82">
        <w:t>PPL superannuation contribution for</w:t>
      </w:r>
      <w:r w:rsidRPr="00700F82">
        <w:t xml:space="preserve"> a person</w:t>
      </w:r>
      <w:r w:rsidR="00E9128B" w:rsidRPr="00700F82">
        <w:t xml:space="preserve"> for </w:t>
      </w:r>
      <w:r w:rsidR="005A700D" w:rsidRPr="00700F82">
        <w:t>an income</w:t>
      </w:r>
      <w:r w:rsidR="00E9128B" w:rsidRPr="00700F82">
        <w:t xml:space="preserve"> year </w:t>
      </w:r>
      <w:r w:rsidRPr="00700F82">
        <w:t>is paid:</w:t>
      </w:r>
    </w:p>
    <w:p w14:paraId="63042D4E" w14:textId="77777777" w:rsidR="00356C69" w:rsidRPr="00700F82" w:rsidRDefault="00356C69" w:rsidP="00C7460E">
      <w:pPr>
        <w:pStyle w:val="paragraphsub"/>
      </w:pPr>
      <w:r w:rsidRPr="00700F82">
        <w:tab/>
        <w:t>(i)</w:t>
      </w:r>
      <w:r w:rsidRPr="00700F82">
        <w:tab/>
        <w:t>to the trustee of a complying superannuation fund for crediting to an account of the person within that fund; or</w:t>
      </w:r>
    </w:p>
    <w:p w14:paraId="324AFA41" w14:textId="77777777" w:rsidR="00356C69" w:rsidRPr="00700F82" w:rsidRDefault="00356C69" w:rsidP="00C7460E">
      <w:pPr>
        <w:pStyle w:val="paragraphsub"/>
      </w:pPr>
      <w:r w:rsidRPr="00700F82">
        <w:tab/>
        <w:t>(ii)</w:t>
      </w:r>
      <w:r w:rsidRPr="00700F82">
        <w:tab/>
        <w:t>to the provider of an RSA that the person holds for crediting to the RSA; and</w:t>
      </w:r>
    </w:p>
    <w:p w14:paraId="016F5F31" w14:textId="77777777" w:rsidR="00356C69" w:rsidRPr="00700F82" w:rsidRDefault="00356C69" w:rsidP="00C7460E">
      <w:pPr>
        <w:pStyle w:val="paragraph"/>
      </w:pPr>
      <w:r w:rsidRPr="00700F82">
        <w:tab/>
        <w:t>(b)</w:t>
      </w:r>
      <w:r w:rsidRPr="00700F82">
        <w:tab/>
        <w:t xml:space="preserve">the trustee or the provider has not credited the </w:t>
      </w:r>
      <w:r w:rsidR="006D3E72" w:rsidRPr="00700F82">
        <w:t>PPL superannuation contribution</w:t>
      </w:r>
      <w:r w:rsidRPr="00700F82">
        <w:t xml:space="preserve"> to an account of that kind by the end of the 28th day after the day on which the </w:t>
      </w:r>
      <w:r w:rsidR="006D3E72" w:rsidRPr="00700F82">
        <w:t>contribution</w:t>
      </w:r>
      <w:r w:rsidRPr="00700F82">
        <w:t xml:space="preserve"> was paid to the trustee or the provider;</w:t>
      </w:r>
    </w:p>
    <w:p w14:paraId="28A38A88" w14:textId="77777777" w:rsidR="00356C69" w:rsidRPr="00700F82" w:rsidRDefault="00356C69" w:rsidP="00C7460E">
      <w:pPr>
        <w:pStyle w:val="subsection2"/>
      </w:pPr>
      <w:r w:rsidRPr="00700F82">
        <w:t>the trustee or the provider:</w:t>
      </w:r>
    </w:p>
    <w:p w14:paraId="250651EF" w14:textId="77777777" w:rsidR="00356C69" w:rsidRPr="00700F82" w:rsidRDefault="00356C69" w:rsidP="00C7460E">
      <w:pPr>
        <w:pStyle w:val="paragraph"/>
      </w:pPr>
      <w:r w:rsidRPr="00700F82">
        <w:tab/>
        <w:t>(c)</w:t>
      </w:r>
      <w:r w:rsidRPr="00700F82">
        <w:tab/>
        <w:t>is liable to repay the</w:t>
      </w:r>
      <w:r w:rsidR="006D3E72" w:rsidRPr="00700F82">
        <w:t xml:space="preserve"> PPL superannuation contribution</w:t>
      </w:r>
      <w:r w:rsidRPr="00700F82">
        <w:t xml:space="preserve"> to the Commonwealth; and</w:t>
      </w:r>
    </w:p>
    <w:p w14:paraId="7E820A96" w14:textId="77777777" w:rsidR="00356C69" w:rsidRPr="00700F82" w:rsidRDefault="00356C69" w:rsidP="00C7460E">
      <w:pPr>
        <w:pStyle w:val="paragraph"/>
      </w:pPr>
      <w:r w:rsidRPr="00700F82">
        <w:tab/>
        <w:t>(d)</w:t>
      </w:r>
      <w:r w:rsidRPr="00700F82">
        <w:tab/>
        <w:t>must give the Commissioner a statement, in the approved form</w:t>
      </w:r>
      <w:r w:rsidR="002E4221" w:rsidRPr="00700F82">
        <w:t xml:space="preserve"> (within the meaning of </w:t>
      </w:r>
      <w:r w:rsidR="00AE56E0" w:rsidRPr="00700F82">
        <w:t>section 3</w:t>
      </w:r>
      <w:r w:rsidR="002E4221" w:rsidRPr="00700F82">
        <w:t>88</w:t>
      </w:r>
      <w:r w:rsidR="00700F82">
        <w:noBreakHyphen/>
      </w:r>
      <w:r w:rsidR="002E4221" w:rsidRPr="00700F82">
        <w:t xml:space="preserve">50 in </w:t>
      </w:r>
      <w:r w:rsidR="00AE56E0" w:rsidRPr="00700F82">
        <w:t>Schedule 1</w:t>
      </w:r>
      <w:r w:rsidR="002E4221" w:rsidRPr="00700F82">
        <w:t xml:space="preserve"> to the </w:t>
      </w:r>
      <w:r w:rsidR="002E4221" w:rsidRPr="00700F82">
        <w:rPr>
          <w:i/>
        </w:rPr>
        <w:t>Taxation Administration Act 1953</w:t>
      </w:r>
      <w:r w:rsidR="002E4221" w:rsidRPr="00700F82">
        <w:t>)</w:t>
      </w:r>
      <w:r w:rsidRPr="00700F82">
        <w:t xml:space="preserve">, in relation to the </w:t>
      </w:r>
      <w:r w:rsidR="006D3E72" w:rsidRPr="00700F82">
        <w:t>PPL superannuation contribution</w:t>
      </w:r>
      <w:r w:rsidRPr="00700F82">
        <w:t xml:space="preserve"> at the time when the </w:t>
      </w:r>
      <w:r w:rsidR="006D3E72" w:rsidRPr="00700F82">
        <w:t xml:space="preserve">contribution </w:t>
      </w:r>
      <w:r w:rsidRPr="00700F82">
        <w:t>is repaid.</w:t>
      </w:r>
    </w:p>
    <w:p w14:paraId="5DDD0CFF" w14:textId="77777777" w:rsidR="00356C69" w:rsidRPr="00700F82" w:rsidRDefault="00356C69" w:rsidP="00C7460E">
      <w:pPr>
        <w:pStyle w:val="notetext"/>
      </w:pPr>
      <w:r w:rsidRPr="00700F82">
        <w:t>Note:</w:t>
      </w:r>
      <w:r w:rsidRPr="00700F82">
        <w:tab/>
        <w:t>Section</w:t>
      </w:r>
      <w:r w:rsidR="006D3E72" w:rsidRPr="00700F82">
        <w:t xml:space="preserve"> </w:t>
      </w:r>
      <w:r w:rsidR="00D6320B" w:rsidRPr="00700F82">
        <w:t>115</w:t>
      </w:r>
      <w:r w:rsidR="00F1687A" w:rsidRPr="00700F82">
        <w:t>Q</w:t>
      </w:r>
      <w:r w:rsidR="006D3E72" w:rsidRPr="00700F82">
        <w:t xml:space="preserve"> </w:t>
      </w:r>
      <w:r w:rsidRPr="00700F82">
        <w:t xml:space="preserve">provides for the imposition of general interest charge if the </w:t>
      </w:r>
      <w:r w:rsidR="006D3E72" w:rsidRPr="00700F82">
        <w:t>contribution</w:t>
      </w:r>
      <w:r w:rsidRPr="00700F82">
        <w:t xml:space="preserve"> is not repaid within a certain period.</w:t>
      </w:r>
    </w:p>
    <w:p w14:paraId="04487579" w14:textId="77777777" w:rsidR="00356C69" w:rsidRPr="00700F82" w:rsidRDefault="00356C69" w:rsidP="00C7460E">
      <w:pPr>
        <w:pStyle w:val="subsection"/>
      </w:pPr>
      <w:r w:rsidRPr="00700F82">
        <w:tab/>
        <w:t>(2)</w:t>
      </w:r>
      <w:r w:rsidRPr="00700F82">
        <w:tab/>
        <w:t xml:space="preserve">The Commissioner may recover from the trustee or provider the amount the trustee or provider is liable to repay under </w:t>
      </w:r>
      <w:r w:rsidR="00AD7F23" w:rsidRPr="00700F82">
        <w:t>subsection (</w:t>
      </w:r>
      <w:r w:rsidRPr="00700F82">
        <w:t>1) as a debt due to the Commonwealth.</w:t>
      </w:r>
    </w:p>
    <w:p w14:paraId="6ACF4679" w14:textId="77777777" w:rsidR="000B35BE" w:rsidRPr="00700F82" w:rsidRDefault="000B35BE" w:rsidP="00C7460E">
      <w:pPr>
        <w:pStyle w:val="SubsectionHead"/>
      </w:pPr>
      <w:r w:rsidRPr="00700F82">
        <w:t>Offence</w:t>
      </w:r>
    </w:p>
    <w:p w14:paraId="2CCF6D8B" w14:textId="77777777" w:rsidR="00356C69" w:rsidRPr="00700F82" w:rsidRDefault="00356C69" w:rsidP="00C7460E">
      <w:pPr>
        <w:pStyle w:val="subsection"/>
      </w:pPr>
      <w:r w:rsidRPr="00700F82">
        <w:tab/>
        <w:t>(3)</w:t>
      </w:r>
      <w:r w:rsidRPr="00700F82">
        <w:tab/>
        <w:t>The trustee or provider commits an offence if the trustee or provider fails to give the Commissioner a statement, in the approved form</w:t>
      </w:r>
      <w:r w:rsidR="00E77BCD" w:rsidRPr="00700F82">
        <w:t xml:space="preserve"> (within the meaning of </w:t>
      </w:r>
      <w:r w:rsidR="00AE56E0" w:rsidRPr="00700F82">
        <w:t>section 3</w:t>
      </w:r>
      <w:r w:rsidR="00E77BCD" w:rsidRPr="00700F82">
        <w:t>88</w:t>
      </w:r>
      <w:r w:rsidR="00700F82">
        <w:noBreakHyphen/>
      </w:r>
      <w:r w:rsidR="00E77BCD" w:rsidRPr="00700F82">
        <w:t xml:space="preserve">50 in </w:t>
      </w:r>
      <w:r w:rsidR="00AE56E0" w:rsidRPr="00700F82">
        <w:t>Schedule 1</w:t>
      </w:r>
      <w:r w:rsidR="00E77BCD" w:rsidRPr="00700F82">
        <w:t xml:space="preserve"> to the </w:t>
      </w:r>
      <w:r w:rsidR="00E77BCD" w:rsidRPr="00700F82">
        <w:rPr>
          <w:i/>
        </w:rPr>
        <w:t>Taxation Administration Act 1953</w:t>
      </w:r>
      <w:r w:rsidR="00E77BCD" w:rsidRPr="00700F82">
        <w:t>)</w:t>
      </w:r>
      <w:r w:rsidRPr="00700F82">
        <w:t xml:space="preserve">, in relation to the </w:t>
      </w:r>
      <w:r w:rsidR="000B35BE" w:rsidRPr="00700F82">
        <w:t>PPL superannuation contribution</w:t>
      </w:r>
      <w:r w:rsidRPr="00700F82">
        <w:t xml:space="preserve"> at the time when the </w:t>
      </w:r>
      <w:r w:rsidR="000B35BE" w:rsidRPr="00700F82">
        <w:t>contribution</w:t>
      </w:r>
      <w:r w:rsidRPr="00700F82">
        <w:t xml:space="preserve"> is repaid.</w:t>
      </w:r>
    </w:p>
    <w:p w14:paraId="2CAA4264" w14:textId="77777777" w:rsidR="00356C69" w:rsidRPr="00700F82" w:rsidRDefault="00356C69" w:rsidP="00C7460E">
      <w:pPr>
        <w:pStyle w:val="Penalty"/>
      </w:pPr>
      <w:r w:rsidRPr="00700F82">
        <w:t>Penalty:</w:t>
      </w:r>
      <w:r w:rsidRPr="00700F82">
        <w:tab/>
        <w:t>50 penalty units.</w:t>
      </w:r>
    </w:p>
    <w:p w14:paraId="1AC1C874" w14:textId="77777777" w:rsidR="00356C69" w:rsidRPr="00700F82" w:rsidRDefault="00356C69" w:rsidP="00C7460E">
      <w:pPr>
        <w:pStyle w:val="subsection"/>
      </w:pPr>
      <w:r w:rsidRPr="00700F82">
        <w:tab/>
        <w:t>(4)</w:t>
      </w:r>
      <w:r w:rsidRPr="00700F82">
        <w:tab/>
        <w:t xml:space="preserve">An offence against </w:t>
      </w:r>
      <w:r w:rsidR="00AD7F23" w:rsidRPr="00700F82">
        <w:t>subsection (</w:t>
      </w:r>
      <w:r w:rsidRPr="00700F82">
        <w:t>3) is an offence of strict liability.</w:t>
      </w:r>
    </w:p>
    <w:p w14:paraId="1733C09E" w14:textId="77777777" w:rsidR="00356C69" w:rsidRPr="00700F82" w:rsidRDefault="003D2198" w:rsidP="00C7460E">
      <w:pPr>
        <w:pStyle w:val="ActHead5"/>
      </w:pPr>
      <w:bookmarkStart w:id="22" w:name="_Toc178780370"/>
      <w:r w:rsidRPr="00700F82">
        <w:rPr>
          <w:rStyle w:val="CharSectno"/>
        </w:rPr>
        <w:lastRenderedPageBreak/>
        <w:t>115</w:t>
      </w:r>
      <w:r w:rsidR="00F1687A" w:rsidRPr="00700F82">
        <w:rPr>
          <w:rStyle w:val="CharSectno"/>
        </w:rPr>
        <w:t>H</w:t>
      </w:r>
      <w:r w:rsidR="00356C69" w:rsidRPr="00700F82">
        <w:t xml:space="preserve">  Payment of </w:t>
      </w:r>
      <w:r w:rsidR="000B35BE" w:rsidRPr="00700F82">
        <w:t>PPL superannuation contribution</w:t>
      </w:r>
      <w:bookmarkEnd w:id="22"/>
    </w:p>
    <w:p w14:paraId="377122E6" w14:textId="77777777" w:rsidR="00356C69" w:rsidRPr="00700F82" w:rsidRDefault="00356C69" w:rsidP="00C7460E">
      <w:pPr>
        <w:pStyle w:val="subsection"/>
      </w:pPr>
      <w:r w:rsidRPr="00700F82">
        <w:tab/>
        <w:t>(1)</w:t>
      </w:r>
      <w:r w:rsidRPr="00700F82">
        <w:tab/>
        <w:t xml:space="preserve">The Commissioner must, in accordance with determinations made under </w:t>
      </w:r>
      <w:r w:rsidR="00705907" w:rsidRPr="00700F82">
        <w:t>sections</w:t>
      </w:r>
      <w:r w:rsidR="00BD2627" w:rsidRPr="00700F82">
        <w:t xml:space="preserve"> </w:t>
      </w:r>
      <w:r w:rsidR="00705907" w:rsidRPr="00700F82">
        <w:t>1</w:t>
      </w:r>
      <w:r w:rsidR="000B35BE" w:rsidRPr="00700F82">
        <w:t>15</w:t>
      </w:r>
      <w:r w:rsidR="0009525F" w:rsidRPr="00700F82">
        <w:t>D</w:t>
      </w:r>
      <w:r w:rsidR="00F1687A" w:rsidRPr="00700F82">
        <w:t xml:space="preserve"> </w:t>
      </w:r>
      <w:r w:rsidRPr="00700F82">
        <w:t>and 1</w:t>
      </w:r>
      <w:r w:rsidR="000B35BE" w:rsidRPr="00700F82">
        <w:t>15</w:t>
      </w:r>
      <w:r w:rsidR="00F1687A" w:rsidRPr="00700F82">
        <w:t>F</w:t>
      </w:r>
      <w:r w:rsidRPr="00700F82">
        <w:t xml:space="preserve">, pay </w:t>
      </w:r>
      <w:r w:rsidR="000B35BE" w:rsidRPr="00700F82">
        <w:t>a PPL superannuation contribution</w:t>
      </w:r>
      <w:r w:rsidRPr="00700F82">
        <w:t xml:space="preserve"> payable </w:t>
      </w:r>
      <w:r w:rsidR="000B35BE" w:rsidRPr="00700F82">
        <w:t>for</w:t>
      </w:r>
      <w:r w:rsidRPr="00700F82">
        <w:t xml:space="preserve"> a person</w:t>
      </w:r>
      <w:r w:rsidR="000B35BE" w:rsidRPr="00700F82">
        <w:t xml:space="preserve"> for </w:t>
      </w:r>
      <w:r w:rsidR="005A700D" w:rsidRPr="00700F82">
        <w:t>an income</w:t>
      </w:r>
      <w:r w:rsidR="000B35BE" w:rsidRPr="00700F82">
        <w:t xml:space="preserve"> year</w:t>
      </w:r>
      <w:r w:rsidR="00AD4B7F" w:rsidRPr="00700F82">
        <w:t xml:space="preserve"> </w:t>
      </w:r>
      <w:r w:rsidRPr="00700F82">
        <w:t xml:space="preserve">on or before the payment date for the </w:t>
      </w:r>
      <w:r w:rsidR="00AD4B7F" w:rsidRPr="00700F82">
        <w:t>PPL superannuation contribution</w:t>
      </w:r>
      <w:r w:rsidRPr="00700F82">
        <w:t>.</w:t>
      </w:r>
    </w:p>
    <w:p w14:paraId="0A549F8F" w14:textId="77777777" w:rsidR="00356C69" w:rsidRPr="00700F82" w:rsidRDefault="00356C69" w:rsidP="00C7460E">
      <w:pPr>
        <w:pStyle w:val="subsection"/>
      </w:pPr>
      <w:r w:rsidRPr="00700F82">
        <w:tab/>
        <w:t>(2)</w:t>
      </w:r>
      <w:r w:rsidRPr="00700F82">
        <w:tab/>
        <w:t xml:space="preserve">The payment date for </w:t>
      </w:r>
      <w:r w:rsidR="00AD4B7F" w:rsidRPr="00700F82">
        <w:t>a PPL superannuation contribution</w:t>
      </w:r>
      <w:r w:rsidRPr="00700F82">
        <w:t xml:space="preserve"> is to be worked out in accordance with the </w:t>
      </w:r>
      <w:r w:rsidR="00AD4B7F" w:rsidRPr="00700F82">
        <w:t>PPL rules</w:t>
      </w:r>
      <w:r w:rsidRPr="00700F82">
        <w:t>.</w:t>
      </w:r>
    </w:p>
    <w:p w14:paraId="6B79E7CB" w14:textId="77777777" w:rsidR="00356C69" w:rsidRPr="00700F82" w:rsidRDefault="00356C69" w:rsidP="00C7460E">
      <w:pPr>
        <w:pStyle w:val="subsection"/>
      </w:pPr>
      <w:r w:rsidRPr="00700F82">
        <w:tab/>
        <w:t>(3)</w:t>
      </w:r>
      <w:r w:rsidRPr="00700F82">
        <w:tab/>
        <w:t xml:space="preserve">The </w:t>
      </w:r>
      <w:r w:rsidR="00F42EF5" w:rsidRPr="00700F82">
        <w:t xml:space="preserve">payment date for the PPL superannuation contribution </w:t>
      </w:r>
      <w:r w:rsidR="00E80507" w:rsidRPr="00700F82">
        <w:t>may</w:t>
      </w:r>
      <w:r w:rsidR="00F42EF5" w:rsidRPr="00700F82">
        <w:t xml:space="preserve"> be a day in</w:t>
      </w:r>
      <w:r w:rsidR="005D6657" w:rsidRPr="00700F82">
        <w:t xml:space="preserve"> a later income year</w:t>
      </w:r>
      <w:r w:rsidR="00D07AD7" w:rsidRPr="00700F82">
        <w:t>.</w:t>
      </w:r>
    </w:p>
    <w:p w14:paraId="3EBE5573" w14:textId="77777777" w:rsidR="00356C69" w:rsidRPr="00700F82" w:rsidRDefault="003D2198" w:rsidP="00C7460E">
      <w:pPr>
        <w:pStyle w:val="ActHead5"/>
      </w:pPr>
      <w:bookmarkStart w:id="23" w:name="_Toc178780371"/>
      <w:r w:rsidRPr="00700F82">
        <w:rPr>
          <w:rStyle w:val="CharSectno"/>
        </w:rPr>
        <w:t>115</w:t>
      </w:r>
      <w:r w:rsidR="00F1687A" w:rsidRPr="00700F82">
        <w:rPr>
          <w:rStyle w:val="CharSectno"/>
        </w:rPr>
        <w:t>J</w:t>
      </w:r>
      <w:r w:rsidR="00356C69" w:rsidRPr="00700F82">
        <w:t xml:space="preserve">  Commissioner to give</w:t>
      </w:r>
      <w:r w:rsidR="00A03715" w:rsidRPr="00700F82">
        <w:t xml:space="preserve"> payment</w:t>
      </w:r>
      <w:r w:rsidR="00356C69" w:rsidRPr="00700F82">
        <w:t xml:space="preserve"> information</w:t>
      </w:r>
      <w:bookmarkEnd w:id="23"/>
    </w:p>
    <w:p w14:paraId="26E0FC9D" w14:textId="77777777" w:rsidR="00EC6623" w:rsidRPr="00700F82" w:rsidRDefault="00356C69" w:rsidP="00C7460E">
      <w:pPr>
        <w:pStyle w:val="subsection"/>
      </w:pPr>
      <w:r w:rsidRPr="00700F82">
        <w:tab/>
      </w:r>
      <w:r w:rsidR="00EC6623" w:rsidRPr="00700F82">
        <w:t>(1)</w:t>
      </w:r>
      <w:r w:rsidR="00EC6623" w:rsidRPr="00700F82">
        <w:tab/>
        <w:t xml:space="preserve">If the Commissioner pays a PPL superannuation contribution for </w:t>
      </w:r>
      <w:r w:rsidR="00982B18" w:rsidRPr="00700F82">
        <w:t>a person for an income year</w:t>
      </w:r>
      <w:r w:rsidR="00ED5D3F" w:rsidRPr="00700F82">
        <w:t>, the Commissioner must give written notice to the person that includes:</w:t>
      </w:r>
    </w:p>
    <w:p w14:paraId="2047D2BA" w14:textId="77777777" w:rsidR="00ED5D3F" w:rsidRPr="00700F82" w:rsidRDefault="00BD1CDD" w:rsidP="00C7460E">
      <w:pPr>
        <w:pStyle w:val="paragraph"/>
      </w:pPr>
      <w:r w:rsidRPr="00700F82">
        <w:tab/>
        <w:t>(a)</w:t>
      </w:r>
      <w:r w:rsidRPr="00700F82">
        <w:tab/>
        <w:t xml:space="preserve">when </w:t>
      </w:r>
      <w:r w:rsidR="00E15E16" w:rsidRPr="00700F82">
        <w:t xml:space="preserve">and to whom </w:t>
      </w:r>
      <w:r w:rsidRPr="00700F82">
        <w:t>the contribution was paid; and</w:t>
      </w:r>
    </w:p>
    <w:p w14:paraId="7E6BEC2E" w14:textId="77777777" w:rsidR="00BD1CDD" w:rsidRPr="00700F82" w:rsidRDefault="00BD1CDD" w:rsidP="00C7460E">
      <w:pPr>
        <w:pStyle w:val="paragraph"/>
      </w:pPr>
      <w:r w:rsidRPr="00700F82">
        <w:tab/>
        <w:t>(b)</w:t>
      </w:r>
      <w:r w:rsidRPr="00700F82">
        <w:tab/>
        <w:t>the amount of the contribution; and</w:t>
      </w:r>
    </w:p>
    <w:p w14:paraId="0D508CE9" w14:textId="77777777" w:rsidR="00BD1CDD" w:rsidRPr="00700F82" w:rsidRDefault="00BD1CDD" w:rsidP="00C7460E">
      <w:pPr>
        <w:pStyle w:val="paragraph"/>
      </w:pPr>
      <w:r w:rsidRPr="00700F82">
        <w:tab/>
        <w:t>(c)</w:t>
      </w:r>
      <w:r w:rsidRPr="00700F82">
        <w:tab/>
        <w:t>how the person may apply for review of the Commissioner’s decision about the amount of the contribution.</w:t>
      </w:r>
    </w:p>
    <w:p w14:paraId="663A8535" w14:textId="77777777" w:rsidR="00C30C3F" w:rsidRPr="00700F82" w:rsidRDefault="00C30C3F" w:rsidP="00C7460E">
      <w:pPr>
        <w:pStyle w:val="notetext"/>
      </w:pPr>
      <w:r w:rsidRPr="00700F82">
        <w:t>Note:</w:t>
      </w:r>
      <w:r w:rsidRPr="00700F82">
        <w:tab/>
        <w:t>The person will also be given details of the contribution:</w:t>
      </w:r>
    </w:p>
    <w:p w14:paraId="6E1535CA" w14:textId="77777777" w:rsidR="00C30C3F" w:rsidRPr="00700F82" w:rsidRDefault="00C30C3F" w:rsidP="00C7460E">
      <w:pPr>
        <w:pStyle w:val="notepara"/>
      </w:pPr>
      <w:r w:rsidRPr="00700F82">
        <w:t>(a)</w:t>
      </w:r>
      <w:r w:rsidRPr="00700F82">
        <w:tab/>
        <w:t xml:space="preserve">by the superannuation provider under the </w:t>
      </w:r>
      <w:r w:rsidRPr="00700F82">
        <w:rPr>
          <w:i/>
        </w:rPr>
        <w:t xml:space="preserve">Corporations Regulations 2001 </w:t>
      </w:r>
      <w:r w:rsidRPr="00700F82">
        <w:t>if the contribution is paid into a complying superannuation fund or an RSA account; and</w:t>
      </w:r>
    </w:p>
    <w:p w14:paraId="3EBD8A08" w14:textId="77777777" w:rsidR="00C30C3F" w:rsidRPr="00700F82" w:rsidRDefault="00C30C3F" w:rsidP="00C7460E">
      <w:pPr>
        <w:pStyle w:val="notepara"/>
      </w:pPr>
      <w:r w:rsidRPr="00700F82">
        <w:t>(b)</w:t>
      </w:r>
      <w:r w:rsidRPr="00700F82">
        <w:tab/>
        <w:t xml:space="preserve">by the Commissioner under the </w:t>
      </w:r>
      <w:r w:rsidRPr="00700F82">
        <w:rPr>
          <w:i/>
        </w:rPr>
        <w:t>Small Superannuation Accounts Act 1995</w:t>
      </w:r>
      <w:r w:rsidRPr="00700F82">
        <w:t xml:space="preserve"> if the contribution is paid into an account in the Superannuation Holding Accounts Special Account.</w:t>
      </w:r>
    </w:p>
    <w:p w14:paraId="0865344B" w14:textId="77777777" w:rsidR="00356C69" w:rsidRPr="00700F82" w:rsidRDefault="00BD1CDD" w:rsidP="00C7460E">
      <w:pPr>
        <w:pStyle w:val="subsection"/>
      </w:pPr>
      <w:r w:rsidRPr="00700F82">
        <w:tab/>
      </w:r>
      <w:r w:rsidR="00356C69" w:rsidRPr="00700F82">
        <w:t>(</w:t>
      </w:r>
      <w:r w:rsidRPr="00700F82">
        <w:t>2</w:t>
      </w:r>
      <w:r w:rsidR="00356C69" w:rsidRPr="00700F82">
        <w:t>)</w:t>
      </w:r>
      <w:r w:rsidR="00356C69" w:rsidRPr="00700F82">
        <w:tab/>
        <w:t xml:space="preserve">If the Commissioner pays a </w:t>
      </w:r>
      <w:r w:rsidR="003D2198" w:rsidRPr="00700F82">
        <w:t>PPL superannuation contribution</w:t>
      </w:r>
      <w:r w:rsidR="00356C69" w:rsidRPr="00700F82">
        <w:t xml:space="preserve"> </w:t>
      </w:r>
      <w:r w:rsidR="003D2198" w:rsidRPr="00700F82">
        <w:t xml:space="preserve">for a person for </w:t>
      </w:r>
      <w:r w:rsidR="00934C83" w:rsidRPr="00700F82">
        <w:t xml:space="preserve">an income </w:t>
      </w:r>
      <w:r w:rsidR="003D2198" w:rsidRPr="00700F82">
        <w:t>year</w:t>
      </w:r>
      <w:r w:rsidR="00356C69" w:rsidRPr="00700F82">
        <w:t xml:space="preserve"> to</w:t>
      </w:r>
      <w:r w:rsidR="00F83EFF" w:rsidRPr="00700F82">
        <w:t xml:space="preserve"> </w:t>
      </w:r>
      <w:r w:rsidR="00356C69" w:rsidRPr="00700F82">
        <w:t>the person’s legal personal representative</w:t>
      </w:r>
      <w:r w:rsidR="00F83EFF" w:rsidRPr="00700F82">
        <w:t xml:space="preserve">, </w:t>
      </w:r>
      <w:r w:rsidR="00356C69" w:rsidRPr="00700F82">
        <w:t xml:space="preserve">the </w:t>
      </w:r>
      <w:r w:rsidR="00F108F6" w:rsidRPr="00700F82">
        <w:t xml:space="preserve">notice under </w:t>
      </w:r>
      <w:r w:rsidR="00AD7F23" w:rsidRPr="00700F82">
        <w:t>subsection (</w:t>
      </w:r>
      <w:r w:rsidR="00F108F6" w:rsidRPr="00700F82">
        <w:t>1) must be given to the legal personal representative</w:t>
      </w:r>
      <w:r w:rsidR="00356C69" w:rsidRPr="00700F82">
        <w:t>.</w:t>
      </w:r>
    </w:p>
    <w:p w14:paraId="2D93DD7D" w14:textId="77777777" w:rsidR="00356C69" w:rsidRPr="00700F82" w:rsidRDefault="00356C69" w:rsidP="00C7460E">
      <w:pPr>
        <w:pStyle w:val="subsection"/>
      </w:pPr>
      <w:r w:rsidRPr="00700F82">
        <w:tab/>
        <w:t>(</w:t>
      </w:r>
      <w:r w:rsidR="00982B18" w:rsidRPr="00700F82">
        <w:t>3</w:t>
      </w:r>
      <w:r w:rsidRPr="00700F82">
        <w:t>)</w:t>
      </w:r>
      <w:r w:rsidRPr="00700F82">
        <w:tab/>
        <w:t xml:space="preserve">If the Commissioner pays a </w:t>
      </w:r>
      <w:r w:rsidR="000C0868" w:rsidRPr="00700F82">
        <w:t xml:space="preserve">PPL superannuation contribution for a person for </w:t>
      </w:r>
      <w:r w:rsidR="00934C83" w:rsidRPr="00700F82">
        <w:t>an income</w:t>
      </w:r>
      <w:r w:rsidR="000C0868" w:rsidRPr="00700F82">
        <w:t xml:space="preserve"> year</w:t>
      </w:r>
      <w:r w:rsidRPr="00700F82">
        <w:t xml:space="preserve"> to:</w:t>
      </w:r>
    </w:p>
    <w:p w14:paraId="1CA4DFC0" w14:textId="77777777" w:rsidR="00356C69" w:rsidRPr="00700F82" w:rsidRDefault="00356C69" w:rsidP="00C7460E">
      <w:pPr>
        <w:pStyle w:val="paragraph"/>
      </w:pPr>
      <w:r w:rsidRPr="00700F82">
        <w:tab/>
        <w:t>(a)</w:t>
      </w:r>
      <w:r w:rsidRPr="00700F82">
        <w:tab/>
        <w:t>the trustee of a complying superannuation fund for crediting to an account of the person within that fund; or</w:t>
      </w:r>
    </w:p>
    <w:p w14:paraId="7C288C55" w14:textId="77777777" w:rsidR="00356C69" w:rsidRPr="00700F82" w:rsidRDefault="00356C69" w:rsidP="00C7460E">
      <w:pPr>
        <w:pStyle w:val="paragraph"/>
      </w:pPr>
      <w:r w:rsidRPr="00700F82">
        <w:tab/>
        <w:t>(b)</w:t>
      </w:r>
      <w:r w:rsidRPr="00700F82">
        <w:tab/>
        <w:t>the provider of an RSA that the person holds for crediting to the RSA;</w:t>
      </w:r>
    </w:p>
    <w:p w14:paraId="3A9C92F0" w14:textId="77777777" w:rsidR="00556B76" w:rsidRPr="00700F82" w:rsidRDefault="00356C69" w:rsidP="00C7460E">
      <w:pPr>
        <w:pStyle w:val="subsection2"/>
      </w:pPr>
      <w:r w:rsidRPr="00700F82">
        <w:t xml:space="preserve">the Commissioner must give the trustee or provider the information </w:t>
      </w:r>
      <w:r w:rsidR="000C0868" w:rsidRPr="00700F82">
        <w:t xml:space="preserve">prescribed by the PPL rules </w:t>
      </w:r>
      <w:r w:rsidRPr="00700F82">
        <w:t>in relation to the contribution at the time the contribution is paid.</w:t>
      </w:r>
    </w:p>
    <w:p w14:paraId="23BDD6FC" w14:textId="77777777" w:rsidR="00DB2A3D" w:rsidRPr="00700F82" w:rsidRDefault="00AE56E0" w:rsidP="00C7460E">
      <w:pPr>
        <w:pStyle w:val="ActHead3"/>
      </w:pPr>
      <w:bookmarkStart w:id="24" w:name="_Toc178780372"/>
      <w:r w:rsidRPr="00700F82">
        <w:rPr>
          <w:rStyle w:val="CharDivNo"/>
        </w:rPr>
        <w:t>Division 3</w:t>
      </w:r>
      <w:r w:rsidR="00DB2A3D" w:rsidRPr="00700F82">
        <w:t>—</w:t>
      </w:r>
      <w:r w:rsidR="004C1034" w:rsidRPr="00700F82">
        <w:rPr>
          <w:rStyle w:val="CharDivText"/>
        </w:rPr>
        <w:t>Underpayments</w:t>
      </w:r>
      <w:bookmarkEnd w:id="24"/>
    </w:p>
    <w:p w14:paraId="44ED3433" w14:textId="77777777" w:rsidR="004C1034" w:rsidRPr="00700F82" w:rsidRDefault="004C1034" w:rsidP="00C7460E">
      <w:pPr>
        <w:pStyle w:val="ActHead5"/>
      </w:pPr>
      <w:bookmarkStart w:id="25" w:name="_Toc178780373"/>
      <w:r w:rsidRPr="00700F82">
        <w:rPr>
          <w:rStyle w:val="CharSectno"/>
        </w:rPr>
        <w:t>115</w:t>
      </w:r>
      <w:r w:rsidR="00F1687A" w:rsidRPr="00700F82">
        <w:rPr>
          <w:rStyle w:val="CharSectno"/>
        </w:rPr>
        <w:t>K</w:t>
      </w:r>
      <w:r w:rsidRPr="00700F82">
        <w:t xml:space="preserve">  Underpayment determinations</w:t>
      </w:r>
      <w:bookmarkEnd w:id="25"/>
    </w:p>
    <w:p w14:paraId="5AF85A46" w14:textId="77777777" w:rsidR="004C1034" w:rsidRPr="00700F82" w:rsidRDefault="004C1034" w:rsidP="00C7460E">
      <w:pPr>
        <w:pStyle w:val="subsection"/>
      </w:pPr>
      <w:r w:rsidRPr="00700F82">
        <w:tab/>
        <w:t>(1)</w:t>
      </w:r>
      <w:r w:rsidRPr="00700F82">
        <w:tab/>
        <w:t>This section applies if the Commissioner:</w:t>
      </w:r>
    </w:p>
    <w:p w14:paraId="04AC0FCB" w14:textId="77777777" w:rsidR="004C1034" w:rsidRPr="00700F82" w:rsidRDefault="004C1034" w:rsidP="00C7460E">
      <w:pPr>
        <w:pStyle w:val="paragraph"/>
      </w:pPr>
      <w:r w:rsidRPr="00700F82">
        <w:tab/>
        <w:t>(a)</w:t>
      </w:r>
      <w:r w:rsidRPr="00700F82">
        <w:tab/>
        <w:t xml:space="preserve">pays an amount by way of </w:t>
      </w:r>
      <w:r w:rsidR="0087594D" w:rsidRPr="00700F82">
        <w:t xml:space="preserve">a </w:t>
      </w:r>
      <w:r w:rsidR="00705DEA" w:rsidRPr="00700F82">
        <w:t>PPL superannuation contribution</w:t>
      </w:r>
      <w:r w:rsidRPr="00700F82">
        <w:t xml:space="preserve"> </w:t>
      </w:r>
      <w:r w:rsidR="00705DEA" w:rsidRPr="00700F82">
        <w:t xml:space="preserve">for </w:t>
      </w:r>
      <w:r w:rsidRPr="00700F82">
        <w:t xml:space="preserve">a person for </w:t>
      </w:r>
      <w:r w:rsidR="00934C83" w:rsidRPr="00700F82">
        <w:t xml:space="preserve">an income </w:t>
      </w:r>
      <w:r w:rsidRPr="00700F82">
        <w:t>year; and</w:t>
      </w:r>
    </w:p>
    <w:p w14:paraId="57E6827C" w14:textId="77777777" w:rsidR="004C1034" w:rsidRPr="00700F82" w:rsidRDefault="004C1034" w:rsidP="00C7460E">
      <w:pPr>
        <w:pStyle w:val="paragraph"/>
      </w:pPr>
      <w:r w:rsidRPr="00700F82">
        <w:tab/>
        <w:t>(b)</w:t>
      </w:r>
      <w:r w:rsidRPr="00700F82">
        <w:tab/>
        <w:t xml:space="preserve">is satisfied that the amount paid is less than the correct amount of the </w:t>
      </w:r>
      <w:r w:rsidR="00705DEA" w:rsidRPr="00700F82">
        <w:t xml:space="preserve">PPL superannuation </w:t>
      </w:r>
      <w:r w:rsidRPr="00700F82">
        <w:t>contribution.</w:t>
      </w:r>
    </w:p>
    <w:p w14:paraId="4128C18A" w14:textId="77777777" w:rsidR="004C1034" w:rsidRPr="00700F82" w:rsidRDefault="004C1034" w:rsidP="00C7460E">
      <w:pPr>
        <w:pStyle w:val="subsection"/>
      </w:pPr>
      <w:r w:rsidRPr="00700F82">
        <w:tab/>
        <w:t>(2)</w:t>
      </w:r>
      <w:r w:rsidRPr="00700F82">
        <w:tab/>
        <w:t xml:space="preserve">The amount by which the correct amount exceeds the amount paid is the </w:t>
      </w:r>
      <w:r w:rsidRPr="00700F82">
        <w:rPr>
          <w:b/>
          <w:i/>
        </w:rPr>
        <w:t>underpaid amount.</w:t>
      </w:r>
    </w:p>
    <w:p w14:paraId="53959396" w14:textId="77777777" w:rsidR="004C1034" w:rsidRPr="00700F82" w:rsidRDefault="004C1034" w:rsidP="00C7460E">
      <w:pPr>
        <w:pStyle w:val="subsection"/>
      </w:pPr>
      <w:r w:rsidRPr="00700F82">
        <w:tab/>
        <w:t>(3)</w:t>
      </w:r>
      <w:r w:rsidRPr="00700F82">
        <w:tab/>
        <w:t xml:space="preserve">The Commissioner must determine that the underpaid amount is to be paid </w:t>
      </w:r>
      <w:r w:rsidR="00705DEA" w:rsidRPr="00700F82">
        <w:t>for</w:t>
      </w:r>
      <w:r w:rsidRPr="00700F82">
        <w:t xml:space="preserve"> the person</w:t>
      </w:r>
      <w:r w:rsidR="00705DEA" w:rsidRPr="00700F82">
        <w:t xml:space="preserve"> for </w:t>
      </w:r>
      <w:r w:rsidRPr="00700F82">
        <w:t xml:space="preserve">the </w:t>
      </w:r>
      <w:r w:rsidR="00F91146" w:rsidRPr="00700F82">
        <w:t xml:space="preserve">income </w:t>
      </w:r>
      <w:r w:rsidRPr="00700F82">
        <w:t>year.</w:t>
      </w:r>
    </w:p>
    <w:p w14:paraId="2C4BD422" w14:textId="77777777" w:rsidR="004C1034" w:rsidRPr="00700F82" w:rsidRDefault="004C1034" w:rsidP="00C7460E">
      <w:pPr>
        <w:pStyle w:val="subsection"/>
      </w:pPr>
      <w:r w:rsidRPr="00700F82">
        <w:tab/>
        <w:t>(4)</w:t>
      </w:r>
      <w:r w:rsidRPr="00700F82">
        <w:tab/>
        <w:t xml:space="preserve">If the Commissioner makes a determination under </w:t>
      </w:r>
      <w:r w:rsidR="00AD7F23" w:rsidRPr="00700F82">
        <w:t>subsection (</w:t>
      </w:r>
      <w:r w:rsidRPr="00700F82">
        <w:t>3), the Commissioner must determine whether the underpaid amount is to be paid:</w:t>
      </w:r>
    </w:p>
    <w:p w14:paraId="7415F2BE" w14:textId="77777777" w:rsidR="004C1034" w:rsidRPr="00700F82" w:rsidRDefault="004C1034" w:rsidP="00C7460E">
      <w:pPr>
        <w:pStyle w:val="paragraph"/>
      </w:pPr>
      <w:r w:rsidRPr="00700F82">
        <w:tab/>
        <w:t>(a)</w:t>
      </w:r>
      <w:r w:rsidRPr="00700F82">
        <w:tab/>
        <w:t>to the trustee of a complying superannuation fund for crediting to an account of the person within that fund; or</w:t>
      </w:r>
    </w:p>
    <w:p w14:paraId="090E4D6D" w14:textId="77777777" w:rsidR="004C1034" w:rsidRPr="00700F82" w:rsidRDefault="004C1034" w:rsidP="00C7460E">
      <w:pPr>
        <w:pStyle w:val="paragraph"/>
      </w:pPr>
      <w:r w:rsidRPr="00700F82">
        <w:tab/>
        <w:t>(b)</w:t>
      </w:r>
      <w:r w:rsidRPr="00700F82">
        <w:tab/>
        <w:t>to the provider of an RSA that the person holds for crediting to the RSA; or</w:t>
      </w:r>
    </w:p>
    <w:p w14:paraId="04BCFF61" w14:textId="77777777" w:rsidR="004C1034" w:rsidRPr="00700F82" w:rsidRDefault="004C1034" w:rsidP="00C7460E">
      <w:pPr>
        <w:pStyle w:val="paragraph"/>
      </w:pPr>
      <w:r w:rsidRPr="00700F82">
        <w:tab/>
        <w:t>(</w:t>
      </w:r>
      <w:r w:rsidR="00D6320B" w:rsidRPr="00700F82">
        <w:t>c</w:t>
      </w:r>
      <w:r w:rsidRPr="00700F82">
        <w:t>)</w:t>
      </w:r>
      <w:r w:rsidRPr="00700F82">
        <w:tab/>
        <w:t>to the person’s legal personal representative; or</w:t>
      </w:r>
    </w:p>
    <w:p w14:paraId="619DE93A" w14:textId="77777777" w:rsidR="004C1034" w:rsidRPr="00700F82" w:rsidRDefault="004C1034" w:rsidP="00C7460E">
      <w:pPr>
        <w:pStyle w:val="paragraph"/>
      </w:pPr>
      <w:r w:rsidRPr="00700F82">
        <w:tab/>
        <w:t>(</w:t>
      </w:r>
      <w:r w:rsidR="00D6320B" w:rsidRPr="00700F82">
        <w:t>d</w:t>
      </w:r>
      <w:r w:rsidRPr="00700F82">
        <w:t>)</w:t>
      </w:r>
      <w:r w:rsidRPr="00700F82">
        <w:tab/>
        <w:t>into an account of the person in the Superannuation Holding Accounts Special Account.</w:t>
      </w:r>
    </w:p>
    <w:p w14:paraId="020950BB" w14:textId="77777777" w:rsidR="004C1034" w:rsidRPr="00700F82" w:rsidRDefault="004C1034" w:rsidP="00C7460E">
      <w:pPr>
        <w:pStyle w:val="subsection"/>
      </w:pPr>
      <w:r w:rsidRPr="00700F82">
        <w:tab/>
        <w:t>(5)</w:t>
      </w:r>
      <w:r w:rsidRPr="00700F82">
        <w:tab/>
        <w:t xml:space="preserve">If the Commissioner makes a determination under </w:t>
      </w:r>
      <w:r w:rsidR="00AE56E0" w:rsidRPr="00700F82">
        <w:t>paragraph (</w:t>
      </w:r>
      <w:r w:rsidRPr="00700F82">
        <w:t>4)(a) or (b), the Commissioner must also determine which particular account the underpaid amount is to be paid into.</w:t>
      </w:r>
    </w:p>
    <w:p w14:paraId="3A6AD6AC" w14:textId="77777777" w:rsidR="004C1034" w:rsidRPr="00700F82" w:rsidRDefault="004C1034" w:rsidP="00C7460E">
      <w:pPr>
        <w:pStyle w:val="subsection"/>
      </w:pPr>
      <w:r w:rsidRPr="00700F82">
        <w:tab/>
        <w:t>(6)</w:t>
      </w:r>
      <w:r w:rsidRPr="00700F82">
        <w:tab/>
        <w:t xml:space="preserve">The Commissioner must make determinations under </w:t>
      </w:r>
      <w:r w:rsidR="00705907" w:rsidRPr="00700F82">
        <w:t>subsections (</w:t>
      </w:r>
      <w:r w:rsidRPr="00700F82">
        <w:t xml:space="preserve">4) and (5) in accordance with </w:t>
      </w:r>
      <w:r w:rsidR="00442216" w:rsidRPr="00700F82">
        <w:t>any requirements prescribed by the PPL rules</w:t>
      </w:r>
      <w:r w:rsidRPr="00700F82">
        <w:t>.</w:t>
      </w:r>
    </w:p>
    <w:p w14:paraId="2FBA5BEE" w14:textId="77777777" w:rsidR="004C1034" w:rsidRPr="00700F82" w:rsidRDefault="004C1034" w:rsidP="00C7460E">
      <w:pPr>
        <w:pStyle w:val="subsection"/>
      </w:pPr>
      <w:r w:rsidRPr="00700F82">
        <w:tab/>
        <w:t>(7)</w:t>
      </w:r>
      <w:r w:rsidRPr="00700F82">
        <w:tab/>
        <w:t>The Commissioner may revoke a determination made under this section if the Commissioner is satisfied that:</w:t>
      </w:r>
    </w:p>
    <w:p w14:paraId="1B6582F8" w14:textId="77777777" w:rsidR="004C1034" w:rsidRPr="00700F82" w:rsidRDefault="004C1034" w:rsidP="00C7460E">
      <w:pPr>
        <w:pStyle w:val="paragraph"/>
      </w:pPr>
      <w:r w:rsidRPr="00700F82">
        <w:tab/>
        <w:t>(a)</w:t>
      </w:r>
      <w:r w:rsidRPr="00700F82">
        <w:tab/>
        <w:t>payment of the underpaid amount cannot be effected in accordance with the determination; or</w:t>
      </w:r>
    </w:p>
    <w:p w14:paraId="205E1ED7" w14:textId="77777777" w:rsidR="004C1034" w:rsidRPr="00700F82" w:rsidRDefault="004C1034" w:rsidP="00C7460E">
      <w:pPr>
        <w:pStyle w:val="paragraph"/>
      </w:pPr>
      <w:r w:rsidRPr="00700F82">
        <w:tab/>
        <w:t>(b)</w:t>
      </w:r>
      <w:r w:rsidRPr="00700F82">
        <w:tab/>
        <w:t>it is otherwise appropriate in the circumstances to revoke the determination.</w:t>
      </w:r>
    </w:p>
    <w:p w14:paraId="55D1E12A" w14:textId="77777777" w:rsidR="004C1034" w:rsidRPr="00700F82" w:rsidRDefault="004C1034" w:rsidP="00C7460E">
      <w:pPr>
        <w:pStyle w:val="subsection"/>
      </w:pPr>
      <w:r w:rsidRPr="00700F82">
        <w:tab/>
        <w:t>(8)</w:t>
      </w:r>
      <w:r w:rsidRPr="00700F82">
        <w:tab/>
        <w:t xml:space="preserve">The </w:t>
      </w:r>
      <w:r w:rsidR="00442216" w:rsidRPr="00700F82">
        <w:t>PPL rules</w:t>
      </w:r>
      <w:r w:rsidRPr="00700F82">
        <w:t xml:space="preserve"> may prescribe the time within which determinations under this section are to be made.</w:t>
      </w:r>
    </w:p>
    <w:p w14:paraId="6FB7F7E6" w14:textId="77777777" w:rsidR="004C1034" w:rsidRPr="00700F82" w:rsidRDefault="004C1034" w:rsidP="00C7460E">
      <w:pPr>
        <w:pStyle w:val="subsection"/>
      </w:pPr>
      <w:r w:rsidRPr="00700F82">
        <w:tab/>
        <w:t>(9)</w:t>
      </w:r>
      <w:r w:rsidRPr="00700F82">
        <w:tab/>
        <w:t>The Commissioner must, in accordance with the determinations made under this section, pay the underpaid amount on or before the payment date for the underpaid amount.</w:t>
      </w:r>
    </w:p>
    <w:p w14:paraId="7FAE251E" w14:textId="77777777" w:rsidR="00A80B10" w:rsidRPr="00700F82" w:rsidRDefault="00A80B10" w:rsidP="00C7460E">
      <w:pPr>
        <w:pStyle w:val="subsection"/>
      </w:pPr>
      <w:r w:rsidRPr="00700F82">
        <w:tab/>
        <w:t>(10)</w:t>
      </w:r>
      <w:r w:rsidRPr="00700F82">
        <w:tab/>
        <w:t xml:space="preserve">If the Commissioner pays </w:t>
      </w:r>
      <w:r w:rsidR="00FB2735" w:rsidRPr="00700F82">
        <w:t xml:space="preserve">an underpaid amount </w:t>
      </w:r>
      <w:r w:rsidRPr="00700F82">
        <w:t>for a person for an income year, the Commissioner must give written notice to the person that includes:</w:t>
      </w:r>
    </w:p>
    <w:p w14:paraId="56D2E5C2" w14:textId="77777777" w:rsidR="00A80B10" w:rsidRPr="00700F82" w:rsidRDefault="00A80B10" w:rsidP="00C7460E">
      <w:pPr>
        <w:pStyle w:val="paragraph"/>
      </w:pPr>
      <w:r w:rsidRPr="00700F82">
        <w:tab/>
        <w:t>(a)</w:t>
      </w:r>
      <w:r w:rsidRPr="00700F82">
        <w:tab/>
        <w:t xml:space="preserve">when and to whom the </w:t>
      </w:r>
      <w:r w:rsidR="00FB2735" w:rsidRPr="00700F82">
        <w:t>underpaid amount was</w:t>
      </w:r>
      <w:r w:rsidRPr="00700F82">
        <w:t xml:space="preserve"> paid; and</w:t>
      </w:r>
    </w:p>
    <w:p w14:paraId="73C53909" w14:textId="77777777" w:rsidR="00A80B10" w:rsidRPr="00700F82" w:rsidRDefault="00A80B10" w:rsidP="00C7460E">
      <w:pPr>
        <w:pStyle w:val="paragraph"/>
      </w:pPr>
      <w:r w:rsidRPr="00700F82">
        <w:tab/>
        <w:t>(b)</w:t>
      </w:r>
      <w:r w:rsidRPr="00700F82">
        <w:tab/>
        <w:t xml:space="preserve">the </w:t>
      </w:r>
      <w:r w:rsidR="00FB2735" w:rsidRPr="00700F82">
        <w:t>amount of the underpaid amount</w:t>
      </w:r>
      <w:r w:rsidRPr="00700F82">
        <w:t>; and</w:t>
      </w:r>
    </w:p>
    <w:p w14:paraId="702A0E3F" w14:textId="77777777" w:rsidR="00A80B10" w:rsidRPr="00700F82" w:rsidRDefault="00A80B10" w:rsidP="00C7460E">
      <w:pPr>
        <w:pStyle w:val="paragraph"/>
      </w:pPr>
      <w:r w:rsidRPr="00700F82">
        <w:tab/>
        <w:t>(c)</w:t>
      </w:r>
      <w:r w:rsidRPr="00700F82">
        <w:tab/>
        <w:t xml:space="preserve">how the person may apply for review of the Commissioner’s decision about the amount of </w:t>
      </w:r>
      <w:r w:rsidR="00FB2735" w:rsidRPr="00700F82">
        <w:t>underpaid amount</w:t>
      </w:r>
      <w:r w:rsidRPr="00700F82">
        <w:t>.</w:t>
      </w:r>
    </w:p>
    <w:p w14:paraId="18716A05" w14:textId="77777777" w:rsidR="004C1034" w:rsidRPr="00700F82" w:rsidRDefault="008875C5" w:rsidP="00C7460E">
      <w:pPr>
        <w:pStyle w:val="ActHead5"/>
      </w:pPr>
      <w:bookmarkStart w:id="26" w:name="_Toc178780374"/>
      <w:r w:rsidRPr="00700F82">
        <w:rPr>
          <w:rStyle w:val="CharSectno"/>
        </w:rPr>
        <w:t>115</w:t>
      </w:r>
      <w:r w:rsidR="00F1687A" w:rsidRPr="00700F82">
        <w:rPr>
          <w:rStyle w:val="CharSectno"/>
        </w:rPr>
        <w:t>L</w:t>
      </w:r>
      <w:r w:rsidR="004C1034" w:rsidRPr="00700F82">
        <w:t xml:space="preserve">  </w:t>
      </w:r>
      <w:r w:rsidR="00A03715" w:rsidRPr="00700F82">
        <w:t xml:space="preserve">Return of </w:t>
      </w:r>
      <w:r w:rsidR="004C1034" w:rsidRPr="00700F82">
        <w:t>underpaid amount that cannot be credited to account</w:t>
      </w:r>
      <w:bookmarkEnd w:id="26"/>
    </w:p>
    <w:p w14:paraId="51FD0148" w14:textId="77777777" w:rsidR="004C1034" w:rsidRPr="00700F82" w:rsidRDefault="004C1034" w:rsidP="00C7460E">
      <w:pPr>
        <w:pStyle w:val="subsection"/>
      </w:pPr>
      <w:r w:rsidRPr="00700F82">
        <w:tab/>
        <w:t>(1)</w:t>
      </w:r>
      <w:r w:rsidRPr="00700F82">
        <w:tab/>
        <w:t>If:</w:t>
      </w:r>
    </w:p>
    <w:p w14:paraId="7226FB39" w14:textId="77777777" w:rsidR="004C1034" w:rsidRPr="00700F82" w:rsidRDefault="004C1034" w:rsidP="00C7460E">
      <w:pPr>
        <w:pStyle w:val="paragraph"/>
      </w:pPr>
      <w:r w:rsidRPr="00700F82">
        <w:tab/>
        <w:t>(a)</w:t>
      </w:r>
      <w:r w:rsidRPr="00700F82">
        <w:tab/>
        <w:t xml:space="preserve">the underpaid amount </w:t>
      </w:r>
      <w:r w:rsidR="008875C5" w:rsidRPr="00700F82">
        <w:t>for</w:t>
      </w:r>
      <w:r w:rsidRPr="00700F82">
        <w:t xml:space="preserve"> a person</w:t>
      </w:r>
      <w:r w:rsidR="008875C5" w:rsidRPr="00700F82">
        <w:t xml:space="preserve"> for </w:t>
      </w:r>
      <w:r w:rsidR="00F91146" w:rsidRPr="00700F82">
        <w:t xml:space="preserve">an income </w:t>
      </w:r>
      <w:r w:rsidR="008875C5" w:rsidRPr="00700F82">
        <w:t>year</w:t>
      </w:r>
      <w:r w:rsidRPr="00700F82">
        <w:t xml:space="preserve"> is paid:</w:t>
      </w:r>
    </w:p>
    <w:p w14:paraId="5C80B244" w14:textId="77777777" w:rsidR="004C1034" w:rsidRPr="00700F82" w:rsidRDefault="004C1034" w:rsidP="00C7460E">
      <w:pPr>
        <w:pStyle w:val="paragraphsub"/>
      </w:pPr>
      <w:r w:rsidRPr="00700F82">
        <w:tab/>
        <w:t>(i)</w:t>
      </w:r>
      <w:r w:rsidRPr="00700F82">
        <w:tab/>
        <w:t>to the trustee of a complying superannuation fund for crediting to an account of the person within that fund; or</w:t>
      </w:r>
    </w:p>
    <w:p w14:paraId="5043BE95" w14:textId="77777777" w:rsidR="004C1034" w:rsidRPr="00700F82" w:rsidRDefault="004C1034" w:rsidP="00C7460E">
      <w:pPr>
        <w:pStyle w:val="paragraphsub"/>
      </w:pPr>
      <w:r w:rsidRPr="00700F82">
        <w:tab/>
        <w:t>(ii)</w:t>
      </w:r>
      <w:r w:rsidRPr="00700F82">
        <w:tab/>
        <w:t>to the provider of an RSA that the person holds for crediting to the RSA; and</w:t>
      </w:r>
    </w:p>
    <w:p w14:paraId="51F338D6" w14:textId="77777777" w:rsidR="004C1034" w:rsidRPr="00700F82" w:rsidRDefault="004C1034" w:rsidP="00C7460E">
      <w:pPr>
        <w:pStyle w:val="paragraph"/>
      </w:pPr>
      <w:r w:rsidRPr="00700F82">
        <w:tab/>
        <w:t>(b)</w:t>
      </w:r>
      <w:r w:rsidRPr="00700F82">
        <w:tab/>
        <w:t xml:space="preserve">the trustee or the provider has not credited the underpaid amount to an account of that kind by the end of the 28th day after the day on which the </w:t>
      </w:r>
      <w:r w:rsidR="004114C7" w:rsidRPr="00700F82">
        <w:t>underpaid amount</w:t>
      </w:r>
      <w:r w:rsidRPr="00700F82">
        <w:t xml:space="preserve"> was paid to the trustee or the provider;</w:t>
      </w:r>
    </w:p>
    <w:p w14:paraId="7AD85A5B" w14:textId="77777777" w:rsidR="004C1034" w:rsidRPr="00700F82" w:rsidRDefault="004C1034" w:rsidP="00C7460E">
      <w:pPr>
        <w:pStyle w:val="subsection2"/>
      </w:pPr>
      <w:r w:rsidRPr="00700F82">
        <w:t>the trustee or the provider:</w:t>
      </w:r>
    </w:p>
    <w:p w14:paraId="590F557C" w14:textId="77777777" w:rsidR="004C1034" w:rsidRPr="00700F82" w:rsidRDefault="004C1034" w:rsidP="00C7460E">
      <w:pPr>
        <w:pStyle w:val="paragraph"/>
      </w:pPr>
      <w:r w:rsidRPr="00700F82">
        <w:tab/>
        <w:t>(c)</w:t>
      </w:r>
      <w:r w:rsidRPr="00700F82">
        <w:tab/>
        <w:t>is liable to repay the underpaid amount to the Commonwealth; and</w:t>
      </w:r>
    </w:p>
    <w:p w14:paraId="3C4F5CC6" w14:textId="77777777" w:rsidR="004C1034" w:rsidRPr="00700F82" w:rsidRDefault="004C1034" w:rsidP="00C7460E">
      <w:pPr>
        <w:pStyle w:val="paragraph"/>
      </w:pPr>
      <w:r w:rsidRPr="00700F82">
        <w:tab/>
        <w:t>(d)</w:t>
      </w:r>
      <w:r w:rsidRPr="00700F82">
        <w:tab/>
        <w:t>must give the Commissioner a statement, in the approved form</w:t>
      </w:r>
      <w:r w:rsidR="00E77BCD" w:rsidRPr="00700F82">
        <w:t xml:space="preserve"> (within the meaning of </w:t>
      </w:r>
      <w:r w:rsidR="00AE56E0" w:rsidRPr="00700F82">
        <w:t>section 3</w:t>
      </w:r>
      <w:r w:rsidR="00E77BCD" w:rsidRPr="00700F82">
        <w:t>88</w:t>
      </w:r>
      <w:r w:rsidR="00700F82">
        <w:noBreakHyphen/>
      </w:r>
      <w:r w:rsidR="00E77BCD" w:rsidRPr="00700F82">
        <w:t xml:space="preserve">50 in </w:t>
      </w:r>
      <w:r w:rsidR="00AE56E0" w:rsidRPr="00700F82">
        <w:t>Schedule 1</w:t>
      </w:r>
      <w:r w:rsidR="00E77BCD" w:rsidRPr="00700F82">
        <w:t xml:space="preserve"> to the </w:t>
      </w:r>
      <w:r w:rsidR="00E77BCD" w:rsidRPr="00700F82">
        <w:rPr>
          <w:i/>
        </w:rPr>
        <w:t>Taxation Administration Act 1953</w:t>
      </w:r>
      <w:r w:rsidR="00E77BCD" w:rsidRPr="00700F82">
        <w:t>)</w:t>
      </w:r>
      <w:r w:rsidRPr="00700F82">
        <w:t>, in relation to the underpaid amount at the time when the underpaid amount is repaid.</w:t>
      </w:r>
    </w:p>
    <w:p w14:paraId="4BA6F2E4" w14:textId="77777777" w:rsidR="004C1034" w:rsidRPr="00700F82" w:rsidRDefault="004C1034" w:rsidP="00C7460E">
      <w:pPr>
        <w:pStyle w:val="notetext"/>
      </w:pPr>
      <w:r w:rsidRPr="00700F82">
        <w:t>Note:</w:t>
      </w:r>
      <w:r w:rsidRPr="00700F82">
        <w:tab/>
        <w:t>Section</w:t>
      </w:r>
      <w:r w:rsidR="00BD2627" w:rsidRPr="00700F82">
        <w:t xml:space="preserve"> </w:t>
      </w:r>
      <w:r w:rsidR="00661976" w:rsidRPr="00700F82">
        <w:t>115</w:t>
      </w:r>
      <w:r w:rsidR="00F1687A" w:rsidRPr="00700F82">
        <w:t>Q</w:t>
      </w:r>
      <w:r w:rsidR="00661976" w:rsidRPr="00700F82">
        <w:t xml:space="preserve"> </w:t>
      </w:r>
      <w:r w:rsidRPr="00700F82">
        <w:t>provides for the imposition of general interest charge if the underpaid amount is not repaid within a certain period.</w:t>
      </w:r>
    </w:p>
    <w:p w14:paraId="5EC1024C" w14:textId="77777777" w:rsidR="004C1034" w:rsidRPr="00700F82" w:rsidRDefault="004C1034" w:rsidP="00C7460E">
      <w:pPr>
        <w:pStyle w:val="subsection"/>
      </w:pPr>
      <w:r w:rsidRPr="00700F82">
        <w:tab/>
        <w:t>(2)</w:t>
      </w:r>
      <w:r w:rsidRPr="00700F82">
        <w:tab/>
        <w:t xml:space="preserve">The Commissioner may recover from the trustee or provider the amount the trustee or provider is liable to repay under </w:t>
      </w:r>
      <w:r w:rsidR="00AD7F23" w:rsidRPr="00700F82">
        <w:t>subsection (</w:t>
      </w:r>
      <w:r w:rsidRPr="00700F82">
        <w:t>1) as a debt due to the Commonwealth.</w:t>
      </w:r>
    </w:p>
    <w:p w14:paraId="2D8205E9" w14:textId="77777777" w:rsidR="00363526" w:rsidRPr="00700F82" w:rsidRDefault="00363526" w:rsidP="00C7460E">
      <w:pPr>
        <w:pStyle w:val="SubsectionHead"/>
      </w:pPr>
      <w:r w:rsidRPr="00700F82">
        <w:t>Offence</w:t>
      </w:r>
    </w:p>
    <w:p w14:paraId="70298F7D" w14:textId="77777777" w:rsidR="004C1034" w:rsidRPr="00700F82" w:rsidRDefault="004C1034" w:rsidP="00C7460E">
      <w:pPr>
        <w:pStyle w:val="subsection"/>
      </w:pPr>
      <w:r w:rsidRPr="00700F82">
        <w:tab/>
        <w:t>(3)</w:t>
      </w:r>
      <w:r w:rsidRPr="00700F82">
        <w:tab/>
        <w:t>The trustee or provider commits an offence if the trustee or provider fails to give the Commissioner a statement, in the approved form</w:t>
      </w:r>
      <w:r w:rsidR="00E77BCD" w:rsidRPr="00700F82">
        <w:t xml:space="preserve"> (within the meaning of </w:t>
      </w:r>
      <w:r w:rsidR="00AE56E0" w:rsidRPr="00700F82">
        <w:t>section 3</w:t>
      </w:r>
      <w:r w:rsidR="00E77BCD" w:rsidRPr="00700F82">
        <w:t>88</w:t>
      </w:r>
      <w:r w:rsidR="00700F82">
        <w:noBreakHyphen/>
      </w:r>
      <w:r w:rsidR="00E77BCD" w:rsidRPr="00700F82">
        <w:t xml:space="preserve">50 in </w:t>
      </w:r>
      <w:r w:rsidR="00AE56E0" w:rsidRPr="00700F82">
        <w:t>Schedule 1</w:t>
      </w:r>
      <w:r w:rsidR="00E77BCD" w:rsidRPr="00700F82">
        <w:t xml:space="preserve"> to the </w:t>
      </w:r>
      <w:r w:rsidR="00E77BCD" w:rsidRPr="00700F82">
        <w:rPr>
          <w:i/>
        </w:rPr>
        <w:t>Taxation Administration Act 1953</w:t>
      </w:r>
      <w:r w:rsidR="00E77BCD" w:rsidRPr="00700F82">
        <w:t>)</w:t>
      </w:r>
      <w:r w:rsidRPr="00700F82">
        <w:t>, in relation to the underpaid amount at the time when the underpaid amount is repaid.</w:t>
      </w:r>
    </w:p>
    <w:p w14:paraId="05729212" w14:textId="77777777" w:rsidR="004C1034" w:rsidRPr="00700F82" w:rsidRDefault="004C1034" w:rsidP="00C7460E">
      <w:pPr>
        <w:pStyle w:val="Penalty"/>
      </w:pPr>
      <w:r w:rsidRPr="00700F82">
        <w:t>Penalty:</w:t>
      </w:r>
      <w:r w:rsidRPr="00700F82">
        <w:tab/>
        <w:t>50 penalty units.</w:t>
      </w:r>
    </w:p>
    <w:p w14:paraId="175A6022" w14:textId="77777777" w:rsidR="004C1034" w:rsidRPr="00700F82" w:rsidRDefault="004C1034" w:rsidP="00C7460E">
      <w:pPr>
        <w:pStyle w:val="subsection"/>
      </w:pPr>
      <w:r w:rsidRPr="00700F82">
        <w:tab/>
        <w:t>(4)</w:t>
      </w:r>
      <w:r w:rsidRPr="00700F82">
        <w:tab/>
        <w:t xml:space="preserve">An offence against </w:t>
      </w:r>
      <w:r w:rsidR="00AD7F23" w:rsidRPr="00700F82">
        <w:t>subsection (</w:t>
      </w:r>
      <w:r w:rsidRPr="00700F82">
        <w:t>3) is an offence of strict liability.</w:t>
      </w:r>
    </w:p>
    <w:p w14:paraId="0126B68C" w14:textId="77777777" w:rsidR="004C1034" w:rsidRPr="00700F82" w:rsidRDefault="006C042B" w:rsidP="00C7460E">
      <w:pPr>
        <w:pStyle w:val="ActHead5"/>
      </w:pPr>
      <w:bookmarkStart w:id="27" w:name="_Toc178780375"/>
      <w:r w:rsidRPr="00700F82">
        <w:rPr>
          <w:rStyle w:val="CharSectno"/>
        </w:rPr>
        <w:t>115</w:t>
      </w:r>
      <w:r w:rsidR="00F1687A" w:rsidRPr="00700F82">
        <w:rPr>
          <w:rStyle w:val="CharSectno"/>
        </w:rPr>
        <w:t>M</w:t>
      </w:r>
      <w:r w:rsidR="004C1034" w:rsidRPr="00700F82">
        <w:t xml:space="preserve">  </w:t>
      </w:r>
      <w:r w:rsidR="0002774B" w:rsidRPr="00700F82">
        <w:t xml:space="preserve">Interest </w:t>
      </w:r>
      <w:r w:rsidR="004C1034" w:rsidRPr="00700F82">
        <w:t>amount if underpaid amount paid late in certain circumstances</w:t>
      </w:r>
      <w:bookmarkEnd w:id="27"/>
    </w:p>
    <w:p w14:paraId="4535C332" w14:textId="77777777" w:rsidR="004C1034" w:rsidRPr="00700F82" w:rsidRDefault="004C1034" w:rsidP="00C7460E">
      <w:pPr>
        <w:pStyle w:val="subsection"/>
      </w:pPr>
      <w:r w:rsidRPr="00700F82">
        <w:tab/>
        <w:t>(1)</w:t>
      </w:r>
      <w:r w:rsidRPr="00700F82">
        <w:tab/>
        <w:t xml:space="preserve">The amount of the </w:t>
      </w:r>
      <w:r w:rsidR="000D7AE6" w:rsidRPr="00700F82">
        <w:t>PPL superannuation contribution</w:t>
      </w:r>
      <w:r w:rsidRPr="00700F82">
        <w:t xml:space="preserve"> </w:t>
      </w:r>
      <w:r w:rsidR="000D7AE6" w:rsidRPr="00700F82">
        <w:t xml:space="preserve">for a </w:t>
      </w:r>
      <w:r w:rsidRPr="00700F82">
        <w:t xml:space="preserve">person for </w:t>
      </w:r>
      <w:r w:rsidR="00F91146" w:rsidRPr="00700F82">
        <w:t xml:space="preserve">an income </w:t>
      </w:r>
      <w:r w:rsidRPr="00700F82">
        <w:t xml:space="preserve">year is increased by the amount of interest worked out under </w:t>
      </w:r>
      <w:r w:rsidR="00AD7F23" w:rsidRPr="00700F82">
        <w:t>subsection (</w:t>
      </w:r>
      <w:r w:rsidRPr="00700F82">
        <w:t>3) if the Commissioner does not pay the underpaid amount in full on or before the payment date for the underpaid amount.</w:t>
      </w:r>
    </w:p>
    <w:p w14:paraId="3A8E20B2" w14:textId="77777777" w:rsidR="004C1034" w:rsidRPr="00700F82" w:rsidRDefault="004C1034" w:rsidP="00C7460E">
      <w:pPr>
        <w:pStyle w:val="subsection"/>
      </w:pPr>
      <w:r w:rsidRPr="00700F82">
        <w:tab/>
        <w:t>(2)</w:t>
      </w:r>
      <w:r w:rsidRPr="00700F82">
        <w:tab/>
        <w:t xml:space="preserve">The payment date for the underpaid amount is to be worked out in accordance with the </w:t>
      </w:r>
      <w:r w:rsidR="000D7AE6" w:rsidRPr="00700F82">
        <w:t>PPL rules</w:t>
      </w:r>
      <w:r w:rsidRPr="00700F82">
        <w:t>.</w:t>
      </w:r>
    </w:p>
    <w:p w14:paraId="79890F32" w14:textId="77777777" w:rsidR="004C1034" w:rsidRPr="00700F82" w:rsidRDefault="004C1034" w:rsidP="00C7460E">
      <w:pPr>
        <w:pStyle w:val="subsection"/>
      </w:pPr>
      <w:r w:rsidRPr="00700F82">
        <w:tab/>
        <w:t>(3)</w:t>
      </w:r>
      <w:r w:rsidRPr="00700F82">
        <w:tab/>
        <w:t>The interest is to be calculated:</w:t>
      </w:r>
    </w:p>
    <w:p w14:paraId="1A18FCC2" w14:textId="77777777" w:rsidR="004C1034" w:rsidRPr="00700F82" w:rsidRDefault="004C1034" w:rsidP="00C7460E">
      <w:pPr>
        <w:pStyle w:val="paragraph"/>
      </w:pPr>
      <w:r w:rsidRPr="00700F82">
        <w:tab/>
        <w:t>(a)</w:t>
      </w:r>
      <w:r w:rsidRPr="00700F82">
        <w:tab/>
        <w:t>on the underpaid amount that remains unpaid on the payment date for the underpaid amount; and</w:t>
      </w:r>
    </w:p>
    <w:p w14:paraId="4BA5613D" w14:textId="77777777" w:rsidR="004C1034" w:rsidRPr="00700F82" w:rsidRDefault="004C1034" w:rsidP="00C7460E">
      <w:pPr>
        <w:pStyle w:val="paragraph"/>
      </w:pPr>
      <w:r w:rsidRPr="00700F82">
        <w:tab/>
        <w:t>(b)</w:t>
      </w:r>
      <w:r w:rsidRPr="00700F82">
        <w:tab/>
        <w:t xml:space="preserve">for the period from the payment date for the underpaid amount (see </w:t>
      </w:r>
      <w:r w:rsidR="00AD7F23" w:rsidRPr="00700F82">
        <w:t>subsection (</w:t>
      </w:r>
      <w:r w:rsidRPr="00700F82">
        <w:t>2)) until the day on which the underpaid amount is paid in full; and</w:t>
      </w:r>
    </w:p>
    <w:p w14:paraId="229034EF" w14:textId="77777777" w:rsidR="004C1034" w:rsidRPr="00700F82" w:rsidRDefault="004C1034" w:rsidP="00C7460E">
      <w:pPr>
        <w:pStyle w:val="paragraph"/>
      </w:pPr>
      <w:r w:rsidRPr="00700F82">
        <w:tab/>
        <w:t>(c)</w:t>
      </w:r>
      <w:r w:rsidRPr="00700F82">
        <w:tab/>
        <w:t>on a daily basis; and</w:t>
      </w:r>
    </w:p>
    <w:p w14:paraId="114B6B27" w14:textId="77777777" w:rsidR="004C1034" w:rsidRPr="00700F82" w:rsidRDefault="004C1034" w:rsidP="00C7460E">
      <w:pPr>
        <w:pStyle w:val="paragraph"/>
      </w:pPr>
      <w:r w:rsidRPr="00700F82">
        <w:tab/>
        <w:t>(d)</w:t>
      </w:r>
      <w:r w:rsidRPr="00700F82">
        <w:tab/>
        <w:t>at the base interest rate for the day on which the interest is calculated.</w:t>
      </w:r>
    </w:p>
    <w:p w14:paraId="155A5EBC" w14:textId="77777777" w:rsidR="004C1034" w:rsidRPr="00700F82" w:rsidRDefault="0032124B" w:rsidP="00C7460E">
      <w:pPr>
        <w:pStyle w:val="ActHead5"/>
      </w:pPr>
      <w:bookmarkStart w:id="28" w:name="_Toc178780376"/>
      <w:r w:rsidRPr="00700F82">
        <w:rPr>
          <w:rStyle w:val="CharSectno"/>
        </w:rPr>
        <w:t>115</w:t>
      </w:r>
      <w:r w:rsidR="00F1687A" w:rsidRPr="00700F82">
        <w:rPr>
          <w:rStyle w:val="CharSectno"/>
        </w:rPr>
        <w:t>N</w:t>
      </w:r>
      <w:r w:rsidR="004C1034" w:rsidRPr="00700F82">
        <w:t xml:space="preserve">  </w:t>
      </w:r>
      <w:r w:rsidR="00A03715" w:rsidRPr="00700F82">
        <w:t>I</w:t>
      </w:r>
      <w:r w:rsidR="004C1034" w:rsidRPr="00700F82">
        <w:t>nterest amount if underpaid amount due to administrative error</w:t>
      </w:r>
      <w:bookmarkEnd w:id="28"/>
    </w:p>
    <w:p w14:paraId="46F1022D" w14:textId="77777777" w:rsidR="004C1034" w:rsidRPr="00700F82" w:rsidRDefault="004C1034" w:rsidP="00C7460E">
      <w:pPr>
        <w:pStyle w:val="subsection"/>
      </w:pPr>
      <w:r w:rsidRPr="00700F82">
        <w:tab/>
        <w:t>(1)</w:t>
      </w:r>
      <w:r w:rsidRPr="00700F82">
        <w:tab/>
        <w:t>This section applies if:</w:t>
      </w:r>
    </w:p>
    <w:p w14:paraId="26ED54D0" w14:textId="77777777" w:rsidR="004C1034" w:rsidRPr="00700F82" w:rsidRDefault="004C1034" w:rsidP="00C7460E">
      <w:pPr>
        <w:pStyle w:val="paragraph"/>
      </w:pPr>
      <w:r w:rsidRPr="00700F82">
        <w:tab/>
        <w:t>(a)</w:t>
      </w:r>
      <w:r w:rsidRPr="00700F82">
        <w:tab/>
        <w:t xml:space="preserve">the Commissioner makes a determination under </w:t>
      </w:r>
      <w:r w:rsidR="00705907" w:rsidRPr="00700F82">
        <w:t>section</w:t>
      </w:r>
      <w:r w:rsidR="001D0859" w:rsidRPr="00700F82">
        <w:t xml:space="preserve"> </w:t>
      </w:r>
      <w:r w:rsidR="00793354" w:rsidRPr="00700F82">
        <w:t>115</w:t>
      </w:r>
      <w:r w:rsidR="00F1687A" w:rsidRPr="00700F82">
        <w:t>K</w:t>
      </w:r>
      <w:r w:rsidRPr="00700F82">
        <w:t xml:space="preserve"> that an underpaid amount is to be paid </w:t>
      </w:r>
      <w:r w:rsidR="00793354" w:rsidRPr="00700F82">
        <w:t>for</w:t>
      </w:r>
      <w:r w:rsidRPr="00700F82">
        <w:t xml:space="preserve"> a person for </w:t>
      </w:r>
      <w:r w:rsidR="00F91146" w:rsidRPr="00700F82">
        <w:t>an income</w:t>
      </w:r>
      <w:r w:rsidR="00793354" w:rsidRPr="00700F82">
        <w:t xml:space="preserve"> yea</w:t>
      </w:r>
      <w:r w:rsidRPr="00700F82">
        <w:t>r; and</w:t>
      </w:r>
    </w:p>
    <w:p w14:paraId="79DB6894" w14:textId="77777777" w:rsidR="004C1034" w:rsidRPr="00700F82" w:rsidRDefault="004C1034" w:rsidP="00C7460E">
      <w:pPr>
        <w:pStyle w:val="paragraph"/>
        <w:keepNext/>
      </w:pPr>
      <w:r w:rsidRPr="00700F82">
        <w:tab/>
        <w:t>(b)</w:t>
      </w:r>
      <w:r w:rsidRPr="00700F82">
        <w:tab/>
        <w:t xml:space="preserve">the determination is made on the basis that a particular amount is the correct amount of the </w:t>
      </w:r>
      <w:r w:rsidR="00793354" w:rsidRPr="00700F82">
        <w:t>PPL superannuation contribution</w:t>
      </w:r>
      <w:r w:rsidRPr="00700F82">
        <w:t xml:space="preserve"> payable </w:t>
      </w:r>
      <w:r w:rsidR="00793354" w:rsidRPr="00700F82">
        <w:t>for</w:t>
      </w:r>
      <w:r w:rsidRPr="00700F82">
        <w:t xml:space="preserve"> the person for the </w:t>
      </w:r>
      <w:r w:rsidR="00F91146" w:rsidRPr="00700F82">
        <w:t>income</w:t>
      </w:r>
      <w:r w:rsidRPr="00700F82">
        <w:t xml:space="preserve"> year; and</w:t>
      </w:r>
    </w:p>
    <w:p w14:paraId="7147FEBB" w14:textId="77777777" w:rsidR="004C1034" w:rsidRPr="00700F82" w:rsidRDefault="004C1034" w:rsidP="00C7460E">
      <w:pPr>
        <w:pStyle w:val="paragraph"/>
      </w:pPr>
      <w:r w:rsidRPr="00700F82">
        <w:tab/>
        <w:t>(c)</w:t>
      </w:r>
      <w:r w:rsidRPr="00700F82">
        <w:tab/>
        <w:t>the determination is necessary to correct an administrative error.</w:t>
      </w:r>
    </w:p>
    <w:p w14:paraId="72044DA2" w14:textId="77777777" w:rsidR="004C1034" w:rsidRPr="00700F82" w:rsidRDefault="004C1034" w:rsidP="00C7460E">
      <w:pPr>
        <w:pStyle w:val="subsection"/>
      </w:pPr>
      <w:r w:rsidRPr="00700F82">
        <w:tab/>
        <w:t>(2)</w:t>
      </w:r>
      <w:r w:rsidRPr="00700F82">
        <w:tab/>
        <w:t xml:space="preserve">The </w:t>
      </w:r>
      <w:r w:rsidRPr="00700F82">
        <w:rPr>
          <w:b/>
          <w:i/>
        </w:rPr>
        <w:t>payment shortfall</w:t>
      </w:r>
      <w:r w:rsidRPr="00700F82">
        <w:t xml:space="preserve"> is the difference between:</w:t>
      </w:r>
    </w:p>
    <w:p w14:paraId="2A2329E0" w14:textId="77777777" w:rsidR="004C1034" w:rsidRPr="00700F82" w:rsidRDefault="004C1034" w:rsidP="00C7460E">
      <w:pPr>
        <w:pStyle w:val="paragraph"/>
      </w:pPr>
      <w:r w:rsidRPr="00700F82">
        <w:tab/>
        <w:t>(a)</w:t>
      </w:r>
      <w:r w:rsidRPr="00700F82">
        <w:tab/>
        <w:t xml:space="preserve">the amount referred to in </w:t>
      </w:r>
      <w:r w:rsidR="00AE56E0" w:rsidRPr="00700F82">
        <w:t>paragraph (</w:t>
      </w:r>
      <w:r w:rsidRPr="00700F82">
        <w:t>1)(b); and</w:t>
      </w:r>
    </w:p>
    <w:p w14:paraId="220A511E" w14:textId="77777777" w:rsidR="004C1034" w:rsidRPr="00700F82" w:rsidRDefault="004C1034" w:rsidP="00C7460E">
      <w:pPr>
        <w:pStyle w:val="paragraph"/>
      </w:pPr>
      <w:r w:rsidRPr="00700F82">
        <w:tab/>
        <w:t>(b)</w:t>
      </w:r>
      <w:r w:rsidRPr="00700F82">
        <w:tab/>
        <w:t>the sum of the amounts that have already been paid by way of</w:t>
      </w:r>
      <w:r w:rsidR="00793354" w:rsidRPr="00700F82">
        <w:t xml:space="preserve"> a PPL superannuation contrib</w:t>
      </w:r>
      <w:r w:rsidR="002F2E6F" w:rsidRPr="00700F82">
        <w:t>u</w:t>
      </w:r>
      <w:r w:rsidR="00793354" w:rsidRPr="00700F82">
        <w:t>t</w:t>
      </w:r>
      <w:r w:rsidRPr="00700F82">
        <w:t>i</w:t>
      </w:r>
      <w:r w:rsidR="002F2E6F" w:rsidRPr="00700F82">
        <w:t>o</w:t>
      </w:r>
      <w:r w:rsidRPr="00700F82">
        <w:t xml:space="preserve">n </w:t>
      </w:r>
      <w:r w:rsidR="002F2E6F" w:rsidRPr="00700F82">
        <w:t xml:space="preserve">for </w:t>
      </w:r>
      <w:r w:rsidRPr="00700F82">
        <w:t xml:space="preserve">the person for the </w:t>
      </w:r>
      <w:r w:rsidR="00F91146" w:rsidRPr="00700F82">
        <w:t xml:space="preserve">income </w:t>
      </w:r>
      <w:r w:rsidRPr="00700F82">
        <w:t xml:space="preserve">year before the determination under </w:t>
      </w:r>
      <w:r w:rsidR="00705907" w:rsidRPr="00700F82">
        <w:t>section</w:t>
      </w:r>
      <w:r w:rsidR="009578C7" w:rsidRPr="00700F82">
        <w:t xml:space="preserve"> </w:t>
      </w:r>
      <w:r w:rsidR="002F2E6F" w:rsidRPr="00700F82">
        <w:t>115</w:t>
      </w:r>
      <w:r w:rsidR="00F1687A" w:rsidRPr="00700F82">
        <w:t>K</w:t>
      </w:r>
      <w:r w:rsidR="002F2E6F" w:rsidRPr="00700F82">
        <w:t xml:space="preserve"> </w:t>
      </w:r>
      <w:r w:rsidRPr="00700F82">
        <w:t>is made</w:t>
      </w:r>
      <w:r w:rsidRPr="00700F82">
        <w:rPr>
          <w:b/>
          <w:i/>
        </w:rPr>
        <w:t>.</w:t>
      </w:r>
    </w:p>
    <w:p w14:paraId="00D69E1B" w14:textId="77777777" w:rsidR="004C1034" w:rsidRPr="00700F82" w:rsidRDefault="004C1034" w:rsidP="00C7460E">
      <w:pPr>
        <w:pStyle w:val="subsection"/>
      </w:pPr>
      <w:r w:rsidRPr="00700F82">
        <w:tab/>
        <w:t>(3)</w:t>
      </w:r>
      <w:r w:rsidRPr="00700F82">
        <w:tab/>
        <w:t xml:space="preserve">The amount of the </w:t>
      </w:r>
      <w:r w:rsidR="002F2E6F" w:rsidRPr="00700F82">
        <w:t>PPL superannuation contribution</w:t>
      </w:r>
      <w:r w:rsidRPr="00700F82">
        <w:t xml:space="preserve"> </w:t>
      </w:r>
      <w:r w:rsidR="002F2E6F" w:rsidRPr="00700F82">
        <w:t xml:space="preserve">for </w:t>
      </w:r>
      <w:r w:rsidRPr="00700F82">
        <w:t xml:space="preserve">the person for the </w:t>
      </w:r>
      <w:r w:rsidR="00F91146" w:rsidRPr="00700F82">
        <w:t>income</w:t>
      </w:r>
      <w:r w:rsidRPr="00700F82">
        <w:t xml:space="preserve"> year is increased by the amount of interest worked out under </w:t>
      </w:r>
      <w:r w:rsidR="00AD7F23" w:rsidRPr="00700F82">
        <w:t>subsection (</w:t>
      </w:r>
      <w:r w:rsidRPr="00700F82">
        <w:t>4).</w:t>
      </w:r>
    </w:p>
    <w:p w14:paraId="447C19BF" w14:textId="77777777" w:rsidR="004C1034" w:rsidRPr="00700F82" w:rsidRDefault="004C1034" w:rsidP="00C7460E">
      <w:pPr>
        <w:pStyle w:val="subsection"/>
      </w:pPr>
      <w:r w:rsidRPr="00700F82">
        <w:tab/>
        <w:t>(4)</w:t>
      </w:r>
      <w:r w:rsidRPr="00700F82">
        <w:tab/>
        <w:t>The interest is to be calculated:</w:t>
      </w:r>
    </w:p>
    <w:p w14:paraId="67F4871B" w14:textId="77777777" w:rsidR="004C1034" w:rsidRPr="00700F82" w:rsidRDefault="004C1034" w:rsidP="00C7460E">
      <w:pPr>
        <w:pStyle w:val="paragraph"/>
      </w:pPr>
      <w:r w:rsidRPr="00700F82">
        <w:tab/>
        <w:t>(a)</w:t>
      </w:r>
      <w:r w:rsidRPr="00700F82">
        <w:tab/>
        <w:t>on the amount of the payment shortfall; and</w:t>
      </w:r>
    </w:p>
    <w:p w14:paraId="2AF0107E" w14:textId="77777777" w:rsidR="004C1034" w:rsidRPr="00700F82" w:rsidRDefault="004C1034" w:rsidP="00C7460E">
      <w:pPr>
        <w:pStyle w:val="paragraph"/>
      </w:pPr>
      <w:r w:rsidRPr="00700F82">
        <w:tab/>
        <w:t>(b)</w:t>
      </w:r>
      <w:r w:rsidRPr="00700F82">
        <w:tab/>
        <w:t xml:space="preserve">for the period from the payment date for the </w:t>
      </w:r>
      <w:r w:rsidR="003F7643" w:rsidRPr="00700F82">
        <w:t>PP</w:t>
      </w:r>
      <w:r w:rsidR="001D0C16" w:rsidRPr="00700F82">
        <w:t>L</w:t>
      </w:r>
      <w:r w:rsidR="006951E8" w:rsidRPr="00700F82">
        <w:t xml:space="preserve"> superannuation</w:t>
      </w:r>
      <w:r w:rsidR="003F7643" w:rsidRPr="00700F82">
        <w:t xml:space="preserve"> contribution</w:t>
      </w:r>
      <w:r w:rsidRPr="00700F82">
        <w:t xml:space="preserve"> until the payment date for the underpaid amount; and</w:t>
      </w:r>
    </w:p>
    <w:p w14:paraId="56B58B03" w14:textId="77777777" w:rsidR="004C1034" w:rsidRPr="00700F82" w:rsidRDefault="004C1034" w:rsidP="00C7460E">
      <w:pPr>
        <w:pStyle w:val="paragraph"/>
      </w:pPr>
      <w:r w:rsidRPr="00700F82">
        <w:tab/>
        <w:t>(c)</w:t>
      </w:r>
      <w:r w:rsidRPr="00700F82">
        <w:tab/>
        <w:t>on a daily basis; and</w:t>
      </w:r>
    </w:p>
    <w:p w14:paraId="0DA2D8BF" w14:textId="77777777" w:rsidR="004C1034" w:rsidRPr="00700F82" w:rsidRDefault="004C1034" w:rsidP="00C7460E">
      <w:pPr>
        <w:pStyle w:val="paragraph"/>
      </w:pPr>
      <w:r w:rsidRPr="00700F82">
        <w:tab/>
        <w:t>(d)</w:t>
      </w:r>
      <w:r w:rsidRPr="00700F82">
        <w:tab/>
        <w:t>at the base interest rate for the day on which the interest is calculated.</w:t>
      </w:r>
    </w:p>
    <w:p w14:paraId="3B61C505" w14:textId="77777777" w:rsidR="004C1034" w:rsidRPr="00700F82" w:rsidRDefault="004C1034" w:rsidP="00C7460E">
      <w:pPr>
        <w:pStyle w:val="subsection"/>
      </w:pPr>
      <w:r w:rsidRPr="00700F82">
        <w:tab/>
        <w:t>(5)</w:t>
      </w:r>
      <w:r w:rsidRPr="00700F82">
        <w:tab/>
        <w:t xml:space="preserve">The </w:t>
      </w:r>
      <w:r w:rsidR="003F7643" w:rsidRPr="00700F82">
        <w:t>PPL rules</w:t>
      </w:r>
      <w:r w:rsidRPr="00700F82">
        <w:t>:</w:t>
      </w:r>
    </w:p>
    <w:p w14:paraId="30D01C0C" w14:textId="77777777" w:rsidR="004C1034" w:rsidRPr="00700F82" w:rsidRDefault="004C1034" w:rsidP="00C7460E">
      <w:pPr>
        <w:pStyle w:val="paragraph"/>
      </w:pPr>
      <w:r w:rsidRPr="00700F82">
        <w:tab/>
        <w:t>(a)</w:t>
      </w:r>
      <w:r w:rsidRPr="00700F82">
        <w:tab/>
        <w:t xml:space="preserve">may provide that an error of a kind specified in the </w:t>
      </w:r>
      <w:r w:rsidR="003F7643" w:rsidRPr="00700F82">
        <w:t>PPL rules</w:t>
      </w:r>
      <w:r w:rsidRPr="00700F82">
        <w:t xml:space="preserve"> is an administrative error for the purposes of this section; and</w:t>
      </w:r>
    </w:p>
    <w:p w14:paraId="3AD0B9EC" w14:textId="77777777" w:rsidR="00DE310B" w:rsidRPr="00700F82" w:rsidRDefault="004C1034" w:rsidP="00C7460E">
      <w:pPr>
        <w:pStyle w:val="paragraph"/>
      </w:pPr>
      <w:r w:rsidRPr="00700F82">
        <w:tab/>
        <w:t>(b)</w:t>
      </w:r>
      <w:r w:rsidRPr="00700F82">
        <w:tab/>
        <w:t xml:space="preserve">may provide that an error of a kind specified in the </w:t>
      </w:r>
      <w:r w:rsidR="003F7643" w:rsidRPr="00700F82">
        <w:t>PPL rules</w:t>
      </w:r>
      <w:r w:rsidRPr="00700F82">
        <w:t xml:space="preserve"> is not an administrative error for the purposes of this section.</w:t>
      </w:r>
    </w:p>
    <w:p w14:paraId="74796A19" w14:textId="77777777" w:rsidR="004C1034" w:rsidRPr="00700F82" w:rsidRDefault="00AE56E0" w:rsidP="00C7460E">
      <w:pPr>
        <w:pStyle w:val="ActHead3"/>
      </w:pPr>
      <w:bookmarkStart w:id="29" w:name="_Toc178780377"/>
      <w:r w:rsidRPr="00700F82">
        <w:rPr>
          <w:rStyle w:val="CharDivNo"/>
        </w:rPr>
        <w:t>Division 4</w:t>
      </w:r>
      <w:r w:rsidR="000A58C0" w:rsidRPr="00700F82">
        <w:t>—</w:t>
      </w:r>
      <w:r w:rsidR="000A58C0" w:rsidRPr="00700F82">
        <w:rPr>
          <w:rStyle w:val="CharDivText"/>
        </w:rPr>
        <w:t>O</w:t>
      </w:r>
      <w:r w:rsidR="004C1034" w:rsidRPr="00700F82">
        <w:rPr>
          <w:rStyle w:val="CharDivText"/>
        </w:rPr>
        <w:t>verpayments</w:t>
      </w:r>
      <w:bookmarkEnd w:id="29"/>
    </w:p>
    <w:p w14:paraId="70E83957" w14:textId="77777777" w:rsidR="004C1034" w:rsidRPr="00700F82" w:rsidRDefault="000A58C0" w:rsidP="00C7460E">
      <w:pPr>
        <w:pStyle w:val="ActHead5"/>
      </w:pPr>
      <w:bookmarkStart w:id="30" w:name="_Toc178780378"/>
      <w:r w:rsidRPr="00700F82">
        <w:rPr>
          <w:rStyle w:val="CharSectno"/>
        </w:rPr>
        <w:t>115</w:t>
      </w:r>
      <w:r w:rsidR="00F1687A" w:rsidRPr="00700F82">
        <w:rPr>
          <w:rStyle w:val="CharSectno"/>
        </w:rPr>
        <w:t>P</w:t>
      </w:r>
      <w:r w:rsidR="004C1034" w:rsidRPr="00700F82">
        <w:t xml:space="preserve">  Recovery of overpayment of </w:t>
      </w:r>
      <w:r w:rsidRPr="00700F82">
        <w:t xml:space="preserve">PPL superannuation </w:t>
      </w:r>
      <w:r w:rsidR="004C1034" w:rsidRPr="00700F82">
        <w:t>contribution</w:t>
      </w:r>
      <w:bookmarkEnd w:id="30"/>
    </w:p>
    <w:p w14:paraId="17ECACFA" w14:textId="77777777" w:rsidR="004C1034" w:rsidRPr="00700F82" w:rsidRDefault="004C1034" w:rsidP="00C7460E">
      <w:pPr>
        <w:pStyle w:val="subsection"/>
      </w:pPr>
      <w:r w:rsidRPr="00700F82">
        <w:tab/>
        <w:t>(1)</w:t>
      </w:r>
      <w:r w:rsidRPr="00700F82">
        <w:tab/>
        <w:t>This section applies if:</w:t>
      </w:r>
    </w:p>
    <w:p w14:paraId="6DB4BBB9" w14:textId="77777777" w:rsidR="004C1034" w:rsidRPr="00700F82" w:rsidRDefault="004C1034" w:rsidP="00C7460E">
      <w:pPr>
        <w:pStyle w:val="paragraph"/>
      </w:pPr>
      <w:r w:rsidRPr="00700F82">
        <w:tab/>
        <w:t>(a)</w:t>
      </w:r>
      <w:r w:rsidRPr="00700F82">
        <w:tab/>
        <w:t xml:space="preserve">the Commissioner pays an amount by way of </w:t>
      </w:r>
      <w:r w:rsidR="00AB1CCC" w:rsidRPr="00700F82">
        <w:t>a PPL superannuation contribution for</w:t>
      </w:r>
      <w:r w:rsidRPr="00700F82">
        <w:t xml:space="preserve"> a person for </w:t>
      </w:r>
      <w:r w:rsidR="00934C83" w:rsidRPr="00700F82">
        <w:t xml:space="preserve">an income </w:t>
      </w:r>
      <w:r w:rsidRPr="00700F82">
        <w:t>year; and</w:t>
      </w:r>
    </w:p>
    <w:p w14:paraId="49929E4B" w14:textId="77777777" w:rsidR="004C1034" w:rsidRPr="00700F82" w:rsidRDefault="004C1034" w:rsidP="00C7460E">
      <w:pPr>
        <w:pStyle w:val="paragraph"/>
      </w:pPr>
      <w:r w:rsidRPr="00700F82">
        <w:tab/>
        <w:t>(b)</w:t>
      </w:r>
      <w:r w:rsidRPr="00700F82">
        <w:tab/>
        <w:t>either:</w:t>
      </w:r>
    </w:p>
    <w:p w14:paraId="18CF8747" w14:textId="77777777" w:rsidR="004C1034" w:rsidRPr="00700F82" w:rsidRDefault="004C1034" w:rsidP="00C7460E">
      <w:pPr>
        <w:pStyle w:val="paragraphsub"/>
      </w:pPr>
      <w:r w:rsidRPr="00700F82">
        <w:tab/>
        <w:t>(i)</w:t>
      </w:r>
      <w:r w:rsidRPr="00700F82">
        <w:tab/>
        <w:t xml:space="preserve">the </w:t>
      </w:r>
      <w:r w:rsidR="00C55C63" w:rsidRPr="00700F82">
        <w:t>PPL superannuation contribution</w:t>
      </w:r>
      <w:r w:rsidRPr="00700F82">
        <w:t xml:space="preserve"> was not payable</w:t>
      </w:r>
      <w:r w:rsidR="00C55C63" w:rsidRPr="00700F82">
        <w:t xml:space="preserve"> for</w:t>
      </w:r>
      <w:r w:rsidRPr="00700F82">
        <w:t xml:space="preserve"> the person for the </w:t>
      </w:r>
      <w:r w:rsidR="00934C83" w:rsidRPr="00700F82">
        <w:t>income</w:t>
      </w:r>
      <w:r w:rsidRPr="00700F82">
        <w:t xml:space="preserve"> year; or</w:t>
      </w:r>
    </w:p>
    <w:p w14:paraId="6C857513" w14:textId="77777777" w:rsidR="004C1034" w:rsidRPr="00700F82" w:rsidRDefault="004C1034" w:rsidP="00C7460E">
      <w:pPr>
        <w:pStyle w:val="paragraphsub"/>
      </w:pPr>
      <w:r w:rsidRPr="00700F82">
        <w:tab/>
        <w:t>(ii)</w:t>
      </w:r>
      <w:r w:rsidRPr="00700F82">
        <w:tab/>
        <w:t xml:space="preserve">the amount paid is more than the correct amount of the </w:t>
      </w:r>
      <w:r w:rsidR="005B455E" w:rsidRPr="00700F82">
        <w:t>PPL superannuation contribution</w:t>
      </w:r>
      <w:r w:rsidRPr="00700F82">
        <w:t>.</w:t>
      </w:r>
    </w:p>
    <w:p w14:paraId="56E94247" w14:textId="77777777" w:rsidR="004C1034" w:rsidRPr="00700F82" w:rsidRDefault="004C1034" w:rsidP="00C7460E">
      <w:pPr>
        <w:pStyle w:val="subsection"/>
      </w:pPr>
      <w:r w:rsidRPr="00700F82">
        <w:tab/>
        <w:t>(2)</w:t>
      </w:r>
      <w:r w:rsidRPr="00700F82">
        <w:tab/>
        <w:t xml:space="preserve">The </w:t>
      </w:r>
      <w:r w:rsidRPr="00700F82">
        <w:rPr>
          <w:b/>
          <w:i/>
        </w:rPr>
        <w:t>amount overpaid</w:t>
      </w:r>
      <w:r w:rsidRPr="00700F82">
        <w:t xml:space="preserve"> is:</w:t>
      </w:r>
    </w:p>
    <w:p w14:paraId="4DA078AE" w14:textId="77777777" w:rsidR="004C1034" w:rsidRPr="00700F82" w:rsidRDefault="004C1034" w:rsidP="00C7460E">
      <w:pPr>
        <w:pStyle w:val="paragraph"/>
      </w:pPr>
      <w:r w:rsidRPr="00700F82">
        <w:tab/>
        <w:t>(a)</w:t>
      </w:r>
      <w:r w:rsidRPr="00700F82">
        <w:tab/>
        <w:t xml:space="preserve">the whole of the amount referred to in </w:t>
      </w:r>
      <w:r w:rsidR="00AE56E0" w:rsidRPr="00700F82">
        <w:t>paragraph (</w:t>
      </w:r>
      <w:r w:rsidRPr="00700F82">
        <w:t xml:space="preserve">1)(a) if the </w:t>
      </w:r>
      <w:r w:rsidR="005B455E" w:rsidRPr="00700F82">
        <w:t xml:space="preserve">PPL superannuation contribution </w:t>
      </w:r>
      <w:r w:rsidRPr="00700F82">
        <w:t xml:space="preserve">was not payable </w:t>
      </w:r>
      <w:r w:rsidR="005B455E" w:rsidRPr="00700F82">
        <w:t>for the</w:t>
      </w:r>
      <w:r w:rsidRPr="00700F82">
        <w:t xml:space="preserve"> person for the </w:t>
      </w:r>
      <w:r w:rsidR="00934C83" w:rsidRPr="00700F82">
        <w:t>income</w:t>
      </w:r>
      <w:r w:rsidRPr="00700F82">
        <w:t xml:space="preserve"> year; or</w:t>
      </w:r>
    </w:p>
    <w:p w14:paraId="204291B7" w14:textId="77777777" w:rsidR="004C1034" w:rsidRPr="00700F82" w:rsidRDefault="004C1034" w:rsidP="00C7460E">
      <w:pPr>
        <w:pStyle w:val="paragraph"/>
      </w:pPr>
      <w:r w:rsidRPr="00700F82">
        <w:tab/>
        <w:t>(b)</w:t>
      </w:r>
      <w:r w:rsidRPr="00700F82">
        <w:tab/>
        <w:t xml:space="preserve">the amount by which the amount paid exceeds the correct amount if the amount paid is more than the correct amount of the </w:t>
      </w:r>
      <w:r w:rsidR="005B455E" w:rsidRPr="00700F82">
        <w:t>PPL superannuation contribution</w:t>
      </w:r>
      <w:r w:rsidRPr="00700F82">
        <w:t>.</w:t>
      </w:r>
    </w:p>
    <w:p w14:paraId="34DCDF8A" w14:textId="77777777" w:rsidR="004C1034" w:rsidRPr="00700F82" w:rsidRDefault="004C1034" w:rsidP="00C7460E">
      <w:pPr>
        <w:pStyle w:val="subsection"/>
      </w:pPr>
      <w:r w:rsidRPr="00700F82">
        <w:tab/>
        <w:t>(3)</w:t>
      </w:r>
      <w:r w:rsidRPr="00700F82">
        <w:tab/>
        <w:t>The Commissioner may take action to recover the amount overpaid under one or more of the items in the following table but may only take action under an item if the conditions (if any) specified for that item are satisfied:</w:t>
      </w:r>
    </w:p>
    <w:p w14:paraId="1878849B" w14:textId="77777777" w:rsidR="004C1034" w:rsidRPr="00700F82" w:rsidRDefault="004C1034" w:rsidP="00C7460E">
      <w:pPr>
        <w:pStyle w:val="Tabletext"/>
      </w:pPr>
    </w:p>
    <w:tbl>
      <w:tblPr>
        <w:tblW w:w="7088" w:type="dxa"/>
        <w:tblInd w:w="249"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3189"/>
        <w:gridCol w:w="3190"/>
      </w:tblGrid>
      <w:tr w:rsidR="004C1034" w:rsidRPr="00700F82" w14:paraId="7A7956AB" w14:textId="77777777" w:rsidTr="00705DEA">
        <w:trPr>
          <w:tblHeader/>
        </w:trPr>
        <w:tc>
          <w:tcPr>
            <w:tcW w:w="7088" w:type="dxa"/>
            <w:gridSpan w:val="3"/>
            <w:tcBorders>
              <w:top w:val="single" w:sz="12" w:space="0" w:color="auto"/>
              <w:bottom w:val="single" w:sz="6" w:space="0" w:color="auto"/>
            </w:tcBorders>
            <w:shd w:val="clear" w:color="auto" w:fill="auto"/>
          </w:tcPr>
          <w:p w14:paraId="6283EF1F" w14:textId="77777777" w:rsidR="004C1034" w:rsidRPr="00700F82" w:rsidRDefault="004C1034" w:rsidP="00C7460E">
            <w:pPr>
              <w:pStyle w:val="TableHeading"/>
            </w:pPr>
            <w:r w:rsidRPr="00700F82">
              <w:t>Methods for recovering amount overpaid</w:t>
            </w:r>
          </w:p>
        </w:tc>
      </w:tr>
      <w:tr w:rsidR="004C1034" w:rsidRPr="00700F82" w14:paraId="30428753" w14:textId="77777777" w:rsidTr="00705DEA">
        <w:trPr>
          <w:tblHeader/>
        </w:trPr>
        <w:tc>
          <w:tcPr>
            <w:tcW w:w="709" w:type="dxa"/>
            <w:tcBorders>
              <w:top w:val="single" w:sz="6" w:space="0" w:color="auto"/>
              <w:bottom w:val="single" w:sz="12" w:space="0" w:color="auto"/>
            </w:tcBorders>
            <w:shd w:val="clear" w:color="auto" w:fill="auto"/>
          </w:tcPr>
          <w:p w14:paraId="1BFED93B" w14:textId="77777777" w:rsidR="004C1034" w:rsidRPr="00700F82" w:rsidRDefault="004C1034" w:rsidP="00C7460E">
            <w:pPr>
              <w:pStyle w:val="Tabletext"/>
              <w:keepNext/>
              <w:rPr>
                <w:b/>
              </w:rPr>
            </w:pPr>
            <w:r w:rsidRPr="00700F82">
              <w:rPr>
                <w:b/>
              </w:rPr>
              <w:t>Item</w:t>
            </w:r>
          </w:p>
        </w:tc>
        <w:tc>
          <w:tcPr>
            <w:tcW w:w="3189" w:type="dxa"/>
            <w:tcBorders>
              <w:top w:val="single" w:sz="6" w:space="0" w:color="auto"/>
              <w:bottom w:val="single" w:sz="12" w:space="0" w:color="auto"/>
            </w:tcBorders>
            <w:shd w:val="clear" w:color="auto" w:fill="auto"/>
          </w:tcPr>
          <w:p w14:paraId="1AE070B2" w14:textId="77777777" w:rsidR="004C1034" w:rsidRPr="00700F82" w:rsidRDefault="004C1034" w:rsidP="00C7460E">
            <w:pPr>
              <w:pStyle w:val="Tabletext"/>
              <w:keepNext/>
              <w:rPr>
                <w:b/>
              </w:rPr>
            </w:pPr>
            <w:r w:rsidRPr="00700F82">
              <w:rPr>
                <w:b/>
              </w:rPr>
              <w:t>Action the Commissioner may take to recover amount overpaid</w:t>
            </w:r>
          </w:p>
        </w:tc>
        <w:tc>
          <w:tcPr>
            <w:tcW w:w="3190" w:type="dxa"/>
            <w:tcBorders>
              <w:top w:val="single" w:sz="6" w:space="0" w:color="auto"/>
              <w:bottom w:val="single" w:sz="12" w:space="0" w:color="auto"/>
            </w:tcBorders>
            <w:shd w:val="clear" w:color="auto" w:fill="auto"/>
          </w:tcPr>
          <w:p w14:paraId="2F502259" w14:textId="77777777" w:rsidR="004C1034" w:rsidRPr="00700F82" w:rsidRDefault="004C1034" w:rsidP="00C7460E">
            <w:pPr>
              <w:pStyle w:val="Tabletext"/>
              <w:keepNext/>
              <w:rPr>
                <w:b/>
              </w:rPr>
            </w:pPr>
            <w:r w:rsidRPr="00700F82">
              <w:rPr>
                <w:b/>
              </w:rPr>
              <w:t>Conditions to be satisfied</w:t>
            </w:r>
          </w:p>
        </w:tc>
      </w:tr>
      <w:tr w:rsidR="004C1034" w:rsidRPr="00700F82" w14:paraId="4BDEEFAD" w14:textId="77777777" w:rsidTr="00705DEA">
        <w:tc>
          <w:tcPr>
            <w:tcW w:w="709" w:type="dxa"/>
            <w:tcBorders>
              <w:top w:val="single" w:sz="12" w:space="0" w:color="auto"/>
              <w:bottom w:val="single" w:sz="4" w:space="0" w:color="auto"/>
            </w:tcBorders>
            <w:shd w:val="clear" w:color="auto" w:fill="auto"/>
          </w:tcPr>
          <w:p w14:paraId="034E5093" w14:textId="77777777" w:rsidR="004C1034" w:rsidRPr="00700F82" w:rsidRDefault="004C1034" w:rsidP="00C7460E">
            <w:pPr>
              <w:pStyle w:val="Tabletext"/>
            </w:pPr>
            <w:bookmarkStart w:id="31" w:name="CU_344476"/>
            <w:bookmarkEnd w:id="31"/>
            <w:r w:rsidRPr="00700F82">
              <w:t>1</w:t>
            </w:r>
          </w:p>
        </w:tc>
        <w:tc>
          <w:tcPr>
            <w:tcW w:w="3189" w:type="dxa"/>
            <w:tcBorders>
              <w:top w:val="single" w:sz="12" w:space="0" w:color="auto"/>
              <w:bottom w:val="single" w:sz="4" w:space="0" w:color="auto"/>
            </w:tcBorders>
            <w:shd w:val="clear" w:color="auto" w:fill="auto"/>
          </w:tcPr>
          <w:p w14:paraId="6E75CD93" w14:textId="77777777" w:rsidR="004C1034" w:rsidRPr="00700F82" w:rsidRDefault="004C1034" w:rsidP="00C7460E">
            <w:pPr>
              <w:pStyle w:val="Tabletext"/>
            </w:pPr>
            <w:r w:rsidRPr="00700F82">
              <w:t xml:space="preserve">The Commissioner may deduct the whole or a part of the amount overpaid from any </w:t>
            </w:r>
            <w:r w:rsidR="00E7251F" w:rsidRPr="00700F82">
              <w:t xml:space="preserve">PPL superannuation </w:t>
            </w:r>
            <w:r w:rsidRPr="00700F82">
              <w:t xml:space="preserve">contribution payable </w:t>
            </w:r>
            <w:r w:rsidR="00E7251F" w:rsidRPr="00700F82">
              <w:t xml:space="preserve">for </w:t>
            </w:r>
            <w:r w:rsidRPr="00700F82">
              <w:t>the person.</w:t>
            </w:r>
          </w:p>
        </w:tc>
        <w:tc>
          <w:tcPr>
            <w:tcW w:w="3190" w:type="dxa"/>
            <w:tcBorders>
              <w:top w:val="single" w:sz="12" w:space="0" w:color="auto"/>
              <w:bottom w:val="single" w:sz="4" w:space="0" w:color="auto"/>
            </w:tcBorders>
            <w:shd w:val="clear" w:color="auto" w:fill="auto"/>
          </w:tcPr>
          <w:p w14:paraId="385C66C2" w14:textId="77777777" w:rsidR="004C1034" w:rsidRPr="00700F82" w:rsidRDefault="004C1034" w:rsidP="00C7460E">
            <w:pPr>
              <w:pStyle w:val="Tabletext"/>
              <w:rPr>
                <w:b/>
              </w:rPr>
            </w:pPr>
          </w:p>
        </w:tc>
      </w:tr>
      <w:tr w:rsidR="004C1034" w:rsidRPr="00700F82" w14:paraId="65F21147" w14:textId="77777777" w:rsidTr="00705DEA">
        <w:trPr>
          <w:cantSplit/>
        </w:trPr>
        <w:tc>
          <w:tcPr>
            <w:tcW w:w="709" w:type="dxa"/>
            <w:tcBorders>
              <w:top w:val="single" w:sz="4" w:space="0" w:color="auto"/>
              <w:bottom w:val="single" w:sz="4" w:space="0" w:color="auto"/>
            </w:tcBorders>
            <w:shd w:val="clear" w:color="auto" w:fill="auto"/>
          </w:tcPr>
          <w:p w14:paraId="429D9976" w14:textId="77777777" w:rsidR="004C1034" w:rsidRPr="00700F82" w:rsidRDefault="004C1034" w:rsidP="00C7460E">
            <w:pPr>
              <w:pStyle w:val="Tabletext"/>
            </w:pPr>
            <w:r w:rsidRPr="00700F82">
              <w:t>2</w:t>
            </w:r>
          </w:p>
        </w:tc>
        <w:tc>
          <w:tcPr>
            <w:tcW w:w="3189" w:type="dxa"/>
            <w:tcBorders>
              <w:top w:val="single" w:sz="4" w:space="0" w:color="auto"/>
              <w:bottom w:val="single" w:sz="4" w:space="0" w:color="auto"/>
            </w:tcBorders>
            <w:shd w:val="clear" w:color="auto" w:fill="auto"/>
          </w:tcPr>
          <w:p w14:paraId="33152700" w14:textId="77777777" w:rsidR="004C1034" w:rsidRPr="00700F82" w:rsidRDefault="004C1034" w:rsidP="00C7460E">
            <w:pPr>
              <w:pStyle w:val="Tabletext"/>
            </w:pPr>
            <w:r w:rsidRPr="00700F82">
              <w:t>The Commissioner may debit an account of the person in the Superannuation Holding Accounts Special Account with the whole or a part of the amount overpaid.</w:t>
            </w:r>
          </w:p>
        </w:tc>
        <w:tc>
          <w:tcPr>
            <w:tcW w:w="3190" w:type="dxa"/>
            <w:tcBorders>
              <w:top w:val="single" w:sz="4" w:space="0" w:color="auto"/>
              <w:bottom w:val="single" w:sz="4" w:space="0" w:color="auto"/>
            </w:tcBorders>
            <w:shd w:val="clear" w:color="auto" w:fill="auto"/>
          </w:tcPr>
          <w:p w14:paraId="4D85EA64" w14:textId="77777777" w:rsidR="004C1034" w:rsidRPr="00700F82" w:rsidRDefault="004C1034" w:rsidP="00C7460E">
            <w:pPr>
              <w:pStyle w:val="Tabletext"/>
            </w:pPr>
            <w:r w:rsidRPr="00700F82">
              <w:t xml:space="preserve">The account must include one or more </w:t>
            </w:r>
            <w:r w:rsidR="00E7251F" w:rsidRPr="00700F82">
              <w:t>PPL superannuation contributions</w:t>
            </w:r>
            <w:r w:rsidRPr="00700F82">
              <w:t xml:space="preserve"> </w:t>
            </w:r>
            <w:r w:rsidR="00197F88" w:rsidRPr="00700F82">
              <w:t>for</w:t>
            </w:r>
            <w:r w:rsidRPr="00700F82">
              <w:t xml:space="preserve"> the person.</w:t>
            </w:r>
          </w:p>
          <w:p w14:paraId="257DCB6E" w14:textId="77777777" w:rsidR="004C1034" w:rsidRPr="00700F82" w:rsidRDefault="004C1034" w:rsidP="00C7460E">
            <w:pPr>
              <w:pStyle w:val="Tabletext"/>
            </w:pPr>
            <w:r w:rsidRPr="00700F82">
              <w:t xml:space="preserve">The amount debited must not exceed the amount of those </w:t>
            </w:r>
            <w:r w:rsidR="00512F02" w:rsidRPr="00700F82">
              <w:t>PPL superannuation contributions</w:t>
            </w:r>
            <w:r w:rsidRPr="00700F82">
              <w:t>.</w:t>
            </w:r>
          </w:p>
        </w:tc>
      </w:tr>
      <w:tr w:rsidR="004C1034" w:rsidRPr="00700F82" w14:paraId="5ED665FC" w14:textId="77777777" w:rsidTr="00705DEA">
        <w:tc>
          <w:tcPr>
            <w:tcW w:w="709" w:type="dxa"/>
            <w:tcBorders>
              <w:bottom w:val="single" w:sz="4" w:space="0" w:color="auto"/>
            </w:tcBorders>
            <w:shd w:val="clear" w:color="auto" w:fill="auto"/>
          </w:tcPr>
          <w:p w14:paraId="128DB43A" w14:textId="77777777" w:rsidR="004C1034" w:rsidRPr="00700F82" w:rsidRDefault="004C1034" w:rsidP="00C7460E">
            <w:pPr>
              <w:pStyle w:val="Tabletext"/>
            </w:pPr>
            <w:bookmarkStart w:id="32" w:name="CU_544955"/>
            <w:bookmarkEnd w:id="32"/>
            <w:r w:rsidRPr="00700F82">
              <w:t>3</w:t>
            </w:r>
          </w:p>
        </w:tc>
        <w:tc>
          <w:tcPr>
            <w:tcW w:w="3189" w:type="dxa"/>
            <w:tcBorders>
              <w:bottom w:val="single" w:sz="4" w:space="0" w:color="auto"/>
            </w:tcBorders>
            <w:shd w:val="clear" w:color="auto" w:fill="auto"/>
          </w:tcPr>
          <w:p w14:paraId="6147C9F8" w14:textId="77777777" w:rsidR="004C1034" w:rsidRPr="00700F82" w:rsidRDefault="004C1034" w:rsidP="00C7460E">
            <w:pPr>
              <w:pStyle w:val="Tabletext"/>
            </w:pPr>
            <w:r w:rsidRPr="00700F82">
              <w:t xml:space="preserve">The Commissioner may recover the whole or a part of the amount overpaid from </w:t>
            </w:r>
            <w:r w:rsidR="00AD0BD9" w:rsidRPr="00700F82">
              <w:t xml:space="preserve">the </w:t>
            </w:r>
            <w:r w:rsidRPr="00700F82">
              <w:t>person’s legal personal representative as a debt due by the representative to the Commonwealth.</w:t>
            </w:r>
          </w:p>
        </w:tc>
        <w:tc>
          <w:tcPr>
            <w:tcW w:w="3190" w:type="dxa"/>
            <w:tcBorders>
              <w:bottom w:val="single" w:sz="4" w:space="0" w:color="auto"/>
            </w:tcBorders>
            <w:shd w:val="clear" w:color="auto" w:fill="auto"/>
          </w:tcPr>
          <w:p w14:paraId="1A1C1214" w14:textId="77777777" w:rsidR="004C1034" w:rsidRPr="00700F82" w:rsidRDefault="004C1034" w:rsidP="00C7460E">
            <w:pPr>
              <w:pStyle w:val="Tabletext"/>
            </w:pPr>
            <w:r w:rsidRPr="00700F82">
              <w:t xml:space="preserve">The </w:t>
            </w:r>
            <w:r w:rsidR="00512F02" w:rsidRPr="00700F82">
              <w:t>PPL superannuation contribution</w:t>
            </w:r>
            <w:r w:rsidRPr="00700F82">
              <w:t xml:space="preserve"> must have been paid by the Commissioner to the representative.</w:t>
            </w:r>
          </w:p>
          <w:p w14:paraId="41EE3AB8" w14:textId="77777777" w:rsidR="004C1034" w:rsidRPr="00700F82" w:rsidRDefault="004C1034" w:rsidP="00C7460E">
            <w:pPr>
              <w:pStyle w:val="Tabletext"/>
            </w:pPr>
            <w:r w:rsidRPr="00700F82">
              <w:t>The Commissioner must give the representative written notice, as prescribed</w:t>
            </w:r>
            <w:r w:rsidR="00E13248" w:rsidRPr="00700F82">
              <w:t xml:space="preserve"> by the PPL rules</w:t>
            </w:r>
            <w:r w:rsidRPr="00700F82">
              <w:t>, of the proposed recovery (including the amount to be recovered).</w:t>
            </w:r>
          </w:p>
          <w:p w14:paraId="6B4F7A2F" w14:textId="77777777" w:rsidR="004C1034" w:rsidRPr="00700F82" w:rsidRDefault="004C1034" w:rsidP="00C7460E">
            <w:pPr>
              <w:pStyle w:val="Tabletext"/>
            </w:pPr>
            <w:r w:rsidRPr="00700F82">
              <w:t>At least 28 days must have elapsed since the notice was given.</w:t>
            </w:r>
          </w:p>
          <w:p w14:paraId="630F5901" w14:textId="77777777" w:rsidR="004C1034" w:rsidRPr="00700F82" w:rsidRDefault="004C1034" w:rsidP="00C7460E">
            <w:pPr>
              <w:pStyle w:val="Tabletext"/>
            </w:pPr>
            <w:r w:rsidRPr="00700F82">
              <w:t>The amount recovered must not exceed the amount specified in the notice.</w:t>
            </w:r>
          </w:p>
        </w:tc>
      </w:tr>
      <w:tr w:rsidR="004C1034" w:rsidRPr="00700F82" w14:paraId="6F7BE6EF" w14:textId="77777777" w:rsidTr="00705DEA">
        <w:trPr>
          <w:cantSplit/>
        </w:trPr>
        <w:tc>
          <w:tcPr>
            <w:tcW w:w="709" w:type="dxa"/>
            <w:tcBorders>
              <w:bottom w:val="single" w:sz="12" w:space="0" w:color="auto"/>
            </w:tcBorders>
            <w:shd w:val="clear" w:color="auto" w:fill="auto"/>
          </w:tcPr>
          <w:p w14:paraId="62136097" w14:textId="77777777" w:rsidR="004C1034" w:rsidRPr="00700F82" w:rsidRDefault="004C1034" w:rsidP="00C7460E">
            <w:pPr>
              <w:pStyle w:val="Tabletext"/>
            </w:pPr>
            <w:r w:rsidRPr="00700F82">
              <w:t>4</w:t>
            </w:r>
          </w:p>
        </w:tc>
        <w:tc>
          <w:tcPr>
            <w:tcW w:w="3189" w:type="dxa"/>
            <w:tcBorders>
              <w:bottom w:val="single" w:sz="12" w:space="0" w:color="auto"/>
            </w:tcBorders>
            <w:shd w:val="clear" w:color="auto" w:fill="auto"/>
          </w:tcPr>
          <w:p w14:paraId="1C6D7E37" w14:textId="77777777" w:rsidR="004C1034" w:rsidRPr="00700F82" w:rsidRDefault="004C1034" w:rsidP="00C7460E">
            <w:pPr>
              <w:pStyle w:val="Tabletext"/>
            </w:pPr>
            <w:r w:rsidRPr="00700F82">
              <w:t>The Commissioner may recover the whole or a part of the amount overpaid from a superannuation provider to whom:</w:t>
            </w:r>
          </w:p>
          <w:p w14:paraId="2F8FB309" w14:textId="77777777" w:rsidR="004C1034" w:rsidRPr="00700F82" w:rsidRDefault="004C1034" w:rsidP="00C7460E">
            <w:pPr>
              <w:pStyle w:val="Tablea"/>
            </w:pPr>
            <w:r w:rsidRPr="00700F82">
              <w:t xml:space="preserve">(a) the Commissioner paid the </w:t>
            </w:r>
            <w:r w:rsidR="00C76EE9" w:rsidRPr="00700F82">
              <w:t>PPL superannuation contribution</w:t>
            </w:r>
            <w:r w:rsidRPr="00700F82">
              <w:t>; or</w:t>
            </w:r>
          </w:p>
          <w:p w14:paraId="36D43CCF" w14:textId="77777777" w:rsidR="004C1034" w:rsidRPr="00700F82" w:rsidRDefault="004C1034" w:rsidP="00C7460E">
            <w:pPr>
              <w:pStyle w:val="Tablea"/>
            </w:pPr>
            <w:r w:rsidRPr="00700F82">
              <w:t xml:space="preserve">(b) another superannuation provider transferred the </w:t>
            </w:r>
            <w:r w:rsidR="00C76EE9" w:rsidRPr="00700F82">
              <w:t>PPL superannuation contribution</w:t>
            </w:r>
            <w:r w:rsidRPr="00700F82">
              <w:t>;</w:t>
            </w:r>
          </w:p>
          <w:p w14:paraId="072D9131" w14:textId="77777777" w:rsidR="004C1034" w:rsidRPr="00700F82" w:rsidRDefault="004C1034" w:rsidP="00C7460E">
            <w:pPr>
              <w:pStyle w:val="Tabletext"/>
            </w:pPr>
            <w:r w:rsidRPr="00700F82">
              <w:t>as a debt due by the superannuation provider to the Commonwealth.</w:t>
            </w:r>
          </w:p>
        </w:tc>
        <w:tc>
          <w:tcPr>
            <w:tcW w:w="3190" w:type="dxa"/>
            <w:tcBorders>
              <w:bottom w:val="single" w:sz="12" w:space="0" w:color="auto"/>
            </w:tcBorders>
            <w:shd w:val="clear" w:color="auto" w:fill="auto"/>
          </w:tcPr>
          <w:p w14:paraId="7A27BCEB" w14:textId="77777777" w:rsidR="004C1034" w:rsidRPr="00700F82" w:rsidRDefault="004C1034" w:rsidP="00C7460E">
            <w:pPr>
              <w:pStyle w:val="Tabletext"/>
            </w:pPr>
            <w:r w:rsidRPr="00700F82">
              <w:t xml:space="preserve">The superannuation provider must hold one or more </w:t>
            </w:r>
            <w:r w:rsidR="00C76EE9" w:rsidRPr="00700F82">
              <w:t>PPL superannuation contributions for</w:t>
            </w:r>
            <w:r w:rsidRPr="00700F82">
              <w:t xml:space="preserve"> the person.</w:t>
            </w:r>
          </w:p>
          <w:p w14:paraId="61878572" w14:textId="77777777" w:rsidR="004C1034" w:rsidRPr="00700F82" w:rsidRDefault="004C1034" w:rsidP="00C7460E">
            <w:pPr>
              <w:pStyle w:val="Tabletext"/>
            </w:pPr>
            <w:r w:rsidRPr="00700F82">
              <w:t xml:space="preserve">The amount recovered must not exceed the amount of those </w:t>
            </w:r>
            <w:r w:rsidR="00C76EE9" w:rsidRPr="00700F82">
              <w:t>PPL superannuation contribution</w:t>
            </w:r>
            <w:r w:rsidRPr="00700F82">
              <w:t>s.</w:t>
            </w:r>
          </w:p>
          <w:p w14:paraId="27174CD8" w14:textId="77777777" w:rsidR="004C1034" w:rsidRPr="00700F82" w:rsidRDefault="004C1034" w:rsidP="00C7460E">
            <w:pPr>
              <w:pStyle w:val="Tabletext"/>
            </w:pPr>
            <w:r w:rsidRPr="00700F82">
              <w:t>The Commissioner must give the superannuation provider written notice, as prescribed</w:t>
            </w:r>
            <w:r w:rsidR="00876AAC" w:rsidRPr="00700F82">
              <w:t xml:space="preserve"> by the PPL rules</w:t>
            </w:r>
            <w:r w:rsidRPr="00700F82">
              <w:t>, of the proposed recovery (including the amount to be recovered).</w:t>
            </w:r>
          </w:p>
          <w:p w14:paraId="43EBB98F" w14:textId="77777777" w:rsidR="004C1034" w:rsidRPr="00700F82" w:rsidRDefault="004C1034" w:rsidP="00C7460E">
            <w:pPr>
              <w:pStyle w:val="Tabletext"/>
            </w:pPr>
            <w:r w:rsidRPr="00700F82">
              <w:t>At least 28 days must have elapsed since the notice was given.</w:t>
            </w:r>
          </w:p>
          <w:p w14:paraId="453A7A8A" w14:textId="77777777" w:rsidR="004C1034" w:rsidRPr="00700F82" w:rsidRDefault="004C1034" w:rsidP="00C7460E">
            <w:pPr>
              <w:pStyle w:val="Tabletext"/>
            </w:pPr>
            <w:r w:rsidRPr="00700F82">
              <w:t>The amount recovered must not exceed the amount specified in the notice.</w:t>
            </w:r>
          </w:p>
        </w:tc>
      </w:tr>
    </w:tbl>
    <w:p w14:paraId="7F5740C1" w14:textId="77777777" w:rsidR="004C1034" w:rsidRPr="00700F82" w:rsidRDefault="004C1034" w:rsidP="00C7460E">
      <w:pPr>
        <w:pStyle w:val="notetext"/>
      </w:pPr>
      <w:r w:rsidRPr="00700F82">
        <w:t>Note:</w:t>
      </w:r>
      <w:r w:rsidRPr="00700F82">
        <w:tab/>
        <w:t>Section</w:t>
      </w:r>
      <w:r w:rsidR="009578C7" w:rsidRPr="00700F82">
        <w:t xml:space="preserve"> </w:t>
      </w:r>
      <w:r w:rsidR="0077551A" w:rsidRPr="00700F82">
        <w:t>115</w:t>
      </w:r>
      <w:r w:rsidR="00F1687A" w:rsidRPr="00700F82">
        <w:t>Q</w:t>
      </w:r>
      <w:r w:rsidRPr="00700F82">
        <w:t xml:space="preserve"> provides for the imposition of general interest charge if an amount that the person must pay under a notice given to the person under </w:t>
      </w:r>
      <w:r w:rsidR="00AD7F23" w:rsidRPr="00700F82">
        <w:t>item 3</w:t>
      </w:r>
      <w:r w:rsidRPr="00700F82">
        <w:t xml:space="preserve"> or 4 of the above table is not repaid within a certain period.</w:t>
      </w:r>
    </w:p>
    <w:p w14:paraId="515C1589" w14:textId="77777777" w:rsidR="004C1034" w:rsidRPr="00700F82" w:rsidRDefault="004C1034" w:rsidP="00C7460E">
      <w:pPr>
        <w:pStyle w:val="subsection"/>
      </w:pPr>
      <w:r w:rsidRPr="00700F82">
        <w:tab/>
        <w:t>(4)</w:t>
      </w:r>
      <w:r w:rsidRPr="00700F82">
        <w:tab/>
        <w:t>If:</w:t>
      </w:r>
    </w:p>
    <w:p w14:paraId="54B3187D" w14:textId="77777777" w:rsidR="004C1034" w:rsidRPr="00700F82" w:rsidRDefault="004C1034" w:rsidP="00C7460E">
      <w:pPr>
        <w:pStyle w:val="paragraph"/>
      </w:pPr>
      <w:r w:rsidRPr="00700F82">
        <w:tab/>
        <w:t>(a)</w:t>
      </w:r>
      <w:r w:rsidRPr="00700F82">
        <w:tab/>
        <w:t xml:space="preserve">the Commissioner gives a superannuation provider a notice under </w:t>
      </w:r>
      <w:r w:rsidR="00AE56E0" w:rsidRPr="00700F82">
        <w:t>item 4</w:t>
      </w:r>
      <w:r w:rsidRPr="00700F82">
        <w:t xml:space="preserve"> of the table in </w:t>
      </w:r>
      <w:r w:rsidR="00AD7F23" w:rsidRPr="00700F82">
        <w:t>subsection (</w:t>
      </w:r>
      <w:r w:rsidRPr="00700F82">
        <w:t xml:space="preserve">3) in relation to an amount overpaid </w:t>
      </w:r>
      <w:r w:rsidR="003B7999" w:rsidRPr="00700F82">
        <w:t>for</w:t>
      </w:r>
      <w:r w:rsidRPr="00700F82">
        <w:t xml:space="preserve"> a person; and</w:t>
      </w:r>
    </w:p>
    <w:p w14:paraId="75BF4694" w14:textId="77777777" w:rsidR="004C1034" w:rsidRPr="00700F82" w:rsidRDefault="004C1034" w:rsidP="00C7460E">
      <w:pPr>
        <w:pStyle w:val="paragraph"/>
      </w:pPr>
      <w:r w:rsidRPr="00700F82">
        <w:tab/>
        <w:t>(b)</w:t>
      </w:r>
      <w:r w:rsidRPr="00700F82">
        <w:tab/>
        <w:t xml:space="preserve">the provider holds one or more </w:t>
      </w:r>
      <w:r w:rsidR="003B7999" w:rsidRPr="00700F82">
        <w:t xml:space="preserve">PPL superannuation contributions for </w:t>
      </w:r>
      <w:r w:rsidRPr="00700F82">
        <w:t>the person at the time when the Commissioner gives the provider the notice;</w:t>
      </w:r>
    </w:p>
    <w:p w14:paraId="46038D6F" w14:textId="77777777" w:rsidR="004C1034" w:rsidRPr="00700F82" w:rsidRDefault="004C1034" w:rsidP="00C7460E">
      <w:pPr>
        <w:pStyle w:val="subsection2"/>
      </w:pPr>
      <w:r w:rsidRPr="00700F82">
        <w:t>the Commissioner may recover from the provider under that item whether or not the provider continues to hold the contribution or contributions after that time.</w:t>
      </w:r>
    </w:p>
    <w:p w14:paraId="1155A3EF" w14:textId="77777777" w:rsidR="004C1034" w:rsidRPr="00700F82" w:rsidRDefault="004C1034" w:rsidP="00C7460E">
      <w:pPr>
        <w:pStyle w:val="subsection"/>
      </w:pPr>
      <w:r w:rsidRPr="00700F82">
        <w:tab/>
        <w:t>(5)</w:t>
      </w:r>
      <w:r w:rsidRPr="00700F82">
        <w:tab/>
        <w:t xml:space="preserve">The Commissioner may revoke a notice given under </w:t>
      </w:r>
      <w:r w:rsidR="00AD7F23" w:rsidRPr="00700F82">
        <w:t>item 3</w:t>
      </w:r>
      <w:r w:rsidRPr="00700F82">
        <w:t xml:space="preserve"> or 4 of the table in </w:t>
      </w:r>
      <w:r w:rsidR="00AD7F23" w:rsidRPr="00700F82">
        <w:t>subsection (</w:t>
      </w:r>
      <w:r w:rsidRPr="00700F82">
        <w:t>3) if the Commissioner is satisfied that it is appropriate in the circumstances to do so.</w:t>
      </w:r>
    </w:p>
    <w:p w14:paraId="1D7EBBAD" w14:textId="77777777" w:rsidR="004C1034" w:rsidRPr="00700F82" w:rsidRDefault="004C1034" w:rsidP="00C7460E">
      <w:pPr>
        <w:pStyle w:val="subsection"/>
      </w:pPr>
      <w:r w:rsidRPr="00700F82">
        <w:tab/>
        <w:t>(6)</w:t>
      </w:r>
      <w:r w:rsidRPr="00700F82">
        <w:tab/>
        <w:t xml:space="preserve">The total of the amounts deducted, debited or recovered under </w:t>
      </w:r>
      <w:r w:rsidR="00AD7F23" w:rsidRPr="00700F82">
        <w:t>subsection (</w:t>
      </w:r>
      <w:r w:rsidRPr="00700F82">
        <w:t>3) in relation to an overpayment must not exceed the amount overpaid.</w:t>
      </w:r>
    </w:p>
    <w:p w14:paraId="21F2AA00" w14:textId="77777777" w:rsidR="004C1034" w:rsidRPr="00700F82" w:rsidRDefault="004C1034" w:rsidP="00C7460E">
      <w:pPr>
        <w:pStyle w:val="subsection"/>
      </w:pPr>
      <w:r w:rsidRPr="00700F82">
        <w:tab/>
        <w:t>(7)</w:t>
      </w:r>
      <w:r w:rsidRPr="00700F82">
        <w:tab/>
        <w:t>If the Commissioner makes:</w:t>
      </w:r>
    </w:p>
    <w:p w14:paraId="757086C8" w14:textId="77777777" w:rsidR="004C1034" w:rsidRPr="00700F82" w:rsidRDefault="004C1034" w:rsidP="00C7460E">
      <w:pPr>
        <w:pStyle w:val="paragraph"/>
      </w:pPr>
      <w:r w:rsidRPr="00700F82">
        <w:tab/>
        <w:t>(a)</w:t>
      </w:r>
      <w:r w:rsidRPr="00700F82">
        <w:tab/>
        <w:t xml:space="preserve">a deduction under </w:t>
      </w:r>
      <w:r w:rsidR="00705907" w:rsidRPr="00700F82">
        <w:t>item 1</w:t>
      </w:r>
      <w:r w:rsidRPr="00700F82">
        <w:t xml:space="preserve"> of the table in </w:t>
      </w:r>
      <w:r w:rsidR="00AD7F23" w:rsidRPr="00700F82">
        <w:t>subsection (</w:t>
      </w:r>
      <w:r w:rsidRPr="00700F82">
        <w:t>3); or</w:t>
      </w:r>
    </w:p>
    <w:p w14:paraId="78EF9D1D" w14:textId="77777777" w:rsidR="004C1034" w:rsidRPr="00700F82" w:rsidRDefault="004C1034" w:rsidP="00C7460E">
      <w:pPr>
        <w:pStyle w:val="paragraph"/>
      </w:pPr>
      <w:r w:rsidRPr="00700F82">
        <w:tab/>
        <w:t>(b)</w:t>
      </w:r>
      <w:r w:rsidRPr="00700F82">
        <w:tab/>
        <w:t xml:space="preserve">a debit under </w:t>
      </w:r>
      <w:r w:rsidR="00AE56E0" w:rsidRPr="00700F82">
        <w:t>item 2</w:t>
      </w:r>
      <w:r w:rsidRPr="00700F82">
        <w:t xml:space="preserve"> </w:t>
      </w:r>
      <w:r w:rsidR="00DF796C" w:rsidRPr="00700F82">
        <w:t xml:space="preserve">or </w:t>
      </w:r>
      <w:r w:rsidR="00C90824" w:rsidRPr="00700F82">
        <w:t xml:space="preserve">a recovery under </w:t>
      </w:r>
      <w:r w:rsidR="00AE56E0" w:rsidRPr="00700F82">
        <w:t>item 4</w:t>
      </w:r>
      <w:r w:rsidR="00DF796C" w:rsidRPr="00700F82">
        <w:t xml:space="preserve"> </w:t>
      </w:r>
      <w:r w:rsidRPr="00700F82">
        <w:t>of the table;</w:t>
      </w:r>
    </w:p>
    <w:p w14:paraId="1B6B687C" w14:textId="77777777" w:rsidR="004C1034" w:rsidRPr="00700F82" w:rsidRDefault="004C1034" w:rsidP="00C7460E">
      <w:pPr>
        <w:pStyle w:val="subsection2"/>
      </w:pPr>
      <w:r w:rsidRPr="00700F82">
        <w:t xml:space="preserve">in relation to a </w:t>
      </w:r>
      <w:r w:rsidR="003B7999" w:rsidRPr="00700F82">
        <w:t>PPL superannuation contribution</w:t>
      </w:r>
      <w:r w:rsidRPr="00700F82">
        <w:t xml:space="preserve"> </w:t>
      </w:r>
      <w:r w:rsidR="003B7999" w:rsidRPr="00700F82">
        <w:t xml:space="preserve">for </w:t>
      </w:r>
      <w:r w:rsidRPr="00700F82">
        <w:t xml:space="preserve">a person, the Commissioner must give the person the </w:t>
      </w:r>
      <w:r w:rsidR="006A2288" w:rsidRPr="00700F82">
        <w:t>information prescribed by the PPL rules</w:t>
      </w:r>
      <w:r w:rsidRPr="00700F82">
        <w:t xml:space="preserve"> in relation to the deduction or debit within 28 days after the deduction or debit is made.</w:t>
      </w:r>
    </w:p>
    <w:p w14:paraId="029415C6" w14:textId="77777777" w:rsidR="00B164F5" w:rsidRPr="00700F82" w:rsidRDefault="00AE56E0" w:rsidP="00C7460E">
      <w:pPr>
        <w:pStyle w:val="ActHead3"/>
      </w:pPr>
      <w:bookmarkStart w:id="33" w:name="_Toc178780379"/>
      <w:r w:rsidRPr="00700F82">
        <w:rPr>
          <w:rStyle w:val="CharDivNo"/>
        </w:rPr>
        <w:t>Division 5</w:t>
      </w:r>
      <w:r w:rsidR="00B164F5" w:rsidRPr="00700F82">
        <w:t>—</w:t>
      </w:r>
      <w:r w:rsidR="00B164F5" w:rsidRPr="00700F82">
        <w:rPr>
          <w:rStyle w:val="CharDivText"/>
        </w:rPr>
        <w:t>General interest charge</w:t>
      </w:r>
      <w:bookmarkEnd w:id="33"/>
    </w:p>
    <w:p w14:paraId="0613ED4D" w14:textId="77777777" w:rsidR="00B20F65" w:rsidRPr="00700F82" w:rsidRDefault="00D066A8" w:rsidP="00C7460E">
      <w:pPr>
        <w:pStyle w:val="ActHead5"/>
      </w:pPr>
      <w:bookmarkStart w:id="34" w:name="_Toc178780380"/>
      <w:r w:rsidRPr="00700F82">
        <w:rPr>
          <w:rStyle w:val="CharSectno"/>
        </w:rPr>
        <w:t>115</w:t>
      </w:r>
      <w:r w:rsidR="00F1687A" w:rsidRPr="00700F82">
        <w:rPr>
          <w:rStyle w:val="CharSectno"/>
        </w:rPr>
        <w:t>Q</w:t>
      </w:r>
      <w:r w:rsidR="00B20F65" w:rsidRPr="00700F82">
        <w:t xml:space="preserve">  When general interest charge payable</w:t>
      </w:r>
      <w:bookmarkEnd w:id="34"/>
    </w:p>
    <w:p w14:paraId="4583686F" w14:textId="77777777" w:rsidR="00B20F65" w:rsidRPr="00700F82" w:rsidRDefault="00B20F65" w:rsidP="00C7460E">
      <w:pPr>
        <w:pStyle w:val="subsection"/>
      </w:pPr>
      <w:r w:rsidRPr="00700F82">
        <w:tab/>
        <w:t>(1A)</w:t>
      </w:r>
      <w:r w:rsidRPr="00700F82">
        <w:tab/>
        <w:t>If:</w:t>
      </w:r>
    </w:p>
    <w:p w14:paraId="5D4A4367" w14:textId="77777777" w:rsidR="00B20F65" w:rsidRPr="00700F82" w:rsidRDefault="00B20F65" w:rsidP="00C7460E">
      <w:pPr>
        <w:pStyle w:val="paragraph"/>
      </w:pPr>
      <w:r w:rsidRPr="00700F82">
        <w:tab/>
        <w:t>(a)</w:t>
      </w:r>
      <w:r w:rsidRPr="00700F82">
        <w:tab/>
        <w:t>a person is liable under subsection</w:t>
      </w:r>
      <w:r w:rsidR="009578C7" w:rsidRPr="00700F82">
        <w:t xml:space="preserve"> </w:t>
      </w:r>
      <w:r w:rsidR="006C0A12" w:rsidRPr="00700F82">
        <w:t>115</w:t>
      </w:r>
      <w:r w:rsidR="00F1687A" w:rsidRPr="00700F82">
        <w:t>G</w:t>
      </w:r>
      <w:r w:rsidRPr="00700F82">
        <w:t xml:space="preserve">(1) or </w:t>
      </w:r>
      <w:r w:rsidR="006C0A12" w:rsidRPr="00700F82">
        <w:t>115</w:t>
      </w:r>
      <w:r w:rsidR="00F1687A" w:rsidRPr="00700F82">
        <w:t>L</w:t>
      </w:r>
      <w:r w:rsidRPr="00700F82">
        <w:t>(1) to repay an amount; and</w:t>
      </w:r>
    </w:p>
    <w:p w14:paraId="0508B637" w14:textId="77777777" w:rsidR="00B20F65" w:rsidRPr="00700F82" w:rsidRDefault="00B20F65" w:rsidP="00C7460E">
      <w:pPr>
        <w:pStyle w:val="paragraph"/>
      </w:pPr>
      <w:r w:rsidRPr="00700F82">
        <w:tab/>
        <w:t>(b)</w:t>
      </w:r>
      <w:r w:rsidRPr="00700F82">
        <w:tab/>
        <w:t>the whole or a part of the amount remains unpaid after the time by which the amount is due to be paid;</w:t>
      </w:r>
    </w:p>
    <w:p w14:paraId="3A430FC2" w14:textId="77777777" w:rsidR="00B20F65" w:rsidRPr="00700F82" w:rsidRDefault="00B20F65" w:rsidP="00C7460E">
      <w:pPr>
        <w:pStyle w:val="subsection2"/>
      </w:pPr>
      <w:r w:rsidRPr="00700F82">
        <w:t>the person is liable to pay general interest charge on the unpaid amount.</w:t>
      </w:r>
    </w:p>
    <w:p w14:paraId="39C04CA9" w14:textId="77777777" w:rsidR="00B20F65" w:rsidRPr="00700F82" w:rsidRDefault="00B20F65" w:rsidP="00C7460E">
      <w:pPr>
        <w:pStyle w:val="subsection"/>
      </w:pPr>
      <w:r w:rsidRPr="00700F82">
        <w:tab/>
        <w:t>(1)</w:t>
      </w:r>
      <w:r w:rsidRPr="00700F82">
        <w:tab/>
        <w:t>If:</w:t>
      </w:r>
    </w:p>
    <w:p w14:paraId="2149B84D" w14:textId="77777777" w:rsidR="00B20F65" w:rsidRPr="00700F82" w:rsidRDefault="00B20F65" w:rsidP="00C7460E">
      <w:pPr>
        <w:pStyle w:val="paragraph"/>
      </w:pPr>
      <w:r w:rsidRPr="00700F82">
        <w:tab/>
        <w:t>(a)</w:t>
      </w:r>
      <w:r w:rsidRPr="00700F82">
        <w:tab/>
        <w:t xml:space="preserve">the Commissioner gives a person notice under </w:t>
      </w:r>
      <w:r w:rsidR="00AD7F23" w:rsidRPr="00700F82">
        <w:t>item 3</w:t>
      </w:r>
      <w:r w:rsidRPr="00700F82">
        <w:t xml:space="preserve"> or 4 of the table in subsection</w:t>
      </w:r>
      <w:r w:rsidR="009578C7" w:rsidRPr="00700F82">
        <w:t xml:space="preserve"> </w:t>
      </w:r>
      <w:r w:rsidR="006C0A12" w:rsidRPr="00700F82">
        <w:t>115</w:t>
      </w:r>
      <w:r w:rsidR="00F1687A" w:rsidRPr="00700F82">
        <w:t>P</w:t>
      </w:r>
      <w:r w:rsidRPr="00700F82">
        <w:t>(3); and</w:t>
      </w:r>
    </w:p>
    <w:p w14:paraId="243031B3" w14:textId="77777777" w:rsidR="00B20F65" w:rsidRPr="00700F82" w:rsidRDefault="00B20F65" w:rsidP="00C7460E">
      <w:pPr>
        <w:pStyle w:val="paragraph"/>
      </w:pPr>
      <w:r w:rsidRPr="00700F82">
        <w:tab/>
        <w:t>(b)</w:t>
      </w:r>
      <w:r w:rsidRPr="00700F82">
        <w:tab/>
        <w:t>an amount that the person must pay under the notice remains unpaid after the time by which it is due to be paid;</w:t>
      </w:r>
    </w:p>
    <w:p w14:paraId="67EF5DB1" w14:textId="77777777" w:rsidR="00B20F65" w:rsidRPr="00700F82" w:rsidRDefault="00B20F65" w:rsidP="00C7460E">
      <w:pPr>
        <w:pStyle w:val="subsection2"/>
      </w:pPr>
      <w:r w:rsidRPr="00700F82">
        <w:t>the person is liable to pay general interest charge on the unpaid amount.</w:t>
      </w:r>
    </w:p>
    <w:p w14:paraId="64EA3BF2" w14:textId="77777777" w:rsidR="00B20F65" w:rsidRPr="00700F82" w:rsidRDefault="00B20F65" w:rsidP="00C7460E">
      <w:pPr>
        <w:pStyle w:val="subsection"/>
      </w:pPr>
      <w:r w:rsidRPr="00700F82">
        <w:tab/>
        <w:t>(2)</w:t>
      </w:r>
      <w:r w:rsidRPr="00700F82">
        <w:tab/>
        <w:t>A person who is liable under this section to pay general interest charge on an unpaid amount is liable to pay the charge for each day in the period that:</w:t>
      </w:r>
    </w:p>
    <w:p w14:paraId="090A9B4B" w14:textId="77777777" w:rsidR="00B20F65" w:rsidRPr="00700F82" w:rsidRDefault="00B20F65" w:rsidP="00C7460E">
      <w:pPr>
        <w:pStyle w:val="paragraph"/>
      </w:pPr>
      <w:r w:rsidRPr="00700F82">
        <w:tab/>
        <w:t>(a)</w:t>
      </w:r>
      <w:r w:rsidRPr="00700F82">
        <w:tab/>
        <w:t>started at the beginning of the day by which the unpaid amount was due to be paid; and</w:t>
      </w:r>
    </w:p>
    <w:p w14:paraId="76F440B1" w14:textId="77777777" w:rsidR="00B20F65" w:rsidRPr="00700F82" w:rsidRDefault="00B20F65" w:rsidP="00C7460E">
      <w:pPr>
        <w:pStyle w:val="paragraph"/>
      </w:pPr>
      <w:r w:rsidRPr="00700F82">
        <w:tab/>
        <w:t>(b)</w:t>
      </w:r>
      <w:r w:rsidRPr="00700F82">
        <w:tab/>
        <w:t>finishes at the end of the last day at the end of which any of the following remains unpaid:</w:t>
      </w:r>
    </w:p>
    <w:p w14:paraId="1362CC33" w14:textId="77777777" w:rsidR="00B20F65" w:rsidRPr="00700F82" w:rsidRDefault="00B20F65" w:rsidP="00C7460E">
      <w:pPr>
        <w:pStyle w:val="paragraphsub"/>
      </w:pPr>
      <w:r w:rsidRPr="00700F82">
        <w:tab/>
        <w:t>(i)</w:t>
      </w:r>
      <w:r w:rsidRPr="00700F82">
        <w:tab/>
        <w:t>the unpaid amount;</w:t>
      </w:r>
    </w:p>
    <w:p w14:paraId="50408AC8" w14:textId="77777777" w:rsidR="00B20F65" w:rsidRPr="00700F82" w:rsidRDefault="00B20F65" w:rsidP="00C7460E">
      <w:pPr>
        <w:pStyle w:val="paragraphsub"/>
      </w:pPr>
      <w:r w:rsidRPr="00700F82">
        <w:tab/>
        <w:t>(ii)</w:t>
      </w:r>
      <w:r w:rsidRPr="00700F82">
        <w:tab/>
        <w:t>general interest charge on any of the unpaid amount.</w:t>
      </w:r>
    </w:p>
    <w:p w14:paraId="5718F4B8" w14:textId="77777777" w:rsidR="00B20F65" w:rsidRPr="00700F82" w:rsidRDefault="00B20F65" w:rsidP="00C7460E">
      <w:pPr>
        <w:pStyle w:val="subsection"/>
      </w:pPr>
      <w:r w:rsidRPr="00700F82">
        <w:tab/>
        <w:t>(3)</w:t>
      </w:r>
      <w:r w:rsidRPr="00700F82">
        <w:tab/>
        <w:t>For the purposes of this section:</w:t>
      </w:r>
    </w:p>
    <w:p w14:paraId="73711D6B" w14:textId="77777777" w:rsidR="00B20F65" w:rsidRPr="00700F82" w:rsidRDefault="00B20F65" w:rsidP="00C7460E">
      <w:pPr>
        <w:pStyle w:val="paragraph"/>
      </w:pPr>
      <w:r w:rsidRPr="00700F82">
        <w:tab/>
        <w:t>(a)</w:t>
      </w:r>
      <w:r w:rsidRPr="00700F82">
        <w:tab/>
        <w:t>an amount that a person becomes liable under subsection</w:t>
      </w:r>
      <w:r w:rsidR="009578C7" w:rsidRPr="00700F82">
        <w:t xml:space="preserve"> </w:t>
      </w:r>
      <w:r w:rsidR="00D066A8" w:rsidRPr="00700F82">
        <w:t>115</w:t>
      </w:r>
      <w:r w:rsidR="00F1687A" w:rsidRPr="00700F82">
        <w:t>G</w:t>
      </w:r>
      <w:r w:rsidRPr="00700F82">
        <w:t xml:space="preserve">(1) or </w:t>
      </w:r>
      <w:r w:rsidR="00D066A8" w:rsidRPr="00700F82">
        <w:t>115</w:t>
      </w:r>
      <w:r w:rsidR="00F1687A" w:rsidRPr="00700F82">
        <w:t>L</w:t>
      </w:r>
      <w:r w:rsidRPr="00700F82">
        <w:t>(1) to repay is due to be paid 7 days after the day on which the person first becomes liable to repay the amount; and</w:t>
      </w:r>
    </w:p>
    <w:p w14:paraId="55828542" w14:textId="77777777" w:rsidR="00B20F65" w:rsidRPr="00700F82" w:rsidRDefault="00B20F65" w:rsidP="00C7460E">
      <w:pPr>
        <w:pStyle w:val="paragraph"/>
      </w:pPr>
      <w:r w:rsidRPr="00700F82">
        <w:tab/>
        <w:t>(b)</w:t>
      </w:r>
      <w:r w:rsidRPr="00700F82">
        <w:tab/>
        <w:t xml:space="preserve">an amount payable under a notice given under </w:t>
      </w:r>
      <w:r w:rsidR="00AD7F23" w:rsidRPr="00700F82">
        <w:t>item 3</w:t>
      </w:r>
      <w:r w:rsidRPr="00700F82">
        <w:t xml:space="preserve"> or 4 of the table in subsection</w:t>
      </w:r>
      <w:r w:rsidR="009578C7" w:rsidRPr="00700F82">
        <w:t xml:space="preserve"> </w:t>
      </w:r>
      <w:r w:rsidR="00D066A8" w:rsidRPr="00700F82">
        <w:t>115</w:t>
      </w:r>
      <w:r w:rsidR="00F1687A" w:rsidRPr="00700F82">
        <w:t>P</w:t>
      </w:r>
      <w:r w:rsidRPr="00700F82">
        <w:t>(3) is due to be paid 28 days after the day on which the notice is given.</w:t>
      </w:r>
    </w:p>
    <w:p w14:paraId="0B3F2AB1" w14:textId="77777777" w:rsidR="00173FF1" w:rsidRPr="00700F82" w:rsidRDefault="00AE56E0" w:rsidP="00C7460E">
      <w:pPr>
        <w:pStyle w:val="ActHead2"/>
      </w:pPr>
      <w:bookmarkStart w:id="35" w:name="_Toc178780381"/>
      <w:r w:rsidRPr="00700F82">
        <w:rPr>
          <w:rStyle w:val="CharPartNo"/>
        </w:rPr>
        <w:t>Part 3</w:t>
      </w:r>
      <w:r w:rsidR="0098541A" w:rsidRPr="00700F82">
        <w:t>—</w:t>
      </w:r>
      <w:r w:rsidR="00173FF1" w:rsidRPr="00700F82">
        <w:rPr>
          <w:rStyle w:val="CharPartText"/>
        </w:rPr>
        <w:t>Enforcement</w:t>
      </w:r>
      <w:bookmarkEnd w:id="35"/>
    </w:p>
    <w:p w14:paraId="1155897E" w14:textId="77777777" w:rsidR="0089392B" w:rsidRPr="00700F82" w:rsidRDefault="00AE56E0" w:rsidP="00C7460E">
      <w:pPr>
        <w:pStyle w:val="ActHead3"/>
      </w:pPr>
      <w:bookmarkStart w:id="36" w:name="_Toc178780382"/>
      <w:r w:rsidRPr="00700F82">
        <w:rPr>
          <w:rStyle w:val="CharDivNo"/>
        </w:rPr>
        <w:t>Division 1</w:t>
      </w:r>
      <w:r w:rsidR="0089392B" w:rsidRPr="00700F82">
        <w:t>—</w:t>
      </w:r>
      <w:r w:rsidR="0089392B" w:rsidRPr="00700F82">
        <w:rPr>
          <w:rStyle w:val="CharDivText"/>
        </w:rPr>
        <w:t>Guide to this Part</w:t>
      </w:r>
      <w:bookmarkEnd w:id="36"/>
    </w:p>
    <w:p w14:paraId="19885B4D" w14:textId="77777777" w:rsidR="00D066A8" w:rsidRPr="00700F82" w:rsidRDefault="00D066A8" w:rsidP="00C7460E">
      <w:pPr>
        <w:pStyle w:val="ActHead5"/>
      </w:pPr>
      <w:bookmarkStart w:id="37" w:name="_Toc178780383"/>
      <w:r w:rsidRPr="00700F82">
        <w:rPr>
          <w:rStyle w:val="CharSectno"/>
        </w:rPr>
        <w:t>115</w:t>
      </w:r>
      <w:r w:rsidR="00F1687A" w:rsidRPr="00700F82">
        <w:rPr>
          <w:rStyle w:val="CharSectno"/>
        </w:rPr>
        <w:t>R</w:t>
      </w:r>
      <w:r w:rsidRPr="00700F82">
        <w:t xml:space="preserve">  Guide to this Part</w:t>
      </w:r>
      <w:bookmarkEnd w:id="37"/>
    </w:p>
    <w:p w14:paraId="1F23591D" w14:textId="77777777" w:rsidR="0089392B" w:rsidRPr="00700F82" w:rsidRDefault="00D66D4B" w:rsidP="00C7460E">
      <w:pPr>
        <w:pStyle w:val="SOText"/>
      </w:pPr>
      <w:r w:rsidRPr="00700F82">
        <w:t>Superannuation providers are required to keep and retain records in relation to transactions and acts engaged in, or required to be engaged in, under this Chapter.</w:t>
      </w:r>
    </w:p>
    <w:p w14:paraId="2A1E7398" w14:textId="77777777" w:rsidR="00D66D4B" w:rsidRPr="00700F82" w:rsidRDefault="00D66D4B" w:rsidP="00C7460E">
      <w:pPr>
        <w:pStyle w:val="SOText"/>
      </w:pPr>
      <w:r w:rsidRPr="00700F82">
        <w:t>Infringement notices can be given to superannuation providers for failing to give statements relating to returned PPL superannuation contributions or underpaid amounts.</w:t>
      </w:r>
    </w:p>
    <w:p w14:paraId="6D4561B0" w14:textId="77777777" w:rsidR="0089392B" w:rsidRPr="00700F82" w:rsidRDefault="00AE56E0" w:rsidP="00C7460E">
      <w:pPr>
        <w:pStyle w:val="ActHead3"/>
      </w:pPr>
      <w:bookmarkStart w:id="38" w:name="_Toc178780384"/>
      <w:r w:rsidRPr="00700F82">
        <w:rPr>
          <w:rStyle w:val="CharDivNo"/>
        </w:rPr>
        <w:t>Division 2</w:t>
      </w:r>
      <w:r w:rsidR="0089392B" w:rsidRPr="00700F82">
        <w:t>—</w:t>
      </w:r>
      <w:r w:rsidR="0089392B" w:rsidRPr="00700F82">
        <w:rPr>
          <w:rStyle w:val="CharDivText"/>
        </w:rPr>
        <w:t>Record keeping</w:t>
      </w:r>
      <w:bookmarkEnd w:id="38"/>
    </w:p>
    <w:p w14:paraId="19C1841E" w14:textId="77777777" w:rsidR="00955559" w:rsidRPr="00700F82" w:rsidRDefault="00955559" w:rsidP="00C7460E">
      <w:pPr>
        <w:pStyle w:val="ActHead5"/>
      </w:pPr>
      <w:bookmarkStart w:id="39" w:name="_Toc178780385"/>
      <w:r w:rsidRPr="00700F82">
        <w:rPr>
          <w:rStyle w:val="CharSectno"/>
        </w:rPr>
        <w:t>115</w:t>
      </w:r>
      <w:r w:rsidR="00F1687A" w:rsidRPr="00700F82">
        <w:rPr>
          <w:rStyle w:val="CharSectno"/>
        </w:rPr>
        <w:t>S</w:t>
      </w:r>
      <w:r w:rsidRPr="00700F82">
        <w:t xml:space="preserve">  Records to be kept and retained by superannuation provider</w:t>
      </w:r>
      <w:bookmarkEnd w:id="39"/>
    </w:p>
    <w:p w14:paraId="2FF62B05" w14:textId="77777777" w:rsidR="00955559" w:rsidRPr="00700F82" w:rsidRDefault="00955559" w:rsidP="00C7460E">
      <w:pPr>
        <w:pStyle w:val="SubsectionHead"/>
      </w:pPr>
      <w:r w:rsidRPr="00700F82">
        <w:t>Superannuation provider to keep records</w:t>
      </w:r>
    </w:p>
    <w:p w14:paraId="11DD3A88" w14:textId="77777777" w:rsidR="00955559" w:rsidRPr="00700F82" w:rsidRDefault="00955559" w:rsidP="00C7460E">
      <w:pPr>
        <w:pStyle w:val="subsection"/>
      </w:pPr>
      <w:r w:rsidRPr="00700F82">
        <w:tab/>
        <w:t>(1)</w:t>
      </w:r>
      <w:r w:rsidRPr="00700F82">
        <w:tab/>
        <w:t xml:space="preserve">A superannuation provider commits an offence if the provider fails to keep records that record and explain all transactions and other acts the provider engages in, or is required to engage in, under this </w:t>
      </w:r>
      <w:r w:rsidR="00FF7F22" w:rsidRPr="00700F82">
        <w:t xml:space="preserve">Chapter </w:t>
      </w:r>
      <w:r w:rsidRPr="00700F82">
        <w:t xml:space="preserve">or the </w:t>
      </w:r>
      <w:r w:rsidR="00FF7F22" w:rsidRPr="00700F82">
        <w:t>PPL rules made for the purposes of this Chapter</w:t>
      </w:r>
      <w:r w:rsidRPr="00700F82">
        <w:t>.</w:t>
      </w:r>
    </w:p>
    <w:p w14:paraId="6F1B3378" w14:textId="77777777" w:rsidR="00955559" w:rsidRPr="00700F82" w:rsidRDefault="00955559" w:rsidP="00C7460E">
      <w:pPr>
        <w:pStyle w:val="Penalty"/>
      </w:pPr>
      <w:r w:rsidRPr="00700F82">
        <w:t>Penalty:</w:t>
      </w:r>
      <w:r w:rsidRPr="00700F82">
        <w:tab/>
        <w:t>30 penalty units.</w:t>
      </w:r>
    </w:p>
    <w:p w14:paraId="0192680D" w14:textId="77777777" w:rsidR="00955559" w:rsidRPr="00700F82" w:rsidRDefault="00955559" w:rsidP="00C7460E">
      <w:pPr>
        <w:pStyle w:val="SubsectionHead"/>
      </w:pPr>
      <w:r w:rsidRPr="00700F82">
        <w:t>How records to be kept</w:t>
      </w:r>
    </w:p>
    <w:p w14:paraId="68AE6C19" w14:textId="77777777" w:rsidR="00955559" w:rsidRPr="00700F82" w:rsidRDefault="00955559" w:rsidP="00C7460E">
      <w:pPr>
        <w:pStyle w:val="subsection"/>
      </w:pPr>
      <w:r w:rsidRPr="00700F82">
        <w:tab/>
        <w:t>(2)</w:t>
      </w:r>
      <w:r w:rsidRPr="00700F82">
        <w:tab/>
        <w:t>The superannuation provider commits an offence if the records are not either:</w:t>
      </w:r>
    </w:p>
    <w:p w14:paraId="0675EFD3" w14:textId="77777777" w:rsidR="00955559" w:rsidRPr="00700F82" w:rsidRDefault="00955559" w:rsidP="00C7460E">
      <w:pPr>
        <w:pStyle w:val="paragraph"/>
      </w:pPr>
      <w:r w:rsidRPr="00700F82">
        <w:tab/>
        <w:t>(a)</w:t>
      </w:r>
      <w:r w:rsidRPr="00700F82">
        <w:tab/>
        <w:t>kept in writing in the English language; or</w:t>
      </w:r>
    </w:p>
    <w:p w14:paraId="757E3070" w14:textId="77777777" w:rsidR="00955559" w:rsidRPr="00700F82" w:rsidRDefault="00955559" w:rsidP="00C7460E">
      <w:pPr>
        <w:pStyle w:val="paragraph"/>
      </w:pPr>
      <w:r w:rsidRPr="00700F82">
        <w:tab/>
        <w:t>(b)</w:t>
      </w:r>
      <w:r w:rsidRPr="00700F82">
        <w:tab/>
        <w:t>kept so as to enable the records to be readily accessible and convertible into writing in the English language.</w:t>
      </w:r>
    </w:p>
    <w:p w14:paraId="05154123" w14:textId="77777777" w:rsidR="00955559" w:rsidRPr="00700F82" w:rsidRDefault="00955559" w:rsidP="00C7460E">
      <w:pPr>
        <w:pStyle w:val="Penalty"/>
      </w:pPr>
      <w:r w:rsidRPr="00700F82">
        <w:t>Penalty:</w:t>
      </w:r>
      <w:r w:rsidRPr="00700F82">
        <w:tab/>
        <w:t>30 penalty units.</w:t>
      </w:r>
    </w:p>
    <w:p w14:paraId="1B70865A" w14:textId="77777777" w:rsidR="00955559" w:rsidRPr="00700F82" w:rsidRDefault="00955559" w:rsidP="00C7460E">
      <w:pPr>
        <w:pStyle w:val="SubsectionHead"/>
      </w:pPr>
      <w:r w:rsidRPr="00700F82">
        <w:t>Period for retention of records</w:t>
      </w:r>
    </w:p>
    <w:p w14:paraId="46DEEBBC" w14:textId="77777777" w:rsidR="00955559" w:rsidRPr="00700F82" w:rsidRDefault="00955559" w:rsidP="00C7460E">
      <w:pPr>
        <w:pStyle w:val="subsection"/>
      </w:pPr>
      <w:r w:rsidRPr="00700F82">
        <w:tab/>
        <w:t>(3)</w:t>
      </w:r>
      <w:r w:rsidRPr="00700F82">
        <w:tab/>
        <w:t xml:space="preserve">A superannuation provider commits an offence if the provider fails to retain any records kept or obtained under or for the purposes of this </w:t>
      </w:r>
      <w:r w:rsidR="00852CD0" w:rsidRPr="00700F82">
        <w:t>Chapter</w:t>
      </w:r>
      <w:r w:rsidRPr="00700F82">
        <w:t xml:space="preserve"> until the later of:</w:t>
      </w:r>
    </w:p>
    <w:p w14:paraId="7106583F" w14:textId="77777777" w:rsidR="00955559" w:rsidRPr="00700F82" w:rsidRDefault="00955559" w:rsidP="00C7460E">
      <w:pPr>
        <w:pStyle w:val="paragraph"/>
      </w:pPr>
      <w:r w:rsidRPr="00700F82">
        <w:tab/>
        <w:t>(a)</w:t>
      </w:r>
      <w:r w:rsidRPr="00700F82">
        <w:tab/>
        <w:t>the end of 5 years after they were prepared or obtained; and</w:t>
      </w:r>
    </w:p>
    <w:p w14:paraId="1B7457A2" w14:textId="77777777" w:rsidR="00955559" w:rsidRPr="00700F82" w:rsidRDefault="00955559" w:rsidP="00C7460E">
      <w:pPr>
        <w:pStyle w:val="paragraph"/>
      </w:pPr>
      <w:r w:rsidRPr="00700F82">
        <w:tab/>
        <w:t>(b)</w:t>
      </w:r>
      <w:r w:rsidRPr="00700F82">
        <w:tab/>
        <w:t>the completion of the transactions or acts to which those records relate.</w:t>
      </w:r>
    </w:p>
    <w:p w14:paraId="5952A74F" w14:textId="77777777" w:rsidR="00955559" w:rsidRPr="00700F82" w:rsidRDefault="00955559" w:rsidP="00C7460E">
      <w:pPr>
        <w:pStyle w:val="Penalty"/>
      </w:pPr>
      <w:r w:rsidRPr="00700F82">
        <w:t>Penalty:</w:t>
      </w:r>
      <w:r w:rsidRPr="00700F82">
        <w:tab/>
        <w:t>30 penalty units.</w:t>
      </w:r>
    </w:p>
    <w:p w14:paraId="52E96A26" w14:textId="77777777" w:rsidR="00955559" w:rsidRPr="00700F82" w:rsidRDefault="00955559" w:rsidP="00C7460E">
      <w:pPr>
        <w:pStyle w:val="SubsectionHead"/>
      </w:pPr>
      <w:r w:rsidRPr="00700F82">
        <w:t>When records need not be kept</w:t>
      </w:r>
    </w:p>
    <w:p w14:paraId="5F9A1596" w14:textId="77777777" w:rsidR="00955559" w:rsidRPr="00700F82" w:rsidRDefault="00955559" w:rsidP="00C7460E">
      <w:pPr>
        <w:pStyle w:val="subsection"/>
      </w:pPr>
      <w:r w:rsidRPr="00700F82">
        <w:tab/>
        <w:t>(4)</w:t>
      </w:r>
      <w:r w:rsidRPr="00700F82">
        <w:tab/>
        <w:t>Subsections (2) and (3) do not apply if:</w:t>
      </w:r>
    </w:p>
    <w:p w14:paraId="353AF6E8" w14:textId="77777777" w:rsidR="00955559" w:rsidRPr="00700F82" w:rsidRDefault="00955559" w:rsidP="00C7460E">
      <w:pPr>
        <w:pStyle w:val="paragraph"/>
      </w:pPr>
      <w:r w:rsidRPr="00700F82">
        <w:tab/>
        <w:t>(a)</w:t>
      </w:r>
      <w:r w:rsidRPr="00700F82">
        <w:tab/>
        <w:t>the Commissioner has notified the superannuation provider that the retention of the records is not required; or</w:t>
      </w:r>
    </w:p>
    <w:p w14:paraId="321EECD6" w14:textId="77777777" w:rsidR="00955559" w:rsidRPr="00700F82" w:rsidRDefault="00955559" w:rsidP="00C7460E">
      <w:pPr>
        <w:pStyle w:val="paragraph"/>
      </w:pPr>
      <w:r w:rsidRPr="00700F82">
        <w:tab/>
        <w:t>(b)</w:t>
      </w:r>
      <w:r w:rsidRPr="00700F82">
        <w:tab/>
        <w:t>the superannuation provider is a company that has gone into liquidation and been finally dissolved.</w:t>
      </w:r>
    </w:p>
    <w:p w14:paraId="67709D50" w14:textId="77777777" w:rsidR="00955559" w:rsidRPr="00700F82" w:rsidRDefault="00955559" w:rsidP="00C7460E">
      <w:pPr>
        <w:pStyle w:val="notetext"/>
      </w:pPr>
      <w:r w:rsidRPr="00700F82">
        <w:t>Note:</w:t>
      </w:r>
      <w:r w:rsidRPr="00700F82">
        <w:tab/>
        <w:t xml:space="preserve">In a prosecution for an offence against </w:t>
      </w:r>
      <w:r w:rsidR="00AD7F23" w:rsidRPr="00700F82">
        <w:t>subsection (</w:t>
      </w:r>
      <w:r w:rsidRPr="00700F82">
        <w:t xml:space="preserve">2) or (3), the defendant bears an evidential burden in relation to the matters in this </w:t>
      </w:r>
      <w:r w:rsidR="00AD7F23" w:rsidRPr="00700F82">
        <w:t>subsection (</w:t>
      </w:r>
      <w:r w:rsidRPr="00700F82">
        <w:t xml:space="preserve">see </w:t>
      </w:r>
      <w:r w:rsidR="00AE56E0" w:rsidRPr="00700F82">
        <w:t>subsection 1</w:t>
      </w:r>
      <w:r w:rsidRPr="00700F82">
        <w:t xml:space="preserve">3.3(3) of the </w:t>
      </w:r>
      <w:r w:rsidRPr="00700F82">
        <w:rPr>
          <w:i/>
        </w:rPr>
        <w:t>Criminal Code</w:t>
      </w:r>
      <w:r w:rsidRPr="00700F82">
        <w:t>).</w:t>
      </w:r>
    </w:p>
    <w:p w14:paraId="66500284" w14:textId="77777777" w:rsidR="0089392B" w:rsidRPr="00700F82" w:rsidRDefault="00AE56E0" w:rsidP="00C7460E">
      <w:pPr>
        <w:pStyle w:val="ActHead3"/>
      </w:pPr>
      <w:bookmarkStart w:id="40" w:name="_Toc178780386"/>
      <w:r w:rsidRPr="00700F82">
        <w:rPr>
          <w:rStyle w:val="CharDivNo"/>
        </w:rPr>
        <w:t>Division 3</w:t>
      </w:r>
      <w:r w:rsidR="0089392B" w:rsidRPr="00700F82">
        <w:t>—</w:t>
      </w:r>
      <w:r w:rsidR="0089392B" w:rsidRPr="00700F82">
        <w:rPr>
          <w:rStyle w:val="CharDivText"/>
        </w:rPr>
        <w:t>Infringement notices</w:t>
      </w:r>
      <w:bookmarkEnd w:id="40"/>
    </w:p>
    <w:p w14:paraId="267D76D8" w14:textId="77777777" w:rsidR="00955559" w:rsidRPr="00700F82" w:rsidRDefault="002B5FE7" w:rsidP="00C7460E">
      <w:pPr>
        <w:pStyle w:val="ActHead5"/>
      </w:pPr>
      <w:bookmarkStart w:id="41" w:name="_Toc178780387"/>
      <w:r w:rsidRPr="00700F82">
        <w:rPr>
          <w:rStyle w:val="CharSectno"/>
        </w:rPr>
        <w:t>115</w:t>
      </w:r>
      <w:r w:rsidR="00F1687A" w:rsidRPr="00700F82">
        <w:rPr>
          <w:rStyle w:val="CharSectno"/>
        </w:rPr>
        <w:t>T</w:t>
      </w:r>
      <w:r w:rsidR="00955559" w:rsidRPr="00700F82">
        <w:t xml:space="preserve">  When an infringement notice can be served</w:t>
      </w:r>
      <w:bookmarkEnd w:id="41"/>
    </w:p>
    <w:p w14:paraId="3644FDBB" w14:textId="77777777" w:rsidR="00955559" w:rsidRPr="00700F82" w:rsidRDefault="00955559" w:rsidP="00C7460E">
      <w:pPr>
        <w:pStyle w:val="subsection"/>
      </w:pPr>
      <w:r w:rsidRPr="00700F82">
        <w:tab/>
        <w:t>(1)</w:t>
      </w:r>
      <w:r w:rsidRPr="00700F82">
        <w:tab/>
        <w:t xml:space="preserve">Subject to </w:t>
      </w:r>
      <w:r w:rsidR="00AD7F23" w:rsidRPr="00700F82">
        <w:t>subsection (</w:t>
      </w:r>
      <w:r w:rsidRPr="00700F82">
        <w:t xml:space="preserve">2), the Commissioner may cause an infringement notice to be served on a superannuation provider in accordance with this </w:t>
      </w:r>
      <w:r w:rsidR="00AE56E0" w:rsidRPr="00700F82">
        <w:t>Part i</w:t>
      </w:r>
      <w:r w:rsidRPr="00700F82">
        <w:t>f the Commissioner has reasonable grounds to believe that the superannuation provider has committed an offence against:</w:t>
      </w:r>
    </w:p>
    <w:p w14:paraId="0FC6D0CB" w14:textId="77777777" w:rsidR="00955559" w:rsidRPr="00700F82" w:rsidRDefault="00955559" w:rsidP="00C7460E">
      <w:pPr>
        <w:pStyle w:val="paragraph"/>
      </w:pPr>
      <w:r w:rsidRPr="00700F82">
        <w:tab/>
        <w:t>(a)</w:t>
      </w:r>
      <w:r w:rsidRPr="00700F82">
        <w:tab/>
        <w:t>subsection</w:t>
      </w:r>
      <w:r w:rsidR="00B20C41" w:rsidRPr="00700F82">
        <w:t xml:space="preserve"> </w:t>
      </w:r>
      <w:r w:rsidR="00E10304" w:rsidRPr="00700F82">
        <w:t>115</w:t>
      </w:r>
      <w:r w:rsidR="00F1687A" w:rsidRPr="00700F82">
        <w:t>G</w:t>
      </w:r>
      <w:r w:rsidRPr="00700F82">
        <w:t>(3); or</w:t>
      </w:r>
    </w:p>
    <w:p w14:paraId="5944B7C3" w14:textId="77777777" w:rsidR="00955559" w:rsidRPr="00700F82" w:rsidRDefault="00955559" w:rsidP="00C7460E">
      <w:pPr>
        <w:pStyle w:val="paragraph"/>
      </w:pPr>
      <w:r w:rsidRPr="00700F82">
        <w:tab/>
        <w:t>(b)</w:t>
      </w:r>
      <w:r w:rsidRPr="00700F82">
        <w:tab/>
        <w:t>subsection</w:t>
      </w:r>
      <w:r w:rsidR="00B20C41" w:rsidRPr="00700F82">
        <w:t xml:space="preserve"> </w:t>
      </w:r>
      <w:r w:rsidR="00E10304" w:rsidRPr="00700F82">
        <w:t>115</w:t>
      </w:r>
      <w:r w:rsidR="00F1687A" w:rsidRPr="00700F82">
        <w:t>L</w:t>
      </w:r>
      <w:r w:rsidRPr="00700F82">
        <w:t>(3).</w:t>
      </w:r>
    </w:p>
    <w:p w14:paraId="3C4AA0A3" w14:textId="77777777" w:rsidR="00955559" w:rsidRPr="00700F82" w:rsidRDefault="00955559" w:rsidP="00C7460E">
      <w:pPr>
        <w:pStyle w:val="subsection"/>
      </w:pPr>
      <w:r w:rsidRPr="00700F82">
        <w:tab/>
        <w:t>(2)</w:t>
      </w:r>
      <w:r w:rsidRPr="00700F82">
        <w:tab/>
        <w:t>An infringement notice must not relate to more than one offence unless:</w:t>
      </w:r>
    </w:p>
    <w:p w14:paraId="16015D2B" w14:textId="77777777" w:rsidR="00955559" w:rsidRPr="00700F82" w:rsidRDefault="00955559" w:rsidP="00C7460E">
      <w:pPr>
        <w:pStyle w:val="paragraph"/>
      </w:pPr>
      <w:r w:rsidRPr="00700F82">
        <w:tab/>
        <w:t>(a)</w:t>
      </w:r>
      <w:r w:rsidRPr="00700F82">
        <w:tab/>
        <w:t>the offences are:</w:t>
      </w:r>
    </w:p>
    <w:p w14:paraId="4D5FE6D4" w14:textId="77777777" w:rsidR="00955559" w:rsidRPr="00700F82" w:rsidRDefault="00955559" w:rsidP="00C7460E">
      <w:pPr>
        <w:pStyle w:val="paragraphsub"/>
      </w:pPr>
      <w:r w:rsidRPr="00700F82">
        <w:tab/>
        <w:t>(i)</w:t>
      </w:r>
      <w:r w:rsidRPr="00700F82">
        <w:tab/>
        <w:t>an offence constituted by refusing or failing to comply with a requirement before a specified time or within a specified period; and</w:t>
      </w:r>
    </w:p>
    <w:p w14:paraId="7327334C" w14:textId="77777777" w:rsidR="00955559" w:rsidRPr="00700F82" w:rsidRDefault="00955559" w:rsidP="00C7460E">
      <w:pPr>
        <w:pStyle w:val="paragraphsub"/>
      </w:pPr>
      <w:r w:rsidRPr="00700F82">
        <w:tab/>
        <w:t>(ii)</w:t>
      </w:r>
      <w:r w:rsidRPr="00700F82">
        <w:tab/>
        <w:t>one or more daily offences constituted by refusing or failing to comply with the requirement after that time or period; or</w:t>
      </w:r>
    </w:p>
    <w:p w14:paraId="41E7D41C" w14:textId="77777777" w:rsidR="00955559" w:rsidRPr="00700F82" w:rsidRDefault="00955559" w:rsidP="00C7460E">
      <w:pPr>
        <w:pStyle w:val="paragraph"/>
      </w:pPr>
      <w:r w:rsidRPr="00700F82">
        <w:tab/>
        <w:t>(b)</w:t>
      </w:r>
      <w:r w:rsidRPr="00700F82">
        <w:tab/>
        <w:t>the offences are 2 or more daily offences constituted by refusing or failing to comply with the same requirement after the time before which, or the end of the period within which, the requirement was to be complied with.</w:t>
      </w:r>
    </w:p>
    <w:p w14:paraId="75C1066B" w14:textId="77777777" w:rsidR="00955559" w:rsidRPr="00700F82" w:rsidRDefault="00955559" w:rsidP="00C7460E">
      <w:pPr>
        <w:pStyle w:val="notetext"/>
      </w:pPr>
      <w:r w:rsidRPr="00700F82">
        <w:t>Note:</w:t>
      </w:r>
      <w:r w:rsidRPr="00700F82">
        <w:tab/>
        <w:t xml:space="preserve">For daily offences, see section 4K of the </w:t>
      </w:r>
      <w:r w:rsidRPr="00700F82">
        <w:rPr>
          <w:i/>
        </w:rPr>
        <w:t>Crimes Act 1914</w:t>
      </w:r>
      <w:r w:rsidRPr="00700F82">
        <w:t>.</w:t>
      </w:r>
    </w:p>
    <w:p w14:paraId="09202552" w14:textId="77777777" w:rsidR="00955559" w:rsidRPr="00700F82" w:rsidRDefault="00955559" w:rsidP="00C7460E">
      <w:pPr>
        <w:pStyle w:val="subsection"/>
      </w:pPr>
      <w:r w:rsidRPr="00700F82">
        <w:tab/>
        <w:t>(3)</w:t>
      </w:r>
      <w:r w:rsidRPr="00700F82">
        <w:tab/>
        <w:t>An infringement notice does not have any effect unless it is served within one year after the day on which the offence or the earlier or earliest of the offences is alleged to have been committed.</w:t>
      </w:r>
    </w:p>
    <w:p w14:paraId="31446460" w14:textId="77777777" w:rsidR="00955559" w:rsidRPr="00700F82" w:rsidRDefault="002B5FE7" w:rsidP="00C7460E">
      <w:pPr>
        <w:pStyle w:val="ActHead5"/>
      </w:pPr>
      <w:bookmarkStart w:id="42" w:name="_Toc178780388"/>
      <w:r w:rsidRPr="00700F82">
        <w:rPr>
          <w:rStyle w:val="CharSectno"/>
        </w:rPr>
        <w:t>115</w:t>
      </w:r>
      <w:r w:rsidR="00F1687A" w:rsidRPr="00700F82">
        <w:rPr>
          <w:rStyle w:val="CharSectno"/>
        </w:rPr>
        <w:t>U</w:t>
      </w:r>
      <w:r w:rsidR="00955559" w:rsidRPr="00700F82">
        <w:t xml:space="preserve">  Matters to be included in an infringement notice</w:t>
      </w:r>
      <w:bookmarkEnd w:id="42"/>
    </w:p>
    <w:p w14:paraId="27CB8973" w14:textId="77777777" w:rsidR="00955559" w:rsidRPr="00700F82" w:rsidRDefault="00955559" w:rsidP="00C7460E">
      <w:pPr>
        <w:pStyle w:val="subsection"/>
      </w:pPr>
      <w:r w:rsidRPr="00700F82">
        <w:tab/>
        <w:t>(1)</w:t>
      </w:r>
      <w:r w:rsidRPr="00700F82">
        <w:tab/>
        <w:t>An infringement notice must:</w:t>
      </w:r>
    </w:p>
    <w:p w14:paraId="4664BAB2" w14:textId="77777777" w:rsidR="00955559" w:rsidRPr="00700F82" w:rsidRDefault="00955559" w:rsidP="00C7460E">
      <w:pPr>
        <w:pStyle w:val="paragraph"/>
      </w:pPr>
      <w:r w:rsidRPr="00700F82">
        <w:tab/>
        <w:t>(a)</w:t>
      </w:r>
      <w:r w:rsidRPr="00700F82">
        <w:tab/>
        <w:t>state the name of the person on whom it is to be served; and</w:t>
      </w:r>
    </w:p>
    <w:p w14:paraId="215B282A" w14:textId="77777777" w:rsidR="00955559" w:rsidRPr="00700F82" w:rsidRDefault="00955559" w:rsidP="00C7460E">
      <w:pPr>
        <w:pStyle w:val="paragraph"/>
      </w:pPr>
      <w:r w:rsidRPr="00700F82">
        <w:tab/>
        <w:t>(b)</w:t>
      </w:r>
      <w:r w:rsidRPr="00700F82">
        <w:tab/>
        <w:t>state that it is being served on behalf of the Commissioner; and</w:t>
      </w:r>
    </w:p>
    <w:p w14:paraId="4120A382" w14:textId="77777777" w:rsidR="00955559" w:rsidRPr="00700F82" w:rsidRDefault="00955559" w:rsidP="00C7460E">
      <w:pPr>
        <w:pStyle w:val="paragraph"/>
        <w:keepNext/>
      </w:pPr>
      <w:r w:rsidRPr="00700F82">
        <w:tab/>
        <w:t>(c)</w:t>
      </w:r>
      <w:r w:rsidRPr="00700F82">
        <w:tab/>
        <w:t>state:</w:t>
      </w:r>
    </w:p>
    <w:p w14:paraId="1C2D7A4F" w14:textId="77777777" w:rsidR="00955559" w:rsidRPr="00700F82" w:rsidRDefault="00955559" w:rsidP="00C7460E">
      <w:pPr>
        <w:pStyle w:val="paragraphsub"/>
        <w:keepNext/>
      </w:pPr>
      <w:r w:rsidRPr="00700F82">
        <w:tab/>
        <w:t>(i)</w:t>
      </w:r>
      <w:r w:rsidRPr="00700F82">
        <w:tab/>
        <w:t>the nature of the alleged offence or offences; and</w:t>
      </w:r>
    </w:p>
    <w:p w14:paraId="17B9F880" w14:textId="77777777" w:rsidR="00955559" w:rsidRPr="00700F82" w:rsidRDefault="00955559" w:rsidP="00C7460E">
      <w:pPr>
        <w:pStyle w:val="paragraphsub"/>
      </w:pPr>
      <w:r w:rsidRPr="00700F82">
        <w:tab/>
        <w:t>(ii)</w:t>
      </w:r>
      <w:r w:rsidRPr="00700F82">
        <w:tab/>
        <w:t>the time (if known) and date on which, and the place at which, the offence or the earlier or earliest of the offences is alleged to have been committed; and</w:t>
      </w:r>
    </w:p>
    <w:p w14:paraId="547F0B22" w14:textId="77777777" w:rsidR="00955559" w:rsidRPr="00700F82" w:rsidRDefault="00955559" w:rsidP="00C7460E">
      <w:pPr>
        <w:pStyle w:val="paragraphsub"/>
      </w:pPr>
      <w:r w:rsidRPr="00700F82">
        <w:tab/>
        <w:t>(iii)</w:t>
      </w:r>
      <w:r w:rsidRPr="00700F82">
        <w:tab/>
        <w:t>the maximum penalty that a court could impose for the alleged offence or offences; and</w:t>
      </w:r>
    </w:p>
    <w:p w14:paraId="28DAFFE1" w14:textId="77777777" w:rsidR="00955559" w:rsidRPr="00700F82" w:rsidRDefault="00955559" w:rsidP="00C7460E">
      <w:pPr>
        <w:pStyle w:val="paragraph"/>
      </w:pPr>
      <w:r w:rsidRPr="00700F82">
        <w:tab/>
        <w:t>(d)</w:t>
      </w:r>
      <w:r w:rsidRPr="00700F82">
        <w:tab/>
        <w:t>specify a penalty that is payable under the notice in respect of the alleged offence or offences; and</w:t>
      </w:r>
    </w:p>
    <w:p w14:paraId="74971D1F" w14:textId="77777777" w:rsidR="00955559" w:rsidRPr="00700F82" w:rsidRDefault="00955559" w:rsidP="00C7460E">
      <w:pPr>
        <w:pStyle w:val="paragraph"/>
      </w:pPr>
      <w:r w:rsidRPr="00700F82">
        <w:tab/>
        <w:t>(e)</w:t>
      </w:r>
      <w:r w:rsidRPr="00700F82">
        <w:tab/>
        <w:t>state that, if the person does not wish the matter to be dealt with by a court, the person may pay to the Commissioner the amount of the penalty specified in the notice within 28 days after the date of service of the notice; and</w:t>
      </w:r>
    </w:p>
    <w:p w14:paraId="64452BEA" w14:textId="77777777" w:rsidR="00955559" w:rsidRPr="00700F82" w:rsidRDefault="00955559" w:rsidP="00C7460E">
      <w:pPr>
        <w:pStyle w:val="paragraph"/>
      </w:pPr>
      <w:r w:rsidRPr="00700F82">
        <w:tab/>
        <w:t>(f)</w:t>
      </w:r>
      <w:r w:rsidRPr="00700F82">
        <w:tab/>
        <w:t>state that the person may make written representations to the Commissioner seeking the withdrawal of the notice.</w:t>
      </w:r>
    </w:p>
    <w:p w14:paraId="4CB2A160" w14:textId="77777777" w:rsidR="00955559" w:rsidRPr="00700F82" w:rsidRDefault="00955559" w:rsidP="00C7460E">
      <w:pPr>
        <w:pStyle w:val="notetext"/>
      </w:pPr>
      <w:r w:rsidRPr="00700F82">
        <w:t>Note:</w:t>
      </w:r>
      <w:r w:rsidRPr="00700F82">
        <w:tab/>
        <w:t xml:space="preserve">The Commissioner has power to extend periods stated in notices under </w:t>
      </w:r>
      <w:r w:rsidR="00AE56E0" w:rsidRPr="00700F82">
        <w:t>paragraph (</w:t>
      </w:r>
      <w:r w:rsidRPr="00700F82">
        <w:t>1)(e) (see section</w:t>
      </w:r>
      <w:r w:rsidR="000E0086" w:rsidRPr="00700F82">
        <w:t xml:space="preserve"> </w:t>
      </w:r>
      <w:r w:rsidR="000F05F5" w:rsidRPr="00700F82">
        <w:t>115</w:t>
      </w:r>
      <w:r w:rsidR="00F1687A" w:rsidRPr="00700F82">
        <w:t>Z</w:t>
      </w:r>
      <w:r w:rsidRPr="00700F82">
        <w:t>).</w:t>
      </w:r>
    </w:p>
    <w:p w14:paraId="7BE5B2E4" w14:textId="77777777" w:rsidR="00955559" w:rsidRPr="00700F82" w:rsidRDefault="00955559" w:rsidP="00C7460E">
      <w:pPr>
        <w:pStyle w:val="subsection"/>
      </w:pPr>
      <w:r w:rsidRPr="00700F82">
        <w:tab/>
        <w:t>(2)</w:t>
      </w:r>
      <w:r w:rsidRPr="00700F82">
        <w:tab/>
        <w:t>An infringement notice may contain any other matters that the Commissioner considers necessary.</w:t>
      </w:r>
    </w:p>
    <w:p w14:paraId="360CDEEC" w14:textId="77777777" w:rsidR="00955559" w:rsidRPr="00700F82" w:rsidRDefault="00955559" w:rsidP="00C7460E">
      <w:pPr>
        <w:pStyle w:val="subsection"/>
      </w:pPr>
      <w:r w:rsidRPr="00700F82">
        <w:tab/>
        <w:t>(3)</w:t>
      </w:r>
      <w:r w:rsidRPr="00700F82">
        <w:tab/>
        <w:t xml:space="preserve">The penalty to be specified in an infringement notice under </w:t>
      </w:r>
      <w:r w:rsidR="00AE56E0" w:rsidRPr="00700F82">
        <w:t>paragraph (</w:t>
      </w:r>
      <w:r w:rsidRPr="00700F82">
        <w:t>1)(d) is 20% of the maximum amount of the fine or fines that a court could impose for the offence or offences.</w:t>
      </w:r>
    </w:p>
    <w:p w14:paraId="26D0D495" w14:textId="77777777" w:rsidR="00955559" w:rsidRPr="00700F82" w:rsidRDefault="002B5FE7" w:rsidP="00C7460E">
      <w:pPr>
        <w:pStyle w:val="ActHead5"/>
      </w:pPr>
      <w:bookmarkStart w:id="43" w:name="_Toc178780389"/>
      <w:r w:rsidRPr="00700F82">
        <w:rPr>
          <w:rStyle w:val="CharSectno"/>
        </w:rPr>
        <w:t>115</w:t>
      </w:r>
      <w:r w:rsidR="00F1687A" w:rsidRPr="00700F82">
        <w:rPr>
          <w:rStyle w:val="CharSectno"/>
        </w:rPr>
        <w:t>V</w:t>
      </w:r>
      <w:r w:rsidR="00955559" w:rsidRPr="00700F82">
        <w:t xml:space="preserve">  Withdrawal of infringement notice</w:t>
      </w:r>
      <w:bookmarkEnd w:id="43"/>
    </w:p>
    <w:p w14:paraId="34783198" w14:textId="77777777" w:rsidR="00955559" w:rsidRPr="00700F82" w:rsidRDefault="00955559" w:rsidP="00C7460E">
      <w:pPr>
        <w:pStyle w:val="subsection"/>
      </w:pPr>
      <w:r w:rsidRPr="00700F82">
        <w:tab/>
        <w:t>(1)</w:t>
      </w:r>
      <w:r w:rsidRPr="00700F82">
        <w:tab/>
        <w:t>A person on whom an infringement notice has been served may make written representations to the Commissioner seeking the withdrawal of the notice.</w:t>
      </w:r>
    </w:p>
    <w:p w14:paraId="0213696B" w14:textId="77777777" w:rsidR="00955559" w:rsidRPr="00700F82" w:rsidRDefault="00955559" w:rsidP="00C7460E">
      <w:pPr>
        <w:pStyle w:val="subsection"/>
      </w:pPr>
      <w:r w:rsidRPr="00700F82">
        <w:tab/>
        <w:t>(2)</w:t>
      </w:r>
      <w:r w:rsidRPr="00700F82">
        <w:tab/>
        <w:t>The Commissioner may withdraw an infringement notice served on a person (whether or not the person has made representations seeking the withdrawal) by causing written notice of the withdrawal to be served on the person within the period within which the penalty specified in the infringement notice is required to be paid.</w:t>
      </w:r>
    </w:p>
    <w:p w14:paraId="3DBFCF24" w14:textId="77777777" w:rsidR="00955559" w:rsidRPr="00700F82" w:rsidRDefault="00955559" w:rsidP="00C7460E">
      <w:pPr>
        <w:pStyle w:val="subsection"/>
      </w:pPr>
      <w:r w:rsidRPr="00700F82">
        <w:tab/>
        <w:t>(3)</w:t>
      </w:r>
      <w:r w:rsidRPr="00700F82">
        <w:tab/>
        <w:t>The matters to which the Commissioner may have regard in deciding whether or not to withdraw an infringement notice include, but are not limited to, the following:</w:t>
      </w:r>
    </w:p>
    <w:p w14:paraId="027A6470" w14:textId="77777777" w:rsidR="00955559" w:rsidRPr="00700F82" w:rsidRDefault="00955559" w:rsidP="00C7460E">
      <w:pPr>
        <w:pStyle w:val="paragraph"/>
      </w:pPr>
      <w:r w:rsidRPr="00700F82">
        <w:tab/>
        <w:t>(a)</w:t>
      </w:r>
      <w:r w:rsidRPr="00700F82">
        <w:tab/>
        <w:t>whether the person has previously been convicted of an offence for a contravention of this Act;</w:t>
      </w:r>
    </w:p>
    <w:p w14:paraId="2C6BC453" w14:textId="77777777" w:rsidR="00955559" w:rsidRPr="00700F82" w:rsidRDefault="00955559" w:rsidP="00C7460E">
      <w:pPr>
        <w:pStyle w:val="paragraph"/>
      </w:pPr>
      <w:r w:rsidRPr="00700F82">
        <w:tab/>
        <w:t>(b)</w:t>
      </w:r>
      <w:r w:rsidRPr="00700F82">
        <w:tab/>
        <w:t>the circumstances in which the offence or offences specified in the notice are alleged to have been committed;</w:t>
      </w:r>
    </w:p>
    <w:p w14:paraId="3D57815E" w14:textId="77777777" w:rsidR="00955559" w:rsidRPr="00700F82" w:rsidRDefault="00955559" w:rsidP="00C7460E">
      <w:pPr>
        <w:pStyle w:val="paragraph"/>
      </w:pPr>
      <w:r w:rsidRPr="00700F82">
        <w:tab/>
        <w:t>(c)</w:t>
      </w:r>
      <w:r w:rsidRPr="00700F82">
        <w:tab/>
        <w:t>whether the person has previously been served with an infringement notice in respect of which the person paid the penalty specified in the notice;</w:t>
      </w:r>
    </w:p>
    <w:p w14:paraId="610ABC20" w14:textId="77777777" w:rsidR="00955559" w:rsidRPr="00700F82" w:rsidRDefault="00955559" w:rsidP="00C7460E">
      <w:pPr>
        <w:pStyle w:val="paragraph"/>
      </w:pPr>
      <w:r w:rsidRPr="00700F82">
        <w:tab/>
        <w:t>(d)</w:t>
      </w:r>
      <w:r w:rsidRPr="00700F82">
        <w:tab/>
        <w:t>any written representations made by the person.</w:t>
      </w:r>
    </w:p>
    <w:p w14:paraId="73E014AD" w14:textId="77777777" w:rsidR="00955559" w:rsidRPr="00700F82" w:rsidRDefault="00955559" w:rsidP="00C7460E">
      <w:pPr>
        <w:pStyle w:val="subsection"/>
      </w:pPr>
      <w:r w:rsidRPr="00700F82">
        <w:tab/>
        <w:t>(4)</w:t>
      </w:r>
      <w:r w:rsidRPr="00700F82">
        <w:tab/>
        <w:t>If:</w:t>
      </w:r>
    </w:p>
    <w:p w14:paraId="7686371E" w14:textId="77777777" w:rsidR="00955559" w:rsidRPr="00700F82" w:rsidRDefault="00955559" w:rsidP="00C7460E">
      <w:pPr>
        <w:pStyle w:val="paragraph"/>
      </w:pPr>
      <w:r w:rsidRPr="00700F82">
        <w:tab/>
        <w:t>(a)</w:t>
      </w:r>
      <w:r w:rsidRPr="00700F82">
        <w:tab/>
        <w:t xml:space="preserve">the person pays the penalty specified in the infringement notice within the period </w:t>
      </w:r>
      <w:r w:rsidR="009456B8" w:rsidRPr="00700F82">
        <w:t>specified in paragraph 115</w:t>
      </w:r>
      <w:r w:rsidR="00F1687A" w:rsidRPr="00700F82">
        <w:t>U</w:t>
      </w:r>
      <w:r w:rsidR="009456B8" w:rsidRPr="00700F82">
        <w:t>(1)(e)</w:t>
      </w:r>
      <w:r w:rsidRPr="00700F82">
        <w:t>; and</w:t>
      </w:r>
    </w:p>
    <w:p w14:paraId="15FD66EC" w14:textId="77777777" w:rsidR="00955559" w:rsidRPr="00700F82" w:rsidRDefault="00955559" w:rsidP="00C7460E">
      <w:pPr>
        <w:pStyle w:val="paragraph"/>
      </w:pPr>
      <w:r w:rsidRPr="00700F82">
        <w:tab/>
        <w:t>(b)</w:t>
      </w:r>
      <w:r w:rsidRPr="00700F82">
        <w:tab/>
        <w:t>the notice is withdrawn after the person pays the penalty;</w:t>
      </w:r>
    </w:p>
    <w:p w14:paraId="35622A4D" w14:textId="77777777" w:rsidR="00955559" w:rsidRPr="00700F82" w:rsidRDefault="00955559" w:rsidP="00C7460E">
      <w:pPr>
        <w:pStyle w:val="subsection2"/>
      </w:pPr>
      <w:r w:rsidRPr="00700F82">
        <w:t>the Commissioner must refund to the person</w:t>
      </w:r>
      <w:r w:rsidR="008F2772" w:rsidRPr="00700F82">
        <w:t xml:space="preserve"> </w:t>
      </w:r>
      <w:r w:rsidRPr="00700F82">
        <w:t>an amount equal to the amount paid.</w:t>
      </w:r>
    </w:p>
    <w:p w14:paraId="11FD9927" w14:textId="77777777" w:rsidR="00955559" w:rsidRPr="00700F82" w:rsidRDefault="002B5FE7" w:rsidP="00C7460E">
      <w:pPr>
        <w:pStyle w:val="ActHead5"/>
      </w:pPr>
      <w:bookmarkStart w:id="44" w:name="_Toc178780390"/>
      <w:r w:rsidRPr="00700F82">
        <w:rPr>
          <w:rStyle w:val="CharSectno"/>
        </w:rPr>
        <w:t>115</w:t>
      </w:r>
      <w:r w:rsidR="00F1687A" w:rsidRPr="00700F82">
        <w:rPr>
          <w:rStyle w:val="CharSectno"/>
        </w:rPr>
        <w:t>W</w:t>
      </w:r>
      <w:r w:rsidR="00955559" w:rsidRPr="00700F82">
        <w:t xml:space="preserve">  What happens if penalty is paid</w:t>
      </w:r>
      <w:bookmarkEnd w:id="44"/>
    </w:p>
    <w:p w14:paraId="48E92417" w14:textId="77777777" w:rsidR="00955559" w:rsidRPr="00700F82" w:rsidRDefault="00955559" w:rsidP="00C7460E">
      <w:pPr>
        <w:pStyle w:val="subsection"/>
      </w:pPr>
      <w:r w:rsidRPr="00700F82">
        <w:tab/>
        <w:t>(1)</w:t>
      </w:r>
      <w:r w:rsidRPr="00700F82">
        <w:tab/>
        <w:t>This section applies if:</w:t>
      </w:r>
    </w:p>
    <w:p w14:paraId="331A65AA" w14:textId="77777777" w:rsidR="00955559" w:rsidRPr="00700F82" w:rsidRDefault="00955559" w:rsidP="00C7460E">
      <w:pPr>
        <w:pStyle w:val="paragraph"/>
      </w:pPr>
      <w:r w:rsidRPr="00700F82">
        <w:tab/>
        <w:t>(a)</w:t>
      </w:r>
      <w:r w:rsidRPr="00700F82">
        <w:tab/>
        <w:t>an infringement notice is served on a person; and</w:t>
      </w:r>
    </w:p>
    <w:p w14:paraId="16BB0666" w14:textId="77777777" w:rsidR="00955559" w:rsidRPr="00700F82" w:rsidRDefault="00955559" w:rsidP="00C7460E">
      <w:pPr>
        <w:pStyle w:val="paragraph"/>
      </w:pPr>
      <w:r w:rsidRPr="00700F82">
        <w:tab/>
        <w:t>(b)</w:t>
      </w:r>
      <w:r w:rsidRPr="00700F82">
        <w:tab/>
        <w:t>the person pays the penalty specified in the notice before the end of the period referred to in paragraph</w:t>
      </w:r>
      <w:r w:rsidR="000E0086" w:rsidRPr="00700F82">
        <w:t xml:space="preserve"> </w:t>
      </w:r>
      <w:r w:rsidR="002E5BC2" w:rsidRPr="00700F82">
        <w:t>115</w:t>
      </w:r>
      <w:r w:rsidR="00F1687A" w:rsidRPr="00700F82">
        <w:t>U</w:t>
      </w:r>
      <w:r w:rsidRPr="00700F82">
        <w:t>(1)(e); and</w:t>
      </w:r>
    </w:p>
    <w:p w14:paraId="1FF13027" w14:textId="77777777" w:rsidR="00955559" w:rsidRPr="00700F82" w:rsidRDefault="00955559" w:rsidP="00C7460E">
      <w:pPr>
        <w:pStyle w:val="paragraph"/>
      </w:pPr>
      <w:r w:rsidRPr="00700F82">
        <w:tab/>
        <w:t>(c)</w:t>
      </w:r>
      <w:r w:rsidRPr="00700F82">
        <w:tab/>
        <w:t>the infringement notice is not withdrawn.</w:t>
      </w:r>
    </w:p>
    <w:p w14:paraId="02D10B62" w14:textId="77777777" w:rsidR="00955559" w:rsidRPr="00700F82" w:rsidRDefault="00955559" w:rsidP="00C7460E">
      <w:pPr>
        <w:pStyle w:val="subsection"/>
      </w:pPr>
      <w:r w:rsidRPr="00700F82">
        <w:tab/>
        <w:t>(2)</w:t>
      </w:r>
      <w:r w:rsidRPr="00700F82">
        <w:tab/>
        <w:t>Any liability of the person for the offence or offences specified in the notice, and for any other offence or offences constituted by the same omission, is taken to be discharged.</w:t>
      </w:r>
    </w:p>
    <w:p w14:paraId="28AE5F75" w14:textId="77777777" w:rsidR="00955559" w:rsidRPr="00700F82" w:rsidRDefault="00955559" w:rsidP="00C7460E">
      <w:pPr>
        <w:pStyle w:val="subsection"/>
      </w:pPr>
      <w:r w:rsidRPr="00700F82">
        <w:tab/>
        <w:t>(3)</w:t>
      </w:r>
      <w:r w:rsidRPr="00700F82">
        <w:tab/>
        <w:t>Further proceedings cannot be taken against the person for the offence or offences specified in the notice and proceedings cannot be taken against the person for any other offence or offences constituted by the same omission.</w:t>
      </w:r>
    </w:p>
    <w:p w14:paraId="4490CF77" w14:textId="77777777" w:rsidR="00955559" w:rsidRPr="00700F82" w:rsidRDefault="00955559" w:rsidP="00C7460E">
      <w:pPr>
        <w:pStyle w:val="subsection"/>
      </w:pPr>
      <w:r w:rsidRPr="00700F82">
        <w:tab/>
        <w:t>(4)</w:t>
      </w:r>
      <w:r w:rsidRPr="00700F82">
        <w:tab/>
        <w:t>The person is not regarded as having been convicted of the offence or offences specified in the notice.</w:t>
      </w:r>
    </w:p>
    <w:p w14:paraId="0273EF69" w14:textId="77777777" w:rsidR="00955559" w:rsidRPr="00700F82" w:rsidRDefault="000F05F5" w:rsidP="00C7460E">
      <w:pPr>
        <w:pStyle w:val="ActHead5"/>
      </w:pPr>
      <w:bookmarkStart w:id="45" w:name="_Toc178780391"/>
      <w:r w:rsidRPr="00700F82">
        <w:rPr>
          <w:rStyle w:val="CharSectno"/>
        </w:rPr>
        <w:t>115</w:t>
      </w:r>
      <w:r w:rsidR="00F1687A" w:rsidRPr="00700F82">
        <w:rPr>
          <w:rStyle w:val="CharSectno"/>
        </w:rPr>
        <w:t>X</w:t>
      </w:r>
      <w:r w:rsidR="00955559" w:rsidRPr="00700F82">
        <w:t xml:space="preserve">  More than one infringement notice may not be served for the same offence</w:t>
      </w:r>
      <w:bookmarkEnd w:id="45"/>
    </w:p>
    <w:p w14:paraId="34B44731" w14:textId="77777777" w:rsidR="00955559" w:rsidRPr="00700F82" w:rsidRDefault="00955559" w:rsidP="00C7460E">
      <w:pPr>
        <w:pStyle w:val="subsection"/>
      </w:pPr>
      <w:r w:rsidRPr="00700F82">
        <w:tab/>
      </w:r>
      <w:r w:rsidRPr="00700F82">
        <w:tab/>
        <w:t>This Division does not permit the service of more than one infringement notice on a person for the same offence or offences.</w:t>
      </w:r>
    </w:p>
    <w:p w14:paraId="031BF78D" w14:textId="77777777" w:rsidR="00955559" w:rsidRPr="00700F82" w:rsidRDefault="000F05F5" w:rsidP="00C7460E">
      <w:pPr>
        <w:pStyle w:val="ActHead5"/>
      </w:pPr>
      <w:bookmarkStart w:id="46" w:name="_Toc178780392"/>
      <w:r w:rsidRPr="00700F82">
        <w:rPr>
          <w:rStyle w:val="CharSectno"/>
        </w:rPr>
        <w:t>115</w:t>
      </w:r>
      <w:r w:rsidR="00F1687A" w:rsidRPr="00700F82">
        <w:rPr>
          <w:rStyle w:val="CharSectno"/>
        </w:rPr>
        <w:t>Y</w:t>
      </w:r>
      <w:r w:rsidR="00955559" w:rsidRPr="00700F82">
        <w:t xml:space="preserve">  Infringement notice not required to be served</w:t>
      </w:r>
      <w:bookmarkEnd w:id="46"/>
    </w:p>
    <w:p w14:paraId="62F4910C" w14:textId="77777777" w:rsidR="00955559" w:rsidRPr="00700F82" w:rsidRDefault="00955559" w:rsidP="00C7460E">
      <w:pPr>
        <w:pStyle w:val="subsection"/>
      </w:pPr>
      <w:r w:rsidRPr="00700F82">
        <w:tab/>
      </w:r>
      <w:r w:rsidRPr="00700F82">
        <w:tab/>
        <w:t>This Division does not:</w:t>
      </w:r>
    </w:p>
    <w:p w14:paraId="5B6D555F" w14:textId="77777777" w:rsidR="00955559" w:rsidRPr="00700F82" w:rsidRDefault="00955559" w:rsidP="00C7460E">
      <w:pPr>
        <w:pStyle w:val="paragraph"/>
      </w:pPr>
      <w:r w:rsidRPr="00700F82">
        <w:tab/>
        <w:t>(a)</w:t>
      </w:r>
      <w:r w:rsidRPr="00700F82">
        <w:tab/>
        <w:t>require an infringement notice to be served on a person in relation to an offence; or</w:t>
      </w:r>
    </w:p>
    <w:p w14:paraId="0C711075" w14:textId="77777777" w:rsidR="00955559" w:rsidRPr="00700F82" w:rsidRDefault="00955559" w:rsidP="00C7460E">
      <w:pPr>
        <w:pStyle w:val="paragraph"/>
      </w:pPr>
      <w:r w:rsidRPr="00700F82">
        <w:tab/>
        <w:t>(b)</w:t>
      </w:r>
      <w:r w:rsidRPr="00700F82">
        <w:tab/>
        <w:t>affect the liability of a person to be prosecuted for an offence if:</w:t>
      </w:r>
    </w:p>
    <w:p w14:paraId="6890FE0A" w14:textId="77777777" w:rsidR="00955559" w:rsidRPr="00700F82" w:rsidRDefault="00955559" w:rsidP="00C7460E">
      <w:pPr>
        <w:pStyle w:val="paragraphsub"/>
      </w:pPr>
      <w:r w:rsidRPr="00700F82">
        <w:tab/>
        <w:t>(i)</w:t>
      </w:r>
      <w:r w:rsidRPr="00700F82">
        <w:tab/>
        <w:t>an infringement notice is not served on the person in relation to the offence or in relation to any other offence constituted by the same omission; or</w:t>
      </w:r>
    </w:p>
    <w:p w14:paraId="1D6EC5EA" w14:textId="77777777" w:rsidR="00955559" w:rsidRPr="00700F82" w:rsidRDefault="00955559" w:rsidP="00C7460E">
      <w:pPr>
        <w:pStyle w:val="paragraphsub"/>
      </w:pPr>
      <w:r w:rsidRPr="00700F82">
        <w:tab/>
        <w:t>(ii)</w:t>
      </w:r>
      <w:r w:rsidRPr="00700F82">
        <w:tab/>
        <w:t>an infringement notice served on the person in relation to the offence or in relation to any other offence constituted by the same omission has been withdrawn; or</w:t>
      </w:r>
    </w:p>
    <w:p w14:paraId="3DAB5449" w14:textId="77777777" w:rsidR="00955559" w:rsidRPr="00700F82" w:rsidRDefault="00955559" w:rsidP="00C7460E">
      <w:pPr>
        <w:pStyle w:val="paragraph"/>
      </w:pPr>
      <w:r w:rsidRPr="00700F82">
        <w:tab/>
        <w:t>(c)</w:t>
      </w:r>
      <w:r w:rsidRPr="00700F82">
        <w:tab/>
        <w:t>affect the liability of a person to be prosecuted for an offence if the person does not comply with an infringement notice served on the person in relation to the offence or in relation to any other offence constituted by the same omission; or</w:t>
      </w:r>
    </w:p>
    <w:p w14:paraId="70CD49C9" w14:textId="77777777" w:rsidR="00955559" w:rsidRPr="00700F82" w:rsidRDefault="00955559" w:rsidP="00C7460E">
      <w:pPr>
        <w:pStyle w:val="paragraph"/>
      </w:pPr>
      <w:r w:rsidRPr="00700F82">
        <w:tab/>
        <w:t>(d)</w:t>
      </w:r>
      <w:r w:rsidRPr="00700F82">
        <w:tab/>
        <w:t>limit the amount of the penalty that may be imposed by a court on a person convicted of an offence.</w:t>
      </w:r>
    </w:p>
    <w:p w14:paraId="0E9498FC" w14:textId="77777777" w:rsidR="00955559" w:rsidRPr="00700F82" w:rsidRDefault="000F05F5" w:rsidP="00C7460E">
      <w:pPr>
        <w:pStyle w:val="ActHead5"/>
      </w:pPr>
      <w:bookmarkStart w:id="47" w:name="_Toc178780393"/>
      <w:r w:rsidRPr="00700F82">
        <w:rPr>
          <w:rStyle w:val="CharSectno"/>
        </w:rPr>
        <w:t>115</w:t>
      </w:r>
      <w:r w:rsidR="00F1687A" w:rsidRPr="00700F82">
        <w:rPr>
          <w:rStyle w:val="CharSectno"/>
        </w:rPr>
        <w:t>Z</w:t>
      </w:r>
      <w:r w:rsidR="00955559" w:rsidRPr="00700F82">
        <w:t xml:space="preserve">  Commissioner may extend period for payment of penalty</w:t>
      </w:r>
      <w:bookmarkEnd w:id="47"/>
    </w:p>
    <w:p w14:paraId="75BDC3DA" w14:textId="77777777" w:rsidR="00955559" w:rsidRPr="00700F82" w:rsidRDefault="00955559" w:rsidP="00C7460E">
      <w:pPr>
        <w:pStyle w:val="subsection"/>
      </w:pPr>
      <w:r w:rsidRPr="00700F82">
        <w:tab/>
        <w:t>(1)</w:t>
      </w:r>
      <w:r w:rsidRPr="00700F82">
        <w:tab/>
        <w:t>The Commissioner may, by writing, extend, in relation to a particular person, the period referred to in paragraph</w:t>
      </w:r>
      <w:r w:rsidR="00DB32A8" w:rsidRPr="00700F82">
        <w:t xml:space="preserve"> 115U</w:t>
      </w:r>
      <w:r w:rsidRPr="00700F82">
        <w:t>(1)(e).</w:t>
      </w:r>
    </w:p>
    <w:p w14:paraId="0C0F66E7" w14:textId="77777777" w:rsidR="00955559" w:rsidRPr="00700F82" w:rsidRDefault="00955559" w:rsidP="00C7460E">
      <w:pPr>
        <w:pStyle w:val="subsection"/>
      </w:pPr>
      <w:r w:rsidRPr="00700F82">
        <w:tab/>
        <w:t>(2)</w:t>
      </w:r>
      <w:r w:rsidRPr="00700F82">
        <w:tab/>
        <w:t xml:space="preserve">The power of the Commissioner under </w:t>
      </w:r>
      <w:r w:rsidR="00AD7F23" w:rsidRPr="00700F82">
        <w:t>subsection (</w:t>
      </w:r>
      <w:r w:rsidRPr="00700F82">
        <w:t>1) to extend the period may be exercised before or after the end of the period.</w:t>
      </w:r>
    </w:p>
    <w:p w14:paraId="45EB6430" w14:textId="77777777" w:rsidR="00173FF1" w:rsidRPr="00700F82" w:rsidRDefault="00955559" w:rsidP="00C7460E">
      <w:pPr>
        <w:pStyle w:val="subsection"/>
      </w:pPr>
      <w:r w:rsidRPr="00700F82">
        <w:tab/>
        <w:t>(3)</w:t>
      </w:r>
      <w:r w:rsidRPr="00700F82">
        <w:tab/>
        <w:t xml:space="preserve">If the Commissioner extends a period under </w:t>
      </w:r>
      <w:r w:rsidR="00AD7F23" w:rsidRPr="00700F82">
        <w:t>subsection (</w:t>
      </w:r>
      <w:r w:rsidRPr="00700F82">
        <w:t>1), a reference in this Division, or in a notice or other instrument under this Division, to the period is taken, in relation to the person, to be a reference to the period as so extended.</w:t>
      </w:r>
    </w:p>
    <w:p w14:paraId="726F6F15" w14:textId="77777777" w:rsidR="0098541A" w:rsidRPr="00700F82" w:rsidRDefault="00AE56E0" w:rsidP="00C7460E">
      <w:pPr>
        <w:pStyle w:val="ActHead2"/>
      </w:pPr>
      <w:bookmarkStart w:id="48" w:name="_Toc178780394"/>
      <w:r w:rsidRPr="00700F82">
        <w:rPr>
          <w:rStyle w:val="CharPartNo"/>
        </w:rPr>
        <w:t>Part 4</w:t>
      </w:r>
      <w:r w:rsidR="00173FF1" w:rsidRPr="00700F82">
        <w:t>—</w:t>
      </w:r>
      <w:r w:rsidR="00734E2C" w:rsidRPr="00700F82">
        <w:rPr>
          <w:rStyle w:val="CharPartText"/>
        </w:rPr>
        <w:t>Administration</w:t>
      </w:r>
      <w:bookmarkEnd w:id="48"/>
    </w:p>
    <w:p w14:paraId="38057D2E" w14:textId="77777777" w:rsidR="00980C32" w:rsidRPr="00700F82" w:rsidRDefault="00AE56E0" w:rsidP="00C7460E">
      <w:pPr>
        <w:pStyle w:val="ActHead3"/>
      </w:pPr>
      <w:bookmarkStart w:id="49" w:name="_Toc178780395"/>
      <w:r w:rsidRPr="00700F82">
        <w:rPr>
          <w:rStyle w:val="CharDivNo"/>
        </w:rPr>
        <w:t>Division 1</w:t>
      </w:r>
      <w:r w:rsidR="00980C32" w:rsidRPr="00700F82">
        <w:t>—</w:t>
      </w:r>
      <w:r w:rsidR="00980C32" w:rsidRPr="00700F82">
        <w:rPr>
          <w:rStyle w:val="CharDivText"/>
        </w:rPr>
        <w:t>Guide to this Part</w:t>
      </w:r>
      <w:bookmarkEnd w:id="49"/>
    </w:p>
    <w:p w14:paraId="45A00DA0" w14:textId="77777777" w:rsidR="00980C32" w:rsidRPr="00700F82" w:rsidRDefault="00AE078E" w:rsidP="00C7460E">
      <w:pPr>
        <w:pStyle w:val="ActHead5"/>
      </w:pPr>
      <w:bookmarkStart w:id="50" w:name="_Toc178780396"/>
      <w:r w:rsidRPr="00700F82">
        <w:rPr>
          <w:rStyle w:val="CharSectno"/>
        </w:rPr>
        <w:t>115</w:t>
      </w:r>
      <w:r w:rsidR="00F1687A" w:rsidRPr="00700F82">
        <w:rPr>
          <w:rStyle w:val="CharSectno"/>
        </w:rPr>
        <w:t>Z</w:t>
      </w:r>
      <w:r w:rsidRPr="00700F82">
        <w:rPr>
          <w:rStyle w:val="CharSectno"/>
        </w:rPr>
        <w:t>A</w:t>
      </w:r>
      <w:r w:rsidR="00B20F65" w:rsidRPr="00700F82">
        <w:t xml:space="preserve">  Guide to this Part</w:t>
      </w:r>
      <w:bookmarkEnd w:id="50"/>
    </w:p>
    <w:p w14:paraId="28378AA5" w14:textId="77777777" w:rsidR="00980C32" w:rsidRPr="00700F82" w:rsidRDefault="00D66D4B" w:rsidP="00C7460E">
      <w:pPr>
        <w:pStyle w:val="SOText"/>
      </w:pPr>
      <w:r w:rsidRPr="00700F82">
        <w:t xml:space="preserve">This </w:t>
      </w:r>
      <w:r w:rsidR="00AE56E0" w:rsidRPr="00700F82">
        <w:t>Part c</w:t>
      </w:r>
      <w:r w:rsidRPr="00700F82">
        <w:t>ontains provisions about the Commissioner of Taxation’s administration of this Chapter.</w:t>
      </w:r>
    </w:p>
    <w:p w14:paraId="75CE9569" w14:textId="77777777" w:rsidR="00D66D4B" w:rsidRPr="00700F82" w:rsidRDefault="00D66D4B" w:rsidP="00C7460E">
      <w:pPr>
        <w:pStyle w:val="SOText"/>
      </w:pPr>
      <w:r w:rsidRPr="00700F82">
        <w:t>This Part also contains provisions about review of decisions by the Commissioner of Taxation under this Chapter.</w:t>
      </w:r>
    </w:p>
    <w:p w14:paraId="1146C333" w14:textId="77777777" w:rsidR="00980C32" w:rsidRPr="00700F82" w:rsidRDefault="00AE56E0" w:rsidP="00C7460E">
      <w:pPr>
        <w:pStyle w:val="ActHead3"/>
      </w:pPr>
      <w:bookmarkStart w:id="51" w:name="_Toc178780397"/>
      <w:r w:rsidRPr="00700F82">
        <w:rPr>
          <w:rStyle w:val="CharDivNo"/>
        </w:rPr>
        <w:t>Division 2</w:t>
      </w:r>
      <w:r w:rsidR="00B20F65" w:rsidRPr="00700F82">
        <w:t>—</w:t>
      </w:r>
      <w:r w:rsidR="00B20F65" w:rsidRPr="00700F82">
        <w:rPr>
          <w:rStyle w:val="CharDivText"/>
        </w:rPr>
        <w:t>Administration of this Chapter</w:t>
      </w:r>
      <w:bookmarkEnd w:id="51"/>
    </w:p>
    <w:p w14:paraId="62BB3E49" w14:textId="77777777" w:rsidR="002E2303" w:rsidRPr="00700F82" w:rsidRDefault="000B489E" w:rsidP="00C7460E">
      <w:pPr>
        <w:pStyle w:val="ActHead5"/>
      </w:pPr>
      <w:bookmarkStart w:id="52" w:name="_Toc178780398"/>
      <w:r w:rsidRPr="00700F82">
        <w:rPr>
          <w:rStyle w:val="CharSectno"/>
        </w:rPr>
        <w:t>115</w:t>
      </w:r>
      <w:r w:rsidR="00F1687A" w:rsidRPr="00700F82">
        <w:rPr>
          <w:rStyle w:val="CharSectno"/>
        </w:rPr>
        <w:t>ZB</w:t>
      </w:r>
      <w:r w:rsidR="002E2303" w:rsidRPr="00700F82">
        <w:t xml:space="preserve">  Commissioner to have general administration of this Chapter</w:t>
      </w:r>
      <w:bookmarkEnd w:id="52"/>
    </w:p>
    <w:p w14:paraId="445170A7" w14:textId="77777777" w:rsidR="002E2303" w:rsidRPr="00700F82" w:rsidRDefault="002E2303" w:rsidP="00C7460E">
      <w:pPr>
        <w:pStyle w:val="subsection"/>
      </w:pPr>
      <w:r w:rsidRPr="00700F82">
        <w:tab/>
      </w:r>
      <w:r w:rsidRPr="00700F82">
        <w:tab/>
        <w:t>The Commissioner has the general administration of this Chapter</w:t>
      </w:r>
      <w:r w:rsidR="003D7D1C" w:rsidRPr="00700F82">
        <w:t>.</w:t>
      </w:r>
    </w:p>
    <w:p w14:paraId="035B935C" w14:textId="77777777" w:rsidR="002E2303" w:rsidRPr="00700F82" w:rsidRDefault="002E2303" w:rsidP="00C7460E">
      <w:pPr>
        <w:pStyle w:val="notetext"/>
      </w:pPr>
      <w:r w:rsidRPr="00700F82">
        <w:t>Note:</w:t>
      </w:r>
      <w:r w:rsidRPr="00700F82">
        <w:tab/>
        <w:t xml:space="preserve">An effect of this provision is that people who acquire information under this </w:t>
      </w:r>
      <w:r w:rsidR="001B607D" w:rsidRPr="00700F82">
        <w:t>Chapter</w:t>
      </w:r>
      <w:r w:rsidRPr="00700F82">
        <w:t xml:space="preserve"> are subject to the confidentiality obligations and exceptions in </w:t>
      </w:r>
      <w:r w:rsidR="00AE56E0" w:rsidRPr="00700F82">
        <w:t>Division 3</w:t>
      </w:r>
      <w:r w:rsidRPr="00700F82">
        <w:t xml:space="preserve">55 in </w:t>
      </w:r>
      <w:r w:rsidR="00AE56E0" w:rsidRPr="00700F82">
        <w:t>Schedule 1</w:t>
      </w:r>
      <w:r w:rsidRPr="00700F82">
        <w:t xml:space="preserve"> to the </w:t>
      </w:r>
      <w:r w:rsidRPr="00700F82">
        <w:rPr>
          <w:i/>
        </w:rPr>
        <w:t>Taxation Administration Act 1953</w:t>
      </w:r>
      <w:r w:rsidRPr="00700F82">
        <w:t>.</w:t>
      </w:r>
    </w:p>
    <w:p w14:paraId="6B30D7FB" w14:textId="77777777" w:rsidR="002E2303" w:rsidRPr="00700F82" w:rsidRDefault="003D7D1C" w:rsidP="00C7460E">
      <w:pPr>
        <w:pStyle w:val="ActHead5"/>
      </w:pPr>
      <w:bookmarkStart w:id="53" w:name="_Toc178780399"/>
      <w:r w:rsidRPr="00700F82">
        <w:rPr>
          <w:rStyle w:val="CharSectno"/>
        </w:rPr>
        <w:t>115</w:t>
      </w:r>
      <w:r w:rsidR="00F1687A" w:rsidRPr="00700F82">
        <w:rPr>
          <w:rStyle w:val="CharSectno"/>
        </w:rPr>
        <w:t>ZC</w:t>
      </w:r>
      <w:r w:rsidR="002E2303" w:rsidRPr="00700F82">
        <w:t xml:space="preserve">  Decisions to be in writing</w:t>
      </w:r>
      <w:bookmarkEnd w:id="53"/>
    </w:p>
    <w:p w14:paraId="4BDAB4CA" w14:textId="77777777" w:rsidR="002E2303" w:rsidRPr="00700F82" w:rsidRDefault="002E2303" w:rsidP="00C7460E">
      <w:pPr>
        <w:pStyle w:val="subsection"/>
      </w:pPr>
      <w:r w:rsidRPr="00700F82">
        <w:tab/>
        <w:t>(1)</w:t>
      </w:r>
      <w:r w:rsidRPr="00700F82">
        <w:tab/>
        <w:t xml:space="preserve">A decision of the Commissioner under this </w:t>
      </w:r>
      <w:r w:rsidR="001B607D" w:rsidRPr="00700F82">
        <w:t xml:space="preserve">Chapter </w:t>
      </w:r>
      <w:r w:rsidRPr="00700F82">
        <w:t xml:space="preserve">or the </w:t>
      </w:r>
      <w:r w:rsidR="001B607D" w:rsidRPr="00700F82">
        <w:t>PPL rules made for the purposes of this Chapter</w:t>
      </w:r>
      <w:r w:rsidRPr="00700F82">
        <w:t xml:space="preserve"> must be in writing.</w:t>
      </w:r>
    </w:p>
    <w:p w14:paraId="205685EC" w14:textId="77777777" w:rsidR="002E2303" w:rsidRPr="00700F82" w:rsidRDefault="002E2303" w:rsidP="00C7460E">
      <w:pPr>
        <w:pStyle w:val="subsection"/>
      </w:pPr>
      <w:r w:rsidRPr="00700F82">
        <w:tab/>
        <w:t>(2)</w:t>
      </w:r>
      <w:r w:rsidRPr="00700F82">
        <w:tab/>
        <w:t>Such a decision is taken to be in writing if it is made, or recorded, by means of a computer.</w:t>
      </w:r>
    </w:p>
    <w:p w14:paraId="325C6EB9" w14:textId="77777777" w:rsidR="002E2303" w:rsidRPr="00700F82" w:rsidRDefault="003D7D1C" w:rsidP="00C7460E">
      <w:pPr>
        <w:pStyle w:val="ActHead5"/>
      </w:pPr>
      <w:bookmarkStart w:id="54" w:name="_Toc178780400"/>
      <w:r w:rsidRPr="00700F82">
        <w:rPr>
          <w:rStyle w:val="CharSectno"/>
        </w:rPr>
        <w:t>115Z</w:t>
      </w:r>
      <w:r w:rsidR="00F1687A" w:rsidRPr="00700F82">
        <w:rPr>
          <w:rStyle w:val="CharSectno"/>
        </w:rPr>
        <w:t>D</w:t>
      </w:r>
      <w:r w:rsidR="002E2303" w:rsidRPr="00700F82">
        <w:t xml:space="preserve">  Commissioner may arrange for use of computer programs to make decisions</w:t>
      </w:r>
      <w:bookmarkEnd w:id="54"/>
    </w:p>
    <w:p w14:paraId="1F108DB2" w14:textId="77777777" w:rsidR="002E2303" w:rsidRPr="00700F82" w:rsidRDefault="002E2303" w:rsidP="00C7460E">
      <w:pPr>
        <w:pStyle w:val="subsection"/>
      </w:pPr>
      <w:r w:rsidRPr="00700F82">
        <w:tab/>
        <w:t>(1)</w:t>
      </w:r>
      <w:r w:rsidRPr="00700F82">
        <w:tab/>
        <w:t xml:space="preserve">The Commissioner may arrange for the use, under the Commissioner’s control, of computer programs for any purposes for which the Commissioner may make decisions under this </w:t>
      </w:r>
      <w:r w:rsidR="005D1F3D" w:rsidRPr="00700F82">
        <w:t>Chapter</w:t>
      </w:r>
      <w:r w:rsidRPr="00700F82">
        <w:t xml:space="preserve"> or the </w:t>
      </w:r>
      <w:r w:rsidR="005D1F3D" w:rsidRPr="00700F82">
        <w:t>PPL rules made for the purposes of this Chapter</w:t>
      </w:r>
      <w:r w:rsidRPr="00700F82">
        <w:t>.</w:t>
      </w:r>
    </w:p>
    <w:p w14:paraId="59189B03" w14:textId="77777777" w:rsidR="0098541A" w:rsidRPr="00700F82" w:rsidRDefault="002E2303" w:rsidP="00C7460E">
      <w:pPr>
        <w:pStyle w:val="subsection"/>
      </w:pPr>
      <w:r w:rsidRPr="00700F82">
        <w:tab/>
        <w:t>(2)</w:t>
      </w:r>
      <w:r w:rsidRPr="00700F82">
        <w:tab/>
        <w:t xml:space="preserve">A decision made by the operation of a computer program under an arrangement made under </w:t>
      </w:r>
      <w:r w:rsidR="00AD7F23" w:rsidRPr="00700F82">
        <w:t>subsection (</w:t>
      </w:r>
      <w:r w:rsidRPr="00700F82">
        <w:t>1) is taken to be a decision made by the Commissioner.</w:t>
      </w:r>
    </w:p>
    <w:p w14:paraId="1FFFA885" w14:textId="77777777" w:rsidR="00960520" w:rsidRPr="00700F82" w:rsidRDefault="00960520" w:rsidP="00C7460E">
      <w:pPr>
        <w:pStyle w:val="ActHead5"/>
      </w:pPr>
      <w:bookmarkStart w:id="55" w:name="_Toc178780401"/>
      <w:r w:rsidRPr="00700F82">
        <w:rPr>
          <w:rStyle w:val="CharSectno"/>
        </w:rPr>
        <w:t>115Z</w:t>
      </w:r>
      <w:r w:rsidR="00F1687A" w:rsidRPr="00700F82">
        <w:rPr>
          <w:rStyle w:val="CharSectno"/>
        </w:rPr>
        <w:t>E</w:t>
      </w:r>
      <w:r w:rsidRPr="00700F82">
        <w:t xml:space="preserve">  Tax file numbers</w:t>
      </w:r>
      <w:bookmarkEnd w:id="55"/>
    </w:p>
    <w:p w14:paraId="2DF0B568" w14:textId="77777777" w:rsidR="00960520" w:rsidRPr="00700F82" w:rsidRDefault="00960520" w:rsidP="00C7460E">
      <w:pPr>
        <w:pStyle w:val="subsection"/>
      </w:pPr>
      <w:r w:rsidRPr="00700F82">
        <w:tab/>
      </w:r>
      <w:r w:rsidRPr="00700F82">
        <w:tab/>
        <w:t>The Commissioner may use for the purposes of this Chapter, or the PPL rules made for the purposes of this Chapter, a tax file number that has been provided for any other purpose under</w:t>
      </w:r>
      <w:r w:rsidRPr="00700F82">
        <w:rPr>
          <w:i/>
        </w:rPr>
        <w:t xml:space="preserve"> </w:t>
      </w:r>
      <w:r w:rsidR="007A25C4" w:rsidRPr="00700F82">
        <w:t>this Act o</w:t>
      </w:r>
      <w:r w:rsidR="00517110" w:rsidRPr="00700F82">
        <w:t>r</w:t>
      </w:r>
      <w:r w:rsidR="007A25C4" w:rsidRPr="00700F82">
        <w:t xml:space="preserve"> </w:t>
      </w:r>
      <w:r w:rsidRPr="00700F82">
        <w:t>a law relating to taxation or superannuation.</w:t>
      </w:r>
    </w:p>
    <w:p w14:paraId="066C2E60" w14:textId="77777777" w:rsidR="00B20F65" w:rsidRPr="00700F82" w:rsidRDefault="00AE56E0" w:rsidP="00C7460E">
      <w:pPr>
        <w:pStyle w:val="ActHead3"/>
      </w:pPr>
      <w:bookmarkStart w:id="56" w:name="_Toc178780402"/>
      <w:r w:rsidRPr="00700F82">
        <w:rPr>
          <w:rStyle w:val="CharDivNo"/>
        </w:rPr>
        <w:t>Division 3</w:t>
      </w:r>
      <w:r w:rsidR="00B20F65" w:rsidRPr="00700F82">
        <w:t>—</w:t>
      </w:r>
      <w:r w:rsidR="00B20F65" w:rsidRPr="00700F82">
        <w:rPr>
          <w:rStyle w:val="CharDivText"/>
        </w:rPr>
        <w:t>Review of decisions</w:t>
      </w:r>
      <w:bookmarkEnd w:id="56"/>
    </w:p>
    <w:p w14:paraId="7F3BD94F" w14:textId="77777777" w:rsidR="005D1F3D" w:rsidRPr="00700F82" w:rsidRDefault="003D7D1C" w:rsidP="00C7460E">
      <w:pPr>
        <w:pStyle w:val="ActHead5"/>
      </w:pPr>
      <w:bookmarkStart w:id="57" w:name="_Toc178780403"/>
      <w:r w:rsidRPr="00700F82">
        <w:rPr>
          <w:rStyle w:val="CharSectno"/>
        </w:rPr>
        <w:t>115Z</w:t>
      </w:r>
      <w:r w:rsidR="00F1687A" w:rsidRPr="00700F82">
        <w:rPr>
          <w:rStyle w:val="CharSectno"/>
        </w:rPr>
        <w:t>F</w:t>
      </w:r>
      <w:r w:rsidR="005D1F3D" w:rsidRPr="00700F82">
        <w:t xml:space="preserve">  Review of decisions</w:t>
      </w:r>
      <w:bookmarkEnd w:id="57"/>
    </w:p>
    <w:p w14:paraId="360CB3FF" w14:textId="77777777" w:rsidR="005D1F3D" w:rsidRPr="00700F82" w:rsidRDefault="005D1F3D" w:rsidP="00C7460E">
      <w:pPr>
        <w:pStyle w:val="subsection"/>
      </w:pPr>
      <w:r w:rsidRPr="00700F82">
        <w:tab/>
        <w:t>(1)</w:t>
      </w:r>
      <w:r w:rsidRPr="00700F82">
        <w:tab/>
        <w:t>A person affected by a decision</w:t>
      </w:r>
      <w:r w:rsidR="00AC7867" w:rsidRPr="00700F82">
        <w:t xml:space="preserve"> </w:t>
      </w:r>
      <w:r w:rsidRPr="00700F82">
        <w:t xml:space="preserve">(the </w:t>
      </w:r>
      <w:r w:rsidRPr="00700F82">
        <w:rPr>
          <w:b/>
          <w:i/>
        </w:rPr>
        <w:t>original decision</w:t>
      </w:r>
      <w:r w:rsidRPr="00700F82">
        <w:t xml:space="preserve">) made by the Commissioner under </w:t>
      </w:r>
      <w:r w:rsidR="00AE56E0" w:rsidRPr="00700F82">
        <w:t>Part 1</w:t>
      </w:r>
      <w:r w:rsidRPr="00700F82">
        <w:t>, 2</w:t>
      </w:r>
      <w:r w:rsidR="0012771B" w:rsidRPr="00700F82">
        <w:t xml:space="preserve"> or 3</w:t>
      </w:r>
      <w:r w:rsidR="0038275C" w:rsidRPr="00700F82">
        <w:t xml:space="preserve"> </w:t>
      </w:r>
      <w:r w:rsidR="007E7D8B" w:rsidRPr="00700F82">
        <w:t>(including a decision not to make a determination under section 115</w:t>
      </w:r>
      <w:r w:rsidR="00A30101" w:rsidRPr="00700F82">
        <w:t>D</w:t>
      </w:r>
      <w:r w:rsidR="007E7D8B" w:rsidRPr="00700F82">
        <w:t>, 115</w:t>
      </w:r>
      <w:r w:rsidR="00A30101" w:rsidRPr="00700F82">
        <w:t>F</w:t>
      </w:r>
      <w:r w:rsidR="007E7D8B" w:rsidRPr="00700F82">
        <w:t xml:space="preserve"> or 115</w:t>
      </w:r>
      <w:r w:rsidR="00A30101" w:rsidRPr="00700F82">
        <w:t>K</w:t>
      </w:r>
      <w:r w:rsidR="007E7D8B" w:rsidRPr="00700F82">
        <w:t xml:space="preserve">) </w:t>
      </w:r>
      <w:r w:rsidRPr="00700F82">
        <w:t>may apply to the Commissioner for review of the decision.</w:t>
      </w:r>
    </w:p>
    <w:p w14:paraId="206200B3" w14:textId="77777777" w:rsidR="005D1F3D" w:rsidRPr="00700F82" w:rsidRDefault="005D1F3D" w:rsidP="00C7460E">
      <w:pPr>
        <w:pStyle w:val="subsection"/>
      </w:pPr>
      <w:r w:rsidRPr="00700F82">
        <w:tab/>
        <w:t>(2)</w:t>
      </w:r>
      <w:r w:rsidRPr="00700F82">
        <w:tab/>
        <w:t>If the person does so, the Commissioner must either:</w:t>
      </w:r>
    </w:p>
    <w:p w14:paraId="6AC19C4E" w14:textId="77777777" w:rsidR="005D1F3D" w:rsidRPr="00700F82" w:rsidRDefault="005D1F3D" w:rsidP="00C7460E">
      <w:pPr>
        <w:pStyle w:val="paragraph"/>
      </w:pPr>
      <w:r w:rsidRPr="00700F82">
        <w:tab/>
        <w:t>(a)</w:t>
      </w:r>
      <w:r w:rsidRPr="00700F82">
        <w:tab/>
        <w:t>review the original decision and decide to:</w:t>
      </w:r>
    </w:p>
    <w:p w14:paraId="20964EE7" w14:textId="77777777" w:rsidR="005D1F3D" w:rsidRPr="00700F82" w:rsidRDefault="005D1F3D" w:rsidP="00C7460E">
      <w:pPr>
        <w:pStyle w:val="paragraphsub"/>
      </w:pPr>
      <w:r w:rsidRPr="00700F82">
        <w:tab/>
        <w:t>(i)</w:t>
      </w:r>
      <w:r w:rsidRPr="00700F82">
        <w:tab/>
        <w:t>affirm it; or</w:t>
      </w:r>
    </w:p>
    <w:p w14:paraId="415DC358" w14:textId="77777777" w:rsidR="005D1F3D" w:rsidRPr="00700F82" w:rsidRDefault="005D1F3D" w:rsidP="00C7460E">
      <w:pPr>
        <w:pStyle w:val="paragraphsub"/>
      </w:pPr>
      <w:r w:rsidRPr="00700F82">
        <w:tab/>
        <w:t>(ii)</w:t>
      </w:r>
      <w:r w:rsidRPr="00700F82">
        <w:tab/>
        <w:t>vary it; or</w:t>
      </w:r>
    </w:p>
    <w:p w14:paraId="451BCF20" w14:textId="77777777" w:rsidR="005D1F3D" w:rsidRPr="00700F82" w:rsidRDefault="005D1F3D" w:rsidP="00C7460E">
      <w:pPr>
        <w:pStyle w:val="paragraphsub"/>
      </w:pPr>
      <w:r w:rsidRPr="00700F82">
        <w:tab/>
        <w:t>(iii)</w:t>
      </w:r>
      <w:r w:rsidRPr="00700F82">
        <w:tab/>
        <w:t>set it aside and substitute a new decision; or</w:t>
      </w:r>
    </w:p>
    <w:p w14:paraId="56E5D564" w14:textId="77777777" w:rsidR="005D1F3D" w:rsidRPr="00700F82" w:rsidRDefault="005D1F3D" w:rsidP="00C7460E">
      <w:pPr>
        <w:pStyle w:val="paragraph"/>
      </w:pPr>
      <w:r w:rsidRPr="00700F82">
        <w:tab/>
        <w:t>(b)</w:t>
      </w:r>
      <w:r w:rsidRPr="00700F82">
        <w:tab/>
        <w:t>arrange for an authorised review officer to do so.</w:t>
      </w:r>
    </w:p>
    <w:p w14:paraId="4A384434" w14:textId="77777777" w:rsidR="005D1F3D" w:rsidRPr="00700F82" w:rsidRDefault="005D1F3D" w:rsidP="00C7460E">
      <w:pPr>
        <w:pStyle w:val="subsection"/>
      </w:pPr>
      <w:r w:rsidRPr="00700F82">
        <w:tab/>
        <w:t>(3)</w:t>
      </w:r>
      <w:r w:rsidRPr="00700F82">
        <w:tab/>
        <w:t xml:space="preserve">In making arrangements for a review under </w:t>
      </w:r>
      <w:r w:rsidR="00AD7F23" w:rsidRPr="00700F82">
        <w:t>subsection (</w:t>
      </w:r>
      <w:r w:rsidRPr="00700F82">
        <w:t>2), the Commissioner must have regard to the need for the review to be an independent one.</w:t>
      </w:r>
    </w:p>
    <w:p w14:paraId="6B9D67CA" w14:textId="77777777" w:rsidR="007E43A7" w:rsidRPr="00700F82" w:rsidRDefault="007E43A7" w:rsidP="00C7460E">
      <w:pPr>
        <w:pStyle w:val="subsection"/>
      </w:pPr>
      <w:r w:rsidRPr="00700F82">
        <w:tab/>
        <w:t>(4)</w:t>
      </w:r>
      <w:r w:rsidRPr="00700F82">
        <w:tab/>
        <w:t xml:space="preserve">The PPL rules may prescribe the time within which decisions under </w:t>
      </w:r>
      <w:r w:rsidR="00AD7F23" w:rsidRPr="00700F82">
        <w:t>subsection (</w:t>
      </w:r>
      <w:r w:rsidRPr="00700F82">
        <w:t>2) are to be made.</w:t>
      </w:r>
    </w:p>
    <w:p w14:paraId="10A3959D" w14:textId="77777777" w:rsidR="005D1F3D" w:rsidRPr="00700F82" w:rsidRDefault="003D7D1C" w:rsidP="00C7460E">
      <w:pPr>
        <w:pStyle w:val="ActHead5"/>
      </w:pPr>
      <w:bookmarkStart w:id="58" w:name="_Toc178780404"/>
      <w:r w:rsidRPr="00700F82">
        <w:rPr>
          <w:rStyle w:val="CharSectno"/>
        </w:rPr>
        <w:t>115Z</w:t>
      </w:r>
      <w:r w:rsidR="00F1687A" w:rsidRPr="00700F82">
        <w:rPr>
          <w:rStyle w:val="CharSectno"/>
        </w:rPr>
        <w:t>G</w:t>
      </w:r>
      <w:r w:rsidR="005D1F3D" w:rsidRPr="00700F82">
        <w:t xml:space="preserve">  Authorised review officers</w:t>
      </w:r>
      <w:bookmarkEnd w:id="58"/>
    </w:p>
    <w:p w14:paraId="6EAF6ACB" w14:textId="77777777" w:rsidR="005D1F3D" w:rsidRPr="00700F82" w:rsidRDefault="005D1F3D" w:rsidP="00C7460E">
      <w:pPr>
        <w:pStyle w:val="subsection"/>
      </w:pPr>
      <w:r w:rsidRPr="00700F82">
        <w:tab/>
      </w:r>
      <w:r w:rsidRPr="00700F82">
        <w:tab/>
        <w:t xml:space="preserve">The Commissioner must authorise taxation officers to be authorised review officers for the purposes of this </w:t>
      </w:r>
      <w:r w:rsidR="00960520" w:rsidRPr="00700F82">
        <w:t>Part</w:t>
      </w:r>
      <w:r w:rsidRPr="00700F82">
        <w:t>.</w:t>
      </w:r>
    </w:p>
    <w:p w14:paraId="5AA0E7E1" w14:textId="77777777" w:rsidR="005D1F3D" w:rsidRPr="00700F82" w:rsidRDefault="003D7D1C" w:rsidP="00C7460E">
      <w:pPr>
        <w:pStyle w:val="ActHead5"/>
      </w:pPr>
      <w:bookmarkStart w:id="59" w:name="_Toc178780405"/>
      <w:r w:rsidRPr="00700F82">
        <w:rPr>
          <w:rStyle w:val="CharSectno"/>
        </w:rPr>
        <w:t>115Z</w:t>
      </w:r>
      <w:r w:rsidR="00F1687A" w:rsidRPr="00700F82">
        <w:rPr>
          <w:rStyle w:val="CharSectno"/>
        </w:rPr>
        <w:t>H</w:t>
      </w:r>
      <w:r w:rsidR="005D1F3D" w:rsidRPr="00700F82">
        <w:t xml:space="preserve">  Withdrawal of review applications</w:t>
      </w:r>
      <w:bookmarkEnd w:id="59"/>
    </w:p>
    <w:p w14:paraId="69EC7F92" w14:textId="77777777" w:rsidR="005D1F3D" w:rsidRPr="00700F82" w:rsidRDefault="005D1F3D" w:rsidP="00C7460E">
      <w:pPr>
        <w:pStyle w:val="subsection"/>
      </w:pPr>
      <w:r w:rsidRPr="00700F82">
        <w:tab/>
        <w:t>(1)</w:t>
      </w:r>
      <w:r w:rsidRPr="00700F82">
        <w:tab/>
        <w:t>An applicant for review under section</w:t>
      </w:r>
      <w:r w:rsidR="00E83AC6" w:rsidRPr="00700F82">
        <w:t xml:space="preserve"> 115Z</w:t>
      </w:r>
      <w:r w:rsidR="00F1687A" w:rsidRPr="00700F82">
        <w:t>F</w:t>
      </w:r>
      <w:r w:rsidR="00E83AC6" w:rsidRPr="00700F82">
        <w:t xml:space="preserve"> </w:t>
      </w:r>
      <w:r w:rsidRPr="00700F82">
        <w:t>may, in writing or in any other manner approved by the Commissioner, withdraw the application at any time before the decision reviewer does any of the things in subsection</w:t>
      </w:r>
      <w:r w:rsidR="00A11BAF" w:rsidRPr="00700F82">
        <w:t xml:space="preserve"> 115Z</w:t>
      </w:r>
      <w:r w:rsidR="00F1687A" w:rsidRPr="00700F82">
        <w:t>F</w:t>
      </w:r>
      <w:r w:rsidRPr="00700F82">
        <w:t>(2).</w:t>
      </w:r>
    </w:p>
    <w:p w14:paraId="30E70644" w14:textId="77777777" w:rsidR="00960520" w:rsidRPr="00700F82" w:rsidRDefault="005D1F3D" w:rsidP="00C7460E">
      <w:pPr>
        <w:pStyle w:val="subsection"/>
      </w:pPr>
      <w:r w:rsidRPr="00700F82">
        <w:tab/>
        <w:t>(2)</w:t>
      </w:r>
      <w:r w:rsidRPr="00700F82">
        <w:tab/>
        <w:t>If an application is so withdrawn, it is taken never to have been made</w:t>
      </w:r>
      <w:r w:rsidR="00E83AC6" w:rsidRPr="00700F82">
        <w:t>.</w:t>
      </w:r>
    </w:p>
    <w:p w14:paraId="29E82CB5" w14:textId="77777777" w:rsidR="00A0565C" w:rsidRPr="00700F82" w:rsidRDefault="00896A03" w:rsidP="00C7460E">
      <w:pPr>
        <w:pStyle w:val="ItemHead"/>
      </w:pPr>
      <w:r w:rsidRPr="00700F82">
        <w:t>6</w:t>
      </w:r>
      <w:r w:rsidR="0028560E" w:rsidRPr="00700F82">
        <w:t xml:space="preserve">  </w:t>
      </w:r>
      <w:r w:rsidR="00AE56E0" w:rsidRPr="00700F82">
        <w:t>Subsection 1</w:t>
      </w:r>
      <w:r w:rsidR="0028560E" w:rsidRPr="00700F82">
        <w:t>73</w:t>
      </w:r>
      <w:r w:rsidR="00A0565C" w:rsidRPr="00700F82">
        <w:t>(1)</w:t>
      </w:r>
    </w:p>
    <w:p w14:paraId="4B07D29A" w14:textId="77777777" w:rsidR="0028560E" w:rsidRPr="00700F82" w:rsidRDefault="00A0565C" w:rsidP="00C7460E">
      <w:pPr>
        <w:pStyle w:val="Item"/>
      </w:pPr>
      <w:r w:rsidRPr="00700F82">
        <w:t xml:space="preserve">After “under this Act”, insert “(other than </w:t>
      </w:r>
      <w:r w:rsidR="00AE56E0" w:rsidRPr="00700F82">
        <w:t>Chapter 3</w:t>
      </w:r>
      <w:r w:rsidRPr="00700F82">
        <w:t>A)”.</w:t>
      </w:r>
    </w:p>
    <w:p w14:paraId="0627364A" w14:textId="77777777" w:rsidR="00A0565C" w:rsidRPr="00700F82" w:rsidRDefault="00896A03" w:rsidP="00C7460E">
      <w:pPr>
        <w:pStyle w:val="ItemHead"/>
      </w:pPr>
      <w:r w:rsidRPr="00700F82">
        <w:t>7</w:t>
      </w:r>
      <w:r w:rsidR="00A0565C" w:rsidRPr="00700F82">
        <w:t xml:space="preserve">  At the end of </w:t>
      </w:r>
      <w:r w:rsidR="00AE56E0" w:rsidRPr="00700F82">
        <w:t>subsection 1</w:t>
      </w:r>
      <w:r w:rsidR="00A0565C" w:rsidRPr="00700F82">
        <w:t>73(1)</w:t>
      </w:r>
    </w:p>
    <w:p w14:paraId="295A6E48" w14:textId="77777777" w:rsidR="00A0565C" w:rsidRPr="00700F82" w:rsidRDefault="00A0565C" w:rsidP="00C7460E">
      <w:pPr>
        <w:pStyle w:val="Item"/>
      </w:pPr>
      <w:r w:rsidRPr="00700F82">
        <w:t>Add:</w:t>
      </w:r>
    </w:p>
    <w:p w14:paraId="0D4578E1" w14:textId="77777777" w:rsidR="00A0565C" w:rsidRPr="00700F82" w:rsidRDefault="00A0565C" w:rsidP="00C7460E">
      <w:pPr>
        <w:pStyle w:val="notetext"/>
      </w:pPr>
      <w:r w:rsidRPr="00700F82">
        <w:t>Note:</w:t>
      </w:r>
      <w:r w:rsidRPr="00700F82">
        <w:tab/>
        <w:t xml:space="preserve">A debt due to the Commonwealth under </w:t>
      </w:r>
      <w:r w:rsidR="00AE56E0" w:rsidRPr="00700F82">
        <w:t>Chapter 3</w:t>
      </w:r>
      <w:r w:rsidRPr="00700F82">
        <w:t>A</w:t>
      </w:r>
      <w:r w:rsidR="00AC4420" w:rsidRPr="00700F82">
        <w:t xml:space="preserve"> is a tax</w:t>
      </w:r>
      <w:r w:rsidR="00700F82">
        <w:noBreakHyphen/>
      </w:r>
      <w:r w:rsidR="00AC4420" w:rsidRPr="00700F82">
        <w:t xml:space="preserve">related liability under the </w:t>
      </w:r>
      <w:r w:rsidR="00AC4420" w:rsidRPr="00700F82">
        <w:rPr>
          <w:i/>
        </w:rPr>
        <w:t>Taxation Administration Act 1953</w:t>
      </w:r>
      <w:r w:rsidR="00AC4420" w:rsidRPr="00700F82">
        <w:t>.</w:t>
      </w:r>
    </w:p>
    <w:p w14:paraId="3D3B1679" w14:textId="77777777" w:rsidR="001B768F" w:rsidRPr="00700F82" w:rsidRDefault="00896A03" w:rsidP="00C7460E">
      <w:pPr>
        <w:pStyle w:val="ItemHead"/>
      </w:pPr>
      <w:r w:rsidRPr="00700F82">
        <w:t>8</w:t>
      </w:r>
      <w:r w:rsidR="001B768F" w:rsidRPr="00700F82">
        <w:t xml:space="preserve">  </w:t>
      </w:r>
      <w:r w:rsidR="00AE56E0" w:rsidRPr="00700F82">
        <w:t>Chapter 5</w:t>
      </w:r>
      <w:r w:rsidR="001B768F" w:rsidRPr="00700F82">
        <w:t xml:space="preserve"> (note to heading)</w:t>
      </w:r>
    </w:p>
    <w:p w14:paraId="1ED9E56B" w14:textId="77777777" w:rsidR="001B768F" w:rsidRPr="00700F82" w:rsidRDefault="001B768F" w:rsidP="00C7460E">
      <w:pPr>
        <w:pStyle w:val="Item"/>
      </w:pPr>
      <w:r w:rsidRPr="00700F82">
        <w:t>Repeal the note, substitute:</w:t>
      </w:r>
    </w:p>
    <w:p w14:paraId="2842FBF6" w14:textId="77777777" w:rsidR="001B768F" w:rsidRPr="00700F82" w:rsidRDefault="001B768F" w:rsidP="00C7460E">
      <w:pPr>
        <w:pStyle w:val="notetext"/>
      </w:pPr>
      <w:r w:rsidRPr="00700F82">
        <w:t>Note:</w:t>
      </w:r>
      <w:r w:rsidRPr="00700F82">
        <w:tab/>
        <w:t>This Chapter does not apply in relation to:</w:t>
      </w:r>
    </w:p>
    <w:p w14:paraId="2CC8C7C9" w14:textId="77777777" w:rsidR="001B768F" w:rsidRPr="00700F82" w:rsidRDefault="001B768F" w:rsidP="00C7460E">
      <w:pPr>
        <w:pStyle w:val="notepara"/>
      </w:pPr>
      <w:r w:rsidRPr="00700F82">
        <w:t>(a)</w:t>
      </w:r>
      <w:r w:rsidRPr="00700F82">
        <w:tab/>
        <w:t xml:space="preserve">any decision of the Secretary under Division 7A of </w:t>
      </w:r>
      <w:r w:rsidR="00AE56E0" w:rsidRPr="00700F82">
        <w:t>Part 4</w:t>
      </w:r>
      <w:r w:rsidR="00700F82">
        <w:noBreakHyphen/>
      </w:r>
      <w:r w:rsidRPr="00700F82">
        <w:t>3 (about departure prohibition orders); or</w:t>
      </w:r>
    </w:p>
    <w:p w14:paraId="2DA5456F" w14:textId="77777777" w:rsidR="001B768F" w:rsidRPr="00700F82" w:rsidRDefault="001B768F" w:rsidP="00C7460E">
      <w:pPr>
        <w:pStyle w:val="notepara"/>
      </w:pPr>
      <w:r w:rsidRPr="00700F82">
        <w:t>(b)</w:t>
      </w:r>
      <w:r w:rsidRPr="00700F82">
        <w:tab/>
        <w:t xml:space="preserve">any decision of the Commissioner of Taxation under </w:t>
      </w:r>
      <w:r w:rsidR="00AE56E0" w:rsidRPr="00700F82">
        <w:t>Chapter 3</w:t>
      </w:r>
      <w:r w:rsidRPr="00700F82">
        <w:t>A (about PPL superannuation contributions).</w:t>
      </w:r>
    </w:p>
    <w:p w14:paraId="38657DE1" w14:textId="77777777" w:rsidR="00C707A5" w:rsidRPr="00700F82" w:rsidRDefault="00896A03" w:rsidP="00C7460E">
      <w:pPr>
        <w:pStyle w:val="ItemHead"/>
      </w:pPr>
      <w:r w:rsidRPr="00700F82">
        <w:t>9</w:t>
      </w:r>
      <w:r w:rsidR="00C707A5" w:rsidRPr="00700F82">
        <w:t xml:space="preserve">  After </w:t>
      </w:r>
      <w:r w:rsidR="00AE56E0" w:rsidRPr="00700F82">
        <w:t>paragraph 2</w:t>
      </w:r>
      <w:r w:rsidR="00C707A5" w:rsidRPr="00700F82">
        <w:t>06(1)(b)</w:t>
      </w:r>
    </w:p>
    <w:p w14:paraId="289AF050" w14:textId="77777777" w:rsidR="00C707A5" w:rsidRPr="00700F82" w:rsidRDefault="00C707A5" w:rsidP="00C7460E">
      <w:pPr>
        <w:pStyle w:val="Item"/>
      </w:pPr>
      <w:r w:rsidRPr="00700F82">
        <w:t>Insert:</w:t>
      </w:r>
    </w:p>
    <w:p w14:paraId="5B020327" w14:textId="77777777" w:rsidR="00C707A5" w:rsidRPr="00700F82" w:rsidRDefault="00C707A5" w:rsidP="00C7460E">
      <w:pPr>
        <w:pStyle w:val="paragraph"/>
      </w:pPr>
      <w:r w:rsidRPr="00700F82">
        <w:tab/>
        <w:t>(ba)</w:t>
      </w:r>
      <w:r w:rsidRPr="00700F82">
        <w:tab/>
        <w:t xml:space="preserve">a decision under </w:t>
      </w:r>
      <w:r w:rsidR="00AE56E0" w:rsidRPr="00700F82">
        <w:t>Chapter 3</w:t>
      </w:r>
      <w:r w:rsidRPr="00700F82">
        <w:t>A (which deals with PPL superannuation contributions); or</w:t>
      </w:r>
    </w:p>
    <w:p w14:paraId="773FE40E" w14:textId="77777777" w:rsidR="00B71E32" w:rsidRPr="00700F82" w:rsidRDefault="00B71E32" w:rsidP="00C7460E">
      <w:pPr>
        <w:pStyle w:val="ActHead9"/>
        <w:rPr>
          <w:i w:val="0"/>
        </w:rPr>
      </w:pPr>
      <w:bookmarkStart w:id="60" w:name="_Toc178780406"/>
      <w:r w:rsidRPr="00700F82">
        <w:t>Small Superannuation Accounts Act 1995</w:t>
      </w:r>
      <w:bookmarkEnd w:id="60"/>
    </w:p>
    <w:p w14:paraId="691CD4B6" w14:textId="77777777" w:rsidR="00E7538A" w:rsidRPr="00700F82" w:rsidRDefault="00896A03" w:rsidP="00C7460E">
      <w:pPr>
        <w:pStyle w:val="ItemHead"/>
      </w:pPr>
      <w:r w:rsidRPr="00700F82">
        <w:t>10</w:t>
      </w:r>
      <w:r w:rsidR="00E7538A" w:rsidRPr="00700F82">
        <w:t xml:space="preserve">  </w:t>
      </w:r>
      <w:r w:rsidR="00AE56E0" w:rsidRPr="00700F82">
        <w:t>Section 4</w:t>
      </w:r>
    </w:p>
    <w:p w14:paraId="12192C0D" w14:textId="77777777" w:rsidR="00E7538A" w:rsidRPr="00700F82" w:rsidRDefault="00E7538A" w:rsidP="00C7460E">
      <w:pPr>
        <w:pStyle w:val="Item"/>
      </w:pPr>
      <w:r w:rsidRPr="00700F82">
        <w:t>Insert:</w:t>
      </w:r>
    </w:p>
    <w:p w14:paraId="6ABBB1B5" w14:textId="77777777" w:rsidR="00E7538A" w:rsidRPr="00700F82" w:rsidRDefault="00E7538A" w:rsidP="00C7460E">
      <w:pPr>
        <w:pStyle w:val="Definition"/>
      </w:pPr>
      <w:r w:rsidRPr="00700F82">
        <w:rPr>
          <w:b/>
          <w:i/>
        </w:rPr>
        <w:t xml:space="preserve">PPL superannuation contribution </w:t>
      </w:r>
      <w:r w:rsidR="002C061D" w:rsidRPr="00700F82">
        <w:t xml:space="preserve">for an individual has the same meaning as in the </w:t>
      </w:r>
      <w:r w:rsidR="002C061D" w:rsidRPr="00700F82">
        <w:rPr>
          <w:i/>
        </w:rPr>
        <w:t>Paid Parental Leave Act 2010</w:t>
      </w:r>
      <w:r w:rsidR="002C061D" w:rsidRPr="00700F82">
        <w:t>.</w:t>
      </w:r>
    </w:p>
    <w:p w14:paraId="3D9D556E" w14:textId="77777777" w:rsidR="0077309D" w:rsidRPr="00700F82" w:rsidRDefault="00896A03" w:rsidP="00C7460E">
      <w:pPr>
        <w:pStyle w:val="ItemHead"/>
      </w:pPr>
      <w:r w:rsidRPr="00700F82">
        <w:t>11</w:t>
      </w:r>
      <w:r w:rsidR="0077309D" w:rsidRPr="00700F82">
        <w:t xml:space="preserve">  </w:t>
      </w:r>
      <w:r w:rsidR="00B71E32" w:rsidRPr="00700F82">
        <w:t xml:space="preserve">After </w:t>
      </w:r>
      <w:r w:rsidR="00AE56E0" w:rsidRPr="00700F82">
        <w:t>Part 1</w:t>
      </w:r>
      <w:r w:rsidR="00B71E32" w:rsidRPr="00700F82">
        <w:t>2A</w:t>
      </w:r>
    </w:p>
    <w:p w14:paraId="57E32D48" w14:textId="77777777" w:rsidR="00B71E32" w:rsidRPr="00700F82" w:rsidRDefault="00B71E32" w:rsidP="00C7460E">
      <w:pPr>
        <w:pStyle w:val="Item"/>
      </w:pPr>
      <w:r w:rsidRPr="00700F82">
        <w:t>Insert:</w:t>
      </w:r>
    </w:p>
    <w:p w14:paraId="414D1892" w14:textId="77777777" w:rsidR="00C8105F" w:rsidRPr="00700F82" w:rsidRDefault="00AE56E0" w:rsidP="00C7460E">
      <w:pPr>
        <w:pStyle w:val="ActHead2"/>
      </w:pPr>
      <w:bookmarkStart w:id="61" w:name="_Toc178780407"/>
      <w:r w:rsidRPr="00700F82">
        <w:rPr>
          <w:rStyle w:val="CharPartNo"/>
        </w:rPr>
        <w:t>Part 1</w:t>
      </w:r>
      <w:r w:rsidR="00C8105F" w:rsidRPr="00700F82">
        <w:rPr>
          <w:rStyle w:val="CharPartNo"/>
        </w:rPr>
        <w:t>2B</w:t>
      </w:r>
      <w:r w:rsidR="00C8105F" w:rsidRPr="00700F82">
        <w:t>—</w:t>
      </w:r>
      <w:r w:rsidR="002E1EE3" w:rsidRPr="00700F82">
        <w:rPr>
          <w:rStyle w:val="CharPartText"/>
        </w:rPr>
        <w:t>PPL superannuation contributions</w:t>
      </w:r>
      <w:bookmarkEnd w:id="61"/>
    </w:p>
    <w:p w14:paraId="45B464B7" w14:textId="77777777" w:rsidR="00C8105F" w:rsidRPr="00700F82" w:rsidRDefault="00C8105F" w:rsidP="00C7460E">
      <w:pPr>
        <w:pStyle w:val="Header"/>
      </w:pPr>
      <w:r w:rsidRPr="00700F82">
        <w:rPr>
          <w:rStyle w:val="CharDivNo"/>
        </w:rPr>
        <w:t xml:space="preserve"> </w:t>
      </w:r>
      <w:r w:rsidRPr="00700F82">
        <w:rPr>
          <w:rStyle w:val="CharDivText"/>
        </w:rPr>
        <w:t xml:space="preserve"> </w:t>
      </w:r>
    </w:p>
    <w:p w14:paraId="3488ABDB" w14:textId="77777777" w:rsidR="00C8105F" w:rsidRPr="00700F82" w:rsidRDefault="00C8105F" w:rsidP="00C7460E">
      <w:pPr>
        <w:pStyle w:val="ActHead5"/>
      </w:pPr>
      <w:bookmarkStart w:id="62" w:name="_Toc178780408"/>
      <w:r w:rsidRPr="00700F82">
        <w:rPr>
          <w:rStyle w:val="CharSectno"/>
        </w:rPr>
        <w:t>91</w:t>
      </w:r>
      <w:r w:rsidR="000E6837" w:rsidRPr="00700F82">
        <w:rPr>
          <w:rStyle w:val="CharSectno"/>
        </w:rPr>
        <w:t>H</w:t>
      </w:r>
      <w:r w:rsidRPr="00700F82">
        <w:t xml:space="preserve">  Commissioner of Taxation may deposit </w:t>
      </w:r>
      <w:r w:rsidR="002E1EE3" w:rsidRPr="00700F82">
        <w:t>PPL superannuation contribution</w:t>
      </w:r>
      <w:r w:rsidRPr="00700F82">
        <w:t xml:space="preserve"> into individual’s account</w:t>
      </w:r>
      <w:bookmarkEnd w:id="62"/>
    </w:p>
    <w:p w14:paraId="7A35AF32" w14:textId="77777777" w:rsidR="00C8105F" w:rsidRPr="00700F82" w:rsidRDefault="00C8105F" w:rsidP="00C7460E">
      <w:pPr>
        <w:pStyle w:val="subsection"/>
      </w:pPr>
      <w:r w:rsidRPr="00700F82">
        <w:tab/>
      </w:r>
      <w:r w:rsidRPr="00700F82">
        <w:tab/>
        <w:t xml:space="preserve">In addition to the deposits that may be made under </w:t>
      </w:r>
      <w:r w:rsidR="00AE56E0" w:rsidRPr="00700F82">
        <w:t>Part 4</w:t>
      </w:r>
      <w:r w:rsidRPr="00700F82">
        <w:t xml:space="preserve">, the Commissioner of Taxation may credit to an individual’s account a </w:t>
      </w:r>
      <w:r w:rsidR="002E1EE3" w:rsidRPr="00700F82">
        <w:t>PPL superannuation contribution</w:t>
      </w:r>
      <w:r w:rsidRPr="00700F82">
        <w:t xml:space="preserve"> payable </w:t>
      </w:r>
      <w:r w:rsidR="002E1EE3" w:rsidRPr="00700F82">
        <w:t>for</w:t>
      </w:r>
      <w:r w:rsidRPr="00700F82">
        <w:t xml:space="preserve"> the individual.</w:t>
      </w:r>
    </w:p>
    <w:p w14:paraId="788F0BAB" w14:textId="77777777" w:rsidR="00C8105F" w:rsidRPr="00700F82" w:rsidRDefault="00C8105F" w:rsidP="00C7460E">
      <w:pPr>
        <w:pStyle w:val="ActHead5"/>
      </w:pPr>
      <w:bookmarkStart w:id="63" w:name="_Toc178780409"/>
      <w:r w:rsidRPr="00700F82">
        <w:rPr>
          <w:rStyle w:val="CharSectno"/>
        </w:rPr>
        <w:t>91</w:t>
      </w:r>
      <w:r w:rsidR="00F752B8" w:rsidRPr="00700F82">
        <w:rPr>
          <w:rStyle w:val="CharSectno"/>
        </w:rPr>
        <w:t>J</w:t>
      </w:r>
      <w:r w:rsidRPr="00700F82">
        <w:t xml:space="preserve">  Act generally applies to deposits under this </w:t>
      </w:r>
      <w:r w:rsidR="00AE56E0" w:rsidRPr="00700F82">
        <w:t>Part i</w:t>
      </w:r>
      <w:r w:rsidRPr="00700F82">
        <w:t xml:space="preserve">n the same way as it applies to deposits under </w:t>
      </w:r>
      <w:r w:rsidR="00AE56E0" w:rsidRPr="00700F82">
        <w:t>Part 4</w:t>
      </w:r>
      <w:bookmarkEnd w:id="63"/>
    </w:p>
    <w:p w14:paraId="22BF9EBA" w14:textId="77777777" w:rsidR="00C8105F" w:rsidRPr="00700F82" w:rsidRDefault="00C8105F" w:rsidP="00C7460E">
      <w:pPr>
        <w:pStyle w:val="subsection"/>
      </w:pPr>
      <w:r w:rsidRPr="00700F82">
        <w:tab/>
      </w:r>
      <w:r w:rsidRPr="00700F82">
        <w:tab/>
        <w:t xml:space="preserve">Except as provided for in this Part, this Act applies to a deposit made under this </w:t>
      </w:r>
      <w:r w:rsidR="00AE56E0" w:rsidRPr="00700F82">
        <w:t>Part i</w:t>
      </w:r>
      <w:r w:rsidRPr="00700F82">
        <w:t xml:space="preserve">n the same way as it applies to a deposit made under </w:t>
      </w:r>
      <w:r w:rsidR="00AE56E0" w:rsidRPr="00700F82">
        <w:t>Part 4</w:t>
      </w:r>
      <w:r w:rsidRPr="00700F82">
        <w:t>.</w:t>
      </w:r>
    </w:p>
    <w:p w14:paraId="2C3905EF" w14:textId="77777777" w:rsidR="00C8105F" w:rsidRPr="00700F82" w:rsidRDefault="00C8105F" w:rsidP="00C7460E">
      <w:pPr>
        <w:pStyle w:val="ActHead5"/>
      </w:pPr>
      <w:bookmarkStart w:id="64" w:name="_Toc178780410"/>
      <w:r w:rsidRPr="00700F82">
        <w:rPr>
          <w:rStyle w:val="CharSectno"/>
        </w:rPr>
        <w:t>91</w:t>
      </w:r>
      <w:r w:rsidR="00F752B8" w:rsidRPr="00700F82">
        <w:rPr>
          <w:rStyle w:val="CharSectno"/>
        </w:rPr>
        <w:t>K</w:t>
      </w:r>
      <w:r w:rsidRPr="00700F82">
        <w:t xml:space="preserve">  Deposit not held on trust etc.</w:t>
      </w:r>
      <w:bookmarkEnd w:id="64"/>
    </w:p>
    <w:p w14:paraId="22A57CCA" w14:textId="77777777" w:rsidR="00C8105F" w:rsidRPr="00700F82" w:rsidRDefault="00C8105F" w:rsidP="00C7460E">
      <w:pPr>
        <w:pStyle w:val="subsection"/>
      </w:pPr>
      <w:r w:rsidRPr="00700F82">
        <w:tab/>
        <w:t>(1)</w:t>
      </w:r>
      <w:r w:rsidRPr="00700F82">
        <w:tab/>
        <w:t>Section 33 applies to a deposit made under this Part.</w:t>
      </w:r>
    </w:p>
    <w:p w14:paraId="41B1187D" w14:textId="77777777" w:rsidR="00C8105F" w:rsidRPr="00700F82" w:rsidRDefault="00C8105F" w:rsidP="00C7460E">
      <w:pPr>
        <w:pStyle w:val="subsection"/>
      </w:pPr>
      <w:r w:rsidRPr="00700F82">
        <w:tab/>
        <w:t>(2)</w:t>
      </w:r>
      <w:r w:rsidRPr="00700F82">
        <w:tab/>
        <w:t xml:space="preserve">None of the other provisions of </w:t>
      </w:r>
      <w:r w:rsidR="00AE56E0" w:rsidRPr="00700F82">
        <w:t>Part 4</w:t>
      </w:r>
      <w:r w:rsidRPr="00700F82">
        <w:t xml:space="preserve"> apply to a deposit made under this Part.</w:t>
      </w:r>
    </w:p>
    <w:p w14:paraId="42055BB6" w14:textId="77777777" w:rsidR="00C8105F" w:rsidRPr="00700F82" w:rsidRDefault="00C8105F" w:rsidP="00C7460E">
      <w:pPr>
        <w:pStyle w:val="ActHead5"/>
      </w:pPr>
      <w:bookmarkStart w:id="65" w:name="_Toc178780411"/>
      <w:r w:rsidRPr="00700F82">
        <w:rPr>
          <w:rStyle w:val="CharSectno"/>
        </w:rPr>
        <w:t>91</w:t>
      </w:r>
      <w:r w:rsidR="00F752B8" w:rsidRPr="00700F82">
        <w:rPr>
          <w:rStyle w:val="CharSectno"/>
        </w:rPr>
        <w:t>L</w:t>
      </w:r>
      <w:r w:rsidRPr="00700F82">
        <w:t xml:space="preserve">  Crediting of deposits</w:t>
      </w:r>
      <w:bookmarkEnd w:id="65"/>
    </w:p>
    <w:p w14:paraId="629C28F6" w14:textId="77777777" w:rsidR="00C8105F" w:rsidRPr="00700F82" w:rsidRDefault="00C8105F" w:rsidP="00C7460E">
      <w:pPr>
        <w:pStyle w:val="subsection"/>
      </w:pPr>
      <w:r w:rsidRPr="00700F82">
        <w:tab/>
        <w:t>(1)</w:t>
      </w:r>
      <w:r w:rsidRPr="00700F82">
        <w:tab/>
        <w:t>Part 5 does not apply to a deposit made under this Part.</w:t>
      </w:r>
    </w:p>
    <w:p w14:paraId="1BDC4906" w14:textId="77777777" w:rsidR="00C8105F" w:rsidRPr="00700F82" w:rsidRDefault="00C8105F" w:rsidP="00C7460E">
      <w:pPr>
        <w:pStyle w:val="subsection"/>
      </w:pPr>
      <w:r w:rsidRPr="00700F82">
        <w:tab/>
        <w:t>(2)</w:t>
      </w:r>
      <w:r w:rsidRPr="00700F82">
        <w:tab/>
        <w:t xml:space="preserve">An amount equal to a deposit made under this </w:t>
      </w:r>
      <w:r w:rsidR="00AE56E0" w:rsidRPr="00700F82">
        <w:t>Part i</w:t>
      </w:r>
      <w:r w:rsidRPr="00700F82">
        <w:t>s to be credited to the Special Account.</w:t>
      </w:r>
    </w:p>
    <w:p w14:paraId="6CEA34FB" w14:textId="77777777" w:rsidR="00C8105F" w:rsidRPr="00700F82" w:rsidRDefault="00C8105F" w:rsidP="00C7460E">
      <w:pPr>
        <w:pStyle w:val="subsection"/>
      </w:pPr>
      <w:r w:rsidRPr="00700F82">
        <w:tab/>
        <w:t>(3)</w:t>
      </w:r>
      <w:r w:rsidRPr="00700F82">
        <w:tab/>
        <w:t xml:space="preserve">As soon as practicable after the amount is credited to the Special Account under </w:t>
      </w:r>
      <w:r w:rsidR="00AD7F23" w:rsidRPr="00700F82">
        <w:t>subsection (</w:t>
      </w:r>
      <w:r w:rsidRPr="00700F82">
        <w:t>2), the individual’s account is to be credited with an amount equal to the deposit.</w:t>
      </w:r>
    </w:p>
    <w:p w14:paraId="6FFF7E29" w14:textId="77777777" w:rsidR="00C8105F" w:rsidRPr="00700F82" w:rsidRDefault="00C8105F" w:rsidP="00C7460E">
      <w:pPr>
        <w:pStyle w:val="ActHead5"/>
      </w:pPr>
      <w:bookmarkStart w:id="66" w:name="_Toc178780412"/>
      <w:r w:rsidRPr="00700F82">
        <w:rPr>
          <w:rStyle w:val="CharSectno"/>
        </w:rPr>
        <w:t>91</w:t>
      </w:r>
      <w:r w:rsidR="00F752B8" w:rsidRPr="00700F82">
        <w:rPr>
          <w:rStyle w:val="CharSectno"/>
        </w:rPr>
        <w:t>M</w:t>
      </w:r>
      <w:r w:rsidRPr="00700F82">
        <w:t xml:space="preserve">  Debiting account with overpayment of </w:t>
      </w:r>
      <w:r w:rsidR="00E7538A" w:rsidRPr="00700F82">
        <w:t>PPL superannuation contribution</w:t>
      </w:r>
      <w:bookmarkEnd w:id="66"/>
    </w:p>
    <w:p w14:paraId="3797EA33" w14:textId="77777777" w:rsidR="00C8105F" w:rsidRPr="00700F82" w:rsidRDefault="00C8105F" w:rsidP="00C7460E">
      <w:pPr>
        <w:pStyle w:val="subsection"/>
      </w:pPr>
      <w:r w:rsidRPr="00700F82">
        <w:tab/>
      </w:r>
      <w:r w:rsidRPr="00700F82">
        <w:tab/>
        <w:t>Under</w:t>
      </w:r>
      <w:r w:rsidRPr="00700F82">
        <w:rPr>
          <w:i/>
        </w:rPr>
        <w:t xml:space="preserve"> </w:t>
      </w:r>
      <w:r w:rsidRPr="00700F82">
        <w:t>section</w:t>
      </w:r>
      <w:r w:rsidR="00742AE7" w:rsidRPr="00700F82">
        <w:t xml:space="preserve"> 115</w:t>
      </w:r>
      <w:r w:rsidR="00F1687A" w:rsidRPr="00700F82">
        <w:t>P</w:t>
      </w:r>
      <w:r w:rsidR="005F2E1D" w:rsidRPr="00700F82">
        <w:rPr>
          <w:i/>
        </w:rPr>
        <w:t xml:space="preserve"> </w:t>
      </w:r>
      <w:r w:rsidRPr="00700F82">
        <w:t xml:space="preserve">of the </w:t>
      </w:r>
      <w:r w:rsidR="00742AE7" w:rsidRPr="00700F82">
        <w:rPr>
          <w:i/>
        </w:rPr>
        <w:t>Paid Parental Leave Act 2010</w:t>
      </w:r>
      <w:r w:rsidRPr="00700F82">
        <w:t xml:space="preserve">, the Commissioner may, in certain circumstances, debit an individual’s account as a way of recovering an overpayment of a </w:t>
      </w:r>
      <w:r w:rsidR="00A3073D" w:rsidRPr="00700F82">
        <w:t>PPL superannuation contribution</w:t>
      </w:r>
      <w:r w:rsidRPr="00700F82">
        <w:t xml:space="preserve"> if the account includes deposits made under this Part.</w:t>
      </w:r>
    </w:p>
    <w:p w14:paraId="5A007161" w14:textId="77777777" w:rsidR="00C8105F" w:rsidRPr="00700F82" w:rsidRDefault="00C8105F" w:rsidP="00C7460E">
      <w:pPr>
        <w:pStyle w:val="ActHead5"/>
      </w:pPr>
      <w:bookmarkStart w:id="67" w:name="_Toc178780413"/>
      <w:r w:rsidRPr="00700F82">
        <w:rPr>
          <w:rStyle w:val="CharSectno"/>
        </w:rPr>
        <w:t>91</w:t>
      </w:r>
      <w:r w:rsidR="00F752B8" w:rsidRPr="00700F82">
        <w:rPr>
          <w:rStyle w:val="CharSectno"/>
        </w:rPr>
        <w:t>N</w:t>
      </w:r>
      <w:r w:rsidRPr="00700F82">
        <w:t xml:space="preserve">  Withdrawal of account balances</w:t>
      </w:r>
      <w:bookmarkEnd w:id="67"/>
    </w:p>
    <w:p w14:paraId="5E0A81AF" w14:textId="77777777" w:rsidR="00C8105F" w:rsidRPr="00700F82" w:rsidRDefault="00AE56E0" w:rsidP="00C7460E">
      <w:pPr>
        <w:pStyle w:val="SubsectionHead"/>
      </w:pPr>
      <w:r w:rsidRPr="00700F82">
        <w:t>Division 2</w:t>
      </w:r>
      <w:r w:rsidR="00C8105F" w:rsidRPr="00700F82">
        <w:t xml:space="preserve"> of Part 7 does not apply</w:t>
      </w:r>
    </w:p>
    <w:p w14:paraId="541E028C" w14:textId="77777777" w:rsidR="00C8105F" w:rsidRPr="00700F82" w:rsidRDefault="00C8105F" w:rsidP="00C7460E">
      <w:pPr>
        <w:pStyle w:val="subsection"/>
      </w:pPr>
      <w:r w:rsidRPr="00700F82">
        <w:tab/>
        <w:t>(1)</w:t>
      </w:r>
      <w:r w:rsidRPr="00700F82">
        <w:tab/>
      </w:r>
      <w:r w:rsidR="00AE56E0" w:rsidRPr="00700F82">
        <w:t>Division 2</w:t>
      </w:r>
      <w:r w:rsidRPr="00700F82">
        <w:t xml:space="preserve"> of Part 7 (account frozen for 14 days after deposit) does not apply to a deposit made under this Part.</w:t>
      </w:r>
    </w:p>
    <w:p w14:paraId="1E5484E3" w14:textId="77777777" w:rsidR="00C8105F" w:rsidRPr="00700F82" w:rsidRDefault="00C8105F" w:rsidP="00C7460E">
      <w:pPr>
        <w:pStyle w:val="SubsectionHead"/>
      </w:pPr>
      <w:r w:rsidRPr="00700F82">
        <w:t xml:space="preserve">Modification of </w:t>
      </w:r>
      <w:r w:rsidR="00AE56E0" w:rsidRPr="00700F82">
        <w:t>section 6</w:t>
      </w:r>
      <w:r w:rsidRPr="00700F82">
        <w:t>1 (transfer to RSA or superannuation fund at individual’s request)</w:t>
      </w:r>
    </w:p>
    <w:p w14:paraId="2B7AABA4" w14:textId="77777777" w:rsidR="00C8105F" w:rsidRPr="00700F82" w:rsidRDefault="00C8105F" w:rsidP="00C7460E">
      <w:pPr>
        <w:pStyle w:val="subsection"/>
      </w:pPr>
      <w:r w:rsidRPr="00700F82">
        <w:tab/>
        <w:t>(2)</w:t>
      </w:r>
      <w:r w:rsidRPr="00700F82">
        <w:tab/>
        <w:t xml:space="preserve">To the extent to which the balance in an individual’s account represents deposits made under this Part, </w:t>
      </w:r>
      <w:r w:rsidR="00AE56E0" w:rsidRPr="00700F82">
        <w:t>section 6</w:t>
      </w:r>
      <w:r w:rsidRPr="00700F82">
        <w:t>1 applies to the account as if the reference in sub</w:t>
      </w:r>
      <w:r w:rsidR="00AE56E0" w:rsidRPr="00700F82">
        <w:t>paragraph (</w:t>
      </w:r>
      <w:r w:rsidRPr="00700F82">
        <w:t>2)(b)(i) to a regulated superannuation fund were a reference to a complying superannuation fund.</w:t>
      </w:r>
    </w:p>
    <w:p w14:paraId="1C178EBE" w14:textId="77777777" w:rsidR="00C8105F" w:rsidRPr="00700F82" w:rsidRDefault="00AE56E0" w:rsidP="00C7460E">
      <w:pPr>
        <w:pStyle w:val="SubsectionHead"/>
      </w:pPr>
      <w:r w:rsidRPr="00700F82">
        <w:t>Section 6</w:t>
      </w:r>
      <w:r w:rsidR="00C8105F" w:rsidRPr="00700F82">
        <w:t>3 does not apply</w:t>
      </w:r>
    </w:p>
    <w:p w14:paraId="4ECBD289" w14:textId="77777777" w:rsidR="00C8105F" w:rsidRPr="00700F82" w:rsidRDefault="00C8105F" w:rsidP="00C7460E">
      <w:pPr>
        <w:pStyle w:val="subsection"/>
      </w:pPr>
      <w:r w:rsidRPr="00700F82">
        <w:tab/>
        <w:t>(3)</w:t>
      </w:r>
      <w:r w:rsidRPr="00700F82">
        <w:tab/>
      </w:r>
      <w:r w:rsidR="00AE56E0" w:rsidRPr="00700F82">
        <w:t>Section 6</w:t>
      </w:r>
      <w:r w:rsidRPr="00700F82">
        <w:t>3 (withdrawal of account balance of less than $200 where individual has ceased to be employed by depositor) does not apply to an individual’s account to the extent that the balance in the account represents deposits made under this Part.</w:t>
      </w:r>
    </w:p>
    <w:p w14:paraId="7C589E7E" w14:textId="77777777" w:rsidR="00C8105F" w:rsidRPr="00700F82" w:rsidRDefault="00C8105F" w:rsidP="00C7460E">
      <w:pPr>
        <w:pStyle w:val="SubsectionHead"/>
      </w:pPr>
      <w:r w:rsidRPr="00700F82">
        <w:t>Interpretation</w:t>
      </w:r>
    </w:p>
    <w:p w14:paraId="6EC547F9" w14:textId="77777777" w:rsidR="00C8105F" w:rsidRPr="00700F82" w:rsidRDefault="00C8105F" w:rsidP="00C7460E">
      <w:pPr>
        <w:pStyle w:val="subsection"/>
      </w:pPr>
      <w:r w:rsidRPr="00700F82">
        <w:tab/>
        <w:t>(4)</w:t>
      </w:r>
      <w:r w:rsidRPr="00700F82">
        <w:tab/>
        <w:t xml:space="preserve">A reference in this section to the balance of an individual’s account to the extent to which it represents deposits made under this </w:t>
      </w:r>
      <w:r w:rsidR="00AE56E0" w:rsidRPr="00700F82">
        <w:t>Part i</w:t>
      </w:r>
      <w:r w:rsidRPr="00700F82">
        <w:t>s a reference to that balance to the extent to which it represents:</w:t>
      </w:r>
    </w:p>
    <w:p w14:paraId="21671392" w14:textId="77777777" w:rsidR="00C8105F" w:rsidRPr="00700F82" w:rsidRDefault="00C8105F" w:rsidP="00C7460E">
      <w:pPr>
        <w:pStyle w:val="paragraph"/>
      </w:pPr>
      <w:r w:rsidRPr="00700F82">
        <w:tab/>
        <w:t>(a)</w:t>
      </w:r>
      <w:r w:rsidRPr="00700F82">
        <w:tab/>
        <w:t>deposits made under this Part; and</w:t>
      </w:r>
    </w:p>
    <w:p w14:paraId="0A66821D" w14:textId="77777777" w:rsidR="00C8105F" w:rsidRPr="00700F82" w:rsidRDefault="00C8105F" w:rsidP="00C7460E">
      <w:pPr>
        <w:pStyle w:val="paragraph"/>
      </w:pPr>
      <w:r w:rsidRPr="00700F82">
        <w:tab/>
        <w:t>(b)</w:t>
      </w:r>
      <w:r w:rsidRPr="00700F82">
        <w:tab/>
        <w:t>interest accruing on deposits made under this Part.</w:t>
      </w:r>
    </w:p>
    <w:p w14:paraId="199A3D3F" w14:textId="77777777" w:rsidR="00C8105F" w:rsidRPr="00700F82" w:rsidRDefault="00C8105F" w:rsidP="00C7460E">
      <w:pPr>
        <w:pStyle w:val="ActHead5"/>
      </w:pPr>
      <w:bookmarkStart w:id="68" w:name="_Toc178780414"/>
      <w:r w:rsidRPr="00700F82">
        <w:rPr>
          <w:rStyle w:val="CharSectno"/>
        </w:rPr>
        <w:t>91</w:t>
      </w:r>
      <w:r w:rsidR="00F752B8" w:rsidRPr="00700F82">
        <w:rPr>
          <w:rStyle w:val="CharSectno"/>
        </w:rPr>
        <w:t>P</w:t>
      </w:r>
      <w:r w:rsidRPr="00700F82">
        <w:t xml:space="preserve">  Refunds of deposits</w:t>
      </w:r>
      <w:bookmarkEnd w:id="68"/>
    </w:p>
    <w:p w14:paraId="4D2C61E4" w14:textId="77777777" w:rsidR="00B71E32" w:rsidRPr="00700F82" w:rsidRDefault="00C8105F" w:rsidP="00C7460E">
      <w:pPr>
        <w:pStyle w:val="subsection"/>
      </w:pPr>
      <w:r w:rsidRPr="00700F82">
        <w:tab/>
      </w:r>
      <w:r w:rsidRPr="00700F82">
        <w:tab/>
        <w:t>Part 8 does not apply to deposits made under this Part.</w:t>
      </w:r>
    </w:p>
    <w:p w14:paraId="3AB45706" w14:textId="77777777" w:rsidR="004F0BE4" w:rsidRPr="00700F82" w:rsidRDefault="00896A03" w:rsidP="00C7460E">
      <w:pPr>
        <w:pStyle w:val="Transitional"/>
      </w:pPr>
      <w:r w:rsidRPr="00700F82">
        <w:t>12</w:t>
      </w:r>
      <w:r w:rsidR="00B57B4F" w:rsidRPr="00700F82">
        <w:t xml:space="preserve">  </w:t>
      </w:r>
      <w:r w:rsidR="00A3073D" w:rsidRPr="00700F82">
        <w:t>A</w:t>
      </w:r>
      <w:r w:rsidR="00B57B4F" w:rsidRPr="00700F82">
        <w:t>pplication of amendments</w:t>
      </w:r>
    </w:p>
    <w:p w14:paraId="337B49F0" w14:textId="77777777" w:rsidR="00906279" w:rsidRPr="00700F82" w:rsidRDefault="00AC16B5" w:rsidP="00C7460E">
      <w:pPr>
        <w:pStyle w:val="Subitem"/>
      </w:pPr>
      <w:r w:rsidRPr="00700F82">
        <w:t>(1)</w:t>
      </w:r>
      <w:r w:rsidRPr="00700F82">
        <w:tab/>
      </w:r>
      <w:r w:rsidR="00B57B4F" w:rsidRPr="00700F82">
        <w:t xml:space="preserve">The amendments made by this Schedule apply in relation to PPL funding amounts and </w:t>
      </w:r>
      <w:r w:rsidR="00B9574B" w:rsidRPr="00700F82">
        <w:t xml:space="preserve">instalments paid on or after </w:t>
      </w:r>
      <w:r w:rsidR="00AE56E0" w:rsidRPr="00700F82">
        <w:t>1 July</w:t>
      </w:r>
      <w:r w:rsidR="00B9574B" w:rsidRPr="00700F82">
        <w:t xml:space="preserve"> 2025 </w:t>
      </w:r>
      <w:r w:rsidR="006F5A16" w:rsidRPr="00700F82">
        <w:t>for a child who</w:t>
      </w:r>
      <w:r w:rsidRPr="00700F82">
        <w:t xml:space="preserve"> </w:t>
      </w:r>
      <w:r w:rsidR="00906279" w:rsidRPr="00700F82">
        <w:t xml:space="preserve">is born on or after </w:t>
      </w:r>
      <w:r w:rsidR="000C3048" w:rsidRPr="00700F82">
        <w:t>that day</w:t>
      </w:r>
      <w:r w:rsidR="00906279" w:rsidRPr="00700F82">
        <w:t>.</w:t>
      </w:r>
    </w:p>
    <w:p w14:paraId="1BD03DFA" w14:textId="77777777" w:rsidR="00AC16B5" w:rsidRPr="00700F82" w:rsidRDefault="00AC16B5" w:rsidP="00C7460E">
      <w:pPr>
        <w:pStyle w:val="Subitem"/>
      </w:pPr>
      <w:r w:rsidRPr="00700F82">
        <w:t>(2)</w:t>
      </w:r>
      <w:r w:rsidRPr="00700F82">
        <w:tab/>
        <w:t xml:space="preserve">The following provisions of the </w:t>
      </w:r>
      <w:r w:rsidRPr="00700F82">
        <w:rPr>
          <w:i/>
        </w:rPr>
        <w:t>Paid Parental Leave Act 2010</w:t>
      </w:r>
      <w:r w:rsidRPr="00700F82">
        <w:t xml:space="preserve">, as in force on the commencement of this item, apply in relation to </w:t>
      </w:r>
      <w:r w:rsidR="005A23F5" w:rsidRPr="00700F82">
        <w:t xml:space="preserve">this item </w:t>
      </w:r>
      <w:r w:rsidRPr="00700F82">
        <w:t>as if it were a provision of that Act:</w:t>
      </w:r>
    </w:p>
    <w:p w14:paraId="1EE665BB" w14:textId="77777777" w:rsidR="00AC16B5" w:rsidRPr="00700F82" w:rsidRDefault="00AC16B5" w:rsidP="00C7460E">
      <w:pPr>
        <w:pStyle w:val="paragraph"/>
      </w:pPr>
      <w:r w:rsidRPr="00700F82">
        <w:tab/>
        <w:t>(a)</w:t>
      </w:r>
      <w:r w:rsidRPr="00700F82">
        <w:tab/>
        <w:t>section 275 (which deals with how that Act applies to an adopted child);</w:t>
      </w:r>
    </w:p>
    <w:p w14:paraId="07D97C79" w14:textId="77777777" w:rsidR="00AC16B5" w:rsidRPr="00700F82" w:rsidRDefault="00AC16B5" w:rsidP="00C7460E">
      <w:pPr>
        <w:pStyle w:val="paragraph"/>
      </w:pPr>
      <w:r w:rsidRPr="00700F82">
        <w:tab/>
        <w:t>(b)</w:t>
      </w:r>
      <w:r w:rsidRPr="00700F82">
        <w:tab/>
        <w:t>section 276 (which deals with how that Act applies to claims made in exceptional circumstances).</w:t>
      </w:r>
    </w:p>
    <w:p w14:paraId="3D88D0A6" w14:textId="77777777" w:rsidR="0044095D" w:rsidRPr="00700F82" w:rsidRDefault="00AE56E0" w:rsidP="00C7460E">
      <w:pPr>
        <w:pStyle w:val="ActHead6"/>
        <w:pageBreakBefore/>
      </w:pPr>
      <w:bookmarkStart w:id="69" w:name="opcCurrentFind"/>
      <w:bookmarkStart w:id="70" w:name="_Toc178780415"/>
      <w:r w:rsidRPr="00700F82">
        <w:rPr>
          <w:rStyle w:val="CharAmSchNo"/>
        </w:rPr>
        <w:t>Schedule 2</w:t>
      </w:r>
      <w:r w:rsidR="0044095D" w:rsidRPr="00700F82">
        <w:t>—</w:t>
      </w:r>
      <w:r w:rsidR="0044095D" w:rsidRPr="00700F82">
        <w:rPr>
          <w:rStyle w:val="CharAmSchText"/>
        </w:rPr>
        <w:t>Other amendments</w:t>
      </w:r>
      <w:bookmarkEnd w:id="70"/>
    </w:p>
    <w:bookmarkEnd w:id="69"/>
    <w:p w14:paraId="44B94DF7" w14:textId="77777777" w:rsidR="00685F7A" w:rsidRPr="00700F82" w:rsidRDefault="00685F7A" w:rsidP="00C7460E">
      <w:pPr>
        <w:pStyle w:val="Header"/>
      </w:pPr>
      <w:r w:rsidRPr="00700F82">
        <w:rPr>
          <w:rStyle w:val="CharAmPartNo"/>
        </w:rPr>
        <w:t xml:space="preserve"> </w:t>
      </w:r>
      <w:r w:rsidRPr="00700F82">
        <w:rPr>
          <w:rStyle w:val="CharAmPartText"/>
        </w:rPr>
        <w:t xml:space="preserve"> </w:t>
      </w:r>
    </w:p>
    <w:p w14:paraId="13F0D885" w14:textId="77777777" w:rsidR="0044095D" w:rsidRPr="00700F82" w:rsidRDefault="0044095D" w:rsidP="00C7460E">
      <w:pPr>
        <w:pStyle w:val="ActHead9"/>
        <w:rPr>
          <w:i w:val="0"/>
        </w:rPr>
      </w:pPr>
      <w:bookmarkStart w:id="71" w:name="_Toc178780416"/>
      <w:r w:rsidRPr="00700F82">
        <w:t>Fair Work Act 2009</w:t>
      </w:r>
      <w:bookmarkEnd w:id="71"/>
    </w:p>
    <w:p w14:paraId="19AF2D5A" w14:textId="77777777" w:rsidR="0044095D" w:rsidRPr="00700F82" w:rsidRDefault="0044095D" w:rsidP="00C7460E">
      <w:pPr>
        <w:pStyle w:val="ItemHead"/>
      </w:pPr>
      <w:r w:rsidRPr="00700F82">
        <w:t xml:space="preserve">1  </w:t>
      </w:r>
      <w:r w:rsidR="00AE56E0" w:rsidRPr="00700F82">
        <w:t>Subsection 7</w:t>
      </w:r>
      <w:r w:rsidR="00416EC7" w:rsidRPr="00700F82">
        <w:t>9A(5)</w:t>
      </w:r>
    </w:p>
    <w:p w14:paraId="706B90A9" w14:textId="77777777" w:rsidR="00416EC7" w:rsidRPr="00700F82" w:rsidRDefault="00416EC7" w:rsidP="00C7460E">
      <w:pPr>
        <w:pStyle w:val="Item"/>
      </w:pPr>
      <w:r w:rsidRPr="00700F82">
        <w:t>Repeal the subsection, substitute:</w:t>
      </w:r>
    </w:p>
    <w:p w14:paraId="6999A1B9" w14:textId="77777777" w:rsidR="00416EC7" w:rsidRPr="00700F82" w:rsidRDefault="00416EC7" w:rsidP="00C7460E">
      <w:pPr>
        <w:pStyle w:val="subsection"/>
      </w:pPr>
      <w:r w:rsidRPr="00700F82">
        <w:tab/>
        <w:t>(5)</w:t>
      </w:r>
      <w:r w:rsidRPr="00700F82">
        <w:tab/>
        <w:t>Subsection (1) does not apply in relation to flexible unpaid parental leave.</w:t>
      </w:r>
    </w:p>
    <w:p w14:paraId="45DE19A3" w14:textId="77777777" w:rsidR="004A095D" w:rsidRPr="00700F82" w:rsidRDefault="004A095D" w:rsidP="00C7460E">
      <w:pPr>
        <w:pStyle w:val="ActHead9"/>
        <w:rPr>
          <w:i w:val="0"/>
        </w:rPr>
      </w:pPr>
      <w:bookmarkStart w:id="72" w:name="_Toc178780417"/>
      <w:r w:rsidRPr="00700F82">
        <w:t>Income Tax Assessment Act 1997</w:t>
      </w:r>
      <w:bookmarkEnd w:id="72"/>
    </w:p>
    <w:p w14:paraId="748A5D7A" w14:textId="77777777" w:rsidR="001F79F1" w:rsidRPr="00700F82" w:rsidRDefault="00452A3F" w:rsidP="00C7460E">
      <w:pPr>
        <w:pStyle w:val="ItemHead"/>
      </w:pPr>
      <w:r w:rsidRPr="00700F82">
        <w:t xml:space="preserve">2  </w:t>
      </w:r>
      <w:r w:rsidR="00AE56E0" w:rsidRPr="00700F82">
        <w:t>Subsection 3</w:t>
      </w:r>
      <w:r w:rsidR="005F600D" w:rsidRPr="00700F82">
        <w:t>07</w:t>
      </w:r>
      <w:r w:rsidR="00700F82">
        <w:noBreakHyphen/>
      </w:r>
      <w:r w:rsidR="005F600D" w:rsidRPr="00700F82">
        <w:t>5(1)</w:t>
      </w:r>
    </w:p>
    <w:p w14:paraId="7B30F44C" w14:textId="77777777" w:rsidR="001F79F1" w:rsidRPr="00700F82" w:rsidRDefault="001F79F1" w:rsidP="00C7460E">
      <w:pPr>
        <w:pStyle w:val="Item"/>
      </w:pPr>
      <w:r w:rsidRPr="00700F82">
        <w:t xml:space="preserve">After “in the table”, insert “or in </w:t>
      </w:r>
      <w:r w:rsidR="00AD7F23" w:rsidRPr="00700F82">
        <w:t>subsection (</w:t>
      </w:r>
      <w:r w:rsidRPr="00700F82">
        <w:t>1A)”</w:t>
      </w:r>
      <w:r w:rsidR="00391329" w:rsidRPr="00700F82">
        <w:t>.</w:t>
      </w:r>
    </w:p>
    <w:p w14:paraId="201905DE" w14:textId="77777777" w:rsidR="0063260B" w:rsidRPr="00700F82" w:rsidRDefault="0063260B" w:rsidP="00C7460E">
      <w:pPr>
        <w:pStyle w:val="ItemHead"/>
      </w:pPr>
      <w:r w:rsidRPr="00700F82">
        <w:t xml:space="preserve">3  After </w:t>
      </w:r>
      <w:r w:rsidR="00AE56E0" w:rsidRPr="00700F82">
        <w:t>subsection 3</w:t>
      </w:r>
      <w:r w:rsidRPr="00700F82">
        <w:t>07</w:t>
      </w:r>
      <w:r w:rsidR="00700F82">
        <w:noBreakHyphen/>
      </w:r>
      <w:r w:rsidRPr="00700F82">
        <w:t>5(1)</w:t>
      </w:r>
    </w:p>
    <w:p w14:paraId="7B02CBAB" w14:textId="77777777" w:rsidR="0063260B" w:rsidRPr="00700F82" w:rsidRDefault="0063260B" w:rsidP="00C7460E">
      <w:pPr>
        <w:pStyle w:val="Item"/>
      </w:pPr>
      <w:r w:rsidRPr="00700F82">
        <w:t>Insert:</w:t>
      </w:r>
    </w:p>
    <w:p w14:paraId="354C5DE7" w14:textId="77777777" w:rsidR="0063260B" w:rsidRPr="00700F82" w:rsidRDefault="0063260B" w:rsidP="00C7460E">
      <w:pPr>
        <w:pStyle w:val="subsection"/>
      </w:pPr>
      <w:r w:rsidRPr="00700F82">
        <w:tab/>
        <w:t>(1A)</w:t>
      </w:r>
      <w:r w:rsidRPr="00700F82">
        <w:tab/>
        <w:t xml:space="preserve">A payment </w:t>
      </w:r>
      <w:r w:rsidR="00A14F3C" w:rsidRPr="00700F82">
        <w:t xml:space="preserve">(a </w:t>
      </w:r>
      <w:r w:rsidR="00A14F3C" w:rsidRPr="00700F82">
        <w:rPr>
          <w:b/>
          <w:i/>
        </w:rPr>
        <w:t>PPL superannuation contribution payment</w:t>
      </w:r>
      <w:r w:rsidR="00A14F3C" w:rsidRPr="00700F82">
        <w:t xml:space="preserve">) </w:t>
      </w:r>
      <w:r w:rsidRPr="00700F82">
        <w:t xml:space="preserve">to you under </w:t>
      </w:r>
      <w:r w:rsidR="004671EF" w:rsidRPr="00700F82">
        <w:t>paragraph</w:t>
      </w:r>
      <w:r w:rsidRPr="00700F82">
        <w:t xml:space="preserve"> 115</w:t>
      </w:r>
      <w:r w:rsidR="00537D49" w:rsidRPr="00700F82">
        <w:t>F</w:t>
      </w:r>
      <w:r w:rsidRPr="00700F82">
        <w:t>(1)</w:t>
      </w:r>
      <w:r w:rsidR="00D81F73" w:rsidRPr="00700F82">
        <w:t>(c)</w:t>
      </w:r>
      <w:r w:rsidRPr="00700F82">
        <w:t xml:space="preserve"> </w:t>
      </w:r>
      <w:r w:rsidR="00063551" w:rsidRPr="00700F82">
        <w:t xml:space="preserve">or paragraph 115K(4)(c) </w:t>
      </w:r>
      <w:r w:rsidRPr="00700F82">
        <w:t xml:space="preserve">of the </w:t>
      </w:r>
      <w:r w:rsidRPr="00700F82">
        <w:rPr>
          <w:i/>
        </w:rPr>
        <w:t>Paid Parental Leave Act 2010</w:t>
      </w:r>
      <w:r w:rsidRPr="00700F82">
        <w:t>.</w:t>
      </w:r>
    </w:p>
    <w:p w14:paraId="4DBB2748" w14:textId="77777777" w:rsidR="00337ECE" w:rsidRPr="00700F82" w:rsidRDefault="00337ECE" w:rsidP="00C7460E">
      <w:pPr>
        <w:pStyle w:val="subsection"/>
      </w:pPr>
      <w:r w:rsidRPr="00700F82">
        <w:tab/>
        <w:t>(1B)</w:t>
      </w:r>
      <w:r w:rsidRPr="00700F82">
        <w:tab/>
        <w:t xml:space="preserve">For the purposes of </w:t>
      </w:r>
      <w:r w:rsidR="00AD7F23" w:rsidRPr="00700F82">
        <w:t>subsection (</w:t>
      </w:r>
      <w:r w:rsidRPr="00700F82">
        <w:t xml:space="preserve">1A), disregard any amount </w:t>
      </w:r>
      <w:r w:rsidR="007F7B59" w:rsidRPr="00700F82">
        <w:t>recovered</w:t>
      </w:r>
      <w:r w:rsidR="00B71C5D" w:rsidRPr="00700F82">
        <w:t xml:space="preserve"> in relation to the payment</w:t>
      </w:r>
      <w:r w:rsidR="007F7B59" w:rsidRPr="00700F82">
        <w:t xml:space="preserve"> under </w:t>
      </w:r>
      <w:r w:rsidR="00AD7F23" w:rsidRPr="00700F82">
        <w:t>item 3</w:t>
      </w:r>
      <w:r w:rsidR="007F7B59" w:rsidRPr="00700F82">
        <w:t xml:space="preserve"> of the table in subsection 115P(3) of the </w:t>
      </w:r>
      <w:r w:rsidR="007F7B59" w:rsidRPr="00700F82">
        <w:rPr>
          <w:i/>
        </w:rPr>
        <w:t>Paid Parental Leave Act 2010</w:t>
      </w:r>
      <w:r w:rsidR="007F7B59" w:rsidRPr="00700F82">
        <w:t>.</w:t>
      </w:r>
    </w:p>
    <w:p w14:paraId="1FDED01F" w14:textId="77777777" w:rsidR="00A14F3C" w:rsidRPr="00700F82" w:rsidRDefault="00E740FE" w:rsidP="00C7460E">
      <w:pPr>
        <w:pStyle w:val="ItemHead"/>
      </w:pPr>
      <w:r w:rsidRPr="00700F82">
        <w:t xml:space="preserve">4  </w:t>
      </w:r>
      <w:r w:rsidR="00AE56E0" w:rsidRPr="00700F82">
        <w:t>Subsection 3</w:t>
      </w:r>
      <w:r w:rsidRPr="00700F82">
        <w:t>07</w:t>
      </w:r>
      <w:r w:rsidR="00700F82">
        <w:noBreakHyphen/>
      </w:r>
      <w:r w:rsidRPr="00700F82">
        <w:t>5(4)</w:t>
      </w:r>
    </w:p>
    <w:p w14:paraId="41E2FC5E" w14:textId="77777777" w:rsidR="00E740FE" w:rsidRPr="00700F82" w:rsidRDefault="00E740FE" w:rsidP="00C7460E">
      <w:pPr>
        <w:pStyle w:val="Item"/>
      </w:pPr>
      <w:r w:rsidRPr="00700F82">
        <w:t>After “</w:t>
      </w:r>
      <w:r w:rsidR="009C5916" w:rsidRPr="00700F82">
        <w:t xml:space="preserve">of the table”, insert “or in </w:t>
      </w:r>
      <w:r w:rsidR="00AD7F23" w:rsidRPr="00700F82">
        <w:t>subsection (</w:t>
      </w:r>
      <w:r w:rsidR="009C5916" w:rsidRPr="00700F82">
        <w:t>1A)”.</w:t>
      </w:r>
    </w:p>
    <w:p w14:paraId="3BF88A73" w14:textId="77777777" w:rsidR="00CE3F4E" w:rsidRPr="00700F82" w:rsidRDefault="005C0FBD" w:rsidP="00C7460E">
      <w:pPr>
        <w:pStyle w:val="ItemHead"/>
      </w:pPr>
      <w:r w:rsidRPr="00700F82">
        <w:t>5</w:t>
      </w:r>
      <w:r w:rsidR="001B42F4" w:rsidRPr="00700F82">
        <w:t xml:space="preserve">  </w:t>
      </w:r>
      <w:r w:rsidR="00CE3F4E" w:rsidRPr="00700F82">
        <w:t xml:space="preserve">After </w:t>
      </w:r>
      <w:r w:rsidR="00AE56E0" w:rsidRPr="00700F82">
        <w:t>section 3</w:t>
      </w:r>
      <w:r w:rsidR="00BC7EC9" w:rsidRPr="00700F82">
        <w:t>07</w:t>
      </w:r>
      <w:r w:rsidR="00700F82">
        <w:noBreakHyphen/>
      </w:r>
      <w:r w:rsidR="00BC7EC9" w:rsidRPr="00700F82">
        <w:t>13</w:t>
      </w:r>
      <w:r w:rsidR="00046A76" w:rsidRPr="00700F82">
        <w:t>0</w:t>
      </w:r>
    </w:p>
    <w:p w14:paraId="48E4319F" w14:textId="77777777" w:rsidR="00BC7EC9" w:rsidRPr="00700F82" w:rsidRDefault="00BC7EC9" w:rsidP="00C7460E">
      <w:pPr>
        <w:pStyle w:val="Item"/>
      </w:pPr>
      <w:r w:rsidRPr="00700F82">
        <w:t>Insert:</w:t>
      </w:r>
    </w:p>
    <w:p w14:paraId="7550846A" w14:textId="77777777" w:rsidR="00BC7EC9" w:rsidRPr="00700F82" w:rsidRDefault="00BC7EC9" w:rsidP="00C7460E">
      <w:pPr>
        <w:pStyle w:val="ActHead5"/>
      </w:pPr>
      <w:bookmarkStart w:id="73" w:name="_Toc178780418"/>
      <w:r w:rsidRPr="00700F82">
        <w:rPr>
          <w:rStyle w:val="CharSectno"/>
        </w:rPr>
        <w:t>307</w:t>
      </w:r>
      <w:r w:rsidR="00700F82" w:rsidRPr="00700F82">
        <w:rPr>
          <w:rStyle w:val="CharSectno"/>
        </w:rPr>
        <w:noBreakHyphen/>
      </w:r>
      <w:r w:rsidRPr="00700F82">
        <w:rPr>
          <w:rStyle w:val="CharSectno"/>
        </w:rPr>
        <w:t>13</w:t>
      </w:r>
      <w:r w:rsidR="00046A76" w:rsidRPr="00700F82">
        <w:rPr>
          <w:rStyle w:val="CharSectno"/>
        </w:rPr>
        <w:t>3</w:t>
      </w:r>
      <w:r w:rsidRPr="00700F82">
        <w:t xml:space="preserve">  PPL superannuation contribution payment</w:t>
      </w:r>
      <w:bookmarkEnd w:id="73"/>
    </w:p>
    <w:p w14:paraId="2CF4C6AD" w14:textId="77777777" w:rsidR="00BC7EC9" w:rsidRPr="00700F82" w:rsidRDefault="00BC7EC9" w:rsidP="00C7460E">
      <w:pPr>
        <w:pStyle w:val="subsection"/>
      </w:pPr>
      <w:r w:rsidRPr="00700F82">
        <w:tab/>
      </w:r>
      <w:r w:rsidRPr="00700F82">
        <w:tab/>
        <w:t xml:space="preserve">The components of a </w:t>
      </w:r>
      <w:r w:rsidR="00C7460E" w:rsidRPr="00700F82">
        <w:rPr>
          <w:position w:val="6"/>
          <w:sz w:val="16"/>
        </w:rPr>
        <w:t>*</w:t>
      </w:r>
      <w:r w:rsidRPr="00700F82">
        <w:t xml:space="preserve">superannuation benefit that is a </w:t>
      </w:r>
      <w:r w:rsidR="00C7460E" w:rsidRPr="00700F82">
        <w:rPr>
          <w:position w:val="6"/>
          <w:sz w:val="16"/>
        </w:rPr>
        <w:t>*</w:t>
      </w:r>
      <w:r w:rsidR="005C0FBD" w:rsidRPr="00700F82">
        <w:t>PPL superannuation contribution</w:t>
      </w:r>
      <w:r w:rsidRPr="00700F82">
        <w:t xml:space="preserve"> payment are as follows:</w:t>
      </w:r>
    </w:p>
    <w:p w14:paraId="4576B18A" w14:textId="77777777" w:rsidR="00BC7EC9" w:rsidRPr="00700F82" w:rsidRDefault="00BC7EC9" w:rsidP="00C7460E">
      <w:pPr>
        <w:pStyle w:val="paragraph"/>
      </w:pPr>
      <w:r w:rsidRPr="00700F82">
        <w:tab/>
        <w:t>(a)</w:t>
      </w:r>
      <w:r w:rsidRPr="00700F82">
        <w:tab/>
        <w:t xml:space="preserve">the </w:t>
      </w:r>
      <w:r w:rsidR="00C7460E" w:rsidRPr="00700F82">
        <w:rPr>
          <w:position w:val="6"/>
          <w:sz w:val="16"/>
        </w:rPr>
        <w:t>*</w:t>
      </w:r>
      <w:r w:rsidRPr="00700F82">
        <w:t xml:space="preserve">tax free component is </w:t>
      </w:r>
      <w:r w:rsidR="00046A76" w:rsidRPr="00700F82">
        <w:t>nil</w:t>
      </w:r>
      <w:r w:rsidR="00A74308" w:rsidRPr="00700F82">
        <w:t>;</w:t>
      </w:r>
    </w:p>
    <w:p w14:paraId="7585DB0A" w14:textId="77777777" w:rsidR="00BC7EC9" w:rsidRPr="00700F82" w:rsidRDefault="00BC7EC9" w:rsidP="00C7460E">
      <w:pPr>
        <w:pStyle w:val="paragraph"/>
      </w:pPr>
      <w:r w:rsidRPr="00700F82">
        <w:tab/>
        <w:t>(b)</w:t>
      </w:r>
      <w:r w:rsidRPr="00700F82">
        <w:tab/>
        <w:t xml:space="preserve">the </w:t>
      </w:r>
      <w:r w:rsidR="00C7460E" w:rsidRPr="00700F82">
        <w:rPr>
          <w:position w:val="6"/>
          <w:sz w:val="16"/>
        </w:rPr>
        <w:t>*</w:t>
      </w:r>
      <w:r w:rsidRPr="00700F82">
        <w:t xml:space="preserve">taxable component is </w:t>
      </w:r>
      <w:r w:rsidR="00046A76" w:rsidRPr="00700F82">
        <w:t>the amount of the benefit</w:t>
      </w:r>
      <w:r w:rsidRPr="00700F82">
        <w:t>.</w:t>
      </w:r>
    </w:p>
    <w:p w14:paraId="2B30FBA8" w14:textId="77777777" w:rsidR="001D758D" w:rsidRPr="00700F82" w:rsidRDefault="005C0FBD" w:rsidP="00C7460E">
      <w:pPr>
        <w:pStyle w:val="ItemHead"/>
      </w:pPr>
      <w:r w:rsidRPr="00700F82">
        <w:t>6</w:t>
      </w:r>
      <w:r w:rsidR="001D758D" w:rsidRPr="00700F82">
        <w:t xml:space="preserve">  </w:t>
      </w:r>
      <w:r w:rsidR="00AE56E0" w:rsidRPr="00700F82">
        <w:t>Subsection 9</w:t>
      </w:r>
      <w:r w:rsidR="001D758D" w:rsidRPr="00700F82">
        <w:t>95</w:t>
      </w:r>
      <w:r w:rsidR="00700F82">
        <w:noBreakHyphen/>
      </w:r>
      <w:r w:rsidR="001D758D" w:rsidRPr="00700F82">
        <w:t>1</w:t>
      </w:r>
      <w:r w:rsidR="004E0D92" w:rsidRPr="00700F82">
        <w:t>(1)</w:t>
      </w:r>
    </w:p>
    <w:p w14:paraId="11331A99" w14:textId="77777777" w:rsidR="001D758D" w:rsidRPr="00700F82" w:rsidRDefault="001D758D" w:rsidP="00C7460E">
      <w:pPr>
        <w:pStyle w:val="Item"/>
      </w:pPr>
      <w:r w:rsidRPr="00700F82">
        <w:t>Insert:</w:t>
      </w:r>
    </w:p>
    <w:p w14:paraId="70902CC1" w14:textId="77777777" w:rsidR="004A095D" w:rsidRPr="00700F82" w:rsidRDefault="00087EA7" w:rsidP="00C7460E">
      <w:pPr>
        <w:pStyle w:val="Definition"/>
      </w:pPr>
      <w:r w:rsidRPr="00700F82">
        <w:rPr>
          <w:b/>
          <w:i/>
        </w:rPr>
        <w:t>PPL</w:t>
      </w:r>
      <w:r w:rsidR="004E0D92" w:rsidRPr="00700F82">
        <w:rPr>
          <w:b/>
          <w:i/>
        </w:rPr>
        <w:t xml:space="preserve"> superannuation contribution payment</w:t>
      </w:r>
      <w:r w:rsidR="004E0D92" w:rsidRPr="00700F82">
        <w:t xml:space="preserve"> has the meaning given by </w:t>
      </w:r>
      <w:r w:rsidR="00AE56E0" w:rsidRPr="00700F82">
        <w:t>section 3</w:t>
      </w:r>
      <w:r w:rsidR="004E0D92" w:rsidRPr="00700F82">
        <w:t>0</w:t>
      </w:r>
      <w:r w:rsidR="00913B00" w:rsidRPr="00700F82">
        <w:t>7</w:t>
      </w:r>
      <w:r w:rsidR="00700F82">
        <w:noBreakHyphen/>
      </w:r>
      <w:r w:rsidR="004E0D92" w:rsidRPr="00700F82">
        <w:t>5.</w:t>
      </w:r>
    </w:p>
    <w:p w14:paraId="6611EBC3" w14:textId="77777777" w:rsidR="008F2F40" w:rsidRPr="00700F82" w:rsidRDefault="005C3BA1" w:rsidP="00C7460E">
      <w:pPr>
        <w:pStyle w:val="ActHead9"/>
        <w:rPr>
          <w:i w:val="0"/>
        </w:rPr>
      </w:pPr>
      <w:bookmarkStart w:id="74" w:name="_Toc178780419"/>
      <w:r w:rsidRPr="00700F82">
        <w:t>Taxation Administration Act 1953</w:t>
      </w:r>
      <w:bookmarkEnd w:id="74"/>
    </w:p>
    <w:p w14:paraId="588E7739" w14:textId="77777777" w:rsidR="00C64073" w:rsidRPr="00700F82" w:rsidRDefault="009B6BD8" w:rsidP="00C7460E">
      <w:pPr>
        <w:pStyle w:val="ItemHead"/>
      </w:pPr>
      <w:r w:rsidRPr="00700F82">
        <w:t xml:space="preserve">7  </w:t>
      </w:r>
      <w:r w:rsidR="00AE56E0" w:rsidRPr="00700F82">
        <w:t>Subsection 8</w:t>
      </w:r>
      <w:r w:rsidRPr="00700F82">
        <w:t xml:space="preserve">AAB(4) (after table </w:t>
      </w:r>
      <w:r w:rsidR="00AE56E0" w:rsidRPr="00700F82">
        <w:t>item 2</w:t>
      </w:r>
      <w:r w:rsidRPr="00700F82">
        <w:t>7)</w:t>
      </w:r>
    </w:p>
    <w:p w14:paraId="6C80A84F" w14:textId="77777777" w:rsidR="009B6BD8" w:rsidRPr="00700F82" w:rsidRDefault="009B6BD8" w:rsidP="00C7460E">
      <w:pPr>
        <w:pStyle w:val="Item"/>
      </w:pPr>
      <w:r w:rsidRPr="00700F82">
        <w:t>Insert:</w:t>
      </w:r>
    </w:p>
    <w:tbl>
      <w:tblPr>
        <w:tblW w:w="7395" w:type="dxa"/>
        <w:tblInd w:w="-4" w:type="dxa"/>
        <w:tblLayout w:type="fixed"/>
        <w:tblLook w:val="0000" w:firstRow="0" w:lastRow="0" w:firstColumn="0" w:lastColumn="0" w:noHBand="0" w:noVBand="0"/>
      </w:tblPr>
      <w:tblGrid>
        <w:gridCol w:w="680"/>
        <w:gridCol w:w="1279"/>
        <w:gridCol w:w="2489"/>
        <w:gridCol w:w="2947"/>
      </w:tblGrid>
      <w:tr w:rsidR="009B6BD8" w:rsidRPr="00700F82" w14:paraId="5CCB5DDE" w14:textId="77777777" w:rsidTr="00103B74">
        <w:tc>
          <w:tcPr>
            <w:tcW w:w="678" w:type="dxa"/>
            <w:shd w:val="clear" w:color="auto" w:fill="auto"/>
          </w:tcPr>
          <w:p w14:paraId="1EC5E067" w14:textId="77777777" w:rsidR="009B6BD8" w:rsidRPr="00700F82" w:rsidRDefault="009B6BD8" w:rsidP="00C7460E">
            <w:pPr>
              <w:pStyle w:val="Tabletext"/>
            </w:pPr>
            <w:r w:rsidRPr="00700F82">
              <w:t>27</w:t>
            </w:r>
            <w:r w:rsidR="00512C5C" w:rsidRPr="00700F82">
              <w:t>A</w:t>
            </w:r>
          </w:p>
        </w:tc>
        <w:tc>
          <w:tcPr>
            <w:tcW w:w="1276" w:type="dxa"/>
            <w:shd w:val="clear" w:color="auto" w:fill="auto"/>
          </w:tcPr>
          <w:p w14:paraId="283E9314" w14:textId="77777777" w:rsidR="009B6BD8" w:rsidRPr="00700F82" w:rsidRDefault="00512C5C" w:rsidP="00C7460E">
            <w:pPr>
              <w:pStyle w:val="Tabletext"/>
            </w:pPr>
            <w:r w:rsidRPr="00700F82">
              <w:t>115</w:t>
            </w:r>
            <w:r w:rsidR="00F1687A" w:rsidRPr="00700F82">
              <w:t>Q</w:t>
            </w:r>
          </w:p>
        </w:tc>
        <w:tc>
          <w:tcPr>
            <w:tcW w:w="2483" w:type="dxa"/>
            <w:shd w:val="clear" w:color="auto" w:fill="auto"/>
          </w:tcPr>
          <w:p w14:paraId="039D40EF" w14:textId="77777777" w:rsidR="009B6BD8" w:rsidRPr="00700F82" w:rsidRDefault="00512C5C" w:rsidP="00C7460E">
            <w:pPr>
              <w:pStyle w:val="Tabletext"/>
            </w:pPr>
            <w:r w:rsidRPr="00700F82">
              <w:rPr>
                <w:i/>
                <w:iCs/>
              </w:rPr>
              <w:t>Paid Parental Leave Act 2010</w:t>
            </w:r>
          </w:p>
        </w:tc>
        <w:tc>
          <w:tcPr>
            <w:tcW w:w="2939" w:type="dxa"/>
            <w:shd w:val="clear" w:color="auto" w:fill="auto"/>
          </w:tcPr>
          <w:p w14:paraId="42D0BC0F" w14:textId="77777777" w:rsidR="009B6BD8" w:rsidRPr="00700F82" w:rsidRDefault="009B6BD8" w:rsidP="00C7460E">
            <w:pPr>
              <w:pStyle w:val="Tabletext"/>
            </w:pPr>
            <w:r w:rsidRPr="00700F82">
              <w:t>repayments</w:t>
            </w:r>
            <w:r w:rsidR="00C42A40" w:rsidRPr="00700F82">
              <w:t xml:space="preserve"> </w:t>
            </w:r>
            <w:r w:rsidRPr="00700F82">
              <w:t xml:space="preserve">of </w:t>
            </w:r>
            <w:r w:rsidR="00EF4F84" w:rsidRPr="00700F82">
              <w:t xml:space="preserve">PPL superannuation </w:t>
            </w:r>
            <w:r w:rsidRPr="00700F82">
              <w:t xml:space="preserve">contributions </w:t>
            </w:r>
            <w:r w:rsidR="00D033B4" w:rsidRPr="00700F82">
              <w:t xml:space="preserve">or underpaid amounts </w:t>
            </w:r>
            <w:r w:rsidRPr="00700F82">
              <w:t>that cannot be credited to an account</w:t>
            </w:r>
          </w:p>
        </w:tc>
      </w:tr>
    </w:tbl>
    <w:p w14:paraId="00DD065D" w14:textId="77777777" w:rsidR="00103B74" w:rsidRPr="00700F82" w:rsidRDefault="0010757C" w:rsidP="00C7460E">
      <w:pPr>
        <w:pStyle w:val="ItemHead"/>
      </w:pPr>
      <w:r w:rsidRPr="00700F82">
        <w:t xml:space="preserve">8  </w:t>
      </w:r>
      <w:r w:rsidR="00AE56E0" w:rsidRPr="00700F82">
        <w:t>Subsection 2</w:t>
      </w:r>
      <w:r w:rsidRPr="00700F82">
        <w:t>50</w:t>
      </w:r>
      <w:r w:rsidR="00700F82">
        <w:noBreakHyphen/>
      </w:r>
      <w:r w:rsidRPr="00700F82">
        <w:t>10</w:t>
      </w:r>
      <w:r w:rsidR="00636B9E" w:rsidRPr="00700F82">
        <w:t xml:space="preserve">(2) in </w:t>
      </w:r>
      <w:r w:rsidR="00AE56E0" w:rsidRPr="00700F82">
        <w:t>Schedule 1</w:t>
      </w:r>
      <w:r w:rsidR="00636B9E" w:rsidRPr="00700F82">
        <w:t xml:space="preserve"> (after table </w:t>
      </w:r>
      <w:r w:rsidR="00AD7F23" w:rsidRPr="00700F82">
        <w:t>item 3</w:t>
      </w:r>
      <w:r w:rsidR="00636B9E" w:rsidRPr="00700F82">
        <w:t>9B)</w:t>
      </w:r>
    </w:p>
    <w:p w14:paraId="3A49C2CD" w14:textId="77777777" w:rsidR="00636B9E" w:rsidRPr="00700F82" w:rsidRDefault="00636B9E" w:rsidP="00C7460E">
      <w:pPr>
        <w:pStyle w:val="Item"/>
      </w:pPr>
      <w:r w:rsidRPr="00700F82">
        <w:t>Insert:</w:t>
      </w:r>
    </w:p>
    <w:tbl>
      <w:tblPr>
        <w:tblW w:w="7293"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851"/>
        <w:gridCol w:w="1984"/>
        <w:gridCol w:w="1474"/>
        <w:gridCol w:w="2984"/>
      </w:tblGrid>
      <w:tr w:rsidR="00021D66" w:rsidRPr="00700F82" w14:paraId="2B6D621D" w14:textId="77777777" w:rsidTr="00E07593">
        <w:tc>
          <w:tcPr>
            <w:tcW w:w="851" w:type="dxa"/>
            <w:tcBorders>
              <w:top w:val="nil"/>
            </w:tcBorders>
            <w:shd w:val="clear" w:color="auto" w:fill="auto"/>
          </w:tcPr>
          <w:p w14:paraId="3AC301F9" w14:textId="77777777" w:rsidR="00021D66" w:rsidRPr="00700F82" w:rsidRDefault="00021D66" w:rsidP="00C7460E">
            <w:pPr>
              <w:pStyle w:val="Tabletext"/>
            </w:pPr>
            <w:r w:rsidRPr="00700F82">
              <w:t>39C</w:t>
            </w:r>
          </w:p>
        </w:tc>
        <w:tc>
          <w:tcPr>
            <w:tcW w:w="1984" w:type="dxa"/>
            <w:tcBorders>
              <w:top w:val="nil"/>
            </w:tcBorders>
            <w:shd w:val="clear" w:color="auto" w:fill="auto"/>
          </w:tcPr>
          <w:p w14:paraId="662F880B" w14:textId="77777777" w:rsidR="00021D66" w:rsidRPr="00700F82" w:rsidRDefault="006C2A70" w:rsidP="00C7460E">
            <w:pPr>
              <w:pStyle w:val="Tabletext"/>
              <w:ind w:left="35"/>
            </w:pPr>
            <w:r w:rsidRPr="00700F82">
              <w:t>return of PPL superannuation contribution</w:t>
            </w:r>
          </w:p>
        </w:tc>
        <w:tc>
          <w:tcPr>
            <w:tcW w:w="1474" w:type="dxa"/>
            <w:tcBorders>
              <w:top w:val="nil"/>
            </w:tcBorders>
            <w:shd w:val="clear" w:color="auto" w:fill="auto"/>
          </w:tcPr>
          <w:p w14:paraId="4882FEFD" w14:textId="77777777" w:rsidR="00021D66" w:rsidRPr="00700F82" w:rsidRDefault="006D65B9" w:rsidP="00C7460E">
            <w:pPr>
              <w:pStyle w:val="Tabletext"/>
            </w:pPr>
            <w:r w:rsidRPr="00700F82">
              <w:t>115</w:t>
            </w:r>
            <w:r w:rsidR="00F1687A" w:rsidRPr="00700F82">
              <w:t>G</w:t>
            </w:r>
            <w:r w:rsidRPr="00700F82">
              <w:t>(2)</w:t>
            </w:r>
          </w:p>
        </w:tc>
        <w:tc>
          <w:tcPr>
            <w:tcW w:w="2984" w:type="dxa"/>
            <w:tcBorders>
              <w:top w:val="nil"/>
            </w:tcBorders>
            <w:shd w:val="clear" w:color="auto" w:fill="auto"/>
          </w:tcPr>
          <w:p w14:paraId="647D0673" w14:textId="77777777" w:rsidR="00021D66" w:rsidRPr="00700F82" w:rsidRDefault="00021D66" w:rsidP="00C7460E">
            <w:pPr>
              <w:pStyle w:val="Tabletext"/>
            </w:pPr>
            <w:r w:rsidRPr="00700F82">
              <w:rPr>
                <w:i/>
              </w:rPr>
              <w:t>Paid Parental Leave Act 2010</w:t>
            </w:r>
          </w:p>
        </w:tc>
      </w:tr>
      <w:tr w:rsidR="006D65B9" w:rsidRPr="00700F82" w14:paraId="7D26D524" w14:textId="77777777" w:rsidTr="00E07593">
        <w:tc>
          <w:tcPr>
            <w:tcW w:w="851" w:type="dxa"/>
            <w:shd w:val="clear" w:color="auto" w:fill="auto"/>
          </w:tcPr>
          <w:p w14:paraId="1E59C170" w14:textId="77777777" w:rsidR="006D65B9" w:rsidRPr="00700F82" w:rsidRDefault="006D65B9" w:rsidP="00C7460E">
            <w:pPr>
              <w:pStyle w:val="Tabletext"/>
            </w:pPr>
            <w:r w:rsidRPr="00700F82">
              <w:t>39D</w:t>
            </w:r>
          </w:p>
        </w:tc>
        <w:tc>
          <w:tcPr>
            <w:tcW w:w="1984" w:type="dxa"/>
            <w:shd w:val="clear" w:color="auto" w:fill="auto"/>
          </w:tcPr>
          <w:p w14:paraId="745EA36D" w14:textId="77777777" w:rsidR="006D65B9" w:rsidRPr="00700F82" w:rsidRDefault="006D65B9" w:rsidP="00C7460E">
            <w:pPr>
              <w:pStyle w:val="Tabletext"/>
              <w:ind w:left="35"/>
            </w:pPr>
            <w:r w:rsidRPr="00700F82">
              <w:t>return of underpaid amount</w:t>
            </w:r>
            <w:r w:rsidR="001609FD" w:rsidRPr="00700F82">
              <w:t xml:space="preserve"> of PPL superannuation contribution</w:t>
            </w:r>
          </w:p>
        </w:tc>
        <w:tc>
          <w:tcPr>
            <w:tcW w:w="1474" w:type="dxa"/>
            <w:shd w:val="clear" w:color="auto" w:fill="auto"/>
          </w:tcPr>
          <w:p w14:paraId="6DB08036" w14:textId="77777777" w:rsidR="006D65B9" w:rsidRPr="00700F82" w:rsidRDefault="001609FD" w:rsidP="00C7460E">
            <w:pPr>
              <w:pStyle w:val="Tabletext"/>
            </w:pPr>
            <w:r w:rsidRPr="00700F82">
              <w:t>115</w:t>
            </w:r>
            <w:r w:rsidR="00F1687A" w:rsidRPr="00700F82">
              <w:t>L</w:t>
            </w:r>
            <w:r w:rsidRPr="00700F82">
              <w:t>(2)</w:t>
            </w:r>
          </w:p>
        </w:tc>
        <w:tc>
          <w:tcPr>
            <w:tcW w:w="2984" w:type="dxa"/>
            <w:shd w:val="clear" w:color="auto" w:fill="auto"/>
          </w:tcPr>
          <w:p w14:paraId="27337BF3" w14:textId="77777777" w:rsidR="006D65B9" w:rsidRPr="00700F82" w:rsidRDefault="006D65B9" w:rsidP="00C7460E">
            <w:pPr>
              <w:pStyle w:val="Tabletext"/>
            </w:pPr>
            <w:r w:rsidRPr="00700F82">
              <w:rPr>
                <w:i/>
              </w:rPr>
              <w:t>Paid Parental Leave Act 2010</w:t>
            </w:r>
          </w:p>
        </w:tc>
      </w:tr>
      <w:tr w:rsidR="006D65B9" w:rsidRPr="00700F82" w14:paraId="1829259C" w14:textId="77777777" w:rsidTr="00E07593">
        <w:tc>
          <w:tcPr>
            <w:tcW w:w="851" w:type="dxa"/>
            <w:tcBorders>
              <w:bottom w:val="single" w:sz="2" w:space="0" w:color="auto"/>
            </w:tcBorders>
            <w:shd w:val="clear" w:color="auto" w:fill="auto"/>
          </w:tcPr>
          <w:p w14:paraId="55CBCB4D" w14:textId="77777777" w:rsidR="006D65B9" w:rsidRPr="00700F82" w:rsidRDefault="006D65B9" w:rsidP="00C7460E">
            <w:pPr>
              <w:pStyle w:val="Tabletext"/>
            </w:pPr>
            <w:r w:rsidRPr="00700F82">
              <w:t>39E</w:t>
            </w:r>
          </w:p>
        </w:tc>
        <w:tc>
          <w:tcPr>
            <w:tcW w:w="1984" w:type="dxa"/>
            <w:tcBorders>
              <w:bottom w:val="single" w:sz="2" w:space="0" w:color="auto"/>
            </w:tcBorders>
            <w:shd w:val="clear" w:color="auto" w:fill="auto"/>
          </w:tcPr>
          <w:p w14:paraId="06432151" w14:textId="77777777" w:rsidR="006D65B9" w:rsidRPr="00700F82" w:rsidRDefault="001609FD" w:rsidP="00C7460E">
            <w:pPr>
              <w:pStyle w:val="Tabletext"/>
              <w:ind w:left="35"/>
            </w:pPr>
            <w:r w:rsidRPr="00700F82">
              <w:t>Overpayments of PPL superannuation contribution</w:t>
            </w:r>
          </w:p>
        </w:tc>
        <w:tc>
          <w:tcPr>
            <w:tcW w:w="1474" w:type="dxa"/>
            <w:tcBorders>
              <w:bottom w:val="single" w:sz="2" w:space="0" w:color="auto"/>
            </w:tcBorders>
            <w:shd w:val="clear" w:color="auto" w:fill="auto"/>
          </w:tcPr>
          <w:p w14:paraId="5861D9D2" w14:textId="77777777" w:rsidR="006D65B9" w:rsidRPr="00700F82" w:rsidRDefault="001609FD" w:rsidP="00C7460E">
            <w:pPr>
              <w:pStyle w:val="Tabletext"/>
            </w:pPr>
            <w:r w:rsidRPr="00700F82">
              <w:t>115</w:t>
            </w:r>
            <w:r w:rsidR="00F1687A" w:rsidRPr="00700F82">
              <w:t>P</w:t>
            </w:r>
            <w:r w:rsidRPr="00700F82">
              <w:t>(3)</w:t>
            </w:r>
          </w:p>
        </w:tc>
        <w:tc>
          <w:tcPr>
            <w:tcW w:w="2984" w:type="dxa"/>
            <w:tcBorders>
              <w:bottom w:val="single" w:sz="2" w:space="0" w:color="auto"/>
            </w:tcBorders>
            <w:shd w:val="clear" w:color="auto" w:fill="auto"/>
          </w:tcPr>
          <w:p w14:paraId="3CEE2C60" w14:textId="77777777" w:rsidR="006D65B9" w:rsidRPr="00700F82" w:rsidRDefault="006D65B9" w:rsidP="00C7460E">
            <w:pPr>
              <w:pStyle w:val="Tabletext"/>
            </w:pPr>
            <w:r w:rsidRPr="00700F82">
              <w:rPr>
                <w:i/>
              </w:rPr>
              <w:t>Paid Parental Leave Act 2010</w:t>
            </w:r>
          </w:p>
        </w:tc>
      </w:tr>
      <w:tr w:rsidR="00E07593" w:rsidRPr="00700F82" w14:paraId="433E0910" w14:textId="77777777" w:rsidTr="00E07593">
        <w:tc>
          <w:tcPr>
            <w:tcW w:w="851" w:type="dxa"/>
            <w:tcBorders>
              <w:top w:val="single" w:sz="2" w:space="0" w:color="auto"/>
              <w:bottom w:val="nil"/>
            </w:tcBorders>
            <w:shd w:val="clear" w:color="auto" w:fill="auto"/>
          </w:tcPr>
          <w:p w14:paraId="7D949721" w14:textId="77777777" w:rsidR="00E07593" w:rsidRPr="00700F82" w:rsidRDefault="00E07593" w:rsidP="00C7460E">
            <w:pPr>
              <w:pStyle w:val="Tabletext"/>
            </w:pPr>
            <w:r w:rsidRPr="00700F82">
              <w:t>39F</w:t>
            </w:r>
          </w:p>
        </w:tc>
        <w:tc>
          <w:tcPr>
            <w:tcW w:w="1984" w:type="dxa"/>
            <w:tcBorders>
              <w:top w:val="single" w:sz="2" w:space="0" w:color="auto"/>
              <w:bottom w:val="nil"/>
            </w:tcBorders>
            <w:shd w:val="clear" w:color="auto" w:fill="auto"/>
          </w:tcPr>
          <w:p w14:paraId="4876B570" w14:textId="77777777" w:rsidR="00E07593" w:rsidRPr="00700F82" w:rsidRDefault="00E07593" w:rsidP="00C7460E">
            <w:pPr>
              <w:pStyle w:val="Tabletext"/>
              <w:ind w:left="35"/>
            </w:pPr>
            <w:r w:rsidRPr="00700F82">
              <w:t>general interest charge relating to PPL superannuation contribution</w:t>
            </w:r>
          </w:p>
        </w:tc>
        <w:tc>
          <w:tcPr>
            <w:tcW w:w="1474" w:type="dxa"/>
            <w:tcBorders>
              <w:top w:val="single" w:sz="2" w:space="0" w:color="auto"/>
              <w:bottom w:val="nil"/>
            </w:tcBorders>
            <w:shd w:val="clear" w:color="auto" w:fill="auto"/>
          </w:tcPr>
          <w:p w14:paraId="0D1B6B9F" w14:textId="77777777" w:rsidR="00E07593" w:rsidRPr="00700F82" w:rsidRDefault="00E07593" w:rsidP="00C7460E">
            <w:pPr>
              <w:pStyle w:val="Tabletext"/>
            </w:pPr>
            <w:r w:rsidRPr="00700F82">
              <w:t>115</w:t>
            </w:r>
            <w:r w:rsidR="00F1687A" w:rsidRPr="00700F82">
              <w:t>Q</w:t>
            </w:r>
          </w:p>
        </w:tc>
        <w:tc>
          <w:tcPr>
            <w:tcW w:w="2984" w:type="dxa"/>
            <w:tcBorders>
              <w:top w:val="single" w:sz="2" w:space="0" w:color="auto"/>
              <w:bottom w:val="nil"/>
            </w:tcBorders>
            <w:shd w:val="clear" w:color="auto" w:fill="auto"/>
          </w:tcPr>
          <w:p w14:paraId="6FFC75BF" w14:textId="77777777" w:rsidR="00E07593" w:rsidRPr="00700F82" w:rsidRDefault="00E07593" w:rsidP="00C7460E">
            <w:pPr>
              <w:pStyle w:val="Tabletext"/>
            </w:pPr>
            <w:r w:rsidRPr="00700F82">
              <w:rPr>
                <w:i/>
              </w:rPr>
              <w:t>Paid Parental Leave Act 2010</w:t>
            </w:r>
          </w:p>
        </w:tc>
      </w:tr>
    </w:tbl>
    <w:p w14:paraId="05373F3A" w14:textId="77777777" w:rsidR="00346B56" w:rsidRDefault="00346B56">
      <w:pPr>
        <w:pStyle w:val="Tabletext"/>
      </w:pPr>
    </w:p>
    <w:p w14:paraId="05AEF794" w14:textId="77777777" w:rsidR="002B353C" w:rsidRDefault="002B353C" w:rsidP="002B353C">
      <w:pPr>
        <w:pBdr>
          <w:bottom w:val="single" w:sz="4" w:space="1" w:color="auto"/>
        </w:pBdr>
        <w:sectPr w:rsidR="002B353C" w:rsidSect="002B353C">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6A9C6B89" w14:textId="77777777" w:rsidR="005A4B07" w:rsidRDefault="005A4B07" w:rsidP="005A4B07">
      <w:pPr>
        <w:pStyle w:val="2ndRd"/>
        <w:keepNext/>
        <w:spacing w:line="260" w:lineRule="atLeast"/>
        <w:rPr>
          <w:i/>
        </w:rPr>
      </w:pPr>
      <w:r>
        <w:t>[</w:t>
      </w:r>
      <w:r>
        <w:rPr>
          <w:i/>
        </w:rPr>
        <w:t>Minister’s second reading speech made in—</w:t>
      </w:r>
    </w:p>
    <w:p w14:paraId="0DD65092" w14:textId="573A6B06" w:rsidR="005A4B07" w:rsidRDefault="005A4B07" w:rsidP="005A4B07">
      <w:pPr>
        <w:pStyle w:val="2ndRd"/>
        <w:keepNext/>
        <w:spacing w:line="260" w:lineRule="atLeast"/>
        <w:rPr>
          <w:i/>
        </w:rPr>
      </w:pPr>
      <w:r>
        <w:rPr>
          <w:i/>
        </w:rPr>
        <w:t>House of Representatives on 22 August 2024</w:t>
      </w:r>
    </w:p>
    <w:p w14:paraId="71DDB6CB" w14:textId="19A04AC4" w:rsidR="005A4B07" w:rsidRDefault="005A4B07" w:rsidP="005A4B07">
      <w:pPr>
        <w:pStyle w:val="2ndRd"/>
        <w:keepNext/>
        <w:spacing w:line="260" w:lineRule="atLeast"/>
        <w:rPr>
          <w:i/>
        </w:rPr>
      </w:pPr>
      <w:r>
        <w:rPr>
          <w:i/>
        </w:rPr>
        <w:t>Senate on 16 September 2024</w:t>
      </w:r>
      <w:r>
        <w:t>]</w:t>
      </w:r>
    </w:p>
    <w:p w14:paraId="61BA8E11" w14:textId="282DF852" w:rsidR="005A4B07" w:rsidRDefault="005A4B07" w:rsidP="005A4B07">
      <w:pPr>
        <w:framePr w:hSpace="181" w:wrap="around" w:vAnchor="page" w:hAnchor="page" w:x="2445" w:y="12033"/>
      </w:pPr>
      <w:r>
        <w:t>(100/24)</w:t>
      </w:r>
    </w:p>
    <w:p w14:paraId="617D8A42" w14:textId="77777777" w:rsidR="005A4B07" w:rsidRDefault="005A4B07"/>
    <w:sectPr w:rsidR="005A4B07" w:rsidSect="002B353C">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98F07" w14:textId="77777777" w:rsidR="005A4B07" w:rsidRDefault="005A4B07" w:rsidP="0048364F">
      <w:pPr>
        <w:spacing w:line="240" w:lineRule="auto"/>
      </w:pPr>
      <w:r>
        <w:separator/>
      </w:r>
    </w:p>
  </w:endnote>
  <w:endnote w:type="continuationSeparator" w:id="0">
    <w:p w14:paraId="2F2885CF" w14:textId="77777777" w:rsidR="005A4B07" w:rsidRDefault="005A4B0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1B49C" w14:textId="77777777" w:rsidR="005A4B07" w:rsidRPr="005F1388" w:rsidRDefault="005A4B07" w:rsidP="00C7460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BCC2B" w14:textId="41347464" w:rsidR="005A4B07" w:rsidRDefault="005A4B07" w:rsidP="005A4B07">
    <w:pPr>
      <w:pStyle w:val="ScalePlusRef"/>
    </w:pPr>
    <w:r>
      <w:t>Note: An electronic version of this Act is available on the Federal Register of Legislation (</w:t>
    </w:r>
    <w:hyperlink r:id="rId1" w:history="1">
      <w:r>
        <w:t>https://www.legislation.gov.au/</w:t>
      </w:r>
    </w:hyperlink>
    <w:r>
      <w:t>)</w:t>
    </w:r>
  </w:p>
  <w:p w14:paraId="54F474DF" w14:textId="77777777" w:rsidR="005A4B07" w:rsidRDefault="005A4B07" w:rsidP="005A4B07"/>
  <w:p w14:paraId="4104C15A" w14:textId="39037B3E" w:rsidR="005A4B07" w:rsidRDefault="005A4B07" w:rsidP="00C7460E">
    <w:pPr>
      <w:pStyle w:val="Footer"/>
      <w:spacing w:before="120"/>
    </w:pPr>
  </w:p>
  <w:p w14:paraId="6E7A7E9F" w14:textId="77777777" w:rsidR="005A4B07" w:rsidRPr="005F1388" w:rsidRDefault="005A4B0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F6CF" w14:textId="77777777" w:rsidR="005A4B07" w:rsidRPr="00ED79B6" w:rsidRDefault="005A4B07" w:rsidP="00C7460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8A675" w14:textId="77777777" w:rsidR="005A4B07" w:rsidRDefault="005A4B07" w:rsidP="00C746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A4B07" w14:paraId="20A308D3" w14:textId="77777777" w:rsidTr="004F4EB1">
      <w:tc>
        <w:tcPr>
          <w:tcW w:w="646" w:type="dxa"/>
        </w:tcPr>
        <w:p w14:paraId="61F6A2DB" w14:textId="77777777" w:rsidR="005A4B07" w:rsidRDefault="005A4B07" w:rsidP="004F4EB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DD288EB" w14:textId="6D1ABE11" w:rsidR="005A4B07" w:rsidRDefault="005A4B07" w:rsidP="004F4EB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72943">
            <w:rPr>
              <w:i/>
              <w:sz w:val="18"/>
            </w:rPr>
            <w:t>Paid Parental Leave Amendment (Adding Superannuation for a More Secure Retirement) Act 2024</w:t>
          </w:r>
          <w:r w:rsidRPr="00ED79B6">
            <w:rPr>
              <w:i/>
              <w:sz w:val="18"/>
            </w:rPr>
            <w:fldChar w:fldCharType="end"/>
          </w:r>
        </w:p>
      </w:tc>
      <w:tc>
        <w:tcPr>
          <w:tcW w:w="1270" w:type="dxa"/>
        </w:tcPr>
        <w:p w14:paraId="20DB85A7" w14:textId="65A6A966" w:rsidR="005A4B07" w:rsidRDefault="005A4B07" w:rsidP="004F4EB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72943">
            <w:rPr>
              <w:i/>
              <w:sz w:val="18"/>
            </w:rPr>
            <w:t>No. 90, 2024</w:t>
          </w:r>
          <w:r w:rsidRPr="00ED79B6">
            <w:rPr>
              <w:i/>
              <w:sz w:val="18"/>
            </w:rPr>
            <w:fldChar w:fldCharType="end"/>
          </w:r>
        </w:p>
      </w:tc>
    </w:tr>
  </w:tbl>
  <w:p w14:paraId="29964020" w14:textId="77777777" w:rsidR="005A4B07" w:rsidRDefault="005A4B0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2A509" w14:textId="77777777" w:rsidR="005A4B07" w:rsidRDefault="005A4B07" w:rsidP="00C746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A4B07" w14:paraId="405A9D52" w14:textId="77777777" w:rsidTr="004F4EB1">
      <w:tc>
        <w:tcPr>
          <w:tcW w:w="1247" w:type="dxa"/>
        </w:tcPr>
        <w:p w14:paraId="00923678" w14:textId="1629AA4D" w:rsidR="005A4B07" w:rsidRDefault="005A4B07" w:rsidP="004F4EB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72943">
            <w:rPr>
              <w:i/>
              <w:sz w:val="18"/>
            </w:rPr>
            <w:t>No. 90, 2024</w:t>
          </w:r>
          <w:r w:rsidRPr="00ED79B6">
            <w:rPr>
              <w:i/>
              <w:sz w:val="18"/>
            </w:rPr>
            <w:fldChar w:fldCharType="end"/>
          </w:r>
        </w:p>
      </w:tc>
      <w:tc>
        <w:tcPr>
          <w:tcW w:w="5387" w:type="dxa"/>
        </w:tcPr>
        <w:p w14:paraId="0440582A" w14:textId="0DC4F2D6" w:rsidR="005A4B07" w:rsidRDefault="005A4B07" w:rsidP="004F4EB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72943">
            <w:rPr>
              <w:i/>
              <w:sz w:val="18"/>
            </w:rPr>
            <w:t>Paid Parental Leave Amendment (Adding Superannuation for a More Secure Retirement) Act 2024</w:t>
          </w:r>
          <w:r w:rsidRPr="00ED79B6">
            <w:rPr>
              <w:i/>
              <w:sz w:val="18"/>
            </w:rPr>
            <w:fldChar w:fldCharType="end"/>
          </w:r>
        </w:p>
      </w:tc>
      <w:tc>
        <w:tcPr>
          <w:tcW w:w="669" w:type="dxa"/>
        </w:tcPr>
        <w:p w14:paraId="3382EA13" w14:textId="77777777" w:rsidR="005A4B07" w:rsidRDefault="005A4B07" w:rsidP="004F4EB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F52391A" w14:textId="77777777" w:rsidR="005A4B07" w:rsidRPr="00ED79B6" w:rsidRDefault="005A4B0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7040C" w14:textId="77777777" w:rsidR="005A4B07" w:rsidRPr="00A961C4" w:rsidRDefault="005A4B07" w:rsidP="00C7460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A4B07" w14:paraId="4D3FE84F" w14:textId="77777777" w:rsidTr="00700F82">
      <w:tc>
        <w:tcPr>
          <w:tcW w:w="646" w:type="dxa"/>
        </w:tcPr>
        <w:p w14:paraId="35A2F75C" w14:textId="77777777" w:rsidR="005A4B07" w:rsidRDefault="005A4B07" w:rsidP="004F4EB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7F84456" w14:textId="327AED39" w:rsidR="005A4B07" w:rsidRDefault="005A4B07" w:rsidP="004F4EB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72943">
            <w:rPr>
              <w:i/>
              <w:sz w:val="18"/>
            </w:rPr>
            <w:t>Paid Parental Leave Amendment (Adding Superannuation for a More Secure Retirement) Act 2024</w:t>
          </w:r>
          <w:r w:rsidRPr="007A1328">
            <w:rPr>
              <w:i/>
              <w:sz w:val="18"/>
            </w:rPr>
            <w:fldChar w:fldCharType="end"/>
          </w:r>
        </w:p>
      </w:tc>
      <w:tc>
        <w:tcPr>
          <w:tcW w:w="1270" w:type="dxa"/>
        </w:tcPr>
        <w:p w14:paraId="1A626EC3" w14:textId="50BB8964" w:rsidR="005A4B07" w:rsidRDefault="005A4B07" w:rsidP="004F4EB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72943">
            <w:rPr>
              <w:i/>
              <w:sz w:val="18"/>
            </w:rPr>
            <w:t>No. 90, 2024</w:t>
          </w:r>
          <w:r w:rsidRPr="007A1328">
            <w:rPr>
              <w:i/>
              <w:sz w:val="18"/>
            </w:rPr>
            <w:fldChar w:fldCharType="end"/>
          </w:r>
        </w:p>
      </w:tc>
    </w:tr>
  </w:tbl>
  <w:p w14:paraId="27C004C1" w14:textId="77777777" w:rsidR="005A4B07" w:rsidRPr="00A961C4" w:rsidRDefault="005A4B0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FF68" w14:textId="77777777" w:rsidR="005A4B07" w:rsidRPr="00A961C4" w:rsidRDefault="005A4B07" w:rsidP="00C746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A4B07" w14:paraId="7D6ADDE6" w14:textId="77777777" w:rsidTr="00700F82">
      <w:tc>
        <w:tcPr>
          <w:tcW w:w="1247" w:type="dxa"/>
        </w:tcPr>
        <w:p w14:paraId="026DF75A" w14:textId="24B66E07" w:rsidR="005A4B07" w:rsidRDefault="005A4B07" w:rsidP="004F4EB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72943">
            <w:rPr>
              <w:i/>
              <w:sz w:val="18"/>
            </w:rPr>
            <w:t>No. 90, 2024</w:t>
          </w:r>
          <w:r w:rsidRPr="007A1328">
            <w:rPr>
              <w:i/>
              <w:sz w:val="18"/>
            </w:rPr>
            <w:fldChar w:fldCharType="end"/>
          </w:r>
        </w:p>
      </w:tc>
      <w:tc>
        <w:tcPr>
          <w:tcW w:w="5387" w:type="dxa"/>
        </w:tcPr>
        <w:p w14:paraId="4FB6DE82" w14:textId="108B3222" w:rsidR="005A4B07" w:rsidRDefault="005A4B07" w:rsidP="004F4EB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72943">
            <w:rPr>
              <w:i/>
              <w:sz w:val="18"/>
            </w:rPr>
            <w:t>Paid Parental Leave Amendment (Adding Superannuation for a More Secure Retirement) Act 2024</w:t>
          </w:r>
          <w:r w:rsidRPr="007A1328">
            <w:rPr>
              <w:i/>
              <w:sz w:val="18"/>
            </w:rPr>
            <w:fldChar w:fldCharType="end"/>
          </w:r>
        </w:p>
      </w:tc>
      <w:tc>
        <w:tcPr>
          <w:tcW w:w="669" w:type="dxa"/>
        </w:tcPr>
        <w:p w14:paraId="3582FE84" w14:textId="77777777" w:rsidR="005A4B07" w:rsidRDefault="005A4B07" w:rsidP="004F4EB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7CFB97E" w14:textId="77777777" w:rsidR="005A4B07" w:rsidRPr="00055B5C" w:rsidRDefault="005A4B0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C0B2" w14:textId="77777777" w:rsidR="005A4B07" w:rsidRPr="00A961C4" w:rsidRDefault="005A4B07" w:rsidP="00C746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A4B07" w14:paraId="7EB4F5E3" w14:textId="77777777" w:rsidTr="00700F82">
      <w:tc>
        <w:tcPr>
          <w:tcW w:w="1247" w:type="dxa"/>
        </w:tcPr>
        <w:p w14:paraId="0E9E356C" w14:textId="2771CFBA" w:rsidR="005A4B07" w:rsidRDefault="005A4B07" w:rsidP="004F4EB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72943">
            <w:rPr>
              <w:i/>
              <w:sz w:val="18"/>
            </w:rPr>
            <w:t>No. 90, 2024</w:t>
          </w:r>
          <w:r w:rsidRPr="007A1328">
            <w:rPr>
              <w:i/>
              <w:sz w:val="18"/>
            </w:rPr>
            <w:fldChar w:fldCharType="end"/>
          </w:r>
        </w:p>
      </w:tc>
      <w:tc>
        <w:tcPr>
          <w:tcW w:w="5387" w:type="dxa"/>
        </w:tcPr>
        <w:p w14:paraId="66743205" w14:textId="725E7765" w:rsidR="005A4B07" w:rsidRDefault="005A4B07" w:rsidP="004F4EB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72943">
            <w:rPr>
              <w:i/>
              <w:sz w:val="18"/>
            </w:rPr>
            <w:t>Paid Parental Leave Amendment (Adding Superannuation for a More Secure Retirement) Act 2024</w:t>
          </w:r>
          <w:r w:rsidRPr="007A1328">
            <w:rPr>
              <w:i/>
              <w:sz w:val="18"/>
            </w:rPr>
            <w:fldChar w:fldCharType="end"/>
          </w:r>
        </w:p>
      </w:tc>
      <w:tc>
        <w:tcPr>
          <w:tcW w:w="669" w:type="dxa"/>
        </w:tcPr>
        <w:p w14:paraId="12AFD617" w14:textId="77777777" w:rsidR="005A4B07" w:rsidRDefault="005A4B07" w:rsidP="004F4EB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F49F4E1" w14:textId="77777777" w:rsidR="005A4B07" w:rsidRPr="00A961C4" w:rsidRDefault="005A4B0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AE0C7" w14:textId="77777777" w:rsidR="005A4B07" w:rsidRDefault="005A4B07" w:rsidP="0048364F">
      <w:pPr>
        <w:spacing w:line="240" w:lineRule="auto"/>
      </w:pPr>
      <w:r>
        <w:separator/>
      </w:r>
    </w:p>
  </w:footnote>
  <w:footnote w:type="continuationSeparator" w:id="0">
    <w:p w14:paraId="74A3D70A" w14:textId="77777777" w:rsidR="005A4B07" w:rsidRDefault="005A4B0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75DD1" w14:textId="77777777" w:rsidR="005A4B07" w:rsidRPr="005F1388" w:rsidRDefault="005A4B07"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33B9F" w14:textId="5E19E429" w:rsidR="005A4B07" w:rsidRPr="00A961C4" w:rsidRDefault="005A4B07" w:rsidP="0048364F">
    <w:pPr>
      <w:rPr>
        <w:b/>
        <w:sz w:val="20"/>
      </w:rPr>
    </w:pPr>
  </w:p>
  <w:p w14:paraId="610329B6" w14:textId="43F27D2F" w:rsidR="005A4B07" w:rsidRPr="00A961C4" w:rsidRDefault="005A4B07"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51641B22" w14:textId="77777777" w:rsidR="005A4B07" w:rsidRPr="00A961C4" w:rsidRDefault="005A4B07"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7433" w14:textId="62246B98" w:rsidR="005A4B07" w:rsidRPr="00A961C4" w:rsidRDefault="005A4B07" w:rsidP="0048364F">
    <w:pPr>
      <w:jc w:val="right"/>
      <w:rPr>
        <w:sz w:val="20"/>
      </w:rPr>
    </w:pPr>
  </w:p>
  <w:p w14:paraId="1576D120" w14:textId="33B802A7" w:rsidR="005A4B07" w:rsidRPr="00A961C4" w:rsidRDefault="005A4B0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0A417133" w14:textId="77777777" w:rsidR="005A4B07" w:rsidRPr="00A961C4" w:rsidRDefault="005A4B07"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B424" w14:textId="77777777" w:rsidR="005A4B07" w:rsidRPr="00A961C4" w:rsidRDefault="005A4B07"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7145" w14:textId="77777777" w:rsidR="005A4B07" w:rsidRPr="005F1388" w:rsidRDefault="005A4B0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A069" w14:textId="77777777" w:rsidR="005A4B07" w:rsidRPr="005F1388" w:rsidRDefault="005A4B0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1B66C" w14:textId="77777777" w:rsidR="005A4B07" w:rsidRPr="00ED79B6" w:rsidRDefault="005A4B0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EA2E1" w14:textId="77777777" w:rsidR="005A4B07" w:rsidRPr="00ED79B6" w:rsidRDefault="005A4B0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E34C" w14:textId="77777777" w:rsidR="005A4B07" w:rsidRPr="00ED79B6" w:rsidRDefault="005A4B0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243C1" w14:textId="7714E2F7" w:rsidR="005A4B07" w:rsidRPr="00A961C4" w:rsidRDefault="005A4B07"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56E3AB4" w14:textId="3462F07F" w:rsidR="005A4B07" w:rsidRPr="00A961C4" w:rsidRDefault="005A4B0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0CEBAF8" w14:textId="77777777" w:rsidR="005A4B07" w:rsidRPr="00A961C4" w:rsidRDefault="005A4B0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CCDD" w14:textId="4266F187" w:rsidR="005A4B07" w:rsidRPr="00A961C4" w:rsidRDefault="005A4B07" w:rsidP="0048364F">
    <w:pPr>
      <w:jc w:val="right"/>
      <w:rPr>
        <w:sz w:val="20"/>
      </w:rPr>
    </w:pPr>
    <w:r w:rsidRPr="00A961C4">
      <w:rPr>
        <w:sz w:val="20"/>
      </w:rPr>
      <w:fldChar w:fldCharType="begin"/>
    </w:r>
    <w:r w:rsidRPr="00A961C4">
      <w:rPr>
        <w:sz w:val="20"/>
      </w:rPr>
      <w:instrText xml:space="preserve"> STYLEREF CharAmSchText </w:instrText>
    </w:r>
    <w:r w:rsidR="00972943">
      <w:rPr>
        <w:sz w:val="20"/>
      </w:rPr>
      <w:fldChar w:fldCharType="separate"/>
    </w:r>
    <w:r w:rsidR="003815EA">
      <w:rPr>
        <w:noProof/>
        <w:sz w:val="20"/>
      </w:rPr>
      <w:t>Main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72943">
      <w:rPr>
        <w:b/>
        <w:sz w:val="20"/>
      </w:rPr>
      <w:fldChar w:fldCharType="separate"/>
    </w:r>
    <w:r w:rsidR="003815EA">
      <w:rPr>
        <w:b/>
        <w:noProof/>
        <w:sz w:val="20"/>
      </w:rPr>
      <w:t>Schedule 1</w:t>
    </w:r>
    <w:r>
      <w:rPr>
        <w:b/>
        <w:sz w:val="20"/>
      </w:rPr>
      <w:fldChar w:fldCharType="end"/>
    </w:r>
  </w:p>
  <w:p w14:paraId="2CCE1B65" w14:textId="00F3E856" w:rsidR="005A4B07" w:rsidRPr="00A961C4" w:rsidRDefault="005A4B0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9FDB4C0" w14:textId="77777777" w:rsidR="005A4B07" w:rsidRPr="00A961C4" w:rsidRDefault="005A4B0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BF8B" w14:textId="77777777" w:rsidR="005A4B07" w:rsidRPr="00A961C4" w:rsidRDefault="005A4B0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9329B"/>
    <w:rsid w:val="00002C4B"/>
    <w:rsid w:val="00004F50"/>
    <w:rsid w:val="00005D25"/>
    <w:rsid w:val="00006454"/>
    <w:rsid w:val="00006760"/>
    <w:rsid w:val="000113BC"/>
    <w:rsid w:val="000136AF"/>
    <w:rsid w:val="00016E14"/>
    <w:rsid w:val="00021D66"/>
    <w:rsid w:val="00021D6B"/>
    <w:rsid w:val="00025561"/>
    <w:rsid w:val="0002774B"/>
    <w:rsid w:val="0003519F"/>
    <w:rsid w:val="0003652B"/>
    <w:rsid w:val="000417C9"/>
    <w:rsid w:val="000422FF"/>
    <w:rsid w:val="000429E5"/>
    <w:rsid w:val="00046A76"/>
    <w:rsid w:val="000501B4"/>
    <w:rsid w:val="00054B63"/>
    <w:rsid w:val="000556A7"/>
    <w:rsid w:val="00055B5C"/>
    <w:rsid w:val="00056391"/>
    <w:rsid w:val="00060FF9"/>
    <w:rsid w:val="000614BF"/>
    <w:rsid w:val="00062271"/>
    <w:rsid w:val="00063551"/>
    <w:rsid w:val="00074213"/>
    <w:rsid w:val="0008383D"/>
    <w:rsid w:val="000845F0"/>
    <w:rsid w:val="00085382"/>
    <w:rsid w:val="000855F8"/>
    <w:rsid w:val="00087EA7"/>
    <w:rsid w:val="000945D0"/>
    <w:rsid w:val="0009525F"/>
    <w:rsid w:val="000A2324"/>
    <w:rsid w:val="000A58C0"/>
    <w:rsid w:val="000A7E73"/>
    <w:rsid w:val="000B1FD2"/>
    <w:rsid w:val="000B2CB1"/>
    <w:rsid w:val="000B35BE"/>
    <w:rsid w:val="000B489E"/>
    <w:rsid w:val="000B491C"/>
    <w:rsid w:val="000C0868"/>
    <w:rsid w:val="000C3048"/>
    <w:rsid w:val="000C7B8D"/>
    <w:rsid w:val="000D05EF"/>
    <w:rsid w:val="000D0A5C"/>
    <w:rsid w:val="000D34B4"/>
    <w:rsid w:val="000D6295"/>
    <w:rsid w:val="000D7AE6"/>
    <w:rsid w:val="000D7BBA"/>
    <w:rsid w:val="000E0086"/>
    <w:rsid w:val="000E4530"/>
    <w:rsid w:val="000E6837"/>
    <w:rsid w:val="000F05F5"/>
    <w:rsid w:val="000F1447"/>
    <w:rsid w:val="000F1BF0"/>
    <w:rsid w:val="000F21C1"/>
    <w:rsid w:val="000F28D0"/>
    <w:rsid w:val="000F316E"/>
    <w:rsid w:val="00101D90"/>
    <w:rsid w:val="00102BBE"/>
    <w:rsid w:val="00103B74"/>
    <w:rsid w:val="0010745C"/>
    <w:rsid w:val="0010757C"/>
    <w:rsid w:val="00111C26"/>
    <w:rsid w:val="00113BD1"/>
    <w:rsid w:val="00122206"/>
    <w:rsid w:val="0012771B"/>
    <w:rsid w:val="00127EAA"/>
    <w:rsid w:val="00133324"/>
    <w:rsid w:val="00136A63"/>
    <w:rsid w:val="00137906"/>
    <w:rsid w:val="00140E53"/>
    <w:rsid w:val="00142F4B"/>
    <w:rsid w:val="001518E3"/>
    <w:rsid w:val="001526C7"/>
    <w:rsid w:val="0015646E"/>
    <w:rsid w:val="00156D4D"/>
    <w:rsid w:val="00156EF2"/>
    <w:rsid w:val="00157A42"/>
    <w:rsid w:val="001609FD"/>
    <w:rsid w:val="001633B2"/>
    <w:rsid w:val="001643C9"/>
    <w:rsid w:val="00165568"/>
    <w:rsid w:val="00166C2F"/>
    <w:rsid w:val="001716C9"/>
    <w:rsid w:val="00173062"/>
    <w:rsid w:val="00173363"/>
    <w:rsid w:val="00173B94"/>
    <w:rsid w:val="00173FF1"/>
    <w:rsid w:val="00182FF5"/>
    <w:rsid w:val="001854B4"/>
    <w:rsid w:val="001939E1"/>
    <w:rsid w:val="00195382"/>
    <w:rsid w:val="00195F4D"/>
    <w:rsid w:val="001971E3"/>
    <w:rsid w:val="00197F88"/>
    <w:rsid w:val="001A1232"/>
    <w:rsid w:val="001A3658"/>
    <w:rsid w:val="001A759A"/>
    <w:rsid w:val="001B15A7"/>
    <w:rsid w:val="001B42F4"/>
    <w:rsid w:val="001B607D"/>
    <w:rsid w:val="001B633C"/>
    <w:rsid w:val="001B768F"/>
    <w:rsid w:val="001B7A5D"/>
    <w:rsid w:val="001C1BB0"/>
    <w:rsid w:val="001C1EB3"/>
    <w:rsid w:val="001C2418"/>
    <w:rsid w:val="001C4993"/>
    <w:rsid w:val="001C69C4"/>
    <w:rsid w:val="001D0461"/>
    <w:rsid w:val="001D0859"/>
    <w:rsid w:val="001D0C16"/>
    <w:rsid w:val="001D758D"/>
    <w:rsid w:val="001E0D49"/>
    <w:rsid w:val="001E3590"/>
    <w:rsid w:val="001E7407"/>
    <w:rsid w:val="001F3621"/>
    <w:rsid w:val="001F79F1"/>
    <w:rsid w:val="00200695"/>
    <w:rsid w:val="00201D27"/>
    <w:rsid w:val="002022B1"/>
    <w:rsid w:val="00202618"/>
    <w:rsid w:val="00205E64"/>
    <w:rsid w:val="002119EF"/>
    <w:rsid w:val="002133A6"/>
    <w:rsid w:val="002135C8"/>
    <w:rsid w:val="00215D07"/>
    <w:rsid w:val="00216688"/>
    <w:rsid w:val="00225735"/>
    <w:rsid w:val="00230589"/>
    <w:rsid w:val="002341C4"/>
    <w:rsid w:val="00234D96"/>
    <w:rsid w:val="00240749"/>
    <w:rsid w:val="0024309E"/>
    <w:rsid w:val="00244AF3"/>
    <w:rsid w:val="00256DC5"/>
    <w:rsid w:val="002608DA"/>
    <w:rsid w:val="00260C1D"/>
    <w:rsid w:val="00263820"/>
    <w:rsid w:val="002649C5"/>
    <w:rsid w:val="00265D4F"/>
    <w:rsid w:val="00270C53"/>
    <w:rsid w:val="00275197"/>
    <w:rsid w:val="002849D1"/>
    <w:rsid w:val="0028560E"/>
    <w:rsid w:val="00285680"/>
    <w:rsid w:val="0029056A"/>
    <w:rsid w:val="00293B89"/>
    <w:rsid w:val="002950B7"/>
    <w:rsid w:val="00297ECB"/>
    <w:rsid w:val="002B01E7"/>
    <w:rsid w:val="002B353C"/>
    <w:rsid w:val="002B5A30"/>
    <w:rsid w:val="002B5FE7"/>
    <w:rsid w:val="002C061D"/>
    <w:rsid w:val="002C0AF2"/>
    <w:rsid w:val="002C31C6"/>
    <w:rsid w:val="002D043A"/>
    <w:rsid w:val="002D30AC"/>
    <w:rsid w:val="002D395A"/>
    <w:rsid w:val="002E1791"/>
    <w:rsid w:val="002E1EE3"/>
    <w:rsid w:val="002E2303"/>
    <w:rsid w:val="002E4221"/>
    <w:rsid w:val="002E5BC2"/>
    <w:rsid w:val="002E7430"/>
    <w:rsid w:val="002E783F"/>
    <w:rsid w:val="002F18A1"/>
    <w:rsid w:val="002F2022"/>
    <w:rsid w:val="002F2C39"/>
    <w:rsid w:val="002F2D43"/>
    <w:rsid w:val="002F2E6F"/>
    <w:rsid w:val="002F5A80"/>
    <w:rsid w:val="003075C5"/>
    <w:rsid w:val="00312120"/>
    <w:rsid w:val="0032124B"/>
    <w:rsid w:val="00326B5E"/>
    <w:rsid w:val="00337ECE"/>
    <w:rsid w:val="003415D3"/>
    <w:rsid w:val="0034303E"/>
    <w:rsid w:val="00344FD7"/>
    <w:rsid w:val="0034522A"/>
    <w:rsid w:val="00346B56"/>
    <w:rsid w:val="00350417"/>
    <w:rsid w:val="00352B0F"/>
    <w:rsid w:val="00355E90"/>
    <w:rsid w:val="00356C69"/>
    <w:rsid w:val="00363526"/>
    <w:rsid w:val="00371474"/>
    <w:rsid w:val="00371DE3"/>
    <w:rsid w:val="00373874"/>
    <w:rsid w:val="00375C6C"/>
    <w:rsid w:val="00380B77"/>
    <w:rsid w:val="003815EA"/>
    <w:rsid w:val="003821DE"/>
    <w:rsid w:val="0038275C"/>
    <w:rsid w:val="00391329"/>
    <w:rsid w:val="003A0CDF"/>
    <w:rsid w:val="003A6B26"/>
    <w:rsid w:val="003A7B3C"/>
    <w:rsid w:val="003B0EB8"/>
    <w:rsid w:val="003B4E3D"/>
    <w:rsid w:val="003B7999"/>
    <w:rsid w:val="003C0D88"/>
    <w:rsid w:val="003C45A7"/>
    <w:rsid w:val="003C5F2B"/>
    <w:rsid w:val="003D0BFE"/>
    <w:rsid w:val="003D0D70"/>
    <w:rsid w:val="003D1894"/>
    <w:rsid w:val="003D1E1A"/>
    <w:rsid w:val="003D2198"/>
    <w:rsid w:val="003D5700"/>
    <w:rsid w:val="003D57B1"/>
    <w:rsid w:val="003D585E"/>
    <w:rsid w:val="003D7D1C"/>
    <w:rsid w:val="003E5E99"/>
    <w:rsid w:val="003E6E15"/>
    <w:rsid w:val="003E7FDA"/>
    <w:rsid w:val="003F1859"/>
    <w:rsid w:val="003F6D5D"/>
    <w:rsid w:val="003F7643"/>
    <w:rsid w:val="00400564"/>
    <w:rsid w:val="00405579"/>
    <w:rsid w:val="0041048B"/>
    <w:rsid w:val="00410B8E"/>
    <w:rsid w:val="00411278"/>
    <w:rsid w:val="004114C7"/>
    <w:rsid w:val="004116CD"/>
    <w:rsid w:val="00416EC7"/>
    <w:rsid w:val="00420758"/>
    <w:rsid w:val="00421FC1"/>
    <w:rsid w:val="004229C7"/>
    <w:rsid w:val="00424CA9"/>
    <w:rsid w:val="00424EA6"/>
    <w:rsid w:val="00436785"/>
    <w:rsid w:val="00436BD5"/>
    <w:rsid w:val="004373FE"/>
    <w:rsid w:val="00437E4B"/>
    <w:rsid w:val="0044095D"/>
    <w:rsid w:val="00442216"/>
    <w:rsid w:val="0044291A"/>
    <w:rsid w:val="004458DA"/>
    <w:rsid w:val="00452A3F"/>
    <w:rsid w:val="004648B4"/>
    <w:rsid w:val="004671EF"/>
    <w:rsid w:val="0048196B"/>
    <w:rsid w:val="0048364F"/>
    <w:rsid w:val="00486D05"/>
    <w:rsid w:val="00495CF3"/>
    <w:rsid w:val="00496F97"/>
    <w:rsid w:val="004A095D"/>
    <w:rsid w:val="004A19B6"/>
    <w:rsid w:val="004A6688"/>
    <w:rsid w:val="004B35C0"/>
    <w:rsid w:val="004B4F31"/>
    <w:rsid w:val="004B72CA"/>
    <w:rsid w:val="004B73C8"/>
    <w:rsid w:val="004C1034"/>
    <w:rsid w:val="004C7C8C"/>
    <w:rsid w:val="004D1D60"/>
    <w:rsid w:val="004D1E35"/>
    <w:rsid w:val="004D7ED3"/>
    <w:rsid w:val="004E0D92"/>
    <w:rsid w:val="004E24C1"/>
    <w:rsid w:val="004E2A4A"/>
    <w:rsid w:val="004E4ABB"/>
    <w:rsid w:val="004F0BE4"/>
    <w:rsid w:val="004F0D23"/>
    <w:rsid w:val="004F13F4"/>
    <w:rsid w:val="004F1FAC"/>
    <w:rsid w:val="004F4EB1"/>
    <w:rsid w:val="004F5AB6"/>
    <w:rsid w:val="00500B8F"/>
    <w:rsid w:val="00503360"/>
    <w:rsid w:val="00512C5C"/>
    <w:rsid w:val="00512F02"/>
    <w:rsid w:val="00516B8D"/>
    <w:rsid w:val="00517110"/>
    <w:rsid w:val="00521D9A"/>
    <w:rsid w:val="00522722"/>
    <w:rsid w:val="00525BFC"/>
    <w:rsid w:val="00532828"/>
    <w:rsid w:val="00537D49"/>
    <w:rsid w:val="00537FBC"/>
    <w:rsid w:val="005404FF"/>
    <w:rsid w:val="00543469"/>
    <w:rsid w:val="00544B2B"/>
    <w:rsid w:val="00545D52"/>
    <w:rsid w:val="00545E27"/>
    <w:rsid w:val="00546626"/>
    <w:rsid w:val="00551307"/>
    <w:rsid w:val="00551B54"/>
    <w:rsid w:val="00556B76"/>
    <w:rsid w:val="0056276E"/>
    <w:rsid w:val="00562A5D"/>
    <w:rsid w:val="00567FE7"/>
    <w:rsid w:val="00581679"/>
    <w:rsid w:val="00584811"/>
    <w:rsid w:val="005866F2"/>
    <w:rsid w:val="00592B06"/>
    <w:rsid w:val="00593AA6"/>
    <w:rsid w:val="00594161"/>
    <w:rsid w:val="00594749"/>
    <w:rsid w:val="005A0D92"/>
    <w:rsid w:val="005A1DF9"/>
    <w:rsid w:val="005A23F5"/>
    <w:rsid w:val="005A4B07"/>
    <w:rsid w:val="005A4E1E"/>
    <w:rsid w:val="005A700D"/>
    <w:rsid w:val="005B0949"/>
    <w:rsid w:val="005B37F9"/>
    <w:rsid w:val="005B4067"/>
    <w:rsid w:val="005B455E"/>
    <w:rsid w:val="005C0FBD"/>
    <w:rsid w:val="005C17C7"/>
    <w:rsid w:val="005C1C3B"/>
    <w:rsid w:val="005C3BA1"/>
    <w:rsid w:val="005C3F41"/>
    <w:rsid w:val="005C5B57"/>
    <w:rsid w:val="005C6AD8"/>
    <w:rsid w:val="005D1338"/>
    <w:rsid w:val="005D1F3D"/>
    <w:rsid w:val="005D386A"/>
    <w:rsid w:val="005D564A"/>
    <w:rsid w:val="005D6657"/>
    <w:rsid w:val="005D68CF"/>
    <w:rsid w:val="005D6B19"/>
    <w:rsid w:val="005E0F56"/>
    <w:rsid w:val="005E152A"/>
    <w:rsid w:val="005E2CD1"/>
    <w:rsid w:val="005E32F6"/>
    <w:rsid w:val="005F0053"/>
    <w:rsid w:val="005F0088"/>
    <w:rsid w:val="005F05F5"/>
    <w:rsid w:val="005F11B1"/>
    <w:rsid w:val="005F255D"/>
    <w:rsid w:val="005F2E1D"/>
    <w:rsid w:val="005F600D"/>
    <w:rsid w:val="00600219"/>
    <w:rsid w:val="0060411F"/>
    <w:rsid w:val="006041DB"/>
    <w:rsid w:val="00614C53"/>
    <w:rsid w:val="00615702"/>
    <w:rsid w:val="006158F1"/>
    <w:rsid w:val="00616440"/>
    <w:rsid w:val="006167FD"/>
    <w:rsid w:val="00622691"/>
    <w:rsid w:val="00627001"/>
    <w:rsid w:val="0063260B"/>
    <w:rsid w:val="00632F4D"/>
    <w:rsid w:val="00636B9E"/>
    <w:rsid w:val="00641DE5"/>
    <w:rsid w:val="00646926"/>
    <w:rsid w:val="00655636"/>
    <w:rsid w:val="00656F0C"/>
    <w:rsid w:val="00661976"/>
    <w:rsid w:val="006629DF"/>
    <w:rsid w:val="006630F8"/>
    <w:rsid w:val="00671378"/>
    <w:rsid w:val="0067253D"/>
    <w:rsid w:val="00677CC2"/>
    <w:rsid w:val="00681F92"/>
    <w:rsid w:val="00683B73"/>
    <w:rsid w:val="006842C2"/>
    <w:rsid w:val="00685F42"/>
    <w:rsid w:val="00685F7A"/>
    <w:rsid w:val="0069207B"/>
    <w:rsid w:val="006925B0"/>
    <w:rsid w:val="00693245"/>
    <w:rsid w:val="006951E8"/>
    <w:rsid w:val="006A2288"/>
    <w:rsid w:val="006A3BE7"/>
    <w:rsid w:val="006A4B23"/>
    <w:rsid w:val="006A7E09"/>
    <w:rsid w:val="006B70DD"/>
    <w:rsid w:val="006C042B"/>
    <w:rsid w:val="006C0A12"/>
    <w:rsid w:val="006C2874"/>
    <w:rsid w:val="006C2A70"/>
    <w:rsid w:val="006C4B4F"/>
    <w:rsid w:val="006C7F8C"/>
    <w:rsid w:val="006D08BF"/>
    <w:rsid w:val="006D1F09"/>
    <w:rsid w:val="006D380D"/>
    <w:rsid w:val="006D3E72"/>
    <w:rsid w:val="006D4DC1"/>
    <w:rsid w:val="006D65B9"/>
    <w:rsid w:val="006E0135"/>
    <w:rsid w:val="006E164D"/>
    <w:rsid w:val="006E303A"/>
    <w:rsid w:val="006E714E"/>
    <w:rsid w:val="006F0B61"/>
    <w:rsid w:val="006F0E80"/>
    <w:rsid w:val="006F5A16"/>
    <w:rsid w:val="006F65A5"/>
    <w:rsid w:val="006F7E19"/>
    <w:rsid w:val="00700B2C"/>
    <w:rsid w:val="00700F82"/>
    <w:rsid w:val="00705907"/>
    <w:rsid w:val="00705CE3"/>
    <w:rsid w:val="00705DEA"/>
    <w:rsid w:val="007075D2"/>
    <w:rsid w:val="00707C78"/>
    <w:rsid w:val="00712D8D"/>
    <w:rsid w:val="00713084"/>
    <w:rsid w:val="00714A08"/>
    <w:rsid w:val="00714B26"/>
    <w:rsid w:val="00714D01"/>
    <w:rsid w:val="00714FB7"/>
    <w:rsid w:val="00717914"/>
    <w:rsid w:val="007251F3"/>
    <w:rsid w:val="007278DB"/>
    <w:rsid w:val="00731E00"/>
    <w:rsid w:val="00733B09"/>
    <w:rsid w:val="00734E2C"/>
    <w:rsid w:val="00736705"/>
    <w:rsid w:val="00736989"/>
    <w:rsid w:val="00742AE7"/>
    <w:rsid w:val="007440B7"/>
    <w:rsid w:val="0074761E"/>
    <w:rsid w:val="00747C2B"/>
    <w:rsid w:val="00751BAB"/>
    <w:rsid w:val="0075381D"/>
    <w:rsid w:val="0075479E"/>
    <w:rsid w:val="00760BEE"/>
    <w:rsid w:val="00762EE6"/>
    <w:rsid w:val="007634AD"/>
    <w:rsid w:val="0076738A"/>
    <w:rsid w:val="007714DB"/>
    <w:rsid w:val="007715C9"/>
    <w:rsid w:val="00772BD7"/>
    <w:rsid w:val="0077309D"/>
    <w:rsid w:val="007731B6"/>
    <w:rsid w:val="00773F44"/>
    <w:rsid w:val="00774EDD"/>
    <w:rsid w:val="0077551A"/>
    <w:rsid w:val="007757EC"/>
    <w:rsid w:val="00776C8D"/>
    <w:rsid w:val="0078106C"/>
    <w:rsid w:val="00783604"/>
    <w:rsid w:val="00785724"/>
    <w:rsid w:val="00786CEA"/>
    <w:rsid w:val="00790C82"/>
    <w:rsid w:val="00793354"/>
    <w:rsid w:val="00793EB6"/>
    <w:rsid w:val="0079430D"/>
    <w:rsid w:val="007A1949"/>
    <w:rsid w:val="007A25C4"/>
    <w:rsid w:val="007A2E36"/>
    <w:rsid w:val="007A5FD7"/>
    <w:rsid w:val="007B13E6"/>
    <w:rsid w:val="007B30AA"/>
    <w:rsid w:val="007B7458"/>
    <w:rsid w:val="007C040B"/>
    <w:rsid w:val="007C2F7A"/>
    <w:rsid w:val="007C50AE"/>
    <w:rsid w:val="007D02D7"/>
    <w:rsid w:val="007D6DA3"/>
    <w:rsid w:val="007E43A7"/>
    <w:rsid w:val="007E5E11"/>
    <w:rsid w:val="007E7D4A"/>
    <w:rsid w:val="007E7D8B"/>
    <w:rsid w:val="007F064D"/>
    <w:rsid w:val="007F224A"/>
    <w:rsid w:val="007F6B0A"/>
    <w:rsid w:val="007F7589"/>
    <w:rsid w:val="007F7B59"/>
    <w:rsid w:val="008006CC"/>
    <w:rsid w:val="00800BB9"/>
    <w:rsid w:val="008034D0"/>
    <w:rsid w:val="00804735"/>
    <w:rsid w:val="00804BCB"/>
    <w:rsid w:val="00804C9F"/>
    <w:rsid w:val="00807F18"/>
    <w:rsid w:val="00812630"/>
    <w:rsid w:val="00817D1C"/>
    <w:rsid w:val="00822139"/>
    <w:rsid w:val="008228BA"/>
    <w:rsid w:val="00831E8D"/>
    <w:rsid w:val="00840B52"/>
    <w:rsid w:val="00842BC1"/>
    <w:rsid w:val="0084345B"/>
    <w:rsid w:val="00844BA7"/>
    <w:rsid w:val="00846ED9"/>
    <w:rsid w:val="00850765"/>
    <w:rsid w:val="00852CD0"/>
    <w:rsid w:val="008555A5"/>
    <w:rsid w:val="00855A36"/>
    <w:rsid w:val="00856A31"/>
    <w:rsid w:val="00857D6B"/>
    <w:rsid w:val="00860FD1"/>
    <w:rsid w:val="00863595"/>
    <w:rsid w:val="00865D47"/>
    <w:rsid w:val="008754D0"/>
    <w:rsid w:val="0087594D"/>
    <w:rsid w:val="008761A1"/>
    <w:rsid w:val="00876322"/>
    <w:rsid w:val="00876AAC"/>
    <w:rsid w:val="00877D48"/>
    <w:rsid w:val="0088020E"/>
    <w:rsid w:val="00880A2C"/>
    <w:rsid w:val="00883155"/>
    <w:rsid w:val="00883781"/>
    <w:rsid w:val="00885570"/>
    <w:rsid w:val="008875C5"/>
    <w:rsid w:val="0089167C"/>
    <w:rsid w:val="00891CD5"/>
    <w:rsid w:val="00892A01"/>
    <w:rsid w:val="0089392B"/>
    <w:rsid w:val="00893958"/>
    <w:rsid w:val="00896A03"/>
    <w:rsid w:val="008A2C36"/>
    <w:rsid w:val="008A2E77"/>
    <w:rsid w:val="008A37D9"/>
    <w:rsid w:val="008B40ED"/>
    <w:rsid w:val="008B4F64"/>
    <w:rsid w:val="008C5994"/>
    <w:rsid w:val="008C6F6F"/>
    <w:rsid w:val="008D0B82"/>
    <w:rsid w:val="008D0EE0"/>
    <w:rsid w:val="008D3610"/>
    <w:rsid w:val="008D3E94"/>
    <w:rsid w:val="008D592C"/>
    <w:rsid w:val="008D5AA5"/>
    <w:rsid w:val="008E0A1F"/>
    <w:rsid w:val="008E3284"/>
    <w:rsid w:val="008E64B4"/>
    <w:rsid w:val="008E71F9"/>
    <w:rsid w:val="008F2772"/>
    <w:rsid w:val="008F277A"/>
    <w:rsid w:val="008F2F40"/>
    <w:rsid w:val="008F3106"/>
    <w:rsid w:val="008F4F1C"/>
    <w:rsid w:val="008F75A3"/>
    <w:rsid w:val="008F77C4"/>
    <w:rsid w:val="00903B86"/>
    <w:rsid w:val="00906279"/>
    <w:rsid w:val="009103F3"/>
    <w:rsid w:val="00911CCD"/>
    <w:rsid w:val="009128CB"/>
    <w:rsid w:val="00913B00"/>
    <w:rsid w:val="00915746"/>
    <w:rsid w:val="00916787"/>
    <w:rsid w:val="009219B2"/>
    <w:rsid w:val="009240D1"/>
    <w:rsid w:val="009314BA"/>
    <w:rsid w:val="00932377"/>
    <w:rsid w:val="00934C83"/>
    <w:rsid w:val="009405B1"/>
    <w:rsid w:val="00943221"/>
    <w:rsid w:val="009450D0"/>
    <w:rsid w:val="009456B8"/>
    <w:rsid w:val="00951A9C"/>
    <w:rsid w:val="0095428A"/>
    <w:rsid w:val="00954531"/>
    <w:rsid w:val="00955559"/>
    <w:rsid w:val="009578C7"/>
    <w:rsid w:val="00960520"/>
    <w:rsid w:val="0096095A"/>
    <w:rsid w:val="00961DD1"/>
    <w:rsid w:val="00967042"/>
    <w:rsid w:val="00972943"/>
    <w:rsid w:val="00975297"/>
    <w:rsid w:val="00980C32"/>
    <w:rsid w:val="00981284"/>
    <w:rsid w:val="00981287"/>
    <w:rsid w:val="0098255A"/>
    <w:rsid w:val="00982B18"/>
    <w:rsid w:val="00982CAD"/>
    <w:rsid w:val="009845BE"/>
    <w:rsid w:val="0098541A"/>
    <w:rsid w:val="009873A6"/>
    <w:rsid w:val="00991D6A"/>
    <w:rsid w:val="00996647"/>
    <w:rsid w:val="009969C9"/>
    <w:rsid w:val="00996A48"/>
    <w:rsid w:val="00997875"/>
    <w:rsid w:val="009A147A"/>
    <w:rsid w:val="009A4F65"/>
    <w:rsid w:val="009B3938"/>
    <w:rsid w:val="009B6BD8"/>
    <w:rsid w:val="009B6F48"/>
    <w:rsid w:val="009C3832"/>
    <w:rsid w:val="009C5916"/>
    <w:rsid w:val="009E186E"/>
    <w:rsid w:val="009E3461"/>
    <w:rsid w:val="009E6456"/>
    <w:rsid w:val="009F384E"/>
    <w:rsid w:val="009F648E"/>
    <w:rsid w:val="009F7BD0"/>
    <w:rsid w:val="00A00E4D"/>
    <w:rsid w:val="00A03183"/>
    <w:rsid w:val="00A03715"/>
    <w:rsid w:val="00A03D64"/>
    <w:rsid w:val="00A048FF"/>
    <w:rsid w:val="00A0565C"/>
    <w:rsid w:val="00A05763"/>
    <w:rsid w:val="00A103DE"/>
    <w:rsid w:val="00A10775"/>
    <w:rsid w:val="00A10C99"/>
    <w:rsid w:val="00A11BAF"/>
    <w:rsid w:val="00A12B15"/>
    <w:rsid w:val="00A1300B"/>
    <w:rsid w:val="00A1373D"/>
    <w:rsid w:val="00A14F3C"/>
    <w:rsid w:val="00A16F0D"/>
    <w:rsid w:val="00A17405"/>
    <w:rsid w:val="00A2288C"/>
    <w:rsid w:val="00A231E2"/>
    <w:rsid w:val="00A261B5"/>
    <w:rsid w:val="00A30101"/>
    <w:rsid w:val="00A3073D"/>
    <w:rsid w:val="00A32032"/>
    <w:rsid w:val="00A32B50"/>
    <w:rsid w:val="00A33AA1"/>
    <w:rsid w:val="00A356EA"/>
    <w:rsid w:val="00A3621C"/>
    <w:rsid w:val="00A36C48"/>
    <w:rsid w:val="00A3722E"/>
    <w:rsid w:val="00A37750"/>
    <w:rsid w:val="00A41E0B"/>
    <w:rsid w:val="00A51970"/>
    <w:rsid w:val="00A55631"/>
    <w:rsid w:val="00A64912"/>
    <w:rsid w:val="00A70A74"/>
    <w:rsid w:val="00A7187E"/>
    <w:rsid w:val="00A7296B"/>
    <w:rsid w:val="00A73B71"/>
    <w:rsid w:val="00A74308"/>
    <w:rsid w:val="00A77AAF"/>
    <w:rsid w:val="00A801CE"/>
    <w:rsid w:val="00A80B10"/>
    <w:rsid w:val="00A93E13"/>
    <w:rsid w:val="00A94D1D"/>
    <w:rsid w:val="00A9681F"/>
    <w:rsid w:val="00AA3795"/>
    <w:rsid w:val="00AB0B96"/>
    <w:rsid w:val="00AB1CCC"/>
    <w:rsid w:val="00AB34ED"/>
    <w:rsid w:val="00AB3F54"/>
    <w:rsid w:val="00AC160F"/>
    <w:rsid w:val="00AC16B5"/>
    <w:rsid w:val="00AC1E75"/>
    <w:rsid w:val="00AC4420"/>
    <w:rsid w:val="00AC4633"/>
    <w:rsid w:val="00AC4D34"/>
    <w:rsid w:val="00AC7867"/>
    <w:rsid w:val="00AD0BD9"/>
    <w:rsid w:val="00AD4B7F"/>
    <w:rsid w:val="00AD5641"/>
    <w:rsid w:val="00AD7F23"/>
    <w:rsid w:val="00AE078E"/>
    <w:rsid w:val="00AE1088"/>
    <w:rsid w:val="00AE317B"/>
    <w:rsid w:val="00AE3A47"/>
    <w:rsid w:val="00AE56E0"/>
    <w:rsid w:val="00AE6290"/>
    <w:rsid w:val="00AF1BA4"/>
    <w:rsid w:val="00AF2242"/>
    <w:rsid w:val="00B032D8"/>
    <w:rsid w:val="00B114FD"/>
    <w:rsid w:val="00B13300"/>
    <w:rsid w:val="00B164F5"/>
    <w:rsid w:val="00B17137"/>
    <w:rsid w:val="00B20C41"/>
    <w:rsid w:val="00B20F65"/>
    <w:rsid w:val="00B30E45"/>
    <w:rsid w:val="00B32BE2"/>
    <w:rsid w:val="00B33B3C"/>
    <w:rsid w:val="00B427AE"/>
    <w:rsid w:val="00B4332A"/>
    <w:rsid w:val="00B45E16"/>
    <w:rsid w:val="00B57B4F"/>
    <w:rsid w:val="00B6382D"/>
    <w:rsid w:val="00B71C5D"/>
    <w:rsid w:val="00B71E32"/>
    <w:rsid w:val="00B721C9"/>
    <w:rsid w:val="00B7750C"/>
    <w:rsid w:val="00B87787"/>
    <w:rsid w:val="00B90C89"/>
    <w:rsid w:val="00B91C9D"/>
    <w:rsid w:val="00B92576"/>
    <w:rsid w:val="00B942CF"/>
    <w:rsid w:val="00B949B4"/>
    <w:rsid w:val="00B9574B"/>
    <w:rsid w:val="00BA1B7F"/>
    <w:rsid w:val="00BA5026"/>
    <w:rsid w:val="00BB40BF"/>
    <w:rsid w:val="00BB4B39"/>
    <w:rsid w:val="00BB7C07"/>
    <w:rsid w:val="00BC09DC"/>
    <w:rsid w:val="00BC0CD1"/>
    <w:rsid w:val="00BC5674"/>
    <w:rsid w:val="00BC5D1A"/>
    <w:rsid w:val="00BC5F30"/>
    <w:rsid w:val="00BC65C2"/>
    <w:rsid w:val="00BC7EC9"/>
    <w:rsid w:val="00BD1CDD"/>
    <w:rsid w:val="00BD1F32"/>
    <w:rsid w:val="00BD2627"/>
    <w:rsid w:val="00BD6021"/>
    <w:rsid w:val="00BE20CD"/>
    <w:rsid w:val="00BE719A"/>
    <w:rsid w:val="00BE720A"/>
    <w:rsid w:val="00BF0461"/>
    <w:rsid w:val="00BF4944"/>
    <w:rsid w:val="00BF4DAD"/>
    <w:rsid w:val="00BF56D4"/>
    <w:rsid w:val="00BF73E2"/>
    <w:rsid w:val="00C00648"/>
    <w:rsid w:val="00C00BCF"/>
    <w:rsid w:val="00C04409"/>
    <w:rsid w:val="00C067E5"/>
    <w:rsid w:val="00C074FC"/>
    <w:rsid w:val="00C11BD5"/>
    <w:rsid w:val="00C164CA"/>
    <w:rsid w:val="00C176CF"/>
    <w:rsid w:val="00C22DBE"/>
    <w:rsid w:val="00C234CE"/>
    <w:rsid w:val="00C24EE9"/>
    <w:rsid w:val="00C27B95"/>
    <w:rsid w:val="00C30C3F"/>
    <w:rsid w:val="00C323A7"/>
    <w:rsid w:val="00C42A40"/>
    <w:rsid w:val="00C42BF8"/>
    <w:rsid w:val="00C460AE"/>
    <w:rsid w:val="00C50043"/>
    <w:rsid w:val="00C52C3C"/>
    <w:rsid w:val="00C530DC"/>
    <w:rsid w:val="00C54E84"/>
    <w:rsid w:val="00C55C63"/>
    <w:rsid w:val="00C61575"/>
    <w:rsid w:val="00C6305B"/>
    <w:rsid w:val="00C64073"/>
    <w:rsid w:val="00C65E0A"/>
    <w:rsid w:val="00C707A5"/>
    <w:rsid w:val="00C707E3"/>
    <w:rsid w:val="00C7460E"/>
    <w:rsid w:val="00C7552D"/>
    <w:rsid w:val="00C7573B"/>
    <w:rsid w:val="00C7645C"/>
    <w:rsid w:val="00C76CF3"/>
    <w:rsid w:val="00C76EE9"/>
    <w:rsid w:val="00C8105F"/>
    <w:rsid w:val="00C90824"/>
    <w:rsid w:val="00C914E5"/>
    <w:rsid w:val="00C9665B"/>
    <w:rsid w:val="00CA03BC"/>
    <w:rsid w:val="00CA3E7C"/>
    <w:rsid w:val="00CA65CA"/>
    <w:rsid w:val="00CA740B"/>
    <w:rsid w:val="00CA759B"/>
    <w:rsid w:val="00CB178A"/>
    <w:rsid w:val="00CB2AA2"/>
    <w:rsid w:val="00CC390C"/>
    <w:rsid w:val="00CD0A35"/>
    <w:rsid w:val="00CD27AD"/>
    <w:rsid w:val="00CD408B"/>
    <w:rsid w:val="00CE1E31"/>
    <w:rsid w:val="00CE3A35"/>
    <w:rsid w:val="00CE3F4E"/>
    <w:rsid w:val="00CE4353"/>
    <w:rsid w:val="00CE6656"/>
    <w:rsid w:val="00CF0BB2"/>
    <w:rsid w:val="00D00EAA"/>
    <w:rsid w:val="00D02293"/>
    <w:rsid w:val="00D02D10"/>
    <w:rsid w:val="00D033B4"/>
    <w:rsid w:val="00D03AD5"/>
    <w:rsid w:val="00D053A5"/>
    <w:rsid w:val="00D066A8"/>
    <w:rsid w:val="00D07AD7"/>
    <w:rsid w:val="00D13441"/>
    <w:rsid w:val="00D140FD"/>
    <w:rsid w:val="00D1686D"/>
    <w:rsid w:val="00D2376E"/>
    <w:rsid w:val="00D243A3"/>
    <w:rsid w:val="00D24614"/>
    <w:rsid w:val="00D26A9B"/>
    <w:rsid w:val="00D26DDA"/>
    <w:rsid w:val="00D35494"/>
    <w:rsid w:val="00D36AB0"/>
    <w:rsid w:val="00D401F1"/>
    <w:rsid w:val="00D42C22"/>
    <w:rsid w:val="00D477C3"/>
    <w:rsid w:val="00D5027F"/>
    <w:rsid w:val="00D506AA"/>
    <w:rsid w:val="00D50B83"/>
    <w:rsid w:val="00D52EFE"/>
    <w:rsid w:val="00D53E7B"/>
    <w:rsid w:val="00D62E8F"/>
    <w:rsid w:val="00D630FF"/>
    <w:rsid w:val="00D6320B"/>
    <w:rsid w:val="00D63EF6"/>
    <w:rsid w:val="00D66D4B"/>
    <w:rsid w:val="00D70DFB"/>
    <w:rsid w:val="00D73029"/>
    <w:rsid w:val="00D76540"/>
    <w:rsid w:val="00D766DF"/>
    <w:rsid w:val="00D81F73"/>
    <w:rsid w:val="00D82328"/>
    <w:rsid w:val="00D84ED9"/>
    <w:rsid w:val="00D8557C"/>
    <w:rsid w:val="00D9329B"/>
    <w:rsid w:val="00D95655"/>
    <w:rsid w:val="00DB0E27"/>
    <w:rsid w:val="00DB2A3D"/>
    <w:rsid w:val="00DB31C3"/>
    <w:rsid w:val="00DB32A8"/>
    <w:rsid w:val="00DC2D24"/>
    <w:rsid w:val="00DC5359"/>
    <w:rsid w:val="00DD0F57"/>
    <w:rsid w:val="00DD529F"/>
    <w:rsid w:val="00DE02D4"/>
    <w:rsid w:val="00DE2002"/>
    <w:rsid w:val="00DE310B"/>
    <w:rsid w:val="00DF1619"/>
    <w:rsid w:val="00DF209B"/>
    <w:rsid w:val="00DF2334"/>
    <w:rsid w:val="00DF796C"/>
    <w:rsid w:val="00DF7AE9"/>
    <w:rsid w:val="00E053BC"/>
    <w:rsid w:val="00E05704"/>
    <w:rsid w:val="00E07593"/>
    <w:rsid w:val="00E10304"/>
    <w:rsid w:val="00E10FE2"/>
    <w:rsid w:val="00E13248"/>
    <w:rsid w:val="00E13585"/>
    <w:rsid w:val="00E15E16"/>
    <w:rsid w:val="00E166D0"/>
    <w:rsid w:val="00E2183C"/>
    <w:rsid w:val="00E24D66"/>
    <w:rsid w:val="00E27A1E"/>
    <w:rsid w:val="00E3240B"/>
    <w:rsid w:val="00E3328D"/>
    <w:rsid w:val="00E34D1C"/>
    <w:rsid w:val="00E36814"/>
    <w:rsid w:val="00E36AF5"/>
    <w:rsid w:val="00E37760"/>
    <w:rsid w:val="00E40948"/>
    <w:rsid w:val="00E440A5"/>
    <w:rsid w:val="00E5096A"/>
    <w:rsid w:val="00E5325E"/>
    <w:rsid w:val="00E54292"/>
    <w:rsid w:val="00E54EA7"/>
    <w:rsid w:val="00E56187"/>
    <w:rsid w:val="00E607A4"/>
    <w:rsid w:val="00E71FF7"/>
    <w:rsid w:val="00E7251F"/>
    <w:rsid w:val="00E740FE"/>
    <w:rsid w:val="00E74DC7"/>
    <w:rsid w:val="00E7538A"/>
    <w:rsid w:val="00E77BCD"/>
    <w:rsid w:val="00E80507"/>
    <w:rsid w:val="00E81B5C"/>
    <w:rsid w:val="00E82B49"/>
    <w:rsid w:val="00E83AC6"/>
    <w:rsid w:val="00E84ECA"/>
    <w:rsid w:val="00E850E6"/>
    <w:rsid w:val="00E87699"/>
    <w:rsid w:val="00E8791F"/>
    <w:rsid w:val="00E90A14"/>
    <w:rsid w:val="00E90B78"/>
    <w:rsid w:val="00E9128B"/>
    <w:rsid w:val="00E947C6"/>
    <w:rsid w:val="00EA116F"/>
    <w:rsid w:val="00EA122D"/>
    <w:rsid w:val="00EA43D2"/>
    <w:rsid w:val="00EB020B"/>
    <w:rsid w:val="00EB0E27"/>
    <w:rsid w:val="00EB510C"/>
    <w:rsid w:val="00EC5DDD"/>
    <w:rsid w:val="00EC6623"/>
    <w:rsid w:val="00ED1BF0"/>
    <w:rsid w:val="00ED492F"/>
    <w:rsid w:val="00ED4B2B"/>
    <w:rsid w:val="00ED5D3F"/>
    <w:rsid w:val="00EE0B3D"/>
    <w:rsid w:val="00EE3E36"/>
    <w:rsid w:val="00EE651A"/>
    <w:rsid w:val="00EF2E3A"/>
    <w:rsid w:val="00EF3322"/>
    <w:rsid w:val="00EF3CB9"/>
    <w:rsid w:val="00EF4F84"/>
    <w:rsid w:val="00F02A5C"/>
    <w:rsid w:val="00F047E2"/>
    <w:rsid w:val="00F05AEA"/>
    <w:rsid w:val="00F078DC"/>
    <w:rsid w:val="00F108F6"/>
    <w:rsid w:val="00F13E86"/>
    <w:rsid w:val="00F1687A"/>
    <w:rsid w:val="00F17B00"/>
    <w:rsid w:val="00F22EC6"/>
    <w:rsid w:val="00F25747"/>
    <w:rsid w:val="00F27BEF"/>
    <w:rsid w:val="00F31987"/>
    <w:rsid w:val="00F3496D"/>
    <w:rsid w:val="00F42EF5"/>
    <w:rsid w:val="00F50AFC"/>
    <w:rsid w:val="00F556D7"/>
    <w:rsid w:val="00F60EAC"/>
    <w:rsid w:val="00F677A9"/>
    <w:rsid w:val="00F719C6"/>
    <w:rsid w:val="00F752B8"/>
    <w:rsid w:val="00F752CB"/>
    <w:rsid w:val="00F82D3B"/>
    <w:rsid w:val="00F83EFF"/>
    <w:rsid w:val="00F84CF5"/>
    <w:rsid w:val="00F91146"/>
    <w:rsid w:val="00F92D35"/>
    <w:rsid w:val="00FA22B7"/>
    <w:rsid w:val="00FA420B"/>
    <w:rsid w:val="00FA7100"/>
    <w:rsid w:val="00FB2735"/>
    <w:rsid w:val="00FC2AD7"/>
    <w:rsid w:val="00FD1E13"/>
    <w:rsid w:val="00FD7EB1"/>
    <w:rsid w:val="00FE2F1E"/>
    <w:rsid w:val="00FE41C9"/>
    <w:rsid w:val="00FE7F93"/>
    <w:rsid w:val="00FF5346"/>
    <w:rsid w:val="00FF63CC"/>
    <w:rsid w:val="00FF7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645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7460E"/>
    <w:pPr>
      <w:spacing w:line="260" w:lineRule="atLeast"/>
    </w:pPr>
    <w:rPr>
      <w:sz w:val="22"/>
    </w:rPr>
  </w:style>
  <w:style w:type="paragraph" w:styleId="Heading1">
    <w:name w:val="heading 1"/>
    <w:basedOn w:val="Normal"/>
    <w:next w:val="Normal"/>
    <w:link w:val="Heading1Char"/>
    <w:uiPriority w:val="9"/>
    <w:qFormat/>
    <w:rsid w:val="00C7460E"/>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460E"/>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7460E"/>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7460E"/>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7460E"/>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460E"/>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7460E"/>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460E"/>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460E"/>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7460E"/>
  </w:style>
  <w:style w:type="paragraph" w:customStyle="1" w:styleId="OPCParaBase">
    <w:name w:val="OPCParaBase"/>
    <w:qFormat/>
    <w:rsid w:val="00C7460E"/>
    <w:pPr>
      <w:spacing w:line="260" w:lineRule="atLeast"/>
    </w:pPr>
    <w:rPr>
      <w:rFonts w:eastAsia="Times New Roman" w:cs="Times New Roman"/>
      <w:sz w:val="22"/>
      <w:lang w:eastAsia="en-AU"/>
    </w:rPr>
  </w:style>
  <w:style w:type="paragraph" w:customStyle="1" w:styleId="ShortT">
    <w:name w:val="ShortT"/>
    <w:basedOn w:val="OPCParaBase"/>
    <w:next w:val="Normal"/>
    <w:qFormat/>
    <w:rsid w:val="00C7460E"/>
    <w:pPr>
      <w:spacing w:line="240" w:lineRule="auto"/>
    </w:pPr>
    <w:rPr>
      <w:b/>
      <w:sz w:val="40"/>
    </w:rPr>
  </w:style>
  <w:style w:type="paragraph" w:customStyle="1" w:styleId="ActHead1">
    <w:name w:val="ActHead 1"/>
    <w:aliases w:val="c"/>
    <w:basedOn w:val="OPCParaBase"/>
    <w:next w:val="Normal"/>
    <w:qFormat/>
    <w:rsid w:val="00C746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746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746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746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746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746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746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746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7460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7460E"/>
  </w:style>
  <w:style w:type="paragraph" w:customStyle="1" w:styleId="Blocks">
    <w:name w:val="Blocks"/>
    <w:aliases w:val="bb"/>
    <w:basedOn w:val="OPCParaBase"/>
    <w:qFormat/>
    <w:rsid w:val="00C7460E"/>
    <w:pPr>
      <w:spacing w:line="240" w:lineRule="auto"/>
    </w:pPr>
    <w:rPr>
      <w:sz w:val="24"/>
    </w:rPr>
  </w:style>
  <w:style w:type="paragraph" w:customStyle="1" w:styleId="BoxText">
    <w:name w:val="BoxText"/>
    <w:aliases w:val="bt"/>
    <w:basedOn w:val="OPCParaBase"/>
    <w:qFormat/>
    <w:rsid w:val="00C746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7460E"/>
    <w:rPr>
      <w:b/>
    </w:rPr>
  </w:style>
  <w:style w:type="paragraph" w:customStyle="1" w:styleId="BoxHeadItalic">
    <w:name w:val="BoxHeadItalic"/>
    <w:aliases w:val="bhi"/>
    <w:basedOn w:val="BoxText"/>
    <w:next w:val="BoxStep"/>
    <w:qFormat/>
    <w:rsid w:val="00C7460E"/>
    <w:rPr>
      <w:i/>
    </w:rPr>
  </w:style>
  <w:style w:type="paragraph" w:customStyle="1" w:styleId="BoxList">
    <w:name w:val="BoxList"/>
    <w:aliases w:val="bl"/>
    <w:basedOn w:val="BoxText"/>
    <w:qFormat/>
    <w:rsid w:val="00C7460E"/>
    <w:pPr>
      <w:ind w:left="1559" w:hanging="425"/>
    </w:pPr>
  </w:style>
  <w:style w:type="paragraph" w:customStyle="1" w:styleId="BoxNote">
    <w:name w:val="BoxNote"/>
    <w:aliases w:val="bn"/>
    <w:basedOn w:val="BoxText"/>
    <w:qFormat/>
    <w:rsid w:val="00C7460E"/>
    <w:pPr>
      <w:tabs>
        <w:tab w:val="left" w:pos="1985"/>
      </w:tabs>
      <w:spacing w:before="122" w:line="198" w:lineRule="exact"/>
      <w:ind w:left="2948" w:hanging="1814"/>
    </w:pPr>
    <w:rPr>
      <w:sz w:val="18"/>
    </w:rPr>
  </w:style>
  <w:style w:type="paragraph" w:customStyle="1" w:styleId="BoxPara">
    <w:name w:val="BoxPara"/>
    <w:aliases w:val="bp"/>
    <w:basedOn w:val="BoxText"/>
    <w:qFormat/>
    <w:rsid w:val="00C7460E"/>
    <w:pPr>
      <w:tabs>
        <w:tab w:val="right" w:pos="2268"/>
      </w:tabs>
      <w:ind w:left="2552" w:hanging="1418"/>
    </w:pPr>
  </w:style>
  <w:style w:type="paragraph" w:customStyle="1" w:styleId="BoxStep">
    <w:name w:val="BoxStep"/>
    <w:aliases w:val="bs"/>
    <w:basedOn w:val="BoxText"/>
    <w:qFormat/>
    <w:rsid w:val="00C7460E"/>
    <w:pPr>
      <w:ind w:left="1985" w:hanging="851"/>
    </w:pPr>
  </w:style>
  <w:style w:type="character" w:customStyle="1" w:styleId="CharAmPartNo">
    <w:name w:val="CharAmPartNo"/>
    <w:basedOn w:val="OPCCharBase"/>
    <w:qFormat/>
    <w:rsid w:val="00C7460E"/>
  </w:style>
  <w:style w:type="character" w:customStyle="1" w:styleId="CharAmPartText">
    <w:name w:val="CharAmPartText"/>
    <w:basedOn w:val="OPCCharBase"/>
    <w:qFormat/>
    <w:rsid w:val="00C7460E"/>
  </w:style>
  <w:style w:type="character" w:customStyle="1" w:styleId="CharAmSchNo">
    <w:name w:val="CharAmSchNo"/>
    <w:basedOn w:val="OPCCharBase"/>
    <w:qFormat/>
    <w:rsid w:val="00C7460E"/>
  </w:style>
  <w:style w:type="character" w:customStyle="1" w:styleId="CharAmSchText">
    <w:name w:val="CharAmSchText"/>
    <w:basedOn w:val="OPCCharBase"/>
    <w:qFormat/>
    <w:rsid w:val="00C7460E"/>
  </w:style>
  <w:style w:type="character" w:customStyle="1" w:styleId="CharBoldItalic">
    <w:name w:val="CharBoldItalic"/>
    <w:basedOn w:val="OPCCharBase"/>
    <w:uiPriority w:val="1"/>
    <w:qFormat/>
    <w:rsid w:val="00C7460E"/>
    <w:rPr>
      <w:b/>
      <w:i/>
    </w:rPr>
  </w:style>
  <w:style w:type="character" w:customStyle="1" w:styleId="CharChapNo">
    <w:name w:val="CharChapNo"/>
    <w:basedOn w:val="OPCCharBase"/>
    <w:uiPriority w:val="1"/>
    <w:qFormat/>
    <w:rsid w:val="00C7460E"/>
  </w:style>
  <w:style w:type="character" w:customStyle="1" w:styleId="CharChapText">
    <w:name w:val="CharChapText"/>
    <w:basedOn w:val="OPCCharBase"/>
    <w:uiPriority w:val="1"/>
    <w:qFormat/>
    <w:rsid w:val="00C7460E"/>
  </w:style>
  <w:style w:type="character" w:customStyle="1" w:styleId="CharDivNo">
    <w:name w:val="CharDivNo"/>
    <w:basedOn w:val="OPCCharBase"/>
    <w:uiPriority w:val="1"/>
    <w:qFormat/>
    <w:rsid w:val="00C7460E"/>
  </w:style>
  <w:style w:type="character" w:customStyle="1" w:styleId="CharDivText">
    <w:name w:val="CharDivText"/>
    <w:basedOn w:val="OPCCharBase"/>
    <w:uiPriority w:val="1"/>
    <w:qFormat/>
    <w:rsid w:val="00C7460E"/>
  </w:style>
  <w:style w:type="character" w:customStyle="1" w:styleId="CharItalic">
    <w:name w:val="CharItalic"/>
    <w:basedOn w:val="OPCCharBase"/>
    <w:uiPriority w:val="1"/>
    <w:qFormat/>
    <w:rsid w:val="00C7460E"/>
    <w:rPr>
      <w:i/>
    </w:rPr>
  </w:style>
  <w:style w:type="character" w:customStyle="1" w:styleId="CharPartNo">
    <w:name w:val="CharPartNo"/>
    <w:basedOn w:val="OPCCharBase"/>
    <w:uiPriority w:val="1"/>
    <w:qFormat/>
    <w:rsid w:val="00C7460E"/>
  </w:style>
  <w:style w:type="character" w:customStyle="1" w:styleId="CharPartText">
    <w:name w:val="CharPartText"/>
    <w:basedOn w:val="OPCCharBase"/>
    <w:uiPriority w:val="1"/>
    <w:qFormat/>
    <w:rsid w:val="00C7460E"/>
  </w:style>
  <w:style w:type="character" w:customStyle="1" w:styleId="CharSectno">
    <w:name w:val="CharSectno"/>
    <w:basedOn w:val="OPCCharBase"/>
    <w:qFormat/>
    <w:rsid w:val="00C7460E"/>
  </w:style>
  <w:style w:type="character" w:customStyle="1" w:styleId="CharSubdNo">
    <w:name w:val="CharSubdNo"/>
    <w:basedOn w:val="OPCCharBase"/>
    <w:uiPriority w:val="1"/>
    <w:qFormat/>
    <w:rsid w:val="00C7460E"/>
  </w:style>
  <w:style w:type="character" w:customStyle="1" w:styleId="CharSubdText">
    <w:name w:val="CharSubdText"/>
    <w:basedOn w:val="OPCCharBase"/>
    <w:uiPriority w:val="1"/>
    <w:qFormat/>
    <w:rsid w:val="00C7460E"/>
  </w:style>
  <w:style w:type="paragraph" w:customStyle="1" w:styleId="CTA--">
    <w:name w:val="CTA --"/>
    <w:basedOn w:val="OPCParaBase"/>
    <w:next w:val="Normal"/>
    <w:rsid w:val="00C7460E"/>
    <w:pPr>
      <w:spacing w:before="60" w:line="240" w:lineRule="atLeast"/>
      <w:ind w:left="142" w:hanging="142"/>
    </w:pPr>
    <w:rPr>
      <w:sz w:val="20"/>
    </w:rPr>
  </w:style>
  <w:style w:type="paragraph" w:customStyle="1" w:styleId="CTA-">
    <w:name w:val="CTA -"/>
    <w:basedOn w:val="OPCParaBase"/>
    <w:rsid w:val="00C7460E"/>
    <w:pPr>
      <w:spacing w:before="60" w:line="240" w:lineRule="atLeast"/>
      <w:ind w:left="85" w:hanging="85"/>
    </w:pPr>
    <w:rPr>
      <w:sz w:val="20"/>
    </w:rPr>
  </w:style>
  <w:style w:type="paragraph" w:customStyle="1" w:styleId="CTA---">
    <w:name w:val="CTA ---"/>
    <w:basedOn w:val="OPCParaBase"/>
    <w:next w:val="Normal"/>
    <w:rsid w:val="00C7460E"/>
    <w:pPr>
      <w:spacing w:before="60" w:line="240" w:lineRule="atLeast"/>
      <w:ind w:left="198" w:hanging="198"/>
    </w:pPr>
    <w:rPr>
      <w:sz w:val="20"/>
    </w:rPr>
  </w:style>
  <w:style w:type="paragraph" w:customStyle="1" w:styleId="CTA----">
    <w:name w:val="CTA ----"/>
    <w:basedOn w:val="OPCParaBase"/>
    <w:next w:val="Normal"/>
    <w:rsid w:val="00C7460E"/>
    <w:pPr>
      <w:spacing w:before="60" w:line="240" w:lineRule="atLeast"/>
      <w:ind w:left="255" w:hanging="255"/>
    </w:pPr>
    <w:rPr>
      <w:sz w:val="20"/>
    </w:rPr>
  </w:style>
  <w:style w:type="paragraph" w:customStyle="1" w:styleId="CTA1a">
    <w:name w:val="CTA 1(a)"/>
    <w:basedOn w:val="OPCParaBase"/>
    <w:rsid w:val="00C7460E"/>
    <w:pPr>
      <w:tabs>
        <w:tab w:val="right" w:pos="414"/>
      </w:tabs>
      <w:spacing w:before="40" w:line="240" w:lineRule="atLeast"/>
      <w:ind w:left="675" w:hanging="675"/>
    </w:pPr>
    <w:rPr>
      <w:sz w:val="20"/>
    </w:rPr>
  </w:style>
  <w:style w:type="paragraph" w:customStyle="1" w:styleId="CTA1ai">
    <w:name w:val="CTA 1(a)(i)"/>
    <w:basedOn w:val="OPCParaBase"/>
    <w:rsid w:val="00C7460E"/>
    <w:pPr>
      <w:tabs>
        <w:tab w:val="right" w:pos="1004"/>
      </w:tabs>
      <w:spacing w:before="40" w:line="240" w:lineRule="atLeast"/>
      <w:ind w:left="1253" w:hanging="1253"/>
    </w:pPr>
    <w:rPr>
      <w:sz w:val="20"/>
    </w:rPr>
  </w:style>
  <w:style w:type="paragraph" w:customStyle="1" w:styleId="CTA2a">
    <w:name w:val="CTA 2(a)"/>
    <w:basedOn w:val="OPCParaBase"/>
    <w:rsid w:val="00C7460E"/>
    <w:pPr>
      <w:tabs>
        <w:tab w:val="right" w:pos="482"/>
      </w:tabs>
      <w:spacing w:before="40" w:line="240" w:lineRule="atLeast"/>
      <w:ind w:left="748" w:hanging="748"/>
    </w:pPr>
    <w:rPr>
      <w:sz w:val="20"/>
    </w:rPr>
  </w:style>
  <w:style w:type="paragraph" w:customStyle="1" w:styleId="CTA2ai">
    <w:name w:val="CTA 2(a)(i)"/>
    <w:basedOn w:val="OPCParaBase"/>
    <w:rsid w:val="00C7460E"/>
    <w:pPr>
      <w:tabs>
        <w:tab w:val="right" w:pos="1089"/>
      </w:tabs>
      <w:spacing w:before="40" w:line="240" w:lineRule="atLeast"/>
      <w:ind w:left="1327" w:hanging="1327"/>
    </w:pPr>
    <w:rPr>
      <w:sz w:val="20"/>
    </w:rPr>
  </w:style>
  <w:style w:type="paragraph" w:customStyle="1" w:styleId="CTA3a">
    <w:name w:val="CTA 3(a)"/>
    <w:basedOn w:val="OPCParaBase"/>
    <w:rsid w:val="00C7460E"/>
    <w:pPr>
      <w:tabs>
        <w:tab w:val="right" w:pos="556"/>
      </w:tabs>
      <w:spacing w:before="40" w:line="240" w:lineRule="atLeast"/>
      <w:ind w:left="805" w:hanging="805"/>
    </w:pPr>
    <w:rPr>
      <w:sz w:val="20"/>
    </w:rPr>
  </w:style>
  <w:style w:type="paragraph" w:customStyle="1" w:styleId="CTA3ai">
    <w:name w:val="CTA 3(a)(i)"/>
    <w:basedOn w:val="OPCParaBase"/>
    <w:rsid w:val="00C7460E"/>
    <w:pPr>
      <w:tabs>
        <w:tab w:val="right" w:pos="1140"/>
      </w:tabs>
      <w:spacing w:before="40" w:line="240" w:lineRule="atLeast"/>
      <w:ind w:left="1361" w:hanging="1361"/>
    </w:pPr>
    <w:rPr>
      <w:sz w:val="20"/>
    </w:rPr>
  </w:style>
  <w:style w:type="paragraph" w:customStyle="1" w:styleId="CTA4a">
    <w:name w:val="CTA 4(a)"/>
    <w:basedOn w:val="OPCParaBase"/>
    <w:rsid w:val="00C7460E"/>
    <w:pPr>
      <w:tabs>
        <w:tab w:val="right" w:pos="624"/>
      </w:tabs>
      <w:spacing w:before="40" w:line="240" w:lineRule="atLeast"/>
      <w:ind w:left="873" w:hanging="873"/>
    </w:pPr>
    <w:rPr>
      <w:sz w:val="20"/>
    </w:rPr>
  </w:style>
  <w:style w:type="paragraph" w:customStyle="1" w:styleId="CTA4ai">
    <w:name w:val="CTA 4(a)(i)"/>
    <w:basedOn w:val="OPCParaBase"/>
    <w:rsid w:val="00C7460E"/>
    <w:pPr>
      <w:tabs>
        <w:tab w:val="right" w:pos="1213"/>
      </w:tabs>
      <w:spacing w:before="40" w:line="240" w:lineRule="atLeast"/>
      <w:ind w:left="1452" w:hanging="1452"/>
    </w:pPr>
    <w:rPr>
      <w:sz w:val="20"/>
    </w:rPr>
  </w:style>
  <w:style w:type="paragraph" w:customStyle="1" w:styleId="CTACAPS">
    <w:name w:val="CTA CAPS"/>
    <w:basedOn w:val="OPCParaBase"/>
    <w:rsid w:val="00C7460E"/>
    <w:pPr>
      <w:spacing w:before="60" w:line="240" w:lineRule="atLeast"/>
    </w:pPr>
    <w:rPr>
      <w:sz w:val="20"/>
    </w:rPr>
  </w:style>
  <w:style w:type="paragraph" w:customStyle="1" w:styleId="CTAright">
    <w:name w:val="CTA right"/>
    <w:basedOn w:val="OPCParaBase"/>
    <w:rsid w:val="00C7460E"/>
    <w:pPr>
      <w:spacing w:before="60" w:line="240" w:lineRule="auto"/>
      <w:jc w:val="right"/>
    </w:pPr>
    <w:rPr>
      <w:sz w:val="20"/>
    </w:rPr>
  </w:style>
  <w:style w:type="paragraph" w:customStyle="1" w:styleId="subsection">
    <w:name w:val="subsection"/>
    <w:aliases w:val="ss"/>
    <w:basedOn w:val="OPCParaBase"/>
    <w:link w:val="subsectionChar"/>
    <w:rsid w:val="00C7460E"/>
    <w:pPr>
      <w:tabs>
        <w:tab w:val="right" w:pos="1021"/>
      </w:tabs>
      <w:spacing w:before="180" w:line="240" w:lineRule="auto"/>
      <w:ind w:left="1134" w:hanging="1134"/>
    </w:pPr>
  </w:style>
  <w:style w:type="paragraph" w:customStyle="1" w:styleId="Definition">
    <w:name w:val="Definition"/>
    <w:aliases w:val="dd"/>
    <w:basedOn w:val="OPCParaBase"/>
    <w:rsid w:val="00C7460E"/>
    <w:pPr>
      <w:spacing w:before="180" w:line="240" w:lineRule="auto"/>
      <w:ind w:left="1134"/>
    </w:pPr>
  </w:style>
  <w:style w:type="paragraph" w:customStyle="1" w:styleId="ETAsubitem">
    <w:name w:val="ETA(subitem)"/>
    <w:basedOn w:val="OPCParaBase"/>
    <w:rsid w:val="00C7460E"/>
    <w:pPr>
      <w:tabs>
        <w:tab w:val="right" w:pos="340"/>
      </w:tabs>
      <w:spacing w:before="60" w:line="240" w:lineRule="auto"/>
      <w:ind w:left="454" w:hanging="454"/>
    </w:pPr>
    <w:rPr>
      <w:sz w:val="20"/>
    </w:rPr>
  </w:style>
  <w:style w:type="paragraph" w:customStyle="1" w:styleId="ETApara">
    <w:name w:val="ETA(para)"/>
    <w:basedOn w:val="OPCParaBase"/>
    <w:rsid w:val="00C7460E"/>
    <w:pPr>
      <w:tabs>
        <w:tab w:val="right" w:pos="754"/>
      </w:tabs>
      <w:spacing w:before="60" w:line="240" w:lineRule="auto"/>
      <w:ind w:left="828" w:hanging="828"/>
    </w:pPr>
    <w:rPr>
      <w:sz w:val="20"/>
    </w:rPr>
  </w:style>
  <w:style w:type="paragraph" w:customStyle="1" w:styleId="ETAsubpara">
    <w:name w:val="ETA(subpara)"/>
    <w:basedOn w:val="OPCParaBase"/>
    <w:rsid w:val="00C7460E"/>
    <w:pPr>
      <w:tabs>
        <w:tab w:val="right" w:pos="1083"/>
      </w:tabs>
      <w:spacing w:before="60" w:line="240" w:lineRule="auto"/>
      <w:ind w:left="1191" w:hanging="1191"/>
    </w:pPr>
    <w:rPr>
      <w:sz w:val="20"/>
    </w:rPr>
  </w:style>
  <w:style w:type="paragraph" w:customStyle="1" w:styleId="ETAsub-subpara">
    <w:name w:val="ETA(sub-subpara)"/>
    <w:basedOn w:val="OPCParaBase"/>
    <w:rsid w:val="00C7460E"/>
    <w:pPr>
      <w:tabs>
        <w:tab w:val="right" w:pos="1412"/>
      </w:tabs>
      <w:spacing w:before="60" w:line="240" w:lineRule="auto"/>
      <w:ind w:left="1525" w:hanging="1525"/>
    </w:pPr>
    <w:rPr>
      <w:sz w:val="20"/>
    </w:rPr>
  </w:style>
  <w:style w:type="paragraph" w:customStyle="1" w:styleId="Formula">
    <w:name w:val="Formula"/>
    <w:basedOn w:val="OPCParaBase"/>
    <w:rsid w:val="00C7460E"/>
    <w:pPr>
      <w:spacing w:line="240" w:lineRule="auto"/>
      <w:ind w:left="1134"/>
    </w:pPr>
    <w:rPr>
      <w:sz w:val="20"/>
    </w:rPr>
  </w:style>
  <w:style w:type="paragraph" w:styleId="Header">
    <w:name w:val="header"/>
    <w:basedOn w:val="OPCParaBase"/>
    <w:link w:val="HeaderChar"/>
    <w:unhideWhenUsed/>
    <w:rsid w:val="00C746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7460E"/>
    <w:rPr>
      <w:rFonts w:eastAsia="Times New Roman" w:cs="Times New Roman"/>
      <w:sz w:val="16"/>
      <w:lang w:eastAsia="en-AU"/>
    </w:rPr>
  </w:style>
  <w:style w:type="paragraph" w:customStyle="1" w:styleId="House">
    <w:name w:val="House"/>
    <w:basedOn w:val="OPCParaBase"/>
    <w:rsid w:val="00C7460E"/>
    <w:pPr>
      <w:spacing w:line="240" w:lineRule="auto"/>
    </w:pPr>
    <w:rPr>
      <w:sz w:val="28"/>
    </w:rPr>
  </w:style>
  <w:style w:type="paragraph" w:customStyle="1" w:styleId="Item">
    <w:name w:val="Item"/>
    <w:aliases w:val="i"/>
    <w:basedOn w:val="OPCParaBase"/>
    <w:next w:val="ItemHead"/>
    <w:rsid w:val="00C7460E"/>
    <w:pPr>
      <w:keepLines/>
      <w:spacing w:before="80" w:line="240" w:lineRule="auto"/>
      <w:ind w:left="709"/>
    </w:pPr>
  </w:style>
  <w:style w:type="paragraph" w:customStyle="1" w:styleId="ItemHead">
    <w:name w:val="ItemHead"/>
    <w:aliases w:val="ih"/>
    <w:basedOn w:val="OPCParaBase"/>
    <w:next w:val="Item"/>
    <w:rsid w:val="00C746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7460E"/>
    <w:pPr>
      <w:spacing w:line="240" w:lineRule="auto"/>
    </w:pPr>
    <w:rPr>
      <w:b/>
      <w:sz w:val="32"/>
    </w:rPr>
  </w:style>
  <w:style w:type="paragraph" w:customStyle="1" w:styleId="notedraft">
    <w:name w:val="note(draft)"/>
    <w:aliases w:val="nd"/>
    <w:basedOn w:val="OPCParaBase"/>
    <w:rsid w:val="00C7460E"/>
    <w:pPr>
      <w:spacing w:before="240" w:line="240" w:lineRule="auto"/>
      <w:ind w:left="284" w:hanging="284"/>
    </w:pPr>
    <w:rPr>
      <w:i/>
      <w:sz w:val="24"/>
    </w:rPr>
  </w:style>
  <w:style w:type="paragraph" w:customStyle="1" w:styleId="notemargin">
    <w:name w:val="note(margin)"/>
    <w:aliases w:val="nm"/>
    <w:basedOn w:val="OPCParaBase"/>
    <w:rsid w:val="00C7460E"/>
    <w:pPr>
      <w:tabs>
        <w:tab w:val="left" w:pos="709"/>
      </w:tabs>
      <w:spacing w:before="122" w:line="198" w:lineRule="exact"/>
      <w:ind w:left="709" w:hanging="709"/>
    </w:pPr>
    <w:rPr>
      <w:sz w:val="18"/>
    </w:rPr>
  </w:style>
  <w:style w:type="paragraph" w:customStyle="1" w:styleId="noteToPara">
    <w:name w:val="noteToPara"/>
    <w:aliases w:val="ntp"/>
    <w:basedOn w:val="OPCParaBase"/>
    <w:rsid w:val="00C7460E"/>
    <w:pPr>
      <w:spacing w:before="122" w:line="198" w:lineRule="exact"/>
      <w:ind w:left="2353" w:hanging="709"/>
    </w:pPr>
    <w:rPr>
      <w:sz w:val="18"/>
    </w:rPr>
  </w:style>
  <w:style w:type="paragraph" w:customStyle="1" w:styleId="noteParlAmend">
    <w:name w:val="note(ParlAmend)"/>
    <w:aliases w:val="npp"/>
    <w:basedOn w:val="OPCParaBase"/>
    <w:next w:val="ParlAmend"/>
    <w:rsid w:val="00C7460E"/>
    <w:pPr>
      <w:spacing w:line="240" w:lineRule="auto"/>
      <w:jc w:val="right"/>
    </w:pPr>
    <w:rPr>
      <w:rFonts w:ascii="Arial" w:hAnsi="Arial"/>
      <w:b/>
      <w:i/>
    </w:rPr>
  </w:style>
  <w:style w:type="paragraph" w:customStyle="1" w:styleId="Page1">
    <w:name w:val="Page1"/>
    <w:basedOn w:val="OPCParaBase"/>
    <w:rsid w:val="00C7460E"/>
    <w:pPr>
      <w:spacing w:before="5600" w:line="240" w:lineRule="auto"/>
    </w:pPr>
    <w:rPr>
      <w:b/>
      <w:sz w:val="32"/>
    </w:rPr>
  </w:style>
  <w:style w:type="paragraph" w:customStyle="1" w:styleId="PageBreak">
    <w:name w:val="PageBreak"/>
    <w:aliases w:val="pb"/>
    <w:basedOn w:val="OPCParaBase"/>
    <w:rsid w:val="00C7460E"/>
    <w:pPr>
      <w:spacing w:line="240" w:lineRule="auto"/>
    </w:pPr>
    <w:rPr>
      <w:sz w:val="20"/>
    </w:rPr>
  </w:style>
  <w:style w:type="paragraph" w:customStyle="1" w:styleId="paragraphsub">
    <w:name w:val="paragraph(sub)"/>
    <w:aliases w:val="aa"/>
    <w:basedOn w:val="OPCParaBase"/>
    <w:rsid w:val="00C7460E"/>
    <w:pPr>
      <w:tabs>
        <w:tab w:val="right" w:pos="1985"/>
      </w:tabs>
      <w:spacing w:before="40" w:line="240" w:lineRule="auto"/>
      <w:ind w:left="2098" w:hanging="2098"/>
    </w:pPr>
  </w:style>
  <w:style w:type="paragraph" w:customStyle="1" w:styleId="paragraphsub-sub">
    <w:name w:val="paragraph(sub-sub)"/>
    <w:aliases w:val="aaa"/>
    <w:basedOn w:val="OPCParaBase"/>
    <w:rsid w:val="00C7460E"/>
    <w:pPr>
      <w:tabs>
        <w:tab w:val="right" w:pos="2722"/>
      </w:tabs>
      <w:spacing w:before="40" w:line="240" w:lineRule="auto"/>
      <w:ind w:left="2835" w:hanging="2835"/>
    </w:pPr>
  </w:style>
  <w:style w:type="paragraph" w:customStyle="1" w:styleId="paragraph">
    <w:name w:val="paragraph"/>
    <w:aliases w:val="a"/>
    <w:basedOn w:val="OPCParaBase"/>
    <w:link w:val="paragraphChar"/>
    <w:rsid w:val="00C7460E"/>
    <w:pPr>
      <w:tabs>
        <w:tab w:val="right" w:pos="1531"/>
      </w:tabs>
      <w:spacing w:before="40" w:line="240" w:lineRule="auto"/>
      <w:ind w:left="1644" w:hanging="1644"/>
    </w:pPr>
  </w:style>
  <w:style w:type="paragraph" w:customStyle="1" w:styleId="ParlAmend">
    <w:name w:val="ParlAmend"/>
    <w:aliases w:val="pp"/>
    <w:basedOn w:val="OPCParaBase"/>
    <w:rsid w:val="00C7460E"/>
    <w:pPr>
      <w:spacing w:before="240" w:line="240" w:lineRule="atLeast"/>
      <w:ind w:hanging="567"/>
    </w:pPr>
    <w:rPr>
      <w:sz w:val="24"/>
    </w:rPr>
  </w:style>
  <w:style w:type="paragraph" w:customStyle="1" w:styleId="Penalty">
    <w:name w:val="Penalty"/>
    <w:basedOn w:val="OPCParaBase"/>
    <w:rsid w:val="00C7460E"/>
    <w:pPr>
      <w:tabs>
        <w:tab w:val="left" w:pos="2977"/>
      </w:tabs>
      <w:spacing w:before="180" w:line="240" w:lineRule="auto"/>
      <w:ind w:left="1985" w:hanging="851"/>
    </w:pPr>
  </w:style>
  <w:style w:type="paragraph" w:customStyle="1" w:styleId="Portfolio">
    <w:name w:val="Portfolio"/>
    <w:basedOn w:val="OPCParaBase"/>
    <w:rsid w:val="00C7460E"/>
    <w:pPr>
      <w:spacing w:line="240" w:lineRule="auto"/>
    </w:pPr>
    <w:rPr>
      <w:i/>
      <w:sz w:val="20"/>
    </w:rPr>
  </w:style>
  <w:style w:type="paragraph" w:customStyle="1" w:styleId="Preamble">
    <w:name w:val="Preamble"/>
    <w:basedOn w:val="OPCParaBase"/>
    <w:next w:val="Normal"/>
    <w:rsid w:val="00C746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7460E"/>
    <w:pPr>
      <w:spacing w:line="240" w:lineRule="auto"/>
    </w:pPr>
    <w:rPr>
      <w:i/>
      <w:sz w:val="20"/>
    </w:rPr>
  </w:style>
  <w:style w:type="paragraph" w:customStyle="1" w:styleId="Session">
    <w:name w:val="Session"/>
    <w:basedOn w:val="OPCParaBase"/>
    <w:rsid w:val="00C7460E"/>
    <w:pPr>
      <w:spacing w:line="240" w:lineRule="auto"/>
    </w:pPr>
    <w:rPr>
      <w:sz w:val="28"/>
    </w:rPr>
  </w:style>
  <w:style w:type="paragraph" w:customStyle="1" w:styleId="Sponsor">
    <w:name w:val="Sponsor"/>
    <w:basedOn w:val="OPCParaBase"/>
    <w:rsid w:val="00C7460E"/>
    <w:pPr>
      <w:spacing w:line="240" w:lineRule="auto"/>
    </w:pPr>
    <w:rPr>
      <w:i/>
    </w:rPr>
  </w:style>
  <w:style w:type="paragraph" w:customStyle="1" w:styleId="Subitem">
    <w:name w:val="Subitem"/>
    <w:aliases w:val="iss"/>
    <w:basedOn w:val="OPCParaBase"/>
    <w:rsid w:val="00C7460E"/>
    <w:pPr>
      <w:spacing w:before="180" w:line="240" w:lineRule="auto"/>
      <w:ind w:left="709" w:hanging="709"/>
    </w:pPr>
  </w:style>
  <w:style w:type="paragraph" w:customStyle="1" w:styleId="SubitemHead">
    <w:name w:val="SubitemHead"/>
    <w:aliases w:val="issh"/>
    <w:basedOn w:val="OPCParaBase"/>
    <w:rsid w:val="00C746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7460E"/>
    <w:pPr>
      <w:spacing w:before="40" w:line="240" w:lineRule="auto"/>
      <w:ind w:left="1134"/>
    </w:pPr>
  </w:style>
  <w:style w:type="paragraph" w:customStyle="1" w:styleId="SubsectionHead">
    <w:name w:val="SubsectionHead"/>
    <w:aliases w:val="ssh"/>
    <w:basedOn w:val="OPCParaBase"/>
    <w:next w:val="subsection"/>
    <w:rsid w:val="00C7460E"/>
    <w:pPr>
      <w:keepNext/>
      <w:keepLines/>
      <w:spacing w:before="240" w:line="240" w:lineRule="auto"/>
      <w:ind w:left="1134"/>
    </w:pPr>
    <w:rPr>
      <w:i/>
    </w:rPr>
  </w:style>
  <w:style w:type="paragraph" w:customStyle="1" w:styleId="Tablea">
    <w:name w:val="Table(a)"/>
    <w:aliases w:val="ta"/>
    <w:basedOn w:val="OPCParaBase"/>
    <w:rsid w:val="00C7460E"/>
    <w:pPr>
      <w:spacing w:before="60" w:line="240" w:lineRule="auto"/>
      <w:ind w:left="284" w:hanging="284"/>
    </w:pPr>
    <w:rPr>
      <w:sz w:val="20"/>
    </w:rPr>
  </w:style>
  <w:style w:type="paragraph" w:customStyle="1" w:styleId="TableAA">
    <w:name w:val="Table(AA)"/>
    <w:aliases w:val="taaa"/>
    <w:basedOn w:val="OPCParaBase"/>
    <w:rsid w:val="00C746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746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7460E"/>
    <w:pPr>
      <w:spacing w:before="60" w:line="240" w:lineRule="atLeast"/>
    </w:pPr>
    <w:rPr>
      <w:sz w:val="20"/>
    </w:rPr>
  </w:style>
  <w:style w:type="paragraph" w:customStyle="1" w:styleId="TLPBoxTextnote">
    <w:name w:val="TLPBoxText(note"/>
    <w:aliases w:val="right)"/>
    <w:basedOn w:val="OPCParaBase"/>
    <w:rsid w:val="00C746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746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7460E"/>
    <w:pPr>
      <w:spacing w:before="122" w:line="198" w:lineRule="exact"/>
      <w:ind w:left="1985" w:hanging="851"/>
      <w:jc w:val="right"/>
    </w:pPr>
    <w:rPr>
      <w:sz w:val="18"/>
    </w:rPr>
  </w:style>
  <w:style w:type="paragraph" w:customStyle="1" w:styleId="TLPTableBullet">
    <w:name w:val="TLPTableBullet"/>
    <w:aliases w:val="ttb"/>
    <w:basedOn w:val="OPCParaBase"/>
    <w:rsid w:val="00C7460E"/>
    <w:pPr>
      <w:spacing w:line="240" w:lineRule="exact"/>
      <w:ind w:left="284" w:hanging="284"/>
    </w:pPr>
    <w:rPr>
      <w:sz w:val="20"/>
    </w:rPr>
  </w:style>
  <w:style w:type="paragraph" w:styleId="TOC1">
    <w:name w:val="toc 1"/>
    <w:basedOn w:val="OPCParaBase"/>
    <w:next w:val="Normal"/>
    <w:uiPriority w:val="39"/>
    <w:unhideWhenUsed/>
    <w:rsid w:val="00C7460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7460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7460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7460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26B5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746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746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746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746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7460E"/>
    <w:pPr>
      <w:keepLines/>
      <w:spacing w:before="240" w:after="120" w:line="240" w:lineRule="auto"/>
      <w:ind w:left="794"/>
    </w:pPr>
    <w:rPr>
      <w:b/>
      <w:kern w:val="28"/>
      <w:sz w:val="20"/>
    </w:rPr>
  </w:style>
  <w:style w:type="paragraph" w:customStyle="1" w:styleId="TofSectsHeading">
    <w:name w:val="TofSects(Heading)"/>
    <w:basedOn w:val="OPCParaBase"/>
    <w:rsid w:val="00C7460E"/>
    <w:pPr>
      <w:spacing w:before="240" w:after="120" w:line="240" w:lineRule="auto"/>
    </w:pPr>
    <w:rPr>
      <w:b/>
      <w:sz w:val="24"/>
    </w:rPr>
  </w:style>
  <w:style w:type="paragraph" w:customStyle="1" w:styleId="TofSectsSection">
    <w:name w:val="TofSects(Section)"/>
    <w:basedOn w:val="OPCParaBase"/>
    <w:rsid w:val="00C7460E"/>
    <w:pPr>
      <w:keepLines/>
      <w:spacing w:before="40" w:line="240" w:lineRule="auto"/>
      <w:ind w:left="1588" w:hanging="794"/>
    </w:pPr>
    <w:rPr>
      <w:kern w:val="28"/>
      <w:sz w:val="18"/>
    </w:rPr>
  </w:style>
  <w:style w:type="paragraph" w:customStyle="1" w:styleId="TofSectsSubdiv">
    <w:name w:val="TofSects(Subdiv)"/>
    <w:basedOn w:val="OPCParaBase"/>
    <w:rsid w:val="00C7460E"/>
    <w:pPr>
      <w:keepLines/>
      <w:spacing w:before="80" w:line="240" w:lineRule="auto"/>
      <w:ind w:left="1588" w:hanging="794"/>
    </w:pPr>
    <w:rPr>
      <w:kern w:val="28"/>
    </w:rPr>
  </w:style>
  <w:style w:type="paragraph" w:customStyle="1" w:styleId="WRStyle">
    <w:name w:val="WR Style"/>
    <w:aliases w:val="WR"/>
    <w:basedOn w:val="OPCParaBase"/>
    <w:rsid w:val="00C7460E"/>
    <w:pPr>
      <w:spacing w:before="240" w:line="240" w:lineRule="auto"/>
      <w:ind w:left="284" w:hanging="284"/>
    </w:pPr>
    <w:rPr>
      <w:b/>
      <w:i/>
      <w:kern w:val="28"/>
      <w:sz w:val="24"/>
    </w:rPr>
  </w:style>
  <w:style w:type="paragraph" w:customStyle="1" w:styleId="notepara">
    <w:name w:val="note(para)"/>
    <w:aliases w:val="na"/>
    <w:basedOn w:val="OPCParaBase"/>
    <w:rsid w:val="00C7460E"/>
    <w:pPr>
      <w:spacing w:before="40" w:line="198" w:lineRule="exact"/>
      <w:ind w:left="2354" w:hanging="369"/>
    </w:pPr>
    <w:rPr>
      <w:sz w:val="18"/>
    </w:rPr>
  </w:style>
  <w:style w:type="paragraph" w:styleId="Footer">
    <w:name w:val="footer"/>
    <w:link w:val="FooterChar"/>
    <w:rsid w:val="00C746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7460E"/>
    <w:rPr>
      <w:rFonts w:eastAsia="Times New Roman" w:cs="Times New Roman"/>
      <w:sz w:val="22"/>
      <w:szCs w:val="24"/>
      <w:lang w:eastAsia="en-AU"/>
    </w:rPr>
  </w:style>
  <w:style w:type="character" w:styleId="LineNumber">
    <w:name w:val="line number"/>
    <w:basedOn w:val="OPCCharBase"/>
    <w:uiPriority w:val="99"/>
    <w:semiHidden/>
    <w:unhideWhenUsed/>
    <w:rsid w:val="00C7460E"/>
    <w:rPr>
      <w:sz w:val="16"/>
    </w:rPr>
  </w:style>
  <w:style w:type="table" w:customStyle="1" w:styleId="CFlag">
    <w:name w:val="CFlag"/>
    <w:basedOn w:val="TableNormal"/>
    <w:uiPriority w:val="99"/>
    <w:rsid w:val="00C7460E"/>
    <w:rPr>
      <w:rFonts w:eastAsia="Times New Roman" w:cs="Times New Roman"/>
      <w:lang w:eastAsia="en-AU"/>
    </w:rPr>
    <w:tblPr/>
  </w:style>
  <w:style w:type="paragraph" w:customStyle="1" w:styleId="NotesHeading1">
    <w:name w:val="NotesHeading 1"/>
    <w:basedOn w:val="OPCParaBase"/>
    <w:next w:val="Normal"/>
    <w:rsid w:val="00C7460E"/>
    <w:rPr>
      <w:b/>
      <w:sz w:val="28"/>
      <w:szCs w:val="28"/>
    </w:rPr>
  </w:style>
  <w:style w:type="paragraph" w:customStyle="1" w:styleId="NotesHeading2">
    <w:name w:val="NotesHeading 2"/>
    <w:basedOn w:val="OPCParaBase"/>
    <w:next w:val="Normal"/>
    <w:rsid w:val="00C7460E"/>
    <w:rPr>
      <w:b/>
      <w:sz w:val="28"/>
      <w:szCs w:val="28"/>
    </w:rPr>
  </w:style>
  <w:style w:type="paragraph" w:customStyle="1" w:styleId="SignCoverPageEnd">
    <w:name w:val="SignCoverPageEnd"/>
    <w:basedOn w:val="OPCParaBase"/>
    <w:next w:val="Normal"/>
    <w:rsid w:val="00C746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7460E"/>
    <w:pPr>
      <w:pBdr>
        <w:top w:val="single" w:sz="4" w:space="1" w:color="auto"/>
      </w:pBdr>
      <w:spacing w:before="360"/>
      <w:ind w:right="397"/>
      <w:jc w:val="both"/>
    </w:pPr>
  </w:style>
  <w:style w:type="paragraph" w:customStyle="1" w:styleId="Paragraphsub-sub-sub">
    <w:name w:val="Paragraph(sub-sub-sub)"/>
    <w:aliases w:val="aaaa"/>
    <w:basedOn w:val="OPCParaBase"/>
    <w:rsid w:val="00C746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746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746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746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7460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7460E"/>
    <w:pPr>
      <w:spacing w:before="120"/>
    </w:pPr>
  </w:style>
  <w:style w:type="paragraph" w:customStyle="1" w:styleId="TableTextEndNotes">
    <w:name w:val="TableTextEndNotes"/>
    <w:aliases w:val="Tten"/>
    <w:basedOn w:val="Normal"/>
    <w:rsid w:val="00C7460E"/>
    <w:pPr>
      <w:spacing w:before="60" w:line="240" w:lineRule="auto"/>
    </w:pPr>
    <w:rPr>
      <w:rFonts w:cs="Arial"/>
      <w:sz w:val="20"/>
      <w:szCs w:val="22"/>
    </w:rPr>
  </w:style>
  <w:style w:type="paragraph" w:customStyle="1" w:styleId="TableHeading">
    <w:name w:val="TableHeading"/>
    <w:aliases w:val="th"/>
    <w:basedOn w:val="OPCParaBase"/>
    <w:next w:val="Tabletext"/>
    <w:rsid w:val="00C7460E"/>
    <w:pPr>
      <w:keepNext/>
      <w:spacing w:before="60" w:line="240" w:lineRule="atLeast"/>
    </w:pPr>
    <w:rPr>
      <w:b/>
      <w:sz w:val="20"/>
    </w:rPr>
  </w:style>
  <w:style w:type="paragraph" w:customStyle="1" w:styleId="NoteToSubpara">
    <w:name w:val="NoteToSubpara"/>
    <w:aliases w:val="nts"/>
    <w:basedOn w:val="OPCParaBase"/>
    <w:rsid w:val="00C7460E"/>
    <w:pPr>
      <w:spacing w:before="40" w:line="198" w:lineRule="exact"/>
      <w:ind w:left="2835" w:hanging="709"/>
    </w:pPr>
    <w:rPr>
      <w:sz w:val="18"/>
    </w:rPr>
  </w:style>
  <w:style w:type="paragraph" w:customStyle="1" w:styleId="ENoteTableHeading">
    <w:name w:val="ENoteTableHeading"/>
    <w:aliases w:val="enth"/>
    <w:basedOn w:val="OPCParaBase"/>
    <w:rsid w:val="00C7460E"/>
    <w:pPr>
      <w:keepNext/>
      <w:spacing w:before="60" w:line="240" w:lineRule="atLeast"/>
    </w:pPr>
    <w:rPr>
      <w:rFonts w:ascii="Arial" w:hAnsi="Arial"/>
      <w:b/>
      <w:sz w:val="16"/>
    </w:rPr>
  </w:style>
  <w:style w:type="paragraph" w:customStyle="1" w:styleId="ENoteTTi">
    <w:name w:val="ENoteTTi"/>
    <w:aliases w:val="entti"/>
    <w:basedOn w:val="OPCParaBase"/>
    <w:rsid w:val="00C7460E"/>
    <w:pPr>
      <w:keepNext/>
      <w:spacing w:before="60" w:line="240" w:lineRule="atLeast"/>
      <w:ind w:left="170"/>
    </w:pPr>
    <w:rPr>
      <w:sz w:val="16"/>
    </w:rPr>
  </w:style>
  <w:style w:type="paragraph" w:customStyle="1" w:styleId="ENotesHeading1">
    <w:name w:val="ENotesHeading 1"/>
    <w:aliases w:val="Enh1"/>
    <w:basedOn w:val="OPCParaBase"/>
    <w:next w:val="Normal"/>
    <w:rsid w:val="00C7460E"/>
    <w:pPr>
      <w:spacing w:before="120"/>
      <w:outlineLvl w:val="1"/>
    </w:pPr>
    <w:rPr>
      <w:b/>
      <w:sz w:val="28"/>
      <w:szCs w:val="28"/>
    </w:rPr>
  </w:style>
  <w:style w:type="paragraph" w:customStyle="1" w:styleId="ENotesHeading2">
    <w:name w:val="ENotesHeading 2"/>
    <w:aliases w:val="Enh2"/>
    <w:basedOn w:val="OPCParaBase"/>
    <w:next w:val="Normal"/>
    <w:rsid w:val="00C7460E"/>
    <w:pPr>
      <w:spacing w:before="120" w:after="120"/>
      <w:outlineLvl w:val="2"/>
    </w:pPr>
    <w:rPr>
      <w:b/>
      <w:sz w:val="24"/>
      <w:szCs w:val="28"/>
    </w:rPr>
  </w:style>
  <w:style w:type="paragraph" w:customStyle="1" w:styleId="ENoteTTIndentHeading">
    <w:name w:val="ENoteTTIndentHeading"/>
    <w:aliases w:val="enTTHi"/>
    <w:basedOn w:val="OPCParaBase"/>
    <w:rsid w:val="00C746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7460E"/>
    <w:pPr>
      <w:spacing w:before="60" w:line="240" w:lineRule="atLeast"/>
    </w:pPr>
    <w:rPr>
      <w:sz w:val="16"/>
    </w:rPr>
  </w:style>
  <w:style w:type="paragraph" w:customStyle="1" w:styleId="MadeunderText">
    <w:name w:val="MadeunderText"/>
    <w:basedOn w:val="OPCParaBase"/>
    <w:next w:val="Normal"/>
    <w:rsid w:val="00C7460E"/>
    <w:pPr>
      <w:spacing w:before="240"/>
    </w:pPr>
    <w:rPr>
      <w:sz w:val="24"/>
      <w:szCs w:val="24"/>
    </w:rPr>
  </w:style>
  <w:style w:type="paragraph" w:customStyle="1" w:styleId="ENotesHeading3">
    <w:name w:val="ENotesHeading 3"/>
    <w:aliases w:val="Enh3"/>
    <w:basedOn w:val="OPCParaBase"/>
    <w:next w:val="Normal"/>
    <w:rsid w:val="00C7460E"/>
    <w:pPr>
      <w:keepNext/>
      <w:spacing w:before="120" w:line="240" w:lineRule="auto"/>
      <w:outlineLvl w:val="4"/>
    </w:pPr>
    <w:rPr>
      <w:b/>
      <w:szCs w:val="24"/>
    </w:rPr>
  </w:style>
  <w:style w:type="paragraph" w:customStyle="1" w:styleId="SubPartCASA">
    <w:name w:val="SubPart(CASA)"/>
    <w:aliases w:val="csp"/>
    <w:basedOn w:val="OPCParaBase"/>
    <w:next w:val="ActHead3"/>
    <w:rsid w:val="00C7460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7460E"/>
  </w:style>
  <w:style w:type="character" w:customStyle="1" w:styleId="CharSubPartNoCASA">
    <w:name w:val="CharSubPartNo(CASA)"/>
    <w:basedOn w:val="OPCCharBase"/>
    <w:uiPriority w:val="1"/>
    <w:rsid w:val="00C7460E"/>
  </w:style>
  <w:style w:type="paragraph" w:customStyle="1" w:styleId="ENoteTTIndentHeadingSub">
    <w:name w:val="ENoteTTIndentHeadingSub"/>
    <w:aliases w:val="enTTHis"/>
    <w:basedOn w:val="OPCParaBase"/>
    <w:rsid w:val="00C7460E"/>
    <w:pPr>
      <w:keepNext/>
      <w:spacing w:before="60" w:line="240" w:lineRule="atLeast"/>
      <w:ind w:left="340"/>
    </w:pPr>
    <w:rPr>
      <w:b/>
      <w:sz w:val="16"/>
    </w:rPr>
  </w:style>
  <w:style w:type="paragraph" w:customStyle="1" w:styleId="ENoteTTiSub">
    <w:name w:val="ENoteTTiSub"/>
    <w:aliases w:val="enttis"/>
    <w:basedOn w:val="OPCParaBase"/>
    <w:rsid w:val="00C7460E"/>
    <w:pPr>
      <w:keepNext/>
      <w:spacing w:before="60" w:line="240" w:lineRule="atLeast"/>
      <w:ind w:left="340"/>
    </w:pPr>
    <w:rPr>
      <w:sz w:val="16"/>
    </w:rPr>
  </w:style>
  <w:style w:type="paragraph" w:customStyle="1" w:styleId="SubDivisionMigration">
    <w:name w:val="SubDivisionMigration"/>
    <w:aliases w:val="sdm"/>
    <w:basedOn w:val="OPCParaBase"/>
    <w:rsid w:val="00C746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7460E"/>
    <w:pPr>
      <w:keepNext/>
      <w:keepLines/>
      <w:spacing w:before="240" w:line="240" w:lineRule="auto"/>
      <w:ind w:left="1134" w:hanging="1134"/>
    </w:pPr>
    <w:rPr>
      <w:b/>
      <w:sz w:val="28"/>
    </w:rPr>
  </w:style>
  <w:style w:type="table" w:styleId="TableGrid">
    <w:name w:val="Table Grid"/>
    <w:basedOn w:val="TableNormal"/>
    <w:uiPriority w:val="59"/>
    <w:rsid w:val="00C7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7460E"/>
    <w:pPr>
      <w:spacing w:before="122" w:line="240" w:lineRule="auto"/>
      <w:ind w:left="1985" w:hanging="851"/>
    </w:pPr>
    <w:rPr>
      <w:sz w:val="18"/>
    </w:rPr>
  </w:style>
  <w:style w:type="paragraph" w:customStyle="1" w:styleId="FreeForm">
    <w:name w:val="FreeForm"/>
    <w:rsid w:val="00C7460E"/>
    <w:rPr>
      <w:rFonts w:ascii="Arial" w:hAnsi="Arial"/>
      <w:sz w:val="22"/>
    </w:rPr>
  </w:style>
  <w:style w:type="paragraph" w:customStyle="1" w:styleId="SOText">
    <w:name w:val="SO Text"/>
    <w:aliases w:val="sot"/>
    <w:link w:val="SOTextChar"/>
    <w:rsid w:val="00C746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7460E"/>
    <w:rPr>
      <w:sz w:val="22"/>
    </w:rPr>
  </w:style>
  <w:style w:type="paragraph" w:customStyle="1" w:styleId="SOTextNote">
    <w:name w:val="SO TextNote"/>
    <w:aliases w:val="sont"/>
    <w:basedOn w:val="SOText"/>
    <w:qFormat/>
    <w:rsid w:val="00C7460E"/>
    <w:pPr>
      <w:spacing w:before="122" w:line="198" w:lineRule="exact"/>
      <w:ind w:left="1843" w:hanging="709"/>
    </w:pPr>
    <w:rPr>
      <w:sz w:val="18"/>
    </w:rPr>
  </w:style>
  <w:style w:type="paragraph" w:customStyle="1" w:styleId="SOPara">
    <w:name w:val="SO Para"/>
    <w:aliases w:val="soa"/>
    <w:basedOn w:val="SOText"/>
    <w:link w:val="SOParaChar"/>
    <w:qFormat/>
    <w:rsid w:val="00C7460E"/>
    <w:pPr>
      <w:tabs>
        <w:tab w:val="right" w:pos="1786"/>
      </w:tabs>
      <w:spacing w:before="40"/>
      <w:ind w:left="2070" w:hanging="936"/>
    </w:pPr>
  </w:style>
  <w:style w:type="character" w:customStyle="1" w:styleId="SOParaChar">
    <w:name w:val="SO Para Char"/>
    <w:aliases w:val="soa Char"/>
    <w:basedOn w:val="DefaultParagraphFont"/>
    <w:link w:val="SOPara"/>
    <w:rsid w:val="00C7460E"/>
    <w:rPr>
      <w:sz w:val="22"/>
    </w:rPr>
  </w:style>
  <w:style w:type="paragraph" w:customStyle="1" w:styleId="FileName">
    <w:name w:val="FileName"/>
    <w:basedOn w:val="Normal"/>
    <w:rsid w:val="00C7460E"/>
  </w:style>
  <w:style w:type="paragraph" w:customStyle="1" w:styleId="SOHeadBold">
    <w:name w:val="SO HeadBold"/>
    <w:aliases w:val="sohb"/>
    <w:basedOn w:val="SOText"/>
    <w:next w:val="SOText"/>
    <w:link w:val="SOHeadBoldChar"/>
    <w:qFormat/>
    <w:rsid w:val="00C7460E"/>
    <w:rPr>
      <w:b/>
    </w:rPr>
  </w:style>
  <w:style w:type="character" w:customStyle="1" w:styleId="SOHeadBoldChar">
    <w:name w:val="SO HeadBold Char"/>
    <w:aliases w:val="sohb Char"/>
    <w:basedOn w:val="DefaultParagraphFont"/>
    <w:link w:val="SOHeadBold"/>
    <w:rsid w:val="00C7460E"/>
    <w:rPr>
      <w:b/>
      <w:sz w:val="22"/>
    </w:rPr>
  </w:style>
  <w:style w:type="paragraph" w:customStyle="1" w:styleId="SOHeadItalic">
    <w:name w:val="SO HeadItalic"/>
    <w:aliases w:val="sohi"/>
    <w:basedOn w:val="SOText"/>
    <w:next w:val="SOText"/>
    <w:link w:val="SOHeadItalicChar"/>
    <w:qFormat/>
    <w:rsid w:val="00C7460E"/>
    <w:rPr>
      <w:i/>
    </w:rPr>
  </w:style>
  <w:style w:type="character" w:customStyle="1" w:styleId="SOHeadItalicChar">
    <w:name w:val="SO HeadItalic Char"/>
    <w:aliases w:val="sohi Char"/>
    <w:basedOn w:val="DefaultParagraphFont"/>
    <w:link w:val="SOHeadItalic"/>
    <w:rsid w:val="00C7460E"/>
    <w:rPr>
      <w:i/>
      <w:sz w:val="22"/>
    </w:rPr>
  </w:style>
  <w:style w:type="paragraph" w:customStyle="1" w:styleId="SOBullet">
    <w:name w:val="SO Bullet"/>
    <w:aliases w:val="sotb"/>
    <w:basedOn w:val="SOText"/>
    <w:link w:val="SOBulletChar"/>
    <w:qFormat/>
    <w:rsid w:val="00C7460E"/>
    <w:pPr>
      <w:ind w:left="1559" w:hanging="425"/>
    </w:pPr>
  </w:style>
  <w:style w:type="character" w:customStyle="1" w:styleId="SOBulletChar">
    <w:name w:val="SO Bullet Char"/>
    <w:aliases w:val="sotb Char"/>
    <w:basedOn w:val="DefaultParagraphFont"/>
    <w:link w:val="SOBullet"/>
    <w:rsid w:val="00C7460E"/>
    <w:rPr>
      <w:sz w:val="22"/>
    </w:rPr>
  </w:style>
  <w:style w:type="paragraph" w:customStyle="1" w:styleId="SOBulletNote">
    <w:name w:val="SO BulletNote"/>
    <w:aliases w:val="sonb"/>
    <w:basedOn w:val="SOTextNote"/>
    <w:link w:val="SOBulletNoteChar"/>
    <w:qFormat/>
    <w:rsid w:val="00C7460E"/>
    <w:pPr>
      <w:tabs>
        <w:tab w:val="left" w:pos="1560"/>
      </w:tabs>
      <w:ind w:left="2268" w:hanging="1134"/>
    </w:pPr>
  </w:style>
  <w:style w:type="character" w:customStyle="1" w:styleId="SOBulletNoteChar">
    <w:name w:val="SO BulletNote Char"/>
    <w:aliases w:val="sonb Char"/>
    <w:basedOn w:val="DefaultParagraphFont"/>
    <w:link w:val="SOBulletNote"/>
    <w:rsid w:val="00C7460E"/>
    <w:rPr>
      <w:sz w:val="18"/>
    </w:rPr>
  </w:style>
  <w:style w:type="paragraph" w:customStyle="1" w:styleId="SOText2">
    <w:name w:val="SO Text2"/>
    <w:aliases w:val="sot2"/>
    <w:basedOn w:val="Normal"/>
    <w:next w:val="SOText"/>
    <w:link w:val="SOText2Char"/>
    <w:rsid w:val="00C746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7460E"/>
    <w:rPr>
      <w:sz w:val="22"/>
    </w:rPr>
  </w:style>
  <w:style w:type="paragraph" w:customStyle="1" w:styleId="Transitional">
    <w:name w:val="Transitional"/>
    <w:aliases w:val="tr"/>
    <w:basedOn w:val="ItemHead"/>
    <w:next w:val="Item"/>
    <w:rsid w:val="00C7460E"/>
  </w:style>
  <w:style w:type="numbering" w:styleId="111111">
    <w:name w:val="Outline List 2"/>
    <w:basedOn w:val="NoList"/>
    <w:uiPriority w:val="99"/>
    <w:semiHidden/>
    <w:unhideWhenUsed/>
    <w:rsid w:val="00C7460E"/>
    <w:pPr>
      <w:numPr>
        <w:numId w:val="13"/>
      </w:numPr>
    </w:pPr>
  </w:style>
  <w:style w:type="numbering" w:styleId="1ai">
    <w:name w:val="Outline List 1"/>
    <w:basedOn w:val="NoList"/>
    <w:uiPriority w:val="99"/>
    <w:semiHidden/>
    <w:unhideWhenUsed/>
    <w:rsid w:val="00C7460E"/>
    <w:pPr>
      <w:numPr>
        <w:numId w:val="14"/>
      </w:numPr>
    </w:pPr>
  </w:style>
  <w:style w:type="character" w:customStyle="1" w:styleId="Heading1Char">
    <w:name w:val="Heading 1 Char"/>
    <w:basedOn w:val="DefaultParagraphFont"/>
    <w:link w:val="Heading1"/>
    <w:uiPriority w:val="9"/>
    <w:rsid w:val="00C746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7460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7460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7460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C7460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7460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7460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C7460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460E"/>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C7460E"/>
    <w:pPr>
      <w:numPr>
        <w:numId w:val="15"/>
      </w:numPr>
    </w:pPr>
  </w:style>
  <w:style w:type="paragraph" w:styleId="BalloonText">
    <w:name w:val="Balloon Text"/>
    <w:basedOn w:val="Normal"/>
    <w:link w:val="BalloonTextChar"/>
    <w:uiPriority w:val="99"/>
    <w:semiHidden/>
    <w:unhideWhenUsed/>
    <w:rsid w:val="00C7460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60E"/>
    <w:rPr>
      <w:rFonts w:ascii="Segoe UI" w:hAnsi="Segoe UI" w:cs="Segoe UI"/>
      <w:sz w:val="18"/>
      <w:szCs w:val="18"/>
    </w:rPr>
  </w:style>
  <w:style w:type="paragraph" w:styleId="Bibliography">
    <w:name w:val="Bibliography"/>
    <w:basedOn w:val="Normal"/>
    <w:next w:val="Normal"/>
    <w:uiPriority w:val="37"/>
    <w:semiHidden/>
    <w:unhideWhenUsed/>
    <w:rsid w:val="00C7460E"/>
  </w:style>
  <w:style w:type="paragraph" w:styleId="BlockText">
    <w:name w:val="Block Text"/>
    <w:basedOn w:val="Normal"/>
    <w:uiPriority w:val="99"/>
    <w:semiHidden/>
    <w:unhideWhenUsed/>
    <w:rsid w:val="00C7460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C7460E"/>
    <w:pPr>
      <w:spacing w:after="120"/>
    </w:pPr>
  </w:style>
  <w:style w:type="character" w:customStyle="1" w:styleId="BodyTextChar">
    <w:name w:val="Body Text Char"/>
    <w:basedOn w:val="DefaultParagraphFont"/>
    <w:link w:val="BodyText"/>
    <w:uiPriority w:val="99"/>
    <w:semiHidden/>
    <w:rsid w:val="00C7460E"/>
    <w:rPr>
      <w:sz w:val="22"/>
    </w:rPr>
  </w:style>
  <w:style w:type="paragraph" w:styleId="BodyText2">
    <w:name w:val="Body Text 2"/>
    <w:basedOn w:val="Normal"/>
    <w:link w:val="BodyText2Char"/>
    <w:uiPriority w:val="99"/>
    <w:semiHidden/>
    <w:unhideWhenUsed/>
    <w:rsid w:val="00C7460E"/>
    <w:pPr>
      <w:spacing w:after="120" w:line="480" w:lineRule="auto"/>
    </w:pPr>
  </w:style>
  <w:style w:type="character" w:customStyle="1" w:styleId="BodyText2Char">
    <w:name w:val="Body Text 2 Char"/>
    <w:basedOn w:val="DefaultParagraphFont"/>
    <w:link w:val="BodyText2"/>
    <w:uiPriority w:val="99"/>
    <w:semiHidden/>
    <w:rsid w:val="00C7460E"/>
    <w:rPr>
      <w:sz w:val="22"/>
    </w:rPr>
  </w:style>
  <w:style w:type="paragraph" w:styleId="BodyText3">
    <w:name w:val="Body Text 3"/>
    <w:basedOn w:val="Normal"/>
    <w:link w:val="BodyText3Char"/>
    <w:uiPriority w:val="99"/>
    <w:semiHidden/>
    <w:unhideWhenUsed/>
    <w:rsid w:val="00C7460E"/>
    <w:pPr>
      <w:spacing w:after="120"/>
    </w:pPr>
    <w:rPr>
      <w:sz w:val="16"/>
      <w:szCs w:val="16"/>
    </w:rPr>
  </w:style>
  <w:style w:type="character" w:customStyle="1" w:styleId="BodyText3Char">
    <w:name w:val="Body Text 3 Char"/>
    <w:basedOn w:val="DefaultParagraphFont"/>
    <w:link w:val="BodyText3"/>
    <w:uiPriority w:val="99"/>
    <w:semiHidden/>
    <w:rsid w:val="00C7460E"/>
    <w:rPr>
      <w:sz w:val="16"/>
      <w:szCs w:val="16"/>
    </w:rPr>
  </w:style>
  <w:style w:type="paragraph" w:styleId="BodyTextFirstIndent">
    <w:name w:val="Body Text First Indent"/>
    <w:basedOn w:val="BodyText"/>
    <w:link w:val="BodyTextFirstIndentChar"/>
    <w:uiPriority w:val="99"/>
    <w:semiHidden/>
    <w:unhideWhenUsed/>
    <w:rsid w:val="00C7460E"/>
    <w:pPr>
      <w:spacing w:after="0"/>
      <w:ind w:firstLine="360"/>
    </w:pPr>
  </w:style>
  <w:style w:type="character" w:customStyle="1" w:styleId="BodyTextFirstIndentChar">
    <w:name w:val="Body Text First Indent Char"/>
    <w:basedOn w:val="BodyTextChar"/>
    <w:link w:val="BodyTextFirstIndent"/>
    <w:uiPriority w:val="99"/>
    <w:semiHidden/>
    <w:rsid w:val="00C7460E"/>
    <w:rPr>
      <w:sz w:val="22"/>
    </w:rPr>
  </w:style>
  <w:style w:type="paragraph" w:styleId="BodyTextIndent">
    <w:name w:val="Body Text Indent"/>
    <w:basedOn w:val="Normal"/>
    <w:link w:val="BodyTextIndentChar"/>
    <w:uiPriority w:val="99"/>
    <w:semiHidden/>
    <w:unhideWhenUsed/>
    <w:rsid w:val="00C7460E"/>
    <w:pPr>
      <w:spacing w:after="120"/>
      <w:ind w:left="283"/>
    </w:pPr>
  </w:style>
  <w:style w:type="character" w:customStyle="1" w:styleId="BodyTextIndentChar">
    <w:name w:val="Body Text Indent Char"/>
    <w:basedOn w:val="DefaultParagraphFont"/>
    <w:link w:val="BodyTextIndent"/>
    <w:uiPriority w:val="99"/>
    <w:semiHidden/>
    <w:rsid w:val="00C7460E"/>
    <w:rPr>
      <w:sz w:val="22"/>
    </w:rPr>
  </w:style>
  <w:style w:type="paragraph" w:styleId="BodyTextFirstIndent2">
    <w:name w:val="Body Text First Indent 2"/>
    <w:basedOn w:val="BodyTextIndent"/>
    <w:link w:val="BodyTextFirstIndent2Char"/>
    <w:uiPriority w:val="99"/>
    <w:semiHidden/>
    <w:unhideWhenUsed/>
    <w:rsid w:val="00C7460E"/>
    <w:pPr>
      <w:spacing w:after="0"/>
      <w:ind w:left="360" w:firstLine="360"/>
    </w:pPr>
  </w:style>
  <w:style w:type="character" w:customStyle="1" w:styleId="BodyTextFirstIndent2Char">
    <w:name w:val="Body Text First Indent 2 Char"/>
    <w:basedOn w:val="BodyTextIndentChar"/>
    <w:link w:val="BodyTextFirstIndent2"/>
    <w:uiPriority w:val="99"/>
    <w:semiHidden/>
    <w:rsid w:val="00C7460E"/>
    <w:rPr>
      <w:sz w:val="22"/>
    </w:rPr>
  </w:style>
  <w:style w:type="paragraph" w:styleId="BodyTextIndent2">
    <w:name w:val="Body Text Indent 2"/>
    <w:basedOn w:val="Normal"/>
    <w:link w:val="BodyTextIndent2Char"/>
    <w:uiPriority w:val="99"/>
    <w:semiHidden/>
    <w:unhideWhenUsed/>
    <w:rsid w:val="00C7460E"/>
    <w:pPr>
      <w:spacing w:after="120" w:line="480" w:lineRule="auto"/>
      <w:ind w:left="283"/>
    </w:pPr>
  </w:style>
  <w:style w:type="character" w:customStyle="1" w:styleId="BodyTextIndent2Char">
    <w:name w:val="Body Text Indent 2 Char"/>
    <w:basedOn w:val="DefaultParagraphFont"/>
    <w:link w:val="BodyTextIndent2"/>
    <w:uiPriority w:val="99"/>
    <w:semiHidden/>
    <w:rsid w:val="00C7460E"/>
    <w:rPr>
      <w:sz w:val="22"/>
    </w:rPr>
  </w:style>
  <w:style w:type="paragraph" w:styleId="BodyTextIndent3">
    <w:name w:val="Body Text Indent 3"/>
    <w:basedOn w:val="Normal"/>
    <w:link w:val="BodyTextIndent3Char"/>
    <w:uiPriority w:val="99"/>
    <w:semiHidden/>
    <w:unhideWhenUsed/>
    <w:rsid w:val="00C746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7460E"/>
    <w:rPr>
      <w:sz w:val="16"/>
      <w:szCs w:val="16"/>
    </w:rPr>
  </w:style>
  <w:style w:type="character" w:styleId="BookTitle">
    <w:name w:val="Book Title"/>
    <w:basedOn w:val="DefaultParagraphFont"/>
    <w:uiPriority w:val="33"/>
    <w:qFormat/>
    <w:rsid w:val="00C7460E"/>
    <w:rPr>
      <w:b/>
      <w:bCs/>
      <w:i/>
      <w:iCs/>
      <w:spacing w:val="5"/>
    </w:rPr>
  </w:style>
  <w:style w:type="paragraph" w:styleId="Caption">
    <w:name w:val="caption"/>
    <w:basedOn w:val="Normal"/>
    <w:next w:val="Normal"/>
    <w:uiPriority w:val="35"/>
    <w:semiHidden/>
    <w:unhideWhenUsed/>
    <w:qFormat/>
    <w:rsid w:val="00C7460E"/>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C7460E"/>
    <w:pPr>
      <w:spacing w:line="240" w:lineRule="auto"/>
      <w:ind w:left="4252"/>
    </w:pPr>
  </w:style>
  <w:style w:type="character" w:customStyle="1" w:styleId="ClosingChar">
    <w:name w:val="Closing Char"/>
    <w:basedOn w:val="DefaultParagraphFont"/>
    <w:link w:val="Closing"/>
    <w:uiPriority w:val="99"/>
    <w:semiHidden/>
    <w:rsid w:val="00C7460E"/>
    <w:rPr>
      <w:sz w:val="22"/>
    </w:rPr>
  </w:style>
  <w:style w:type="table" w:styleId="ColorfulGrid">
    <w:name w:val="Colorful Grid"/>
    <w:basedOn w:val="TableNormal"/>
    <w:uiPriority w:val="73"/>
    <w:semiHidden/>
    <w:unhideWhenUsed/>
    <w:rsid w:val="00C7460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7460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7460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7460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7460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7460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7460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7460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7460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7460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7460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7460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7460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7460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7460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7460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7460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7460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7460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7460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7460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7460E"/>
    <w:rPr>
      <w:sz w:val="16"/>
      <w:szCs w:val="16"/>
    </w:rPr>
  </w:style>
  <w:style w:type="paragraph" w:styleId="CommentText">
    <w:name w:val="annotation text"/>
    <w:basedOn w:val="Normal"/>
    <w:link w:val="CommentTextChar"/>
    <w:uiPriority w:val="99"/>
    <w:semiHidden/>
    <w:unhideWhenUsed/>
    <w:rsid w:val="00C7460E"/>
    <w:pPr>
      <w:spacing w:line="240" w:lineRule="auto"/>
    </w:pPr>
    <w:rPr>
      <w:sz w:val="20"/>
    </w:rPr>
  </w:style>
  <w:style w:type="character" w:customStyle="1" w:styleId="CommentTextChar">
    <w:name w:val="Comment Text Char"/>
    <w:basedOn w:val="DefaultParagraphFont"/>
    <w:link w:val="CommentText"/>
    <w:uiPriority w:val="99"/>
    <w:semiHidden/>
    <w:rsid w:val="00C7460E"/>
  </w:style>
  <w:style w:type="paragraph" w:styleId="CommentSubject">
    <w:name w:val="annotation subject"/>
    <w:basedOn w:val="CommentText"/>
    <w:next w:val="CommentText"/>
    <w:link w:val="CommentSubjectChar"/>
    <w:uiPriority w:val="99"/>
    <w:semiHidden/>
    <w:unhideWhenUsed/>
    <w:rsid w:val="00C7460E"/>
    <w:rPr>
      <w:b/>
      <w:bCs/>
    </w:rPr>
  </w:style>
  <w:style w:type="character" w:customStyle="1" w:styleId="CommentSubjectChar">
    <w:name w:val="Comment Subject Char"/>
    <w:basedOn w:val="CommentTextChar"/>
    <w:link w:val="CommentSubject"/>
    <w:uiPriority w:val="99"/>
    <w:semiHidden/>
    <w:rsid w:val="00C7460E"/>
    <w:rPr>
      <w:b/>
      <w:bCs/>
    </w:rPr>
  </w:style>
  <w:style w:type="table" w:styleId="DarkList">
    <w:name w:val="Dark List"/>
    <w:basedOn w:val="TableNormal"/>
    <w:uiPriority w:val="70"/>
    <w:semiHidden/>
    <w:unhideWhenUsed/>
    <w:rsid w:val="00C7460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7460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7460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7460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7460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7460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7460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C7460E"/>
  </w:style>
  <w:style w:type="character" w:customStyle="1" w:styleId="DateChar">
    <w:name w:val="Date Char"/>
    <w:basedOn w:val="DefaultParagraphFont"/>
    <w:link w:val="Date"/>
    <w:uiPriority w:val="99"/>
    <w:semiHidden/>
    <w:rsid w:val="00C7460E"/>
    <w:rPr>
      <w:sz w:val="22"/>
    </w:rPr>
  </w:style>
  <w:style w:type="paragraph" w:styleId="DocumentMap">
    <w:name w:val="Document Map"/>
    <w:basedOn w:val="Normal"/>
    <w:link w:val="DocumentMapChar"/>
    <w:uiPriority w:val="99"/>
    <w:semiHidden/>
    <w:unhideWhenUsed/>
    <w:rsid w:val="00C7460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7460E"/>
    <w:rPr>
      <w:rFonts w:ascii="Segoe UI" w:hAnsi="Segoe UI" w:cs="Segoe UI"/>
      <w:sz w:val="16"/>
      <w:szCs w:val="16"/>
    </w:rPr>
  </w:style>
  <w:style w:type="paragraph" w:styleId="E-mailSignature">
    <w:name w:val="E-mail Signature"/>
    <w:basedOn w:val="Normal"/>
    <w:link w:val="E-mailSignatureChar"/>
    <w:uiPriority w:val="99"/>
    <w:semiHidden/>
    <w:unhideWhenUsed/>
    <w:rsid w:val="00C7460E"/>
    <w:pPr>
      <w:spacing w:line="240" w:lineRule="auto"/>
    </w:pPr>
  </w:style>
  <w:style w:type="character" w:customStyle="1" w:styleId="E-mailSignatureChar">
    <w:name w:val="E-mail Signature Char"/>
    <w:basedOn w:val="DefaultParagraphFont"/>
    <w:link w:val="E-mailSignature"/>
    <w:uiPriority w:val="99"/>
    <w:semiHidden/>
    <w:rsid w:val="00C7460E"/>
    <w:rPr>
      <w:sz w:val="22"/>
    </w:rPr>
  </w:style>
  <w:style w:type="character" w:styleId="Emphasis">
    <w:name w:val="Emphasis"/>
    <w:basedOn w:val="DefaultParagraphFont"/>
    <w:uiPriority w:val="20"/>
    <w:qFormat/>
    <w:rsid w:val="00C7460E"/>
    <w:rPr>
      <w:i/>
      <w:iCs/>
    </w:rPr>
  </w:style>
  <w:style w:type="character" w:styleId="EndnoteReference">
    <w:name w:val="endnote reference"/>
    <w:basedOn w:val="DefaultParagraphFont"/>
    <w:uiPriority w:val="99"/>
    <w:semiHidden/>
    <w:unhideWhenUsed/>
    <w:rsid w:val="00C7460E"/>
    <w:rPr>
      <w:vertAlign w:val="superscript"/>
    </w:rPr>
  </w:style>
  <w:style w:type="paragraph" w:styleId="EndnoteText">
    <w:name w:val="endnote text"/>
    <w:basedOn w:val="Normal"/>
    <w:link w:val="EndnoteTextChar"/>
    <w:uiPriority w:val="99"/>
    <w:semiHidden/>
    <w:unhideWhenUsed/>
    <w:rsid w:val="00C7460E"/>
    <w:pPr>
      <w:spacing w:line="240" w:lineRule="auto"/>
    </w:pPr>
    <w:rPr>
      <w:sz w:val="20"/>
    </w:rPr>
  </w:style>
  <w:style w:type="character" w:customStyle="1" w:styleId="EndnoteTextChar">
    <w:name w:val="Endnote Text Char"/>
    <w:basedOn w:val="DefaultParagraphFont"/>
    <w:link w:val="EndnoteText"/>
    <w:uiPriority w:val="99"/>
    <w:semiHidden/>
    <w:rsid w:val="00C7460E"/>
  </w:style>
  <w:style w:type="paragraph" w:styleId="EnvelopeAddress">
    <w:name w:val="envelope address"/>
    <w:basedOn w:val="Normal"/>
    <w:uiPriority w:val="99"/>
    <w:semiHidden/>
    <w:unhideWhenUsed/>
    <w:rsid w:val="00C7460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7460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C7460E"/>
    <w:rPr>
      <w:color w:val="800080" w:themeColor="followedHyperlink"/>
      <w:u w:val="single"/>
    </w:rPr>
  </w:style>
  <w:style w:type="character" w:styleId="FootnoteReference">
    <w:name w:val="footnote reference"/>
    <w:basedOn w:val="DefaultParagraphFont"/>
    <w:uiPriority w:val="99"/>
    <w:semiHidden/>
    <w:unhideWhenUsed/>
    <w:rsid w:val="00C7460E"/>
    <w:rPr>
      <w:vertAlign w:val="superscript"/>
    </w:rPr>
  </w:style>
  <w:style w:type="paragraph" w:styleId="FootnoteText">
    <w:name w:val="footnote text"/>
    <w:basedOn w:val="Normal"/>
    <w:link w:val="FootnoteTextChar"/>
    <w:uiPriority w:val="99"/>
    <w:semiHidden/>
    <w:unhideWhenUsed/>
    <w:rsid w:val="00C7460E"/>
    <w:pPr>
      <w:spacing w:line="240" w:lineRule="auto"/>
    </w:pPr>
    <w:rPr>
      <w:sz w:val="20"/>
    </w:rPr>
  </w:style>
  <w:style w:type="character" w:customStyle="1" w:styleId="FootnoteTextChar">
    <w:name w:val="Footnote Text Char"/>
    <w:basedOn w:val="DefaultParagraphFont"/>
    <w:link w:val="FootnoteText"/>
    <w:uiPriority w:val="99"/>
    <w:semiHidden/>
    <w:rsid w:val="00C7460E"/>
  </w:style>
  <w:style w:type="table" w:styleId="GridTable1Light">
    <w:name w:val="Grid Table 1 Light"/>
    <w:basedOn w:val="TableNormal"/>
    <w:uiPriority w:val="46"/>
    <w:rsid w:val="00C746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7460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7460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7460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7460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7460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7460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7460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7460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7460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7460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7460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7460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7460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746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746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7460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7460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7460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7460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7460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746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746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7460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7460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7460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7460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7460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74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74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74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74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74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74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74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7460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7460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7460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7460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7460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7460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7460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7460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7460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7460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7460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7460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7460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7460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7460E"/>
    <w:rPr>
      <w:color w:val="2B579A"/>
      <w:shd w:val="clear" w:color="auto" w:fill="E1DFDD"/>
    </w:rPr>
  </w:style>
  <w:style w:type="character" w:styleId="HTMLAcronym">
    <w:name w:val="HTML Acronym"/>
    <w:basedOn w:val="DefaultParagraphFont"/>
    <w:uiPriority w:val="99"/>
    <w:semiHidden/>
    <w:unhideWhenUsed/>
    <w:rsid w:val="00C7460E"/>
  </w:style>
  <w:style w:type="paragraph" w:styleId="HTMLAddress">
    <w:name w:val="HTML Address"/>
    <w:basedOn w:val="Normal"/>
    <w:link w:val="HTMLAddressChar"/>
    <w:uiPriority w:val="99"/>
    <w:semiHidden/>
    <w:unhideWhenUsed/>
    <w:rsid w:val="00C7460E"/>
    <w:pPr>
      <w:spacing w:line="240" w:lineRule="auto"/>
    </w:pPr>
    <w:rPr>
      <w:i/>
      <w:iCs/>
    </w:rPr>
  </w:style>
  <w:style w:type="character" w:customStyle="1" w:styleId="HTMLAddressChar">
    <w:name w:val="HTML Address Char"/>
    <w:basedOn w:val="DefaultParagraphFont"/>
    <w:link w:val="HTMLAddress"/>
    <w:uiPriority w:val="99"/>
    <w:semiHidden/>
    <w:rsid w:val="00C7460E"/>
    <w:rPr>
      <w:i/>
      <w:iCs/>
      <w:sz w:val="22"/>
    </w:rPr>
  </w:style>
  <w:style w:type="character" w:styleId="HTMLCite">
    <w:name w:val="HTML Cite"/>
    <w:basedOn w:val="DefaultParagraphFont"/>
    <w:uiPriority w:val="99"/>
    <w:semiHidden/>
    <w:unhideWhenUsed/>
    <w:rsid w:val="00C7460E"/>
    <w:rPr>
      <w:i/>
      <w:iCs/>
    </w:rPr>
  </w:style>
  <w:style w:type="character" w:styleId="HTMLCode">
    <w:name w:val="HTML Code"/>
    <w:basedOn w:val="DefaultParagraphFont"/>
    <w:uiPriority w:val="99"/>
    <w:semiHidden/>
    <w:unhideWhenUsed/>
    <w:rsid w:val="00C7460E"/>
    <w:rPr>
      <w:rFonts w:ascii="Consolas" w:hAnsi="Consolas"/>
      <w:sz w:val="20"/>
      <w:szCs w:val="20"/>
    </w:rPr>
  </w:style>
  <w:style w:type="character" w:styleId="HTMLDefinition">
    <w:name w:val="HTML Definition"/>
    <w:basedOn w:val="DefaultParagraphFont"/>
    <w:uiPriority w:val="99"/>
    <w:semiHidden/>
    <w:unhideWhenUsed/>
    <w:rsid w:val="00C7460E"/>
    <w:rPr>
      <w:i/>
      <w:iCs/>
    </w:rPr>
  </w:style>
  <w:style w:type="character" w:styleId="HTMLKeyboard">
    <w:name w:val="HTML Keyboard"/>
    <w:basedOn w:val="DefaultParagraphFont"/>
    <w:uiPriority w:val="99"/>
    <w:semiHidden/>
    <w:unhideWhenUsed/>
    <w:rsid w:val="00C7460E"/>
    <w:rPr>
      <w:rFonts w:ascii="Consolas" w:hAnsi="Consolas"/>
      <w:sz w:val="20"/>
      <w:szCs w:val="20"/>
    </w:rPr>
  </w:style>
  <w:style w:type="paragraph" w:styleId="HTMLPreformatted">
    <w:name w:val="HTML Preformatted"/>
    <w:basedOn w:val="Normal"/>
    <w:link w:val="HTMLPreformattedChar"/>
    <w:uiPriority w:val="99"/>
    <w:semiHidden/>
    <w:unhideWhenUsed/>
    <w:rsid w:val="00C7460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C7460E"/>
    <w:rPr>
      <w:rFonts w:ascii="Consolas" w:hAnsi="Consolas"/>
    </w:rPr>
  </w:style>
  <w:style w:type="character" w:styleId="HTMLSample">
    <w:name w:val="HTML Sample"/>
    <w:basedOn w:val="DefaultParagraphFont"/>
    <w:uiPriority w:val="99"/>
    <w:semiHidden/>
    <w:unhideWhenUsed/>
    <w:rsid w:val="00C7460E"/>
    <w:rPr>
      <w:rFonts w:ascii="Consolas" w:hAnsi="Consolas"/>
      <w:sz w:val="24"/>
      <w:szCs w:val="24"/>
    </w:rPr>
  </w:style>
  <w:style w:type="character" w:styleId="HTMLTypewriter">
    <w:name w:val="HTML Typewriter"/>
    <w:basedOn w:val="DefaultParagraphFont"/>
    <w:uiPriority w:val="99"/>
    <w:semiHidden/>
    <w:unhideWhenUsed/>
    <w:rsid w:val="00C7460E"/>
    <w:rPr>
      <w:rFonts w:ascii="Consolas" w:hAnsi="Consolas"/>
      <w:sz w:val="20"/>
      <w:szCs w:val="20"/>
    </w:rPr>
  </w:style>
  <w:style w:type="character" w:styleId="HTMLVariable">
    <w:name w:val="HTML Variable"/>
    <w:basedOn w:val="DefaultParagraphFont"/>
    <w:uiPriority w:val="99"/>
    <w:semiHidden/>
    <w:unhideWhenUsed/>
    <w:rsid w:val="00C7460E"/>
    <w:rPr>
      <w:i/>
      <w:iCs/>
    </w:rPr>
  </w:style>
  <w:style w:type="character" w:styleId="Hyperlink">
    <w:name w:val="Hyperlink"/>
    <w:basedOn w:val="DefaultParagraphFont"/>
    <w:uiPriority w:val="99"/>
    <w:semiHidden/>
    <w:unhideWhenUsed/>
    <w:rsid w:val="00C7460E"/>
    <w:rPr>
      <w:color w:val="0000FF" w:themeColor="hyperlink"/>
      <w:u w:val="single"/>
    </w:rPr>
  </w:style>
  <w:style w:type="paragraph" w:styleId="Index1">
    <w:name w:val="index 1"/>
    <w:basedOn w:val="Normal"/>
    <w:next w:val="Normal"/>
    <w:autoRedefine/>
    <w:uiPriority w:val="99"/>
    <w:semiHidden/>
    <w:unhideWhenUsed/>
    <w:rsid w:val="00C7460E"/>
    <w:pPr>
      <w:spacing w:line="240" w:lineRule="auto"/>
      <w:ind w:left="220" w:hanging="220"/>
    </w:pPr>
  </w:style>
  <w:style w:type="paragraph" w:styleId="Index2">
    <w:name w:val="index 2"/>
    <w:basedOn w:val="Normal"/>
    <w:next w:val="Normal"/>
    <w:autoRedefine/>
    <w:uiPriority w:val="99"/>
    <w:semiHidden/>
    <w:unhideWhenUsed/>
    <w:rsid w:val="00C7460E"/>
    <w:pPr>
      <w:spacing w:line="240" w:lineRule="auto"/>
      <w:ind w:left="440" w:hanging="220"/>
    </w:pPr>
  </w:style>
  <w:style w:type="paragraph" w:styleId="Index3">
    <w:name w:val="index 3"/>
    <w:basedOn w:val="Normal"/>
    <w:next w:val="Normal"/>
    <w:autoRedefine/>
    <w:uiPriority w:val="99"/>
    <w:semiHidden/>
    <w:unhideWhenUsed/>
    <w:rsid w:val="00C7460E"/>
    <w:pPr>
      <w:spacing w:line="240" w:lineRule="auto"/>
      <w:ind w:left="660" w:hanging="220"/>
    </w:pPr>
  </w:style>
  <w:style w:type="paragraph" w:styleId="Index4">
    <w:name w:val="index 4"/>
    <w:basedOn w:val="Normal"/>
    <w:next w:val="Normal"/>
    <w:autoRedefine/>
    <w:uiPriority w:val="99"/>
    <w:semiHidden/>
    <w:unhideWhenUsed/>
    <w:rsid w:val="00C7460E"/>
    <w:pPr>
      <w:spacing w:line="240" w:lineRule="auto"/>
      <w:ind w:left="880" w:hanging="220"/>
    </w:pPr>
  </w:style>
  <w:style w:type="paragraph" w:styleId="Index5">
    <w:name w:val="index 5"/>
    <w:basedOn w:val="Normal"/>
    <w:next w:val="Normal"/>
    <w:autoRedefine/>
    <w:uiPriority w:val="99"/>
    <w:semiHidden/>
    <w:unhideWhenUsed/>
    <w:rsid w:val="00C7460E"/>
    <w:pPr>
      <w:spacing w:line="240" w:lineRule="auto"/>
      <w:ind w:left="1100" w:hanging="220"/>
    </w:pPr>
  </w:style>
  <w:style w:type="paragraph" w:styleId="Index6">
    <w:name w:val="index 6"/>
    <w:basedOn w:val="Normal"/>
    <w:next w:val="Normal"/>
    <w:autoRedefine/>
    <w:uiPriority w:val="99"/>
    <w:semiHidden/>
    <w:unhideWhenUsed/>
    <w:rsid w:val="00C7460E"/>
    <w:pPr>
      <w:spacing w:line="240" w:lineRule="auto"/>
      <w:ind w:left="1320" w:hanging="220"/>
    </w:pPr>
  </w:style>
  <w:style w:type="paragraph" w:styleId="Index7">
    <w:name w:val="index 7"/>
    <w:basedOn w:val="Normal"/>
    <w:next w:val="Normal"/>
    <w:autoRedefine/>
    <w:uiPriority w:val="99"/>
    <w:semiHidden/>
    <w:unhideWhenUsed/>
    <w:rsid w:val="00C7460E"/>
    <w:pPr>
      <w:spacing w:line="240" w:lineRule="auto"/>
      <w:ind w:left="1540" w:hanging="220"/>
    </w:pPr>
  </w:style>
  <w:style w:type="paragraph" w:styleId="Index8">
    <w:name w:val="index 8"/>
    <w:basedOn w:val="Normal"/>
    <w:next w:val="Normal"/>
    <w:autoRedefine/>
    <w:uiPriority w:val="99"/>
    <w:semiHidden/>
    <w:unhideWhenUsed/>
    <w:rsid w:val="00C7460E"/>
    <w:pPr>
      <w:spacing w:line="240" w:lineRule="auto"/>
      <w:ind w:left="1760" w:hanging="220"/>
    </w:pPr>
  </w:style>
  <w:style w:type="paragraph" w:styleId="Index9">
    <w:name w:val="index 9"/>
    <w:basedOn w:val="Normal"/>
    <w:next w:val="Normal"/>
    <w:autoRedefine/>
    <w:uiPriority w:val="99"/>
    <w:semiHidden/>
    <w:unhideWhenUsed/>
    <w:rsid w:val="00C7460E"/>
    <w:pPr>
      <w:spacing w:line="240" w:lineRule="auto"/>
      <w:ind w:left="1980" w:hanging="220"/>
    </w:pPr>
  </w:style>
  <w:style w:type="paragraph" w:styleId="IndexHeading">
    <w:name w:val="index heading"/>
    <w:basedOn w:val="Normal"/>
    <w:next w:val="Index1"/>
    <w:uiPriority w:val="99"/>
    <w:semiHidden/>
    <w:unhideWhenUsed/>
    <w:rsid w:val="00C7460E"/>
    <w:rPr>
      <w:rFonts w:asciiTheme="majorHAnsi" w:eastAsiaTheme="majorEastAsia" w:hAnsiTheme="majorHAnsi" w:cstheme="majorBidi"/>
      <w:b/>
      <w:bCs/>
    </w:rPr>
  </w:style>
  <w:style w:type="character" w:styleId="IntenseEmphasis">
    <w:name w:val="Intense Emphasis"/>
    <w:basedOn w:val="DefaultParagraphFont"/>
    <w:uiPriority w:val="21"/>
    <w:qFormat/>
    <w:rsid w:val="00C7460E"/>
    <w:rPr>
      <w:i/>
      <w:iCs/>
      <w:color w:val="4F81BD" w:themeColor="accent1"/>
    </w:rPr>
  </w:style>
  <w:style w:type="paragraph" w:styleId="IntenseQuote">
    <w:name w:val="Intense Quote"/>
    <w:basedOn w:val="Normal"/>
    <w:next w:val="Normal"/>
    <w:link w:val="IntenseQuoteChar"/>
    <w:uiPriority w:val="30"/>
    <w:qFormat/>
    <w:rsid w:val="00C7460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7460E"/>
    <w:rPr>
      <w:i/>
      <w:iCs/>
      <w:color w:val="4F81BD" w:themeColor="accent1"/>
      <w:sz w:val="22"/>
    </w:rPr>
  </w:style>
  <w:style w:type="character" w:styleId="IntenseReference">
    <w:name w:val="Intense Reference"/>
    <w:basedOn w:val="DefaultParagraphFont"/>
    <w:uiPriority w:val="32"/>
    <w:qFormat/>
    <w:rsid w:val="00C7460E"/>
    <w:rPr>
      <w:b/>
      <w:bCs/>
      <w:smallCaps/>
      <w:color w:val="4F81BD" w:themeColor="accent1"/>
      <w:spacing w:val="5"/>
    </w:rPr>
  </w:style>
  <w:style w:type="table" w:styleId="LightGrid">
    <w:name w:val="Light Grid"/>
    <w:basedOn w:val="TableNormal"/>
    <w:uiPriority w:val="62"/>
    <w:semiHidden/>
    <w:unhideWhenUsed/>
    <w:rsid w:val="00C7460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7460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7460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7460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7460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7460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7460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7460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7460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7460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7460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7460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7460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7460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746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7460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7460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7460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7460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7460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7460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C7460E"/>
    <w:pPr>
      <w:ind w:left="283" w:hanging="283"/>
      <w:contextualSpacing/>
    </w:pPr>
  </w:style>
  <w:style w:type="paragraph" w:styleId="List2">
    <w:name w:val="List 2"/>
    <w:basedOn w:val="Normal"/>
    <w:uiPriority w:val="99"/>
    <w:semiHidden/>
    <w:unhideWhenUsed/>
    <w:rsid w:val="00C7460E"/>
    <w:pPr>
      <w:ind w:left="566" w:hanging="283"/>
      <w:contextualSpacing/>
    </w:pPr>
  </w:style>
  <w:style w:type="paragraph" w:styleId="List3">
    <w:name w:val="List 3"/>
    <w:basedOn w:val="Normal"/>
    <w:uiPriority w:val="99"/>
    <w:semiHidden/>
    <w:unhideWhenUsed/>
    <w:rsid w:val="00C7460E"/>
    <w:pPr>
      <w:ind w:left="849" w:hanging="283"/>
      <w:contextualSpacing/>
    </w:pPr>
  </w:style>
  <w:style w:type="paragraph" w:styleId="List4">
    <w:name w:val="List 4"/>
    <w:basedOn w:val="Normal"/>
    <w:uiPriority w:val="99"/>
    <w:semiHidden/>
    <w:unhideWhenUsed/>
    <w:rsid w:val="00C7460E"/>
    <w:pPr>
      <w:ind w:left="1132" w:hanging="283"/>
      <w:contextualSpacing/>
    </w:pPr>
  </w:style>
  <w:style w:type="paragraph" w:styleId="List5">
    <w:name w:val="List 5"/>
    <w:basedOn w:val="Normal"/>
    <w:uiPriority w:val="99"/>
    <w:semiHidden/>
    <w:unhideWhenUsed/>
    <w:rsid w:val="00C7460E"/>
    <w:pPr>
      <w:ind w:left="1415" w:hanging="283"/>
      <w:contextualSpacing/>
    </w:pPr>
  </w:style>
  <w:style w:type="paragraph" w:styleId="ListBullet">
    <w:name w:val="List Bullet"/>
    <w:basedOn w:val="Normal"/>
    <w:uiPriority w:val="99"/>
    <w:semiHidden/>
    <w:unhideWhenUsed/>
    <w:rsid w:val="00C7460E"/>
    <w:pPr>
      <w:numPr>
        <w:numId w:val="1"/>
      </w:numPr>
      <w:contextualSpacing/>
    </w:pPr>
  </w:style>
  <w:style w:type="paragraph" w:styleId="ListBullet2">
    <w:name w:val="List Bullet 2"/>
    <w:basedOn w:val="Normal"/>
    <w:uiPriority w:val="99"/>
    <w:semiHidden/>
    <w:unhideWhenUsed/>
    <w:rsid w:val="00C7460E"/>
    <w:pPr>
      <w:numPr>
        <w:numId w:val="2"/>
      </w:numPr>
      <w:contextualSpacing/>
    </w:pPr>
  </w:style>
  <w:style w:type="paragraph" w:styleId="ListBullet3">
    <w:name w:val="List Bullet 3"/>
    <w:basedOn w:val="Normal"/>
    <w:uiPriority w:val="99"/>
    <w:semiHidden/>
    <w:unhideWhenUsed/>
    <w:rsid w:val="00C7460E"/>
    <w:pPr>
      <w:numPr>
        <w:numId w:val="3"/>
      </w:numPr>
      <w:contextualSpacing/>
    </w:pPr>
  </w:style>
  <w:style w:type="paragraph" w:styleId="ListBullet4">
    <w:name w:val="List Bullet 4"/>
    <w:basedOn w:val="Normal"/>
    <w:uiPriority w:val="99"/>
    <w:semiHidden/>
    <w:unhideWhenUsed/>
    <w:rsid w:val="00C7460E"/>
    <w:pPr>
      <w:numPr>
        <w:numId w:val="4"/>
      </w:numPr>
      <w:contextualSpacing/>
    </w:pPr>
  </w:style>
  <w:style w:type="paragraph" w:styleId="ListBullet5">
    <w:name w:val="List Bullet 5"/>
    <w:basedOn w:val="Normal"/>
    <w:uiPriority w:val="99"/>
    <w:semiHidden/>
    <w:unhideWhenUsed/>
    <w:rsid w:val="00C7460E"/>
    <w:pPr>
      <w:numPr>
        <w:numId w:val="5"/>
      </w:numPr>
      <w:contextualSpacing/>
    </w:pPr>
  </w:style>
  <w:style w:type="paragraph" w:styleId="ListContinue">
    <w:name w:val="List Continue"/>
    <w:basedOn w:val="Normal"/>
    <w:uiPriority w:val="99"/>
    <w:semiHidden/>
    <w:unhideWhenUsed/>
    <w:rsid w:val="00C7460E"/>
    <w:pPr>
      <w:spacing w:after="120"/>
      <w:ind w:left="283"/>
      <w:contextualSpacing/>
    </w:pPr>
  </w:style>
  <w:style w:type="paragraph" w:styleId="ListContinue2">
    <w:name w:val="List Continue 2"/>
    <w:basedOn w:val="Normal"/>
    <w:uiPriority w:val="99"/>
    <w:semiHidden/>
    <w:unhideWhenUsed/>
    <w:rsid w:val="00C7460E"/>
    <w:pPr>
      <w:spacing w:after="120"/>
      <w:ind w:left="566"/>
      <w:contextualSpacing/>
    </w:pPr>
  </w:style>
  <w:style w:type="paragraph" w:styleId="ListContinue3">
    <w:name w:val="List Continue 3"/>
    <w:basedOn w:val="Normal"/>
    <w:uiPriority w:val="99"/>
    <w:semiHidden/>
    <w:unhideWhenUsed/>
    <w:rsid w:val="00C7460E"/>
    <w:pPr>
      <w:spacing w:after="120"/>
      <w:ind w:left="849"/>
      <w:contextualSpacing/>
    </w:pPr>
  </w:style>
  <w:style w:type="paragraph" w:styleId="ListContinue4">
    <w:name w:val="List Continue 4"/>
    <w:basedOn w:val="Normal"/>
    <w:uiPriority w:val="99"/>
    <w:semiHidden/>
    <w:unhideWhenUsed/>
    <w:rsid w:val="00C7460E"/>
    <w:pPr>
      <w:spacing w:after="120"/>
      <w:ind w:left="1132"/>
      <w:contextualSpacing/>
    </w:pPr>
  </w:style>
  <w:style w:type="paragraph" w:styleId="ListContinue5">
    <w:name w:val="List Continue 5"/>
    <w:basedOn w:val="Normal"/>
    <w:uiPriority w:val="99"/>
    <w:semiHidden/>
    <w:unhideWhenUsed/>
    <w:rsid w:val="00C7460E"/>
    <w:pPr>
      <w:spacing w:after="120"/>
      <w:ind w:left="1415"/>
      <w:contextualSpacing/>
    </w:pPr>
  </w:style>
  <w:style w:type="paragraph" w:styleId="ListNumber">
    <w:name w:val="List Number"/>
    <w:basedOn w:val="Normal"/>
    <w:uiPriority w:val="99"/>
    <w:semiHidden/>
    <w:unhideWhenUsed/>
    <w:rsid w:val="00C7460E"/>
    <w:pPr>
      <w:numPr>
        <w:numId w:val="6"/>
      </w:numPr>
      <w:contextualSpacing/>
    </w:pPr>
  </w:style>
  <w:style w:type="paragraph" w:styleId="ListNumber2">
    <w:name w:val="List Number 2"/>
    <w:basedOn w:val="Normal"/>
    <w:uiPriority w:val="99"/>
    <w:semiHidden/>
    <w:unhideWhenUsed/>
    <w:rsid w:val="00C7460E"/>
    <w:pPr>
      <w:numPr>
        <w:numId w:val="7"/>
      </w:numPr>
      <w:contextualSpacing/>
    </w:pPr>
  </w:style>
  <w:style w:type="paragraph" w:styleId="ListNumber3">
    <w:name w:val="List Number 3"/>
    <w:basedOn w:val="Normal"/>
    <w:uiPriority w:val="99"/>
    <w:semiHidden/>
    <w:unhideWhenUsed/>
    <w:rsid w:val="00C7460E"/>
    <w:pPr>
      <w:numPr>
        <w:numId w:val="8"/>
      </w:numPr>
      <w:contextualSpacing/>
    </w:pPr>
  </w:style>
  <w:style w:type="paragraph" w:styleId="ListNumber4">
    <w:name w:val="List Number 4"/>
    <w:basedOn w:val="Normal"/>
    <w:uiPriority w:val="99"/>
    <w:semiHidden/>
    <w:unhideWhenUsed/>
    <w:rsid w:val="00C7460E"/>
    <w:pPr>
      <w:numPr>
        <w:numId w:val="9"/>
      </w:numPr>
      <w:contextualSpacing/>
    </w:pPr>
  </w:style>
  <w:style w:type="paragraph" w:styleId="ListNumber5">
    <w:name w:val="List Number 5"/>
    <w:basedOn w:val="Normal"/>
    <w:uiPriority w:val="99"/>
    <w:semiHidden/>
    <w:unhideWhenUsed/>
    <w:rsid w:val="00C7460E"/>
    <w:pPr>
      <w:numPr>
        <w:numId w:val="10"/>
      </w:numPr>
      <w:contextualSpacing/>
    </w:pPr>
  </w:style>
  <w:style w:type="paragraph" w:styleId="ListParagraph">
    <w:name w:val="List Paragraph"/>
    <w:basedOn w:val="Normal"/>
    <w:uiPriority w:val="34"/>
    <w:qFormat/>
    <w:rsid w:val="00C7460E"/>
    <w:pPr>
      <w:ind w:left="720"/>
      <w:contextualSpacing/>
    </w:pPr>
  </w:style>
  <w:style w:type="table" w:styleId="ListTable1Light">
    <w:name w:val="List Table 1 Light"/>
    <w:basedOn w:val="TableNormal"/>
    <w:uiPriority w:val="46"/>
    <w:rsid w:val="00C7460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7460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7460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7460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7460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7460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7460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7460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7460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7460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7460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7460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7460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7460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746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7460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7460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7460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7460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7460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7460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746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746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7460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7460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7460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7460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7460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7460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7460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7460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7460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7460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7460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7460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7460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7460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7460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7460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7460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7460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7460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7460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7460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7460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7460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7460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7460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7460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7460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C7460E"/>
    <w:rPr>
      <w:rFonts w:ascii="Consolas" w:hAnsi="Consolas"/>
    </w:rPr>
  </w:style>
  <w:style w:type="table" w:styleId="MediumGrid1">
    <w:name w:val="Medium Grid 1"/>
    <w:basedOn w:val="TableNormal"/>
    <w:uiPriority w:val="67"/>
    <w:semiHidden/>
    <w:unhideWhenUsed/>
    <w:rsid w:val="00C7460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7460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7460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7460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7460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7460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7460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7460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7460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7460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7460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7460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7460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7460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74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74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74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74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74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74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74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7460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7460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7460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7460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7460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7460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7460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7460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7460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7460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7460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7460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7460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7460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7460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7460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7460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7460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7460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7460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7460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74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74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74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74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74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74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74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7460E"/>
    <w:rPr>
      <w:color w:val="2B579A"/>
      <w:shd w:val="clear" w:color="auto" w:fill="E1DFDD"/>
    </w:rPr>
  </w:style>
  <w:style w:type="paragraph" w:styleId="MessageHeader">
    <w:name w:val="Message Header"/>
    <w:basedOn w:val="Normal"/>
    <w:link w:val="MessageHeaderChar"/>
    <w:uiPriority w:val="99"/>
    <w:semiHidden/>
    <w:unhideWhenUsed/>
    <w:rsid w:val="00C7460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7460E"/>
    <w:rPr>
      <w:rFonts w:asciiTheme="majorHAnsi" w:eastAsiaTheme="majorEastAsia" w:hAnsiTheme="majorHAnsi" w:cstheme="majorBidi"/>
      <w:sz w:val="24"/>
      <w:szCs w:val="24"/>
      <w:shd w:val="pct20" w:color="auto" w:fill="auto"/>
    </w:rPr>
  </w:style>
  <w:style w:type="paragraph" w:styleId="NoSpacing">
    <w:name w:val="No Spacing"/>
    <w:uiPriority w:val="1"/>
    <w:qFormat/>
    <w:rsid w:val="00C7460E"/>
    <w:rPr>
      <w:sz w:val="22"/>
    </w:rPr>
  </w:style>
  <w:style w:type="paragraph" w:styleId="NormalWeb">
    <w:name w:val="Normal (Web)"/>
    <w:basedOn w:val="Normal"/>
    <w:uiPriority w:val="99"/>
    <w:semiHidden/>
    <w:unhideWhenUsed/>
    <w:rsid w:val="00C7460E"/>
    <w:rPr>
      <w:rFonts w:cs="Times New Roman"/>
      <w:sz w:val="24"/>
      <w:szCs w:val="24"/>
    </w:rPr>
  </w:style>
  <w:style w:type="paragraph" w:styleId="NormalIndent">
    <w:name w:val="Normal Indent"/>
    <w:basedOn w:val="Normal"/>
    <w:uiPriority w:val="99"/>
    <w:semiHidden/>
    <w:unhideWhenUsed/>
    <w:rsid w:val="00C7460E"/>
    <w:pPr>
      <w:ind w:left="720"/>
    </w:pPr>
  </w:style>
  <w:style w:type="paragraph" w:styleId="NoteHeading">
    <w:name w:val="Note Heading"/>
    <w:basedOn w:val="Normal"/>
    <w:next w:val="Normal"/>
    <w:link w:val="NoteHeadingChar"/>
    <w:uiPriority w:val="99"/>
    <w:semiHidden/>
    <w:unhideWhenUsed/>
    <w:rsid w:val="00C7460E"/>
    <w:pPr>
      <w:spacing w:line="240" w:lineRule="auto"/>
    </w:pPr>
  </w:style>
  <w:style w:type="character" w:customStyle="1" w:styleId="NoteHeadingChar">
    <w:name w:val="Note Heading Char"/>
    <w:basedOn w:val="DefaultParagraphFont"/>
    <w:link w:val="NoteHeading"/>
    <w:uiPriority w:val="99"/>
    <w:semiHidden/>
    <w:rsid w:val="00C7460E"/>
    <w:rPr>
      <w:sz w:val="22"/>
    </w:rPr>
  </w:style>
  <w:style w:type="character" w:styleId="PageNumber">
    <w:name w:val="page number"/>
    <w:basedOn w:val="DefaultParagraphFont"/>
    <w:uiPriority w:val="99"/>
    <w:semiHidden/>
    <w:unhideWhenUsed/>
    <w:rsid w:val="00C7460E"/>
  </w:style>
  <w:style w:type="character" w:styleId="PlaceholderText">
    <w:name w:val="Placeholder Text"/>
    <w:basedOn w:val="DefaultParagraphFont"/>
    <w:uiPriority w:val="99"/>
    <w:semiHidden/>
    <w:rsid w:val="00C7460E"/>
    <w:rPr>
      <w:color w:val="808080"/>
    </w:rPr>
  </w:style>
  <w:style w:type="table" w:styleId="PlainTable1">
    <w:name w:val="Plain Table 1"/>
    <w:basedOn w:val="TableNormal"/>
    <w:uiPriority w:val="41"/>
    <w:rsid w:val="00C746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7460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746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746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7460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7460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7460E"/>
    <w:rPr>
      <w:rFonts w:ascii="Consolas" w:hAnsi="Consolas"/>
      <w:sz w:val="21"/>
      <w:szCs w:val="21"/>
    </w:rPr>
  </w:style>
  <w:style w:type="paragraph" w:styleId="Quote">
    <w:name w:val="Quote"/>
    <w:basedOn w:val="Normal"/>
    <w:next w:val="Normal"/>
    <w:link w:val="QuoteChar"/>
    <w:uiPriority w:val="29"/>
    <w:qFormat/>
    <w:rsid w:val="00C746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460E"/>
    <w:rPr>
      <w:i/>
      <w:iCs/>
      <w:color w:val="404040" w:themeColor="text1" w:themeTint="BF"/>
      <w:sz w:val="22"/>
    </w:rPr>
  </w:style>
  <w:style w:type="paragraph" w:styleId="Salutation">
    <w:name w:val="Salutation"/>
    <w:basedOn w:val="Normal"/>
    <w:next w:val="Normal"/>
    <w:link w:val="SalutationChar"/>
    <w:uiPriority w:val="99"/>
    <w:semiHidden/>
    <w:unhideWhenUsed/>
    <w:rsid w:val="00C7460E"/>
  </w:style>
  <w:style w:type="character" w:customStyle="1" w:styleId="SalutationChar">
    <w:name w:val="Salutation Char"/>
    <w:basedOn w:val="DefaultParagraphFont"/>
    <w:link w:val="Salutation"/>
    <w:uiPriority w:val="99"/>
    <w:semiHidden/>
    <w:rsid w:val="00C7460E"/>
    <w:rPr>
      <w:sz w:val="22"/>
    </w:rPr>
  </w:style>
  <w:style w:type="paragraph" w:styleId="Signature">
    <w:name w:val="Signature"/>
    <w:basedOn w:val="Normal"/>
    <w:link w:val="SignatureChar"/>
    <w:uiPriority w:val="99"/>
    <w:semiHidden/>
    <w:unhideWhenUsed/>
    <w:rsid w:val="00C7460E"/>
    <w:pPr>
      <w:spacing w:line="240" w:lineRule="auto"/>
      <w:ind w:left="4252"/>
    </w:pPr>
  </w:style>
  <w:style w:type="character" w:customStyle="1" w:styleId="SignatureChar">
    <w:name w:val="Signature Char"/>
    <w:basedOn w:val="DefaultParagraphFont"/>
    <w:link w:val="Signature"/>
    <w:uiPriority w:val="99"/>
    <w:semiHidden/>
    <w:rsid w:val="00C7460E"/>
    <w:rPr>
      <w:sz w:val="22"/>
    </w:rPr>
  </w:style>
  <w:style w:type="character" w:styleId="SmartHyperlink">
    <w:name w:val="Smart Hyperlink"/>
    <w:basedOn w:val="DefaultParagraphFont"/>
    <w:uiPriority w:val="99"/>
    <w:semiHidden/>
    <w:unhideWhenUsed/>
    <w:rsid w:val="00C7460E"/>
    <w:rPr>
      <w:u w:val="dotted"/>
    </w:rPr>
  </w:style>
  <w:style w:type="character" w:styleId="Strong">
    <w:name w:val="Strong"/>
    <w:basedOn w:val="DefaultParagraphFont"/>
    <w:uiPriority w:val="22"/>
    <w:qFormat/>
    <w:rsid w:val="00C7460E"/>
    <w:rPr>
      <w:b/>
      <w:bCs/>
    </w:rPr>
  </w:style>
  <w:style w:type="paragraph" w:styleId="Subtitle">
    <w:name w:val="Subtitle"/>
    <w:basedOn w:val="Normal"/>
    <w:next w:val="Normal"/>
    <w:link w:val="SubtitleChar"/>
    <w:uiPriority w:val="11"/>
    <w:qFormat/>
    <w:rsid w:val="00C7460E"/>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C7460E"/>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C7460E"/>
    <w:rPr>
      <w:i/>
      <w:iCs/>
      <w:color w:val="404040" w:themeColor="text1" w:themeTint="BF"/>
    </w:rPr>
  </w:style>
  <w:style w:type="character" w:styleId="SubtleReference">
    <w:name w:val="Subtle Reference"/>
    <w:basedOn w:val="DefaultParagraphFont"/>
    <w:uiPriority w:val="31"/>
    <w:qFormat/>
    <w:rsid w:val="00C7460E"/>
    <w:rPr>
      <w:smallCaps/>
      <w:color w:val="5A5A5A" w:themeColor="text1" w:themeTint="A5"/>
    </w:rPr>
  </w:style>
  <w:style w:type="table" w:styleId="Table3Deffects1">
    <w:name w:val="Table 3D effects 1"/>
    <w:basedOn w:val="TableNormal"/>
    <w:uiPriority w:val="99"/>
    <w:semiHidden/>
    <w:unhideWhenUsed/>
    <w:rsid w:val="00C7460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7460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7460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7460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7460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7460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7460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7460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7460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7460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7460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7460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7460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7460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7460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7460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7460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7460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7460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7460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7460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7460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7460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7460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7460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746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7460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7460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7460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7460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7460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7460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7460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7460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7460E"/>
    <w:pPr>
      <w:ind w:left="220" w:hanging="220"/>
    </w:pPr>
  </w:style>
  <w:style w:type="paragraph" w:styleId="TableofFigures">
    <w:name w:val="table of figures"/>
    <w:basedOn w:val="Normal"/>
    <w:next w:val="Normal"/>
    <w:uiPriority w:val="99"/>
    <w:semiHidden/>
    <w:unhideWhenUsed/>
    <w:rsid w:val="00C7460E"/>
  </w:style>
  <w:style w:type="table" w:styleId="TableProfessional">
    <w:name w:val="Table Professional"/>
    <w:basedOn w:val="TableNormal"/>
    <w:uiPriority w:val="99"/>
    <w:semiHidden/>
    <w:unhideWhenUsed/>
    <w:rsid w:val="00C7460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7460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7460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7460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7460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7460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7460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7460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7460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7460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C7460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60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7460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7460E"/>
    <w:pPr>
      <w:numPr>
        <w:numId w:val="0"/>
      </w:numPr>
      <w:outlineLvl w:val="9"/>
    </w:pPr>
  </w:style>
  <w:style w:type="character" w:styleId="UnresolvedMention">
    <w:name w:val="Unresolved Mention"/>
    <w:basedOn w:val="DefaultParagraphFont"/>
    <w:uiPriority w:val="99"/>
    <w:semiHidden/>
    <w:unhideWhenUsed/>
    <w:rsid w:val="00C7460E"/>
    <w:rPr>
      <w:color w:val="605E5C"/>
      <w:shd w:val="clear" w:color="auto" w:fill="E1DFDD"/>
    </w:rPr>
  </w:style>
  <w:style w:type="character" w:customStyle="1" w:styleId="paragraphChar">
    <w:name w:val="paragraph Char"/>
    <w:aliases w:val="a Char"/>
    <w:link w:val="paragraph"/>
    <w:rsid w:val="00356C69"/>
    <w:rPr>
      <w:rFonts w:eastAsia="Times New Roman" w:cs="Times New Roman"/>
      <w:sz w:val="22"/>
      <w:lang w:eastAsia="en-AU"/>
    </w:rPr>
  </w:style>
  <w:style w:type="character" w:customStyle="1" w:styleId="subsectionChar">
    <w:name w:val="subsection Char"/>
    <w:aliases w:val="ss Char"/>
    <w:link w:val="subsection"/>
    <w:rsid w:val="00356C69"/>
    <w:rPr>
      <w:rFonts w:eastAsia="Times New Roman" w:cs="Times New Roman"/>
      <w:sz w:val="22"/>
      <w:lang w:eastAsia="en-AU"/>
    </w:rPr>
  </w:style>
  <w:style w:type="character" w:customStyle="1" w:styleId="notetextChar">
    <w:name w:val="note(text) Char"/>
    <w:aliases w:val="n Char"/>
    <w:link w:val="notetext"/>
    <w:rsid w:val="00356C69"/>
    <w:rPr>
      <w:rFonts w:eastAsia="Times New Roman" w:cs="Times New Roman"/>
      <w:sz w:val="18"/>
      <w:lang w:eastAsia="en-AU"/>
    </w:rPr>
  </w:style>
  <w:style w:type="character" w:customStyle="1" w:styleId="ActHead5Char">
    <w:name w:val="ActHead 5 Char"/>
    <w:aliases w:val="s Char"/>
    <w:link w:val="ActHead5"/>
    <w:rsid w:val="00356C69"/>
    <w:rPr>
      <w:rFonts w:eastAsia="Times New Roman" w:cs="Times New Roman"/>
      <w:b/>
      <w:kern w:val="28"/>
      <w:sz w:val="24"/>
      <w:lang w:eastAsia="en-AU"/>
    </w:rPr>
  </w:style>
  <w:style w:type="character" w:customStyle="1" w:styleId="subsection2Char">
    <w:name w:val="subsection2 Char"/>
    <w:aliases w:val="ss2 Char"/>
    <w:link w:val="subsection2"/>
    <w:rsid w:val="00356C69"/>
    <w:rPr>
      <w:rFonts w:eastAsia="Times New Roman" w:cs="Times New Roman"/>
      <w:sz w:val="22"/>
      <w:lang w:eastAsia="en-AU"/>
    </w:rPr>
  </w:style>
  <w:style w:type="paragraph" w:customStyle="1" w:styleId="ShortTP1">
    <w:name w:val="ShortTP1"/>
    <w:basedOn w:val="ShortT"/>
    <w:link w:val="ShortTP1Char"/>
    <w:rsid w:val="002B353C"/>
    <w:pPr>
      <w:spacing w:before="800"/>
    </w:pPr>
  </w:style>
  <w:style w:type="character" w:customStyle="1" w:styleId="ShortTP1Char">
    <w:name w:val="ShortTP1 Char"/>
    <w:basedOn w:val="DefaultParagraphFont"/>
    <w:link w:val="ShortTP1"/>
    <w:rsid w:val="002B353C"/>
    <w:rPr>
      <w:rFonts w:eastAsia="Times New Roman" w:cs="Times New Roman"/>
      <w:b/>
      <w:sz w:val="40"/>
      <w:lang w:eastAsia="en-AU"/>
    </w:rPr>
  </w:style>
  <w:style w:type="paragraph" w:customStyle="1" w:styleId="ActNoP1">
    <w:name w:val="ActNoP1"/>
    <w:basedOn w:val="Actno"/>
    <w:link w:val="ActNoP1Char"/>
    <w:rsid w:val="002B353C"/>
    <w:pPr>
      <w:spacing w:before="800"/>
    </w:pPr>
    <w:rPr>
      <w:sz w:val="28"/>
    </w:rPr>
  </w:style>
  <w:style w:type="character" w:customStyle="1" w:styleId="ActNoP1Char">
    <w:name w:val="ActNoP1 Char"/>
    <w:basedOn w:val="DefaultParagraphFont"/>
    <w:link w:val="ActNoP1"/>
    <w:rsid w:val="002B353C"/>
    <w:rPr>
      <w:rFonts w:eastAsia="Times New Roman" w:cs="Times New Roman"/>
      <w:b/>
      <w:sz w:val="28"/>
      <w:lang w:eastAsia="en-AU"/>
    </w:rPr>
  </w:style>
  <w:style w:type="paragraph" w:customStyle="1" w:styleId="AssentBk">
    <w:name w:val="AssentBk"/>
    <w:basedOn w:val="Normal"/>
    <w:rsid w:val="002B353C"/>
    <w:pPr>
      <w:spacing w:line="240" w:lineRule="auto"/>
    </w:pPr>
    <w:rPr>
      <w:rFonts w:eastAsia="Times New Roman" w:cs="Times New Roman"/>
      <w:sz w:val="20"/>
      <w:lang w:eastAsia="en-AU"/>
    </w:rPr>
  </w:style>
  <w:style w:type="paragraph" w:customStyle="1" w:styleId="AssentDt">
    <w:name w:val="AssentDt"/>
    <w:basedOn w:val="Normal"/>
    <w:rsid w:val="005A4B07"/>
    <w:pPr>
      <w:spacing w:line="240" w:lineRule="auto"/>
    </w:pPr>
    <w:rPr>
      <w:rFonts w:eastAsia="Times New Roman" w:cs="Times New Roman"/>
      <w:sz w:val="20"/>
      <w:lang w:eastAsia="en-AU"/>
    </w:rPr>
  </w:style>
  <w:style w:type="paragraph" w:customStyle="1" w:styleId="2ndRd">
    <w:name w:val="2ndRd"/>
    <w:basedOn w:val="Normal"/>
    <w:rsid w:val="005A4B07"/>
    <w:pPr>
      <w:spacing w:line="240" w:lineRule="auto"/>
    </w:pPr>
    <w:rPr>
      <w:rFonts w:eastAsia="Times New Roman" w:cs="Times New Roman"/>
      <w:sz w:val="20"/>
      <w:lang w:eastAsia="en-AU"/>
    </w:rPr>
  </w:style>
  <w:style w:type="paragraph" w:customStyle="1" w:styleId="ScalePlusRef">
    <w:name w:val="ScalePlusRef"/>
    <w:basedOn w:val="Normal"/>
    <w:rsid w:val="005A4B0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ling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21</Pages>
  <Words>7063</Words>
  <Characters>38072</Characters>
  <Application>Microsoft Office Word</Application>
  <DocSecurity>0</DocSecurity>
  <PresentationFormat/>
  <Lines>594</Lines>
  <Paragraphs>389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2024-08-15T04:18:00Z</dcterms:created>
  <dcterms:modified xsi:type="dcterms:W3CDTF">2024-10-02T07:03:00Z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Paid Parental Leave Amendment (Adding Superannuation for a More Secure Retirement) Act 2024</vt:lpwstr>
  </property>
  <property fmtid="{D5CDD505-2E9C-101B-9397-08002B2CF9AE}" pid="3" name="ActNo">
    <vt:lpwstr>No. 90,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DoNotAsk">
    <vt:lpwstr>0</vt:lpwstr>
  </property>
  <property fmtid="{D5CDD505-2E9C-101B-9397-08002B2CF9AE}" pid="10" name="ChangedTitle">
    <vt:lpwstr/>
  </property>
  <property fmtid="{D5CDD505-2E9C-101B-9397-08002B2CF9AE}" pid="11" name="ID">
    <vt:lpwstr>OPC8618</vt:lpwstr>
  </property>
  <property fmtid="{D5CDD505-2E9C-101B-9397-08002B2CF9AE}" pid="12" name="MSIP_Label_234ea0fa-41da-4eb0-b95e-07c328641c0b_Enabled">
    <vt:lpwstr>true</vt:lpwstr>
  </property>
  <property fmtid="{D5CDD505-2E9C-101B-9397-08002B2CF9AE}" pid="13" name="MSIP_Label_234ea0fa-41da-4eb0-b95e-07c328641c0b_SetDate">
    <vt:lpwstr>2024-09-19T06:08:29Z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6df5f178-56f3-4d9b-8a80-a5fa1c4b24b0</vt:lpwstr>
  </property>
  <property fmtid="{D5CDD505-2E9C-101B-9397-08002B2CF9AE}" pid="18" name="MSIP_Label_234ea0fa-41da-4eb0-b95e-07c328641c0b_ContentBits">
    <vt:lpwstr>0</vt:lpwstr>
  </property>
</Properties>
</file>