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3075236"/>
    <w:p w14:paraId="70B3BF8F" w14:textId="38B7A1FA" w:rsidR="00814893" w:rsidRDefault="00814893" w:rsidP="00814893">
      <w:r>
        <w:object w:dxaOrig="2146" w:dyaOrig="1561" w14:anchorId="0DFA1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5pt;height:78.1pt" o:ole="" fillcolor="window">
            <v:imagedata r:id="rId7" o:title=""/>
          </v:shape>
          <o:OLEObject Type="Embed" ProgID="Word.Picture.8" ShapeID="_x0000_i1026" DrawAspect="Content" ObjectID="_1795507155" r:id="rId8"/>
        </w:object>
      </w:r>
    </w:p>
    <w:p w14:paraId="14A26AFE" w14:textId="77777777" w:rsidR="00814893" w:rsidRDefault="00814893" w:rsidP="00814893"/>
    <w:p w14:paraId="63899B5E" w14:textId="77777777" w:rsidR="00814893" w:rsidRDefault="00814893" w:rsidP="00814893"/>
    <w:p w14:paraId="6826EFEF" w14:textId="77777777" w:rsidR="00814893" w:rsidRDefault="00814893" w:rsidP="00814893"/>
    <w:p w14:paraId="0B5863B3" w14:textId="77777777" w:rsidR="00814893" w:rsidRDefault="00814893" w:rsidP="00814893"/>
    <w:p w14:paraId="00CE66C2" w14:textId="77777777" w:rsidR="00814893" w:rsidRDefault="00814893" w:rsidP="00814893"/>
    <w:p w14:paraId="1269FB9F" w14:textId="77777777" w:rsidR="00814893" w:rsidRDefault="00814893" w:rsidP="00814893"/>
    <w:bookmarkEnd w:id="0"/>
    <w:p w14:paraId="033106EE" w14:textId="79B0A37E" w:rsidR="0048364F" w:rsidRPr="001D517F" w:rsidRDefault="00814893" w:rsidP="00814893">
      <w:pPr>
        <w:pStyle w:val="ShortT"/>
      </w:pPr>
      <w:r>
        <w:t>Treasury Laws Amendment (Fairer for Families and Farmers and Other Measures) Act 2024</w:t>
      </w:r>
    </w:p>
    <w:p w14:paraId="0AE379A8" w14:textId="1FFF2A49" w:rsidR="0048364F" w:rsidRPr="001D517F" w:rsidRDefault="00C164CA" w:rsidP="00814893">
      <w:pPr>
        <w:pStyle w:val="Actno"/>
        <w:spacing w:before="400"/>
      </w:pPr>
      <w:r w:rsidRPr="001D517F">
        <w:t>No.</w:t>
      </w:r>
      <w:r w:rsidR="00E931D8">
        <w:t xml:space="preserve"> 136</w:t>
      </w:r>
      <w:r w:rsidRPr="001D517F">
        <w:t xml:space="preserve">, </w:t>
      </w:r>
      <w:r w:rsidR="00B92576" w:rsidRPr="001D517F">
        <w:t>2024</w:t>
      </w:r>
    </w:p>
    <w:p w14:paraId="53BEE76B" w14:textId="77777777" w:rsidR="0048364F" w:rsidRPr="001D517F" w:rsidRDefault="0048364F" w:rsidP="0048364F"/>
    <w:p w14:paraId="719DCB6D" w14:textId="77777777" w:rsidR="009B7587" w:rsidRDefault="009B7587" w:rsidP="009B7587">
      <w:pPr>
        <w:rPr>
          <w:lang w:eastAsia="en-AU"/>
        </w:rPr>
      </w:pPr>
    </w:p>
    <w:p w14:paraId="47782219" w14:textId="07B2CE37" w:rsidR="0048364F" w:rsidRPr="001D517F" w:rsidRDefault="0048364F" w:rsidP="0048364F"/>
    <w:p w14:paraId="66C0F2D8" w14:textId="77777777" w:rsidR="0048364F" w:rsidRPr="001D517F" w:rsidRDefault="0048364F" w:rsidP="0048364F"/>
    <w:p w14:paraId="1331398A" w14:textId="77777777" w:rsidR="0048364F" w:rsidRPr="001D517F" w:rsidRDefault="0048364F" w:rsidP="0048364F"/>
    <w:p w14:paraId="410FE277" w14:textId="77777777" w:rsidR="00814893" w:rsidRDefault="00814893" w:rsidP="00814893">
      <w:pPr>
        <w:pStyle w:val="LongT"/>
      </w:pPr>
      <w:r>
        <w:t>An Act to amend the law relating to the cessation of the registries modernisation program, information and safety standards, Housing Australia, industry codes, taxation, corporations, financial services and foreign acquisitions and takeovers, and for other purposes</w:t>
      </w:r>
    </w:p>
    <w:p w14:paraId="5AF20A01" w14:textId="0D48E899" w:rsidR="00EC2CCA" w:rsidRPr="00A15312" w:rsidRDefault="00EC2CCA" w:rsidP="00EC2CCA">
      <w:pPr>
        <w:pStyle w:val="Header"/>
        <w:tabs>
          <w:tab w:val="clear" w:pos="4150"/>
          <w:tab w:val="clear" w:pos="8307"/>
        </w:tabs>
      </w:pPr>
      <w:r w:rsidRPr="00A15312">
        <w:rPr>
          <w:rStyle w:val="CharAmSchNo"/>
        </w:rPr>
        <w:t xml:space="preserve"> </w:t>
      </w:r>
      <w:r w:rsidRPr="00A15312">
        <w:rPr>
          <w:rStyle w:val="CharAmSchText"/>
        </w:rPr>
        <w:t xml:space="preserve"> </w:t>
      </w:r>
    </w:p>
    <w:p w14:paraId="1276BE01" w14:textId="77777777" w:rsidR="00EC2CCA" w:rsidRPr="00A15312" w:rsidRDefault="00EC2CCA" w:rsidP="00EC2CCA">
      <w:pPr>
        <w:pStyle w:val="Header"/>
        <w:tabs>
          <w:tab w:val="clear" w:pos="4150"/>
          <w:tab w:val="clear" w:pos="8307"/>
        </w:tabs>
      </w:pPr>
      <w:r w:rsidRPr="00A15312">
        <w:rPr>
          <w:rStyle w:val="CharAmPartNo"/>
        </w:rPr>
        <w:t xml:space="preserve"> </w:t>
      </w:r>
      <w:r w:rsidRPr="00A15312">
        <w:rPr>
          <w:rStyle w:val="CharAmPartText"/>
        </w:rPr>
        <w:t xml:space="preserve"> </w:t>
      </w:r>
    </w:p>
    <w:p w14:paraId="7063E694" w14:textId="77777777" w:rsidR="0048364F" w:rsidRPr="001D517F" w:rsidRDefault="0048364F" w:rsidP="0048364F">
      <w:pPr>
        <w:sectPr w:rsidR="0048364F" w:rsidRPr="001D517F" w:rsidSect="0081489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391C123" w14:textId="77777777" w:rsidR="0048364F" w:rsidRPr="001D517F" w:rsidRDefault="0048364F" w:rsidP="0048364F">
      <w:pPr>
        <w:outlineLvl w:val="0"/>
        <w:rPr>
          <w:sz w:val="36"/>
        </w:rPr>
      </w:pPr>
      <w:r w:rsidRPr="001D517F">
        <w:rPr>
          <w:sz w:val="36"/>
        </w:rPr>
        <w:lastRenderedPageBreak/>
        <w:t>Contents</w:t>
      </w:r>
    </w:p>
    <w:p w14:paraId="34B8B595" w14:textId="0658C5F2" w:rsidR="00FF77E7" w:rsidRDefault="00FF77E7" w:rsidP="00FF77E7">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FF77E7">
        <w:rPr>
          <w:noProof/>
        </w:rPr>
        <w:tab/>
      </w:r>
      <w:r w:rsidRPr="00FF77E7">
        <w:rPr>
          <w:noProof/>
        </w:rPr>
        <w:fldChar w:fldCharType="begin"/>
      </w:r>
      <w:r w:rsidRPr="00FF77E7">
        <w:rPr>
          <w:noProof/>
        </w:rPr>
        <w:instrText xml:space="preserve"> PAGEREF _Toc184888256 \h </w:instrText>
      </w:r>
      <w:r w:rsidRPr="00FF77E7">
        <w:rPr>
          <w:noProof/>
        </w:rPr>
      </w:r>
      <w:r w:rsidRPr="00FF77E7">
        <w:rPr>
          <w:noProof/>
        </w:rPr>
        <w:fldChar w:fldCharType="separate"/>
      </w:r>
      <w:r w:rsidR="001113FA">
        <w:rPr>
          <w:noProof/>
        </w:rPr>
        <w:t>2</w:t>
      </w:r>
      <w:r w:rsidRPr="00FF77E7">
        <w:rPr>
          <w:noProof/>
        </w:rPr>
        <w:fldChar w:fldCharType="end"/>
      </w:r>
    </w:p>
    <w:p w14:paraId="2D1ADD49" w14:textId="3FA7E207" w:rsidR="00FF77E7" w:rsidRDefault="00FF77E7" w:rsidP="00FF77E7">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F77E7">
        <w:rPr>
          <w:noProof/>
        </w:rPr>
        <w:tab/>
      </w:r>
      <w:r w:rsidRPr="00FF77E7">
        <w:rPr>
          <w:noProof/>
        </w:rPr>
        <w:fldChar w:fldCharType="begin"/>
      </w:r>
      <w:r w:rsidRPr="00FF77E7">
        <w:rPr>
          <w:noProof/>
        </w:rPr>
        <w:instrText xml:space="preserve"> PAGEREF _Toc184888257 \h </w:instrText>
      </w:r>
      <w:r w:rsidRPr="00FF77E7">
        <w:rPr>
          <w:noProof/>
        </w:rPr>
      </w:r>
      <w:r w:rsidRPr="00FF77E7">
        <w:rPr>
          <w:noProof/>
        </w:rPr>
        <w:fldChar w:fldCharType="separate"/>
      </w:r>
      <w:r w:rsidR="001113FA">
        <w:rPr>
          <w:noProof/>
        </w:rPr>
        <w:t>2</w:t>
      </w:r>
      <w:r w:rsidRPr="00FF77E7">
        <w:rPr>
          <w:noProof/>
        </w:rPr>
        <w:fldChar w:fldCharType="end"/>
      </w:r>
    </w:p>
    <w:p w14:paraId="7AA81049" w14:textId="09D6E2B3" w:rsidR="00FF77E7" w:rsidRDefault="00FF77E7" w:rsidP="00FF77E7">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FF77E7">
        <w:rPr>
          <w:noProof/>
        </w:rPr>
        <w:tab/>
      </w:r>
      <w:r w:rsidRPr="00FF77E7">
        <w:rPr>
          <w:noProof/>
        </w:rPr>
        <w:fldChar w:fldCharType="begin"/>
      </w:r>
      <w:r w:rsidRPr="00FF77E7">
        <w:rPr>
          <w:noProof/>
        </w:rPr>
        <w:instrText xml:space="preserve"> PAGEREF _Toc184888258 \h </w:instrText>
      </w:r>
      <w:r w:rsidRPr="00FF77E7">
        <w:rPr>
          <w:noProof/>
        </w:rPr>
      </w:r>
      <w:r w:rsidRPr="00FF77E7">
        <w:rPr>
          <w:noProof/>
        </w:rPr>
        <w:fldChar w:fldCharType="separate"/>
      </w:r>
      <w:r w:rsidR="001113FA">
        <w:rPr>
          <w:noProof/>
        </w:rPr>
        <w:t>3</w:t>
      </w:r>
      <w:r w:rsidRPr="00FF77E7">
        <w:rPr>
          <w:noProof/>
        </w:rPr>
        <w:fldChar w:fldCharType="end"/>
      </w:r>
    </w:p>
    <w:p w14:paraId="1C85A766" w14:textId="53EB5B48" w:rsidR="00FF77E7" w:rsidRDefault="00FF77E7">
      <w:pPr>
        <w:pStyle w:val="TOC6"/>
        <w:rPr>
          <w:rFonts w:asciiTheme="minorHAnsi" w:eastAsiaTheme="minorEastAsia" w:hAnsiTheme="minorHAnsi" w:cstheme="minorBidi"/>
          <w:b w:val="0"/>
          <w:noProof/>
          <w:kern w:val="2"/>
          <w:szCs w:val="24"/>
          <w14:ligatures w14:val="standardContextual"/>
        </w:rPr>
      </w:pPr>
      <w:r>
        <w:rPr>
          <w:noProof/>
        </w:rPr>
        <w:t>Schedule 1—Amendments relating to the cessation of registries modernisation program</w:t>
      </w:r>
      <w:r w:rsidRPr="00FF77E7">
        <w:rPr>
          <w:b w:val="0"/>
          <w:noProof/>
          <w:sz w:val="18"/>
        </w:rPr>
        <w:tab/>
      </w:r>
      <w:r w:rsidRPr="00FF77E7">
        <w:rPr>
          <w:b w:val="0"/>
          <w:noProof/>
          <w:sz w:val="18"/>
        </w:rPr>
        <w:fldChar w:fldCharType="begin"/>
      </w:r>
      <w:r w:rsidRPr="00FF77E7">
        <w:rPr>
          <w:b w:val="0"/>
          <w:noProof/>
          <w:sz w:val="18"/>
        </w:rPr>
        <w:instrText xml:space="preserve"> PAGEREF _Toc184888259 \h </w:instrText>
      </w:r>
      <w:r w:rsidRPr="00FF77E7">
        <w:rPr>
          <w:b w:val="0"/>
          <w:noProof/>
          <w:sz w:val="18"/>
        </w:rPr>
      </w:r>
      <w:r w:rsidRPr="00FF77E7">
        <w:rPr>
          <w:b w:val="0"/>
          <w:noProof/>
          <w:sz w:val="18"/>
        </w:rPr>
        <w:fldChar w:fldCharType="separate"/>
      </w:r>
      <w:r w:rsidR="001113FA">
        <w:rPr>
          <w:b w:val="0"/>
          <w:noProof/>
          <w:sz w:val="18"/>
        </w:rPr>
        <w:t>5</w:t>
      </w:r>
      <w:r w:rsidRPr="00FF77E7">
        <w:rPr>
          <w:b w:val="0"/>
          <w:noProof/>
          <w:sz w:val="18"/>
        </w:rPr>
        <w:fldChar w:fldCharType="end"/>
      </w:r>
    </w:p>
    <w:p w14:paraId="4E73B6AA" w14:textId="03A667C4" w:rsidR="00FF77E7" w:rsidRDefault="00FF77E7">
      <w:pPr>
        <w:pStyle w:val="TOC7"/>
        <w:rPr>
          <w:rFonts w:asciiTheme="minorHAnsi" w:eastAsiaTheme="minorEastAsia" w:hAnsiTheme="minorHAnsi" w:cstheme="minorBidi"/>
          <w:noProof/>
          <w:kern w:val="2"/>
          <w:szCs w:val="24"/>
          <w14:ligatures w14:val="standardContextual"/>
        </w:rPr>
      </w:pPr>
      <w:r>
        <w:rPr>
          <w:noProof/>
        </w:rPr>
        <w:t>Part 1—Transferred staff members</w:t>
      </w:r>
      <w:r w:rsidRPr="00FF77E7">
        <w:rPr>
          <w:noProof/>
          <w:sz w:val="18"/>
        </w:rPr>
        <w:tab/>
      </w:r>
      <w:r w:rsidRPr="00FF77E7">
        <w:rPr>
          <w:noProof/>
          <w:sz w:val="18"/>
        </w:rPr>
        <w:fldChar w:fldCharType="begin"/>
      </w:r>
      <w:r w:rsidRPr="00FF77E7">
        <w:rPr>
          <w:noProof/>
          <w:sz w:val="18"/>
        </w:rPr>
        <w:instrText xml:space="preserve"> PAGEREF _Toc184888260 \h </w:instrText>
      </w:r>
      <w:r w:rsidRPr="00FF77E7">
        <w:rPr>
          <w:noProof/>
          <w:sz w:val="18"/>
        </w:rPr>
      </w:r>
      <w:r w:rsidRPr="00FF77E7">
        <w:rPr>
          <w:noProof/>
          <w:sz w:val="18"/>
        </w:rPr>
        <w:fldChar w:fldCharType="separate"/>
      </w:r>
      <w:r w:rsidR="001113FA">
        <w:rPr>
          <w:noProof/>
          <w:sz w:val="18"/>
        </w:rPr>
        <w:t>5</w:t>
      </w:r>
      <w:r w:rsidRPr="00FF77E7">
        <w:rPr>
          <w:noProof/>
          <w:sz w:val="18"/>
        </w:rPr>
        <w:fldChar w:fldCharType="end"/>
      </w:r>
    </w:p>
    <w:p w14:paraId="483383F4" w14:textId="46C5054A"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Australian Securities and Investments Commission Act 2001</w:t>
      </w:r>
      <w:r w:rsidRPr="00FF77E7">
        <w:rPr>
          <w:i w:val="0"/>
          <w:noProof/>
          <w:sz w:val="18"/>
        </w:rPr>
        <w:tab/>
      </w:r>
      <w:r w:rsidRPr="00FF77E7">
        <w:rPr>
          <w:i w:val="0"/>
          <w:noProof/>
          <w:sz w:val="18"/>
        </w:rPr>
        <w:fldChar w:fldCharType="begin"/>
      </w:r>
      <w:r w:rsidRPr="00FF77E7">
        <w:rPr>
          <w:i w:val="0"/>
          <w:noProof/>
          <w:sz w:val="18"/>
        </w:rPr>
        <w:instrText xml:space="preserve"> PAGEREF _Toc184888261 \h </w:instrText>
      </w:r>
      <w:r w:rsidRPr="00FF77E7">
        <w:rPr>
          <w:i w:val="0"/>
          <w:noProof/>
          <w:sz w:val="18"/>
        </w:rPr>
      </w:r>
      <w:r w:rsidRPr="00FF77E7">
        <w:rPr>
          <w:i w:val="0"/>
          <w:noProof/>
          <w:sz w:val="18"/>
        </w:rPr>
        <w:fldChar w:fldCharType="separate"/>
      </w:r>
      <w:r w:rsidR="001113FA">
        <w:rPr>
          <w:i w:val="0"/>
          <w:noProof/>
          <w:sz w:val="18"/>
        </w:rPr>
        <w:t>5</w:t>
      </w:r>
      <w:r w:rsidRPr="00FF77E7">
        <w:rPr>
          <w:i w:val="0"/>
          <w:noProof/>
          <w:sz w:val="18"/>
        </w:rPr>
        <w:fldChar w:fldCharType="end"/>
      </w:r>
    </w:p>
    <w:p w14:paraId="6511BD6A" w14:textId="4357EB4C" w:rsidR="00FF77E7" w:rsidRDefault="00FF77E7">
      <w:pPr>
        <w:pStyle w:val="TOC7"/>
        <w:rPr>
          <w:rFonts w:asciiTheme="minorHAnsi" w:eastAsiaTheme="minorEastAsia" w:hAnsiTheme="minorHAnsi" w:cstheme="minorBidi"/>
          <w:noProof/>
          <w:kern w:val="2"/>
          <w:szCs w:val="24"/>
          <w14:ligatures w14:val="standardContextual"/>
        </w:rPr>
      </w:pPr>
      <w:r>
        <w:rPr>
          <w:noProof/>
        </w:rPr>
        <w:t>Part 2—Commencement of amendments relating to registries modernisation program</w:t>
      </w:r>
      <w:r w:rsidRPr="00FF77E7">
        <w:rPr>
          <w:noProof/>
          <w:sz w:val="18"/>
        </w:rPr>
        <w:tab/>
      </w:r>
      <w:r w:rsidRPr="00FF77E7">
        <w:rPr>
          <w:noProof/>
          <w:sz w:val="18"/>
        </w:rPr>
        <w:fldChar w:fldCharType="begin"/>
      </w:r>
      <w:r w:rsidRPr="00FF77E7">
        <w:rPr>
          <w:noProof/>
          <w:sz w:val="18"/>
        </w:rPr>
        <w:instrText xml:space="preserve"> PAGEREF _Toc184888264 \h </w:instrText>
      </w:r>
      <w:r w:rsidRPr="00FF77E7">
        <w:rPr>
          <w:noProof/>
          <w:sz w:val="18"/>
        </w:rPr>
      </w:r>
      <w:r w:rsidRPr="00FF77E7">
        <w:rPr>
          <w:noProof/>
          <w:sz w:val="18"/>
        </w:rPr>
        <w:fldChar w:fldCharType="separate"/>
      </w:r>
      <w:r w:rsidR="001113FA">
        <w:rPr>
          <w:noProof/>
          <w:sz w:val="18"/>
        </w:rPr>
        <w:t>7</w:t>
      </w:r>
      <w:r w:rsidRPr="00FF77E7">
        <w:rPr>
          <w:noProof/>
          <w:sz w:val="18"/>
        </w:rPr>
        <w:fldChar w:fldCharType="end"/>
      </w:r>
    </w:p>
    <w:p w14:paraId="749C78C0" w14:textId="2AEDC907"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1—Commencement of registries modernisation amendments</w:t>
      </w:r>
      <w:r w:rsidRPr="00FF77E7">
        <w:rPr>
          <w:noProof/>
          <w:sz w:val="18"/>
        </w:rPr>
        <w:tab/>
      </w:r>
      <w:r w:rsidRPr="00FF77E7">
        <w:rPr>
          <w:noProof/>
          <w:sz w:val="18"/>
        </w:rPr>
        <w:fldChar w:fldCharType="begin"/>
      </w:r>
      <w:r w:rsidRPr="00FF77E7">
        <w:rPr>
          <w:noProof/>
          <w:sz w:val="18"/>
        </w:rPr>
        <w:instrText xml:space="preserve"> PAGEREF _Toc184888265 \h </w:instrText>
      </w:r>
      <w:r w:rsidRPr="00FF77E7">
        <w:rPr>
          <w:noProof/>
          <w:sz w:val="18"/>
        </w:rPr>
      </w:r>
      <w:r w:rsidRPr="00FF77E7">
        <w:rPr>
          <w:noProof/>
          <w:sz w:val="18"/>
        </w:rPr>
        <w:fldChar w:fldCharType="separate"/>
      </w:r>
      <w:r w:rsidR="001113FA">
        <w:rPr>
          <w:noProof/>
          <w:sz w:val="18"/>
        </w:rPr>
        <w:t>7</w:t>
      </w:r>
      <w:r w:rsidRPr="00FF77E7">
        <w:rPr>
          <w:noProof/>
          <w:sz w:val="18"/>
        </w:rPr>
        <w:fldChar w:fldCharType="end"/>
      </w:r>
    </w:p>
    <w:p w14:paraId="31D15782" w14:textId="34A0EB99"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Corporate Collective Investment Vehicle Framework and Other Measures Act 2022</w:t>
      </w:r>
      <w:r w:rsidRPr="00FF77E7">
        <w:rPr>
          <w:i w:val="0"/>
          <w:noProof/>
          <w:sz w:val="18"/>
        </w:rPr>
        <w:tab/>
      </w:r>
      <w:r w:rsidRPr="00FF77E7">
        <w:rPr>
          <w:i w:val="0"/>
          <w:noProof/>
          <w:sz w:val="18"/>
        </w:rPr>
        <w:fldChar w:fldCharType="begin"/>
      </w:r>
      <w:r w:rsidRPr="00FF77E7">
        <w:rPr>
          <w:i w:val="0"/>
          <w:noProof/>
          <w:sz w:val="18"/>
        </w:rPr>
        <w:instrText xml:space="preserve"> PAGEREF _Toc184888266 \h </w:instrText>
      </w:r>
      <w:r w:rsidRPr="00FF77E7">
        <w:rPr>
          <w:i w:val="0"/>
          <w:noProof/>
          <w:sz w:val="18"/>
        </w:rPr>
      </w:r>
      <w:r w:rsidRPr="00FF77E7">
        <w:rPr>
          <w:i w:val="0"/>
          <w:noProof/>
          <w:sz w:val="18"/>
        </w:rPr>
        <w:fldChar w:fldCharType="separate"/>
      </w:r>
      <w:r w:rsidR="001113FA">
        <w:rPr>
          <w:i w:val="0"/>
          <w:noProof/>
          <w:sz w:val="18"/>
        </w:rPr>
        <w:t>7</w:t>
      </w:r>
      <w:r w:rsidRPr="00FF77E7">
        <w:rPr>
          <w:i w:val="0"/>
          <w:noProof/>
          <w:sz w:val="18"/>
        </w:rPr>
        <w:fldChar w:fldCharType="end"/>
      </w:r>
    </w:p>
    <w:p w14:paraId="4716F682" w14:textId="3B5B5075"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2—Application of registries modernisation amendments</w:t>
      </w:r>
      <w:r w:rsidRPr="00FF77E7">
        <w:rPr>
          <w:noProof/>
          <w:sz w:val="18"/>
        </w:rPr>
        <w:tab/>
      </w:r>
      <w:r w:rsidRPr="00FF77E7">
        <w:rPr>
          <w:noProof/>
          <w:sz w:val="18"/>
        </w:rPr>
        <w:fldChar w:fldCharType="begin"/>
      </w:r>
      <w:r w:rsidRPr="00FF77E7">
        <w:rPr>
          <w:noProof/>
          <w:sz w:val="18"/>
        </w:rPr>
        <w:instrText xml:space="preserve"> PAGEREF _Toc184888267 \h </w:instrText>
      </w:r>
      <w:r w:rsidRPr="00FF77E7">
        <w:rPr>
          <w:noProof/>
          <w:sz w:val="18"/>
        </w:rPr>
      </w:r>
      <w:r w:rsidRPr="00FF77E7">
        <w:rPr>
          <w:noProof/>
          <w:sz w:val="18"/>
        </w:rPr>
        <w:fldChar w:fldCharType="separate"/>
      </w:r>
      <w:r w:rsidR="001113FA">
        <w:rPr>
          <w:noProof/>
          <w:sz w:val="18"/>
        </w:rPr>
        <w:t>7</w:t>
      </w:r>
      <w:r w:rsidRPr="00FF77E7">
        <w:rPr>
          <w:noProof/>
          <w:sz w:val="18"/>
        </w:rPr>
        <w:fldChar w:fldCharType="end"/>
      </w:r>
    </w:p>
    <w:p w14:paraId="56FBC2B9" w14:textId="2E099947"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Corporate Collective Investment Vehicle Framework and Other Measures Act 2022</w:t>
      </w:r>
      <w:r w:rsidRPr="00FF77E7">
        <w:rPr>
          <w:i w:val="0"/>
          <w:noProof/>
          <w:sz w:val="18"/>
        </w:rPr>
        <w:tab/>
      </w:r>
      <w:r w:rsidRPr="00FF77E7">
        <w:rPr>
          <w:i w:val="0"/>
          <w:noProof/>
          <w:sz w:val="18"/>
        </w:rPr>
        <w:fldChar w:fldCharType="begin"/>
      </w:r>
      <w:r w:rsidRPr="00FF77E7">
        <w:rPr>
          <w:i w:val="0"/>
          <w:noProof/>
          <w:sz w:val="18"/>
        </w:rPr>
        <w:instrText xml:space="preserve"> PAGEREF _Toc184888268 \h </w:instrText>
      </w:r>
      <w:r w:rsidRPr="00FF77E7">
        <w:rPr>
          <w:i w:val="0"/>
          <w:noProof/>
          <w:sz w:val="18"/>
        </w:rPr>
      </w:r>
      <w:r w:rsidRPr="00FF77E7">
        <w:rPr>
          <w:i w:val="0"/>
          <w:noProof/>
          <w:sz w:val="18"/>
        </w:rPr>
        <w:fldChar w:fldCharType="separate"/>
      </w:r>
      <w:r w:rsidR="001113FA">
        <w:rPr>
          <w:i w:val="0"/>
          <w:noProof/>
          <w:sz w:val="18"/>
        </w:rPr>
        <w:t>7</w:t>
      </w:r>
      <w:r w:rsidRPr="00FF77E7">
        <w:rPr>
          <w:i w:val="0"/>
          <w:noProof/>
          <w:sz w:val="18"/>
        </w:rPr>
        <w:fldChar w:fldCharType="end"/>
      </w:r>
    </w:p>
    <w:p w14:paraId="136A29D2" w14:textId="5032B41C" w:rsidR="00FF77E7" w:rsidRDefault="00FF77E7">
      <w:pPr>
        <w:pStyle w:val="TOC6"/>
        <w:rPr>
          <w:rFonts w:asciiTheme="minorHAnsi" w:eastAsiaTheme="minorEastAsia" w:hAnsiTheme="minorHAnsi" w:cstheme="minorBidi"/>
          <w:b w:val="0"/>
          <w:noProof/>
          <w:kern w:val="2"/>
          <w:szCs w:val="24"/>
          <w14:ligatures w14:val="standardContextual"/>
        </w:rPr>
      </w:pPr>
      <w:r>
        <w:rPr>
          <w:noProof/>
        </w:rPr>
        <w:t>Schedule 2—Regulation of safety standards and information standards</w:t>
      </w:r>
      <w:r w:rsidRPr="00FF77E7">
        <w:rPr>
          <w:b w:val="0"/>
          <w:noProof/>
          <w:sz w:val="18"/>
        </w:rPr>
        <w:tab/>
      </w:r>
      <w:r w:rsidRPr="00FF77E7">
        <w:rPr>
          <w:b w:val="0"/>
          <w:noProof/>
          <w:sz w:val="18"/>
        </w:rPr>
        <w:fldChar w:fldCharType="begin"/>
      </w:r>
      <w:r w:rsidRPr="00FF77E7">
        <w:rPr>
          <w:b w:val="0"/>
          <w:noProof/>
          <w:sz w:val="18"/>
        </w:rPr>
        <w:instrText xml:space="preserve"> PAGEREF _Toc184888269 \h </w:instrText>
      </w:r>
      <w:r w:rsidRPr="00FF77E7">
        <w:rPr>
          <w:b w:val="0"/>
          <w:noProof/>
          <w:sz w:val="18"/>
        </w:rPr>
      </w:r>
      <w:r w:rsidRPr="00FF77E7">
        <w:rPr>
          <w:b w:val="0"/>
          <w:noProof/>
          <w:sz w:val="18"/>
        </w:rPr>
        <w:fldChar w:fldCharType="separate"/>
      </w:r>
      <w:r w:rsidR="001113FA">
        <w:rPr>
          <w:b w:val="0"/>
          <w:noProof/>
          <w:sz w:val="18"/>
        </w:rPr>
        <w:t>9</w:t>
      </w:r>
      <w:r w:rsidRPr="00FF77E7">
        <w:rPr>
          <w:b w:val="0"/>
          <w:noProof/>
          <w:sz w:val="18"/>
        </w:rPr>
        <w:fldChar w:fldCharType="end"/>
      </w:r>
    </w:p>
    <w:p w14:paraId="6AD3255E" w14:textId="2E298D30" w:rsidR="00FF77E7" w:rsidRDefault="00FF77E7">
      <w:pPr>
        <w:pStyle w:val="TOC7"/>
        <w:rPr>
          <w:rFonts w:asciiTheme="minorHAnsi" w:eastAsiaTheme="minorEastAsia" w:hAnsiTheme="minorHAnsi" w:cstheme="minorBidi"/>
          <w:noProof/>
          <w:kern w:val="2"/>
          <w:szCs w:val="24"/>
          <w14:ligatures w14:val="standardContextual"/>
        </w:rPr>
      </w:pPr>
      <w:r>
        <w:rPr>
          <w:noProof/>
        </w:rPr>
        <w:t>Part 1—Main amendments</w:t>
      </w:r>
      <w:r w:rsidRPr="00FF77E7">
        <w:rPr>
          <w:noProof/>
          <w:sz w:val="18"/>
        </w:rPr>
        <w:tab/>
      </w:r>
      <w:r w:rsidRPr="00FF77E7">
        <w:rPr>
          <w:noProof/>
          <w:sz w:val="18"/>
        </w:rPr>
        <w:fldChar w:fldCharType="begin"/>
      </w:r>
      <w:r w:rsidRPr="00FF77E7">
        <w:rPr>
          <w:noProof/>
          <w:sz w:val="18"/>
        </w:rPr>
        <w:instrText xml:space="preserve"> PAGEREF _Toc184888270 \h </w:instrText>
      </w:r>
      <w:r w:rsidRPr="00FF77E7">
        <w:rPr>
          <w:noProof/>
          <w:sz w:val="18"/>
        </w:rPr>
      </w:r>
      <w:r w:rsidRPr="00FF77E7">
        <w:rPr>
          <w:noProof/>
          <w:sz w:val="18"/>
        </w:rPr>
        <w:fldChar w:fldCharType="separate"/>
      </w:r>
      <w:r w:rsidR="001113FA">
        <w:rPr>
          <w:noProof/>
          <w:sz w:val="18"/>
        </w:rPr>
        <w:t>9</w:t>
      </w:r>
      <w:r w:rsidRPr="00FF77E7">
        <w:rPr>
          <w:noProof/>
          <w:sz w:val="18"/>
        </w:rPr>
        <w:fldChar w:fldCharType="end"/>
      </w:r>
    </w:p>
    <w:p w14:paraId="414D7D50" w14:textId="0A66A1B5"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FF77E7">
        <w:rPr>
          <w:i w:val="0"/>
          <w:noProof/>
          <w:sz w:val="18"/>
        </w:rPr>
        <w:tab/>
      </w:r>
      <w:r w:rsidRPr="00FF77E7">
        <w:rPr>
          <w:i w:val="0"/>
          <w:noProof/>
          <w:sz w:val="18"/>
        </w:rPr>
        <w:fldChar w:fldCharType="begin"/>
      </w:r>
      <w:r w:rsidRPr="00FF77E7">
        <w:rPr>
          <w:i w:val="0"/>
          <w:noProof/>
          <w:sz w:val="18"/>
        </w:rPr>
        <w:instrText xml:space="preserve"> PAGEREF _Toc184888271 \h </w:instrText>
      </w:r>
      <w:r w:rsidRPr="00FF77E7">
        <w:rPr>
          <w:i w:val="0"/>
          <w:noProof/>
          <w:sz w:val="18"/>
        </w:rPr>
      </w:r>
      <w:r w:rsidRPr="00FF77E7">
        <w:rPr>
          <w:i w:val="0"/>
          <w:noProof/>
          <w:sz w:val="18"/>
        </w:rPr>
        <w:fldChar w:fldCharType="separate"/>
      </w:r>
      <w:r w:rsidR="001113FA">
        <w:rPr>
          <w:i w:val="0"/>
          <w:noProof/>
          <w:sz w:val="18"/>
        </w:rPr>
        <w:t>9</w:t>
      </w:r>
      <w:r w:rsidRPr="00FF77E7">
        <w:rPr>
          <w:i w:val="0"/>
          <w:noProof/>
          <w:sz w:val="18"/>
        </w:rPr>
        <w:fldChar w:fldCharType="end"/>
      </w:r>
    </w:p>
    <w:p w14:paraId="7D9BDC4A" w14:textId="736FD526" w:rsidR="00FF77E7" w:rsidRDefault="00FF77E7">
      <w:pPr>
        <w:pStyle w:val="TOC7"/>
        <w:rPr>
          <w:rFonts w:asciiTheme="minorHAnsi" w:eastAsiaTheme="minorEastAsia" w:hAnsiTheme="minorHAnsi" w:cstheme="minorBidi"/>
          <w:noProof/>
          <w:kern w:val="2"/>
          <w:szCs w:val="24"/>
          <w14:ligatures w14:val="standardContextual"/>
        </w:rPr>
      </w:pPr>
      <w:r>
        <w:rPr>
          <w:noProof/>
        </w:rPr>
        <w:t>Part 2—Contingent amendments if this Act commences before the Treasury Laws Amendment (Better Targeted Superannuation Concessions and Other Measures) Act 2024</w:t>
      </w:r>
      <w:r w:rsidRPr="00FF77E7">
        <w:rPr>
          <w:noProof/>
          <w:sz w:val="18"/>
        </w:rPr>
        <w:tab/>
      </w:r>
      <w:r w:rsidRPr="00FF77E7">
        <w:rPr>
          <w:noProof/>
          <w:sz w:val="18"/>
        </w:rPr>
        <w:fldChar w:fldCharType="begin"/>
      </w:r>
      <w:r w:rsidRPr="00FF77E7">
        <w:rPr>
          <w:noProof/>
          <w:sz w:val="18"/>
        </w:rPr>
        <w:instrText xml:space="preserve"> PAGEREF _Toc184888281 \h </w:instrText>
      </w:r>
      <w:r w:rsidRPr="00FF77E7">
        <w:rPr>
          <w:noProof/>
          <w:sz w:val="18"/>
        </w:rPr>
      </w:r>
      <w:r w:rsidRPr="00FF77E7">
        <w:rPr>
          <w:noProof/>
          <w:sz w:val="18"/>
        </w:rPr>
        <w:fldChar w:fldCharType="separate"/>
      </w:r>
      <w:r w:rsidR="001113FA">
        <w:rPr>
          <w:noProof/>
          <w:sz w:val="18"/>
        </w:rPr>
        <w:t>18</w:t>
      </w:r>
      <w:r w:rsidRPr="00FF77E7">
        <w:rPr>
          <w:noProof/>
          <w:sz w:val="18"/>
        </w:rPr>
        <w:fldChar w:fldCharType="end"/>
      </w:r>
    </w:p>
    <w:p w14:paraId="5F5F0A0D" w14:textId="560AFD32"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FF77E7">
        <w:rPr>
          <w:i w:val="0"/>
          <w:noProof/>
          <w:sz w:val="18"/>
        </w:rPr>
        <w:tab/>
      </w:r>
      <w:r w:rsidRPr="00FF77E7">
        <w:rPr>
          <w:i w:val="0"/>
          <w:noProof/>
          <w:sz w:val="18"/>
        </w:rPr>
        <w:fldChar w:fldCharType="begin"/>
      </w:r>
      <w:r w:rsidRPr="00FF77E7">
        <w:rPr>
          <w:i w:val="0"/>
          <w:noProof/>
          <w:sz w:val="18"/>
        </w:rPr>
        <w:instrText xml:space="preserve"> PAGEREF _Toc184888282 \h </w:instrText>
      </w:r>
      <w:r w:rsidRPr="00FF77E7">
        <w:rPr>
          <w:i w:val="0"/>
          <w:noProof/>
          <w:sz w:val="18"/>
        </w:rPr>
      </w:r>
      <w:r w:rsidRPr="00FF77E7">
        <w:rPr>
          <w:i w:val="0"/>
          <w:noProof/>
          <w:sz w:val="18"/>
        </w:rPr>
        <w:fldChar w:fldCharType="separate"/>
      </w:r>
      <w:r w:rsidR="001113FA">
        <w:rPr>
          <w:i w:val="0"/>
          <w:noProof/>
          <w:sz w:val="18"/>
        </w:rPr>
        <w:t>18</w:t>
      </w:r>
      <w:r w:rsidRPr="00FF77E7">
        <w:rPr>
          <w:i w:val="0"/>
          <w:noProof/>
          <w:sz w:val="18"/>
        </w:rPr>
        <w:fldChar w:fldCharType="end"/>
      </w:r>
    </w:p>
    <w:p w14:paraId="5C1188A3" w14:textId="669CA181"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Treasury Laws Amendment (Better Targeted Superannuation Concessions and Other Measures) Act 2024</w:t>
      </w:r>
      <w:r w:rsidRPr="00FF77E7">
        <w:rPr>
          <w:i w:val="0"/>
          <w:noProof/>
          <w:sz w:val="18"/>
        </w:rPr>
        <w:tab/>
      </w:r>
      <w:r w:rsidRPr="00FF77E7">
        <w:rPr>
          <w:i w:val="0"/>
          <w:noProof/>
          <w:sz w:val="18"/>
        </w:rPr>
        <w:fldChar w:fldCharType="begin"/>
      </w:r>
      <w:r w:rsidRPr="00FF77E7">
        <w:rPr>
          <w:i w:val="0"/>
          <w:noProof/>
          <w:sz w:val="18"/>
        </w:rPr>
        <w:instrText xml:space="preserve"> PAGEREF _Toc184888283 \h </w:instrText>
      </w:r>
      <w:r w:rsidRPr="00FF77E7">
        <w:rPr>
          <w:i w:val="0"/>
          <w:noProof/>
          <w:sz w:val="18"/>
        </w:rPr>
      </w:r>
      <w:r w:rsidRPr="00FF77E7">
        <w:rPr>
          <w:i w:val="0"/>
          <w:noProof/>
          <w:sz w:val="18"/>
        </w:rPr>
        <w:fldChar w:fldCharType="separate"/>
      </w:r>
      <w:r w:rsidR="001113FA">
        <w:rPr>
          <w:i w:val="0"/>
          <w:noProof/>
          <w:sz w:val="18"/>
        </w:rPr>
        <w:t>18</w:t>
      </w:r>
      <w:r w:rsidRPr="00FF77E7">
        <w:rPr>
          <w:i w:val="0"/>
          <w:noProof/>
          <w:sz w:val="18"/>
        </w:rPr>
        <w:fldChar w:fldCharType="end"/>
      </w:r>
    </w:p>
    <w:p w14:paraId="27B3AEFB" w14:textId="13F0771C" w:rsidR="00FF77E7" w:rsidRDefault="00FF77E7">
      <w:pPr>
        <w:pStyle w:val="TOC6"/>
        <w:rPr>
          <w:rFonts w:asciiTheme="minorHAnsi" w:eastAsiaTheme="minorEastAsia" w:hAnsiTheme="minorHAnsi" w:cstheme="minorBidi"/>
          <w:b w:val="0"/>
          <w:noProof/>
          <w:kern w:val="2"/>
          <w:szCs w:val="24"/>
          <w14:ligatures w14:val="standardContextual"/>
        </w:rPr>
      </w:pPr>
      <w:r>
        <w:rPr>
          <w:noProof/>
        </w:rPr>
        <w:t>Schedule 3—Increasing the cap on the Housing Australia Special Account</w:t>
      </w:r>
      <w:r w:rsidRPr="00FF77E7">
        <w:rPr>
          <w:b w:val="0"/>
          <w:noProof/>
          <w:sz w:val="18"/>
        </w:rPr>
        <w:tab/>
      </w:r>
      <w:r w:rsidRPr="00FF77E7">
        <w:rPr>
          <w:b w:val="0"/>
          <w:noProof/>
          <w:sz w:val="18"/>
        </w:rPr>
        <w:fldChar w:fldCharType="begin"/>
      </w:r>
      <w:r w:rsidRPr="00FF77E7">
        <w:rPr>
          <w:b w:val="0"/>
          <w:noProof/>
          <w:sz w:val="18"/>
        </w:rPr>
        <w:instrText xml:space="preserve"> PAGEREF _Toc184888284 \h </w:instrText>
      </w:r>
      <w:r w:rsidRPr="00FF77E7">
        <w:rPr>
          <w:b w:val="0"/>
          <w:noProof/>
          <w:sz w:val="18"/>
        </w:rPr>
      </w:r>
      <w:r w:rsidRPr="00FF77E7">
        <w:rPr>
          <w:b w:val="0"/>
          <w:noProof/>
          <w:sz w:val="18"/>
        </w:rPr>
        <w:fldChar w:fldCharType="separate"/>
      </w:r>
      <w:r w:rsidR="001113FA">
        <w:rPr>
          <w:b w:val="0"/>
          <w:noProof/>
          <w:sz w:val="18"/>
        </w:rPr>
        <w:t>19</w:t>
      </w:r>
      <w:r w:rsidRPr="00FF77E7">
        <w:rPr>
          <w:b w:val="0"/>
          <w:noProof/>
          <w:sz w:val="18"/>
        </w:rPr>
        <w:fldChar w:fldCharType="end"/>
      </w:r>
    </w:p>
    <w:p w14:paraId="334C9DE3" w14:textId="6EC0A601"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Housing Australia Act 2018</w:t>
      </w:r>
      <w:r w:rsidRPr="00FF77E7">
        <w:rPr>
          <w:i w:val="0"/>
          <w:noProof/>
          <w:sz w:val="18"/>
        </w:rPr>
        <w:tab/>
      </w:r>
      <w:r w:rsidRPr="00FF77E7">
        <w:rPr>
          <w:i w:val="0"/>
          <w:noProof/>
          <w:sz w:val="18"/>
        </w:rPr>
        <w:fldChar w:fldCharType="begin"/>
      </w:r>
      <w:r w:rsidRPr="00FF77E7">
        <w:rPr>
          <w:i w:val="0"/>
          <w:noProof/>
          <w:sz w:val="18"/>
        </w:rPr>
        <w:instrText xml:space="preserve"> PAGEREF _Toc184888285 \h </w:instrText>
      </w:r>
      <w:r w:rsidRPr="00FF77E7">
        <w:rPr>
          <w:i w:val="0"/>
          <w:noProof/>
          <w:sz w:val="18"/>
        </w:rPr>
      </w:r>
      <w:r w:rsidRPr="00FF77E7">
        <w:rPr>
          <w:i w:val="0"/>
          <w:noProof/>
          <w:sz w:val="18"/>
        </w:rPr>
        <w:fldChar w:fldCharType="separate"/>
      </w:r>
      <w:r w:rsidR="001113FA">
        <w:rPr>
          <w:i w:val="0"/>
          <w:noProof/>
          <w:sz w:val="18"/>
        </w:rPr>
        <w:t>19</w:t>
      </w:r>
      <w:r w:rsidRPr="00FF77E7">
        <w:rPr>
          <w:i w:val="0"/>
          <w:noProof/>
          <w:sz w:val="18"/>
        </w:rPr>
        <w:fldChar w:fldCharType="end"/>
      </w:r>
    </w:p>
    <w:p w14:paraId="1D51EAFA" w14:textId="694A13DB" w:rsidR="00FF77E7" w:rsidRDefault="00FF77E7" w:rsidP="00F32FB0">
      <w:pPr>
        <w:pStyle w:val="TOC6"/>
        <w:keepNext/>
        <w:rPr>
          <w:rFonts w:asciiTheme="minorHAnsi" w:eastAsiaTheme="minorEastAsia" w:hAnsiTheme="minorHAnsi" w:cstheme="minorBidi"/>
          <w:b w:val="0"/>
          <w:noProof/>
          <w:kern w:val="2"/>
          <w:szCs w:val="24"/>
          <w14:ligatures w14:val="standardContextual"/>
        </w:rPr>
      </w:pPr>
      <w:r>
        <w:rPr>
          <w:noProof/>
        </w:rPr>
        <w:t>Schedule 4—Industry codes</w:t>
      </w:r>
      <w:r w:rsidRPr="00FF77E7">
        <w:rPr>
          <w:b w:val="0"/>
          <w:noProof/>
          <w:sz w:val="18"/>
        </w:rPr>
        <w:tab/>
      </w:r>
      <w:r w:rsidRPr="00FF77E7">
        <w:rPr>
          <w:b w:val="0"/>
          <w:noProof/>
          <w:sz w:val="18"/>
        </w:rPr>
        <w:fldChar w:fldCharType="begin"/>
      </w:r>
      <w:r w:rsidRPr="00FF77E7">
        <w:rPr>
          <w:b w:val="0"/>
          <w:noProof/>
          <w:sz w:val="18"/>
        </w:rPr>
        <w:instrText xml:space="preserve"> PAGEREF _Toc184888286 \h </w:instrText>
      </w:r>
      <w:r w:rsidRPr="00FF77E7">
        <w:rPr>
          <w:b w:val="0"/>
          <w:noProof/>
          <w:sz w:val="18"/>
        </w:rPr>
      </w:r>
      <w:r w:rsidRPr="00FF77E7">
        <w:rPr>
          <w:b w:val="0"/>
          <w:noProof/>
          <w:sz w:val="18"/>
        </w:rPr>
        <w:fldChar w:fldCharType="separate"/>
      </w:r>
      <w:r w:rsidR="001113FA">
        <w:rPr>
          <w:b w:val="0"/>
          <w:noProof/>
          <w:sz w:val="18"/>
        </w:rPr>
        <w:t>20</w:t>
      </w:r>
      <w:r w:rsidRPr="00FF77E7">
        <w:rPr>
          <w:b w:val="0"/>
          <w:noProof/>
          <w:sz w:val="18"/>
        </w:rPr>
        <w:fldChar w:fldCharType="end"/>
      </w:r>
    </w:p>
    <w:p w14:paraId="6AB046AB" w14:textId="4DC03CA3" w:rsidR="00FF77E7" w:rsidRDefault="00FF77E7">
      <w:pPr>
        <w:pStyle w:val="TOC7"/>
        <w:rPr>
          <w:rFonts w:asciiTheme="minorHAnsi" w:eastAsiaTheme="minorEastAsia" w:hAnsiTheme="minorHAnsi" w:cstheme="minorBidi"/>
          <w:noProof/>
          <w:kern w:val="2"/>
          <w:szCs w:val="24"/>
          <w14:ligatures w14:val="standardContextual"/>
        </w:rPr>
      </w:pPr>
      <w:r>
        <w:rPr>
          <w:noProof/>
        </w:rPr>
        <w:t>Part 1—Amount of penalties</w:t>
      </w:r>
      <w:r w:rsidRPr="00FF77E7">
        <w:rPr>
          <w:noProof/>
          <w:sz w:val="18"/>
        </w:rPr>
        <w:tab/>
      </w:r>
      <w:r w:rsidRPr="00FF77E7">
        <w:rPr>
          <w:noProof/>
          <w:sz w:val="18"/>
        </w:rPr>
        <w:fldChar w:fldCharType="begin"/>
      </w:r>
      <w:r w:rsidRPr="00FF77E7">
        <w:rPr>
          <w:noProof/>
          <w:sz w:val="18"/>
        </w:rPr>
        <w:instrText xml:space="preserve"> PAGEREF _Toc184888287 \h </w:instrText>
      </w:r>
      <w:r w:rsidRPr="00FF77E7">
        <w:rPr>
          <w:noProof/>
          <w:sz w:val="18"/>
        </w:rPr>
      </w:r>
      <w:r w:rsidRPr="00FF77E7">
        <w:rPr>
          <w:noProof/>
          <w:sz w:val="18"/>
        </w:rPr>
        <w:fldChar w:fldCharType="separate"/>
      </w:r>
      <w:r w:rsidR="001113FA">
        <w:rPr>
          <w:noProof/>
          <w:sz w:val="18"/>
        </w:rPr>
        <w:t>20</w:t>
      </w:r>
      <w:r w:rsidRPr="00FF77E7">
        <w:rPr>
          <w:noProof/>
          <w:sz w:val="18"/>
        </w:rPr>
        <w:fldChar w:fldCharType="end"/>
      </w:r>
    </w:p>
    <w:p w14:paraId="079403C3" w14:textId="3A92E673"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FF77E7">
        <w:rPr>
          <w:i w:val="0"/>
          <w:noProof/>
          <w:sz w:val="18"/>
        </w:rPr>
        <w:tab/>
      </w:r>
      <w:r w:rsidRPr="00FF77E7">
        <w:rPr>
          <w:i w:val="0"/>
          <w:noProof/>
          <w:sz w:val="18"/>
        </w:rPr>
        <w:fldChar w:fldCharType="begin"/>
      </w:r>
      <w:r w:rsidRPr="00FF77E7">
        <w:rPr>
          <w:i w:val="0"/>
          <w:noProof/>
          <w:sz w:val="18"/>
        </w:rPr>
        <w:instrText xml:space="preserve"> PAGEREF _Toc184888288 \h </w:instrText>
      </w:r>
      <w:r w:rsidRPr="00FF77E7">
        <w:rPr>
          <w:i w:val="0"/>
          <w:noProof/>
          <w:sz w:val="18"/>
        </w:rPr>
      </w:r>
      <w:r w:rsidRPr="00FF77E7">
        <w:rPr>
          <w:i w:val="0"/>
          <w:noProof/>
          <w:sz w:val="18"/>
        </w:rPr>
        <w:fldChar w:fldCharType="separate"/>
      </w:r>
      <w:r w:rsidR="001113FA">
        <w:rPr>
          <w:i w:val="0"/>
          <w:noProof/>
          <w:sz w:val="18"/>
        </w:rPr>
        <w:t>20</w:t>
      </w:r>
      <w:r w:rsidRPr="00FF77E7">
        <w:rPr>
          <w:i w:val="0"/>
          <w:noProof/>
          <w:sz w:val="18"/>
        </w:rPr>
        <w:fldChar w:fldCharType="end"/>
      </w:r>
    </w:p>
    <w:p w14:paraId="29CBC076" w14:textId="78576A6E" w:rsidR="00FF77E7" w:rsidRDefault="00FF77E7">
      <w:pPr>
        <w:pStyle w:val="TOC7"/>
        <w:rPr>
          <w:rFonts w:asciiTheme="minorHAnsi" w:eastAsiaTheme="minorEastAsia" w:hAnsiTheme="minorHAnsi" w:cstheme="minorBidi"/>
          <w:noProof/>
          <w:kern w:val="2"/>
          <w:szCs w:val="24"/>
          <w14:ligatures w14:val="standardContextual"/>
        </w:rPr>
      </w:pPr>
      <w:r>
        <w:rPr>
          <w:noProof/>
        </w:rPr>
        <w:t>Part 2—Technical amendment</w:t>
      </w:r>
      <w:r w:rsidRPr="00FF77E7">
        <w:rPr>
          <w:noProof/>
          <w:sz w:val="18"/>
        </w:rPr>
        <w:tab/>
      </w:r>
      <w:r w:rsidRPr="00FF77E7">
        <w:rPr>
          <w:noProof/>
          <w:sz w:val="18"/>
        </w:rPr>
        <w:fldChar w:fldCharType="begin"/>
      </w:r>
      <w:r w:rsidRPr="00FF77E7">
        <w:rPr>
          <w:noProof/>
          <w:sz w:val="18"/>
        </w:rPr>
        <w:instrText xml:space="preserve"> PAGEREF _Toc184888290 \h </w:instrText>
      </w:r>
      <w:r w:rsidRPr="00FF77E7">
        <w:rPr>
          <w:noProof/>
          <w:sz w:val="18"/>
        </w:rPr>
      </w:r>
      <w:r w:rsidRPr="00FF77E7">
        <w:rPr>
          <w:noProof/>
          <w:sz w:val="18"/>
        </w:rPr>
        <w:fldChar w:fldCharType="separate"/>
      </w:r>
      <w:r w:rsidR="001113FA">
        <w:rPr>
          <w:noProof/>
          <w:sz w:val="18"/>
        </w:rPr>
        <w:t>22</w:t>
      </w:r>
      <w:r w:rsidRPr="00FF77E7">
        <w:rPr>
          <w:noProof/>
          <w:sz w:val="18"/>
        </w:rPr>
        <w:fldChar w:fldCharType="end"/>
      </w:r>
    </w:p>
    <w:p w14:paraId="08A32EA3" w14:textId="6D2D1002"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FF77E7">
        <w:rPr>
          <w:i w:val="0"/>
          <w:noProof/>
          <w:sz w:val="18"/>
        </w:rPr>
        <w:tab/>
      </w:r>
      <w:r w:rsidRPr="00FF77E7">
        <w:rPr>
          <w:i w:val="0"/>
          <w:noProof/>
          <w:sz w:val="18"/>
        </w:rPr>
        <w:fldChar w:fldCharType="begin"/>
      </w:r>
      <w:r w:rsidRPr="00FF77E7">
        <w:rPr>
          <w:i w:val="0"/>
          <w:noProof/>
          <w:sz w:val="18"/>
        </w:rPr>
        <w:instrText xml:space="preserve"> PAGEREF _Toc184888291 \h </w:instrText>
      </w:r>
      <w:r w:rsidRPr="00FF77E7">
        <w:rPr>
          <w:i w:val="0"/>
          <w:noProof/>
          <w:sz w:val="18"/>
        </w:rPr>
      </w:r>
      <w:r w:rsidRPr="00FF77E7">
        <w:rPr>
          <w:i w:val="0"/>
          <w:noProof/>
          <w:sz w:val="18"/>
        </w:rPr>
        <w:fldChar w:fldCharType="separate"/>
      </w:r>
      <w:r w:rsidR="001113FA">
        <w:rPr>
          <w:i w:val="0"/>
          <w:noProof/>
          <w:sz w:val="18"/>
        </w:rPr>
        <w:t>22</w:t>
      </w:r>
      <w:r w:rsidRPr="00FF77E7">
        <w:rPr>
          <w:i w:val="0"/>
          <w:noProof/>
          <w:sz w:val="18"/>
        </w:rPr>
        <w:fldChar w:fldCharType="end"/>
      </w:r>
    </w:p>
    <w:p w14:paraId="7740C66E" w14:textId="52EC65E6" w:rsidR="00FF77E7" w:rsidRDefault="00FF77E7">
      <w:pPr>
        <w:pStyle w:val="TOC6"/>
        <w:rPr>
          <w:rFonts w:asciiTheme="minorHAnsi" w:eastAsiaTheme="minorEastAsia" w:hAnsiTheme="minorHAnsi" w:cstheme="minorBidi"/>
          <w:b w:val="0"/>
          <w:noProof/>
          <w:kern w:val="2"/>
          <w:szCs w:val="24"/>
          <w14:ligatures w14:val="standardContextual"/>
        </w:rPr>
      </w:pPr>
      <w:r>
        <w:rPr>
          <w:noProof/>
        </w:rPr>
        <w:t>Schedule 5—Deductible gift recipients</w:t>
      </w:r>
      <w:r w:rsidRPr="00FF77E7">
        <w:rPr>
          <w:b w:val="0"/>
          <w:noProof/>
          <w:sz w:val="18"/>
        </w:rPr>
        <w:tab/>
      </w:r>
      <w:r w:rsidRPr="00FF77E7">
        <w:rPr>
          <w:b w:val="0"/>
          <w:noProof/>
          <w:sz w:val="18"/>
        </w:rPr>
        <w:fldChar w:fldCharType="begin"/>
      </w:r>
      <w:r w:rsidRPr="00FF77E7">
        <w:rPr>
          <w:b w:val="0"/>
          <w:noProof/>
          <w:sz w:val="18"/>
        </w:rPr>
        <w:instrText xml:space="preserve"> PAGEREF _Toc184888292 \h </w:instrText>
      </w:r>
      <w:r w:rsidRPr="00FF77E7">
        <w:rPr>
          <w:b w:val="0"/>
          <w:noProof/>
          <w:sz w:val="18"/>
        </w:rPr>
      </w:r>
      <w:r w:rsidRPr="00FF77E7">
        <w:rPr>
          <w:b w:val="0"/>
          <w:noProof/>
          <w:sz w:val="18"/>
        </w:rPr>
        <w:fldChar w:fldCharType="separate"/>
      </w:r>
      <w:r w:rsidR="001113FA">
        <w:rPr>
          <w:b w:val="0"/>
          <w:noProof/>
          <w:sz w:val="18"/>
        </w:rPr>
        <w:t>23</w:t>
      </w:r>
      <w:r w:rsidRPr="00FF77E7">
        <w:rPr>
          <w:b w:val="0"/>
          <w:noProof/>
          <w:sz w:val="18"/>
        </w:rPr>
        <w:fldChar w:fldCharType="end"/>
      </w:r>
    </w:p>
    <w:p w14:paraId="0B09520A" w14:textId="7E39B177"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FF77E7">
        <w:rPr>
          <w:i w:val="0"/>
          <w:noProof/>
          <w:sz w:val="18"/>
        </w:rPr>
        <w:tab/>
      </w:r>
      <w:r w:rsidRPr="00FF77E7">
        <w:rPr>
          <w:i w:val="0"/>
          <w:noProof/>
          <w:sz w:val="18"/>
        </w:rPr>
        <w:fldChar w:fldCharType="begin"/>
      </w:r>
      <w:r w:rsidRPr="00FF77E7">
        <w:rPr>
          <w:i w:val="0"/>
          <w:noProof/>
          <w:sz w:val="18"/>
        </w:rPr>
        <w:instrText xml:space="preserve"> PAGEREF _Toc184888293 \h </w:instrText>
      </w:r>
      <w:r w:rsidRPr="00FF77E7">
        <w:rPr>
          <w:i w:val="0"/>
          <w:noProof/>
          <w:sz w:val="18"/>
        </w:rPr>
      </w:r>
      <w:r w:rsidRPr="00FF77E7">
        <w:rPr>
          <w:i w:val="0"/>
          <w:noProof/>
          <w:sz w:val="18"/>
        </w:rPr>
        <w:fldChar w:fldCharType="separate"/>
      </w:r>
      <w:r w:rsidR="001113FA">
        <w:rPr>
          <w:i w:val="0"/>
          <w:noProof/>
          <w:sz w:val="18"/>
        </w:rPr>
        <w:t>23</w:t>
      </w:r>
      <w:r w:rsidRPr="00FF77E7">
        <w:rPr>
          <w:i w:val="0"/>
          <w:noProof/>
          <w:sz w:val="18"/>
        </w:rPr>
        <w:fldChar w:fldCharType="end"/>
      </w:r>
    </w:p>
    <w:p w14:paraId="7F9D08A5" w14:textId="4869AAC8" w:rsidR="00FF77E7" w:rsidRDefault="00FF77E7">
      <w:pPr>
        <w:pStyle w:val="TOC6"/>
        <w:rPr>
          <w:rFonts w:asciiTheme="minorHAnsi" w:eastAsiaTheme="minorEastAsia" w:hAnsiTheme="minorHAnsi" w:cstheme="minorBidi"/>
          <w:b w:val="0"/>
          <w:noProof/>
          <w:kern w:val="2"/>
          <w:szCs w:val="24"/>
          <w14:ligatures w14:val="standardContextual"/>
        </w:rPr>
      </w:pPr>
      <w:r>
        <w:rPr>
          <w:noProof/>
        </w:rPr>
        <w:t>Schedule 6—Miscellaneous and technical amendments</w:t>
      </w:r>
      <w:r w:rsidRPr="00FF77E7">
        <w:rPr>
          <w:b w:val="0"/>
          <w:noProof/>
          <w:sz w:val="18"/>
        </w:rPr>
        <w:tab/>
      </w:r>
      <w:r w:rsidRPr="00FF77E7">
        <w:rPr>
          <w:b w:val="0"/>
          <w:noProof/>
          <w:sz w:val="18"/>
        </w:rPr>
        <w:fldChar w:fldCharType="begin"/>
      </w:r>
      <w:r w:rsidRPr="00FF77E7">
        <w:rPr>
          <w:b w:val="0"/>
          <w:noProof/>
          <w:sz w:val="18"/>
        </w:rPr>
        <w:instrText xml:space="preserve"> PAGEREF _Toc184888294 \h </w:instrText>
      </w:r>
      <w:r w:rsidRPr="00FF77E7">
        <w:rPr>
          <w:b w:val="0"/>
          <w:noProof/>
          <w:sz w:val="18"/>
        </w:rPr>
      </w:r>
      <w:r w:rsidRPr="00FF77E7">
        <w:rPr>
          <w:b w:val="0"/>
          <w:noProof/>
          <w:sz w:val="18"/>
        </w:rPr>
        <w:fldChar w:fldCharType="separate"/>
      </w:r>
      <w:r w:rsidR="001113FA">
        <w:rPr>
          <w:b w:val="0"/>
          <w:noProof/>
          <w:sz w:val="18"/>
        </w:rPr>
        <w:t>24</w:t>
      </w:r>
      <w:r w:rsidRPr="00FF77E7">
        <w:rPr>
          <w:b w:val="0"/>
          <w:noProof/>
          <w:sz w:val="18"/>
        </w:rPr>
        <w:fldChar w:fldCharType="end"/>
      </w:r>
    </w:p>
    <w:p w14:paraId="466198ED" w14:textId="086C7CA6" w:rsidR="00FF77E7" w:rsidRDefault="00FF77E7">
      <w:pPr>
        <w:pStyle w:val="TOC7"/>
        <w:rPr>
          <w:rFonts w:asciiTheme="minorHAnsi" w:eastAsiaTheme="minorEastAsia" w:hAnsiTheme="minorHAnsi" w:cstheme="minorBidi"/>
          <w:noProof/>
          <w:kern w:val="2"/>
          <w:szCs w:val="24"/>
          <w14:ligatures w14:val="standardContextual"/>
        </w:rPr>
      </w:pPr>
      <w:r>
        <w:rPr>
          <w:noProof/>
        </w:rPr>
        <w:t>Part 1—Amendments commencing day after Royal Assent</w:t>
      </w:r>
      <w:r w:rsidRPr="00FF77E7">
        <w:rPr>
          <w:noProof/>
          <w:sz w:val="18"/>
        </w:rPr>
        <w:tab/>
      </w:r>
      <w:r w:rsidRPr="00FF77E7">
        <w:rPr>
          <w:noProof/>
          <w:sz w:val="18"/>
        </w:rPr>
        <w:fldChar w:fldCharType="begin"/>
      </w:r>
      <w:r w:rsidRPr="00FF77E7">
        <w:rPr>
          <w:noProof/>
          <w:sz w:val="18"/>
        </w:rPr>
        <w:instrText xml:space="preserve"> PAGEREF _Toc184888295 \h </w:instrText>
      </w:r>
      <w:r w:rsidRPr="00FF77E7">
        <w:rPr>
          <w:noProof/>
          <w:sz w:val="18"/>
        </w:rPr>
      </w:r>
      <w:r w:rsidRPr="00FF77E7">
        <w:rPr>
          <w:noProof/>
          <w:sz w:val="18"/>
        </w:rPr>
        <w:fldChar w:fldCharType="separate"/>
      </w:r>
      <w:r w:rsidR="001113FA">
        <w:rPr>
          <w:noProof/>
          <w:sz w:val="18"/>
        </w:rPr>
        <w:t>24</w:t>
      </w:r>
      <w:r w:rsidRPr="00FF77E7">
        <w:rPr>
          <w:noProof/>
          <w:sz w:val="18"/>
        </w:rPr>
        <w:fldChar w:fldCharType="end"/>
      </w:r>
    </w:p>
    <w:p w14:paraId="2934A706" w14:textId="447C2BE8"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1—</w:t>
      </w:r>
      <w:r w:rsidRPr="003C5E9E">
        <w:rPr>
          <w:rFonts w:eastAsia="Calibri"/>
          <w:noProof/>
        </w:rPr>
        <w:t>Australian Securities and Investments Commission Act 2001</w:t>
      </w:r>
      <w:r w:rsidRPr="00FF77E7">
        <w:rPr>
          <w:noProof/>
          <w:sz w:val="18"/>
        </w:rPr>
        <w:tab/>
      </w:r>
      <w:r w:rsidRPr="00FF77E7">
        <w:rPr>
          <w:noProof/>
          <w:sz w:val="18"/>
        </w:rPr>
        <w:fldChar w:fldCharType="begin"/>
      </w:r>
      <w:r w:rsidRPr="00FF77E7">
        <w:rPr>
          <w:noProof/>
          <w:sz w:val="18"/>
        </w:rPr>
        <w:instrText xml:space="preserve"> PAGEREF _Toc184888296 \h </w:instrText>
      </w:r>
      <w:r w:rsidRPr="00FF77E7">
        <w:rPr>
          <w:noProof/>
          <w:sz w:val="18"/>
        </w:rPr>
      </w:r>
      <w:r w:rsidRPr="00FF77E7">
        <w:rPr>
          <w:noProof/>
          <w:sz w:val="18"/>
        </w:rPr>
        <w:fldChar w:fldCharType="separate"/>
      </w:r>
      <w:r w:rsidR="001113FA">
        <w:rPr>
          <w:noProof/>
          <w:sz w:val="18"/>
        </w:rPr>
        <w:t>24</w:t>
      </w:r>
      <w:r w:rsidRPr="00FF77E7">
        <w:rPr>
          <w:noProof/>
          <w:sz w:val="18"/>
        </w:rPr>
        <w:fldChar w:fldCharType="end"/>
      </w:r>
    </w:p>
    <w:p w14:paraId="63F84C5F" w14:textId="11F20CBD" w:rsidR="00FF77E7" w:rsidRDefault="00FF77E7">
      <w:pPr>
        <w:pStyle w:val="TOC9"/>
        <w:rPr>
          <w:rFonts w:asciiTheme="minorHAnsi" w:eastAsiaTheme="minorEastAsia" w:hAnsiTheme="minorHAnsi" w:cstheme="minorBidi"/>
          <w:i w:val="0"/>
          <w:noProof/>
          <w:kern w:val="2"/>
          <w:sz w:val="24"/>
          <w:szCs w:val="24"/>
          <w14:ligatures w14:val="standardContextual"/>
        </w:rPr>
      </w:pPr>
      <w:r w:rsidRPr="003C5E9E">
        <w:rPr>
          <w:rFonts w:eastAsia="Calibri"/>
          <w:noProof/>
        </w:rPr>
        <w:t>Australian Securities and Investments Commission Act 2001</w:t>
      </w:r>
      <w:r w:rsidRPr="00FF77E7">
        <w:rPr>
          <w:i w:val="0"/>
          <w:noProof/>
          <w:sz w:val="18"/>
        </w:rPr>
        <w:tab/>
      </w:r>
      <w:r w:rsidRPr="00FF77E7">
        <w:rPr>
          <w:i w:val="0"/>
          <w:noProof/>
          <w:sz w:val="18"/>
        </w:rPr>
        <w:fldChar w:fldCharType="begin"/>
      </w:r>
      <w:r w:rsidRPr="00FF77E7">
        <w:rPr>
          <w:i w:val="0"/>
          <w:noProof/>
          <w:sz w:val="18"/>
        </w:rPr>
        <w:instrText xml:space="preserve"> PAGEREF _Toc184888297 \h </w:instrText>
      </w:r>
      <w:r w:rsidRPr="00FF77E7">
        <w:rPr>
          <w:i w:val="0"/>
          <w:noProof/>
          <w:sz w:val="18"/>
        </w:rPr>
      </w:r>
      <w:r w:rsidRPr="00FF77E7">
        <w:rPr>
          <w:i w:val="0"/>
          <w:noProof/>
          <w:sz w:val="18"/>
        </w:rPr>
        <w:fldChar w:fldCharType="separate"/>
      </w:r>
      <w:r w:rsidR="001113FA">
        <w:rPr>
          <w:i w:val="0"/>
          <w:noProof/>
          <w:sz w:val="18"/>
        </w:rPr>
        <w:t>24</w:t>
      </w:r>
      <w:r w:rsidRPr="00FF77E7">
        <w:rPr>
          <w:i w:val="0"/>
          <w:noProof/>
          <w:sz w:val="18"/>
        </w:rPr>
        <w:fldChar w:fldCharType="end"/>
      </w:r>
    </w:p>
    <w:p w14:paraId="4796C562" w14:textId="5159A122"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2—</w:t>
      </w:r>
      <w:r w:rsidRPr="003C5E9E">
        <w:rPr>
          <w:rFonts w:eastAsia="Calibri"/>
          <w:noProof/>
        </w:rPr>
        <w:t>Contents of annual financial reports</w:t>
      </w:r>
      <w:r w:rsidRPr="00FF77E7">
        <w:rPr>
          <w:noProof/>
          <w:sz w:val="18"/>
        </w:rPr>
        <w:tab/>
      </w:r>
      <w:r w:rsidRPr="00FF77E7">
        <w:rPr>
          <w:noProof/>
          <w:sz w:val="18"/>
        </w:rPr>
        <w:fldChar w:fldCharType="begin"/>
      </w:r>
      <w:r w:rsidRPr="00FF77E7">
        <w:rPr>
          <w:noProof/>
          <w:sz w:val="18"/>
        </w:rPr>
        <w:instrText xml:space="preserve"> PAGEREF _Toc184888298 \h </w:instrText>
      </w:r>
      <w:r w:rsidRPr="00FF77E7">
        <w:rPr>
          <w:noProof/>
          <w:sz w:val="18"/>
        </w:rPr>
      </w:r>
      <w:r w:rsidRPr="00FF77E7">
        <w:rPr>
          <w:noProof/>
          <w:sz w:val="18"/>
        </w:rPr>
        <w:fldChar w:fldCharType="separate"/>
      </w:r>
      <w:r w:rsidR="001113FA">
        <w:rPr>
          <w:noProof/>
          <w:sz w:val="18"/>
        </w:rPr>
        <w:t>24</w:t>
      </w:r>
      <w:r w:rsidRPr="00FF77E7">
        <w:rPr>
          <w:noProof/>
          <w:sz w:val="18"/>
        </w:rPr>
        <w:fldChar w:fldCharType="end"/>
      </w:r>
    </w:p>
    <w:p w14:paraId="7E1F1784" w14:textId="43266EF7"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Corporations Act 2001</w:t>
      </w:r>
      <w:r w:rsidRPr="00FF77E7">
        <w:rPr>
          <w:i w:val="0"/>
          <w:noProof/>
          <w:sz w:val="18"/>
        </w:rPr>
        <w:tab/>
      </w:r>
      <w:r w:rsidRPr="00FF77E7">
        <w:rPr>
          <w:i w:val="0"/>
          <w:noProof/>
          <w:sz w:val="18"/>
        </w:rPr>
        <w:fldChar w:fldCharType="begin"/>
      </w:r>
      <w:r w:rsidRPr="00FF77E7">
        <w:rPr>
          <w:i w:val="0"/>
          <w:noProof/>
          <w:sz w:val="18"/>
        </w:rPr>
        <w:instrText xml:space="preserve"> PAGEREF _Toc184888299 \h </w:instrText>
      </w:r>
      <w:r w:rsidRPr="00FF77E7">
        <w:rPr>
          <w:i w:val="0"/>
          <w:noProof/>
          <w:sz w:val="18"/>
        </w:rPr>
      </w:r>
      <w:r w:rsidRPr="00FF77E7">
        <w:rPr>
          <w:i w:val="0"/>
          <w:noProof/>
          <w:sz w:val="18"/>
        </w:rPr>
        <w:fldChar w:fldCharType="separate"/>
      </w:r>
      <w:r w:rsidR="001113FA">
        <w:rPr>
          <w:i w:val="0"/>
          <w:noProof/>
          <w:sz w:val="18"/>
        </w:rPr>
        <w:t>24</w:t>
      </w:r>
      <w:r w:rsidRPr="00FF77E7">
        <w:rPr>
          <w:i w:val="0"/>
          <w:noProof/>
          <w:sz w:val="18"/>
        </w:rPr>
        <w:fldChar w:fldCharType="end"/>
      </w:r>
    </w:p>
    <w:p w14:paraId="2FF6AFC5" w14:textId="0F75C26F"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3—</w:t>
      </w:r>
      <w:r w:rsidRPr="003C5E9E">
        <w:rPr>
          <w:rFonts w:eastAsia="Calibri"/>
          <w:noProof/>
        </w:rPr>
        <w:t>Foreign Acquisitions and Takeovers Act 1975</w:t>
      </w:r>
      <w:r w:rsidRPr="00FF77E7">
        <w:rPr>
          <w:noProof/>
          <w:sz w:val="18"/>
        </w:rPr>
        <w:tab/>
      </w:r>
      <w:r w:rsidRPr="00FF77E7">
        <w:rPr>
          <w:noProof/>
          <w:sz w:val="18"/>
        </w:rPr>
        <w:fldChar w:fldCharType="begin"/>
      </w:r>
      <w:r w:rsidRPr="00FF77E7">
        <w:rPr>
          <w:noProof/>
          <w:sz w:val="18"/>
        </w:rPr>
        <w:instrText xml:space="preserve"> PAGEREF _Toc184888302 \h </w:instrText>
      </w:r>
      <w:r w:rsidRPr="00FF77E7">
        <w:rPr>
          <w:noProof/>
          <w:sz w:val="18"/>
        </w:rPr>
      </w:r>
      <w:r w:rsidRPr="00FF77E7">
        <w:rPr>
          <w:noProof/>
          <w:sz w:val="18"/>
        </w:rPr>
        <w:fldChar w:fldCharType="separate"/>
      </w:r>
      <w:r w:rsidR="001113FA">
        <w:rPr>
          <w:noProof/>
          <w:sz w:val="18"/>
        </w:rPr>
        <w:t>25</w:t>
      </w:r>
      <w:r w:rsidRPr="00FF77E7">
        <w:rPr>
          <w:noProof/>
          <w:sz w:val="18"/>
        </w:rPr>
        <w:fldChar w:fldCharType="end"/>
      </w:r>
    </w:p>
    <w:p w14:paraId="25C1F69A" w14:textId="24E0D1F4" w:rsidR="00FF77E7" w:rsidRDefault="00FF77E7">
      <w:pPr>
        <w:pStyle w:val="TOC9"/>
        <w:rPr>
          <w:rFonts w:asciiTheme="minorHAnsi" w:eastAsiaTheme="minorEastAsia" w:hAnsiTheme="minorHAnsi" w:cstheme="minorBidi"/>
          <w:i w:val="0"/>
          <w:noProof/>
          <w:kern w:val="2"/>
          <w:sz w:val="24"/>
          <w:szCs w:val="24"/>
          <w14:ligatures w14:val="standardContextual"/>
        </w:rPr>
      </w:pPr>
      <w:r w:rsidRPr="003C5E9E">
        <w:rPr>
          <w:rFonts w:eastAsia="Calibri"/>
          <w:noProof/>
        </w:rPr>
        <w:t>Foreign Acquisitions and Takeovers Act 1975</w:t>
      </w:r>
      <w:r w:rsidRPr="00FF77E7">
        <w:rPr>
          <w:i w:val="0"/>
          <w:noProof/>
          <w:sz w:val="18"/>
        </w:rPr>
        <w:tab/>
      </w:r>
      <w:r w:rsidRPr="00FF77E7">
        <w:rPr>
          <w:i w:val="0"/>
          <w:noProof/>
          <w:sz w:val="18"/>
        </w:rPr>
        <w:fldChar w:fldCharType="begin"/>
      </w:r>
      <w:r w:rsidRPr="00FF77E7">
        <w:rPr>
          <w:i w:val="0"/>
          <w:noProof/>
          <w:sz w:val="18"/>
        </w:rPr>
        <w:instrText xml:space="preserve"> PAGEREF _Toc184888303 \h </w:instrText>
      </w:r>
      <w:r w:rsidRPr="00FF77E7">
        <w:rPr>
          <w:i w:val="0"/>
          <w:noProof/>
          <w:sz w:val="18"/>
        </w:rPr>
      </w:r>
      <w:r w:rsidRPr="00FF77E7">
        <w:rPr>
          <w:i w:val="0"/>
          <w:noProof/>
          <w:sz w:val="18"/>
        </w:rPr>
        <w:fldChar w:fldCharType="separate"/>
      </w:r>
      <w:r w:rsidR="001113FA">
        <w:rPr>
          <w:i w:val="0"/>
          <w:noProof/>
          <w:sz w:val="18"/>
        </w:rPr>
        <w:t>25</w:t>
      </w:r>
      <w:r w:rsidRPr="00FF77E7">
        <w:rPr>
          <w:i w:val="0"/>
          <w:noProof/>
          <w:sz w:val="18"/>
        </w:rPr>
        <w:fldChar w:fldCharType="end"/>
      </w:r>
    </w:p>
    <w:p w14:paraId="1D1E4A37" w14:textId="2A811654"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4—Assessable petroleum receipts worked out according to regulations</w:t>
      </w:r>
      <w:r w:rsidRPr="00FF77E7">
        <w:rPr>
          <w:noProof/>
          <w:sz w:val="18"/>
        </w:rPr>
        <w:tab/>
      </w:r>
      <w:r w:rsidRPr="00FF77E7">
        <w:rPr>
          <w:noProof/>
          <w:sz w:val="18"/>
        </w:rPr>
        <w:fldChar w:fldCharType="begin"/>
      </w:r>
      <w:r w:rsidRPr="00FF77E7">
        <w:rPr>
          <w:noProof/>
          <w:sz w:val="18"/>
        </w:rPr>
        <w:instrText xml:space="preserve"> PAGEREF _Toc184888304 \h </w:instrText>
      </w:r>
      <w:r w:rsidRPr="00FF77E7">
        <w:rPr>
          <w:noProof/>
          <w:sz w:val="18"/>
        </w:rPr>
      </w:r>
      <w:r w:rsidRPr="00FF77E7">
        <w:rPr>
          <w:noProof/>
          <w:sz w:val="18"/>
        </w:rPr>
        <w:fldChar w:fldCharType="separate"/>
      </w:r>
      <w:r w:rsidR="001113FA">
        <w:rPr>
          <w:noProof/>
          <w:sz w:val="18"/>
        </w:rPr>
        <w:t>26</w:t>
      </w:r>
      <w:r w:rsidRPr="00FF77E7">
        <w:rPr>
          <w:noProof/>
          <w:sz w:val="18"/>
        </w:rPr>
        <w:fldChar w:fldCharType="end"/>
      </w:r>
    </w:p>
    <w:p w14:paraId="2E11D269" w14:textId="50682C8A" w:rsidR="00FF77E7" w:rsidRDefault="00FF77E7">
      <w:pPr>
        <w:pStyle w:val="TOC9"/>
        <w:rPr>
          <w:rFonts w:asciiTheme="minorHAnsi" w:eastAsiaTheme="minorEastAsia" w:hAnsiTheme="minorHAnsi" w:cstheme="minorBidi"/>
          <w:i w:val="0"/>
          <w:noProof/>
          <w:kern w:val="2"/>
          <w:sz w:val="24"/>
          <w:szCs w:val="24"/>
          <w14:ligatures w14:val="standardContextual"/>
        </w:rPr>
      </w:pPr>
      <w:r w:rsidRPr="003C5E9E">
        <w:rPr>
          <w:rFonts w:eastAsia="Calibri"/>
          <w:noProof/>
        </w:rPr>
        <w:t>Petroleum Resource Rent Tax Assessment Act 1987</w:t>
      </w:r>
      <w:r w:rsidRPr="00FF77E7">
        <w:rPr>
          <w:i w:val="0"/>
          <w:noProof/>
          <w:sz w:val="18"/>
        </w:rPr>
        <w:tab/>
      </w:r>
      <w:r w:rsidRPr="00FF77E7">
        <w:rPr>
          <w:i w:val="0"/>
          <w:noProof/>
          <w:sz w:val="18"/>
        </w:rPr>
        <w:fldChar w:fldCharType="begin"/>
      </w:r>
      <w:r w:rsidRPr="00FF77E7">
        <w:rPr>
          <w:i w:val="0"/>
          <w:noProof/>
          <w:sz w:val="18"/>
        </w:rPr>
        <w:instrText xml:space="preserve"> PAGEREF _Toc184888305 \h </w:instrText>
      </w:r>
      <w:r w:rsidRPr="00FF77E7">
        <w:rPr>
          <w:i w:val="0"/>
          <w:noProof/>
          <w:sz w:val="18"/>
        </w:rPr>
      </w:r>
      <w:r w:rsidRPr="00FF77E7">
        <w:rPr>
          <w:i w:val="0"/>
          <w:noProof/>
          <w:sz w:val="18"/>
        </w:rPr>
        <w:fldChar w:fldCharType="separate"/>
      </w:r>
      <w:r w:rsidR="001113FA">
        <w:rPr>
          <w:i w:val="0"/>
          <w:noProof/>
          <w:sz w:val="18"/>
        </w:rPr>
        <w:t>26</w:t>
      </w:r>
      <w:r w:rsidRPr="00FF77E7">
        <w:rPr>
          <w:i w:val="0"/>
          <w:noProof/>
          <w:sz w:val="18"/>
        </w:rPr>
        <w:fldChar w:fldCharType="end"/>
      </w:r>
    </w:p>
    <w:p w14:paraId="7CC1C2FC" w14:textId="5185188A" w:rsidR="00FF77E7" w:rsidRDefault="00FF77E7">
      <w:pPr>
        <w:pStyle w:val="TOC7"/>
        <w:rPr>
          <w:rFonts w:asciiTheme="minorHAnsi" w:eastAsiaTheme="minorEastAsia" w:hAnsiTheme="minorHAnsi" w:cstheme="minorBidi"/>
          <w:noProof/>
          <w:kern w:val="2"/>
          <w:szCs w:val="24"/>
          <w14:ligatures w14:val="standardContextual"/>
        </w:rPr>
      </w:pPr>
      <w:r>
        <w:rPr>
          <w:noProof/>
        </w:rPr>
        <w:t>Part 2—Amendments commencing first day of next quarter</w:t>
      </w:r>
      <w:r w:rsidRPr="00FF77E7">
        <w:rPr>
          <w:noProof/>
          <w:sz w:val="18"/>
        </w:rPr>
        <w:tab/>
      </w:r>
      <w:r w:rsidRPr="00FF77E7">
        <w:rPr>
          <w:noProof/>
          <w:sz w:val="18"/>
        </w:rPr>
        <w:fldChar w:fldCharType="begin"/>
      </w:r>
      <w:r w:rsidRPr="00FF77E7">
        <w:rPr>
          <w:noProof/>
          <w:sz w:val="18"/>
        </w:rPr>
        <w:instrText xml:space="preserve"> PAGEREF _Toc184888306 \h </w:instrText>
      </w:r>
      <w:r w:rsidRPr="00FF77E7">
        <w:rPr>
          <w:noProof/>
          <w:sz w:val="18"/>
        </w:rPr>
      </w:r>
      <w:r w:rsidRPr="00FF77E7">
        <w:rPr>
          <w:noProof/>
          <w:sz w:val="18"/>
        </w:rPr>
        <w:fldChar w:fldCharType="separate"/>
      </w:r>
      <w:r w:rsidR="001113FA">
        <w:rPr>
          <w:noProof/>
          <w:sz w:val="18"/>
        </w:rPr>
        <w:t>27</w:t>
      </w:r>
      <w:r w:rsidRPr="00FF77E7">
        <w:rPr>
          <w:noProof/>
          <w:sz w:val="18"/>
        </w:rPr>
        <w:fldChar w:fldCharType="end"/>
      </w:r>
    </w:p>
    <w:p w14:paraId="30622A45" w14:textId="1C294A90"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1—</w:t>
      </w:r>
      <w:r w:rsidRPr="003C5E9E">
        <w:rPr>
          <w:rFonts w:eastAsia="Calibri"/>
          <w:noProof/>
        </w:rPr>
        <w:t>General class investors</w:t>
      </w:r>
      <w:r w:rsidRPr="00FF77E7">
        <w:rPr>
          <w:noProof/>
          <w:sz w:val="18"/>
        </w:rPr>
        <w:tab/>
      </w:r>
      <w:r w:rsidRPr="00FF77E7">
        <w:rPr>
          <w:noProof/>
          <w:sz w:val="18"/>
        </w:rPr>
        <w:fldChar w:fldCharType="begin"/>
      </w:r>
      <w:r w:rsidRPr="00FF77E7">
        <w:rPr>
          <w:noProof/>
          <w:sz w:val="18"/>
        </w:rPr>
        <w:instrText xml:space="preserve"> PAGEREF _Toc184888307 \h </w:instrText>
      </w:r>
      <w:r w:rsidRPr="00FF77E7">
        <w:rPr>
          <w:noProof/>
          <w:sz w:val="18"/>
        </w:rPr>
      </w:r>
      <w:r w:rsidRPr="00FF77E7">
        <w:rPr>
          <w:noProof/>
          <w:sz w:val="18"/>
        </w:rPr>
        <w:fldChar w:fldCharType="separate"/>
      </w:r>
      <w:r w:rsidR="001113FA">
        <w:rPr>
          <w:noProof/>
          <w:sz w:val="18"/>
        </w:rPr>
        <w:t>27</w:t>
      </w:r>
      <w:r w:rsidRPr="00FF77E7">
        <w:rPr>
          <w:noProof/>
          <w:sz w:val="18"/>
        </w:rPr>
        <w:fldChar w:fldCharType="end"/>
      </w:r>
    </w:p>
    <w:p w14:paraId="40FC621F" w14:textId="5E15DAF2"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FF77E7">
        <w:rPr>
          <w:i w:val="0"/>
          <w:noProof/>
          <w:sz w:val="18"/>
        </w:rPr>
        <w:tab/>
      </w:r>
      <w:r w:rsidRPr="00FF77E7">
        <w:rPr>
          <w:i w:val="0"/>
          <w:noProof/>
          <w:sz w:val="18"/>
        </w:rPr>
        <w:fldChar w:fldCharType="begin"/>
      </w:r>
      <w:r w:rsidRPr="00FF77E7">
        <w:rPr>
          <w:i w:val="0"/>
          <w:noProof/>
          <w:sz w:val="18"/>
        </w:rPr>
        <w:instrText xml:space="preserve"> PAGEREF _Toc184888308 \h </w:instrText>
      </w:r>
      <w:r w:rsidRPr="00FF77E7">
        <w:rPr>
          <w:i w:val="0"/>
          <w:noProof/>
          <w:sz w:val="18"/>
        </w:rPr>
      </w:r>
      <w:r w:rsidRPr="00FF77E7">
        <w:rPr>
          <w:i w:val="0"/>
          <w:noProof/>
          <w:sz w:val="18"/>
        </w:rPr>
        <w:fldChar w:fldCharType="separate"/>
      </w:r>
      <w:r w:rsidR="001113FA">
        <w:rPr>
          <w:i w:val="0"/>
          <w:noProof/>
          <w:sz w:val="18"/>
        </w:rPr>
        <w:t>27</w:t>
      </w:r>
      <w:r w:rsidRPr="00FF77E7">
        <w:rPr>
          <w:i w:val="0"/>
          <w:noProof/>
          <w:sz w:val="18"/>
        </w:rPr>
        <w:fldChar w:fldCharType="end"/>
      </w:r>
    </w:p>
    <w:p w14:paraId="2D4D1CEC" w14:textId="703DD031" w:rsidR="00FF77E7" w:rsidRDefault="00FF77E7">
      <w:pPr>
        <w:pStyle w:val="TOC8"/>
        <w:rPr>
          <w:rFonts w:asciiTheme="minorHAnsi" w:eastAsiaTheme="minorEastAsia" w:hAnsiTheme="minorHAnsi" w:cstheme="minorBidi"/>
          <w:noProof/>
          <w:kern w:val="2"/>
          <w:sz w:val="24"/>
          <w:szCs w:val="24"/>
          <w14:ligatures w14:val="standardContextual"/>
        </w:rPr>
      </w:pPr>
      <w:r>
        <w:rPr>
          <w:noProof/>
        </w:rPr>
        <w:t>Division 2—</w:t>
      </w:r>
      <w:r w:rsidRPr="003C5E9E">
        <w:rPr>
          <w:rFonts w:eastAsia="Calibri"/>
          <w:noProof/>
        </w:rPr>
        <w:t>Deductible gift recipients</w:t>
      </w:r>
      <w:r w:rsidRPr="00FF77E7">
        <w:rPr>
          <w:noProof/>
          <w:sz w:val="18"/>
        </w:rPr>
        <w:tab/>
      </w:r>
      <w:r w:rsidRPr="00FF77E7">
        <w:rPr>
          <w:noProof/>
          <w:sz w:val="18"/>
        </w:rPr>
        <w:fldChar w:fldCharType="begin"/>
      </w:r>
      <w:r w:rsidRPr="00FF77E7">
        <w:rPr>
          <w:noProof/>
          <w:sz w:val="18"/>
        </w:rPr>
        <w:instrText xml:space="preserve"> PAGEREF _Toc184888309 \h </w:instrText>
      </w:r>
      <w:r w:rsidRPr="00FF77E7">
        <w:rPr>
          <w:noProof/>
          <w:sz w:val="18"/>
        </w:rPr>
      </w:r>
      <w:r w:rsidRPr="00FF77E7">
        <w:rPr>
          <w:noProof/>
          <w:sz w:val="18"/>
        </w:rPr>
        <w:fldChar w:fldCharType="separate"/>
      </w:r>
      <w:r w:rsidR="001113FA">
        <w:rPr>
          <w:noProof/>
          <w:sz w:val="18"/>
        </w:rPr>
        <w:t>28</w:t>
      </w:r>
      <w:r w:rsidRPr="00FF77E7">
        <w:rPr>
          <w:noProof/>
          <w:sz w:val="18"/>
        </w:rPr>
        <w:fldChar w:fldCharType="end"/>
      </w:r>
    </w:p>
    <w:p w14:paraId="025B6587" w14:textId="6920858A" w:rsidR="00FF77E7" w:rsidRDefault="00FF77E7">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FF77E7">
        <w:rPr>
          <w:i w:val="0"/>
          <w:noProof/>
          <w:sz w:val="18"/>
        </w:rPr>
        <w:tab/>
      </w:r>
      <w:r w:rsidRPr="00FF77E7">
        <w:rPr>
          <w:i w:val="0"/>
          <w:noProof/>
          <w:sz w:val="18"/>
        </w:rPr>
        <w:fldChar w:fldCharType="begin"/>
      </w:r>
      <w:r w:rsidRPr="00FF77E7">
        <w:rPr>
          <w:i w:val="0"/>
          <w:noProof/>
          <w:sz w:val="18"/>
        </w:rPr>
        <w:instrText xml:space="preserve"> PAGEREF _Toc184888310 \h </w:instrText>
      </w:r>
      <w:r w:rsidRPr="00FF77E7">
        <w:rPr>
          <w:i w:val="0"/>
          <w:noProof/>
          <w:sz w:val="18"/>
        </w:rPr>
      </w:r>
      <w:r w:rsidRPr="00FF77E7">
        <w:rPr>
          <w:i w:val="0"/>
          <w:noProof/>
          <w:sz w:val="18"/>
        </w:rPr>
        <w:fldChar w:fldCharType="separate"/>
      </w:r>
      <w:r w:rsidR="001113FA">
        <w:rPr>
          <w:i w:val="0"/>
          <w:noProof/>
          <w:sz w:val="18"/>
        </w:rPr>
        <w:t>28</w:t>
      </w:r>
      <w:r w:rsidRPr="00FF77E7">
        <w:rPr>
          <w:i w:val="0"/>
          <w:noProof/>
          <w:sz w:val="18"/>
        </w:rPr>
        <w:fldChar w:fldCharType="end"/>
      </w:r>
    </w:p>
    <w:p w14:paraId="07528CB7" w14:textId="3C0ECCFF" w:rsidR="00FF77E7" w:rsidRDefault="00FF77E7">
      <w:pPr>
        <w:pStyle w:val="TOC7"/>
        <w:rPr>
          <w:rFonts w:asciiTheme="minorHAnsi" w:eastAsiaTheme="minorEastAsia" w:hAnsiTheme="minorHAnsi" w:cstheme="minorBidi"/>
          <w:noProof/>
          <w:kern w:val="2"/>
          <w:szCs w:val="24"/>
          <w14:ligatures w14:val="standardContextual"/>
        </w:rPr>
      </w:pPr>
      <w:r>
        <w:rPr>
          <w:noProof/>
        </w:rPr>
        <w:t>Part 3—Amendments with other commencements: declaration of relevant relationships</w:t>
      </w:r>
      <w:r w:rsidRPr="00FF77E7">
        <w:rPr>
          <w:noProof/>
          <w:sz w:val="18"/>
        </w:rPr>
        <w:tab/>
      </w:r>
      <w:r w:rsidRPr="00FF77E7">
        <w:rPr>
          <w:noProof/>
          <w:sz w:val="18"/>
        </w:rPr>
        <w:fldChar w:fldCharType="begin"/>
      </w:r>
      <w:r w:rsidRPr="00FF77E7">
        <w:rPr>
          <w:noProof/>
          <w:sz w:val="18"/>
        </w:rPr>
        <w:instrText xml:space="preserve"> PAGEREF _Toc184888311 \h </w:instrText>
      </w:r>
      <w:r w:rsidRPr="00FF77E7">
        <w:rPr>
          <w:noProof/>
          <w:sz w:val="18"/>
        </w:rPr>
      </w:r>
      <w:r w:rsidRPr="00FF77E7">
        <w:rPr>
          <w:noProof/>
          <w:sz w:val="18"/>
        </w:rPr>
        <w:fldChar w:fldCharType="separate"/>
      </w:r>
      <w:r w:rsidR="001113FA">
        <w:rPr>
          <w:noProof/>
          <w:sz w:val="18"/>
        </w:rPr>
        <w:t>29</w:t>
      </w:r>
      <w:r w:rsidRPr="00FF77E7">
        <w:rPr>
          <w:noProof/>
          <w:sz w:val="18"/>
        </w:rPr>
        <w:fldChar w:fldCharType="end"/>
      </w:r>
    </w:p>
    <w:p w14:paraId="04ED0375" w14:textId="5663573A" w:rsidR="00FF77E7" w:rsidRDefault="00FF77E7">
      <w:pPr>
        <w:pStyle w:val="TOC9"/>
        <w:rPr>
          <w:rFonts w:asciiTheme="minorHAnsi" w:eastAsiaTheme="minorEastAsia" w:hAnsiTheme="minorHAnsi" w:cstheme="minorBidi"/>
          <w:i w:val="0"/>
          <w:noProof/>
          <w:kern w:val="2"/>
          <w:sz w:val="24"/>
          <w:szCs w:val="24"/>
          <w14:ligatures w14:val="standardContextual"/>
        </w:rPr>
      </w:pPr>
      <w:r w:rsidRPr="003C5E9E">
        <w:rPr>
          <w:rFonts w:eastAsia="Calibri"/>
          <w:noProof/>
        </w:rPr>
        <w:t>Corporations Act 2001</w:t>
      </w:r>
      <w:r w:rsidRPr="00FF77E7">
        <w:rPr>
          <w:i w:val="0"/>
          <w:noProof/>
          <w:sz w:val="18"/>
        </w:rPr>
        <w:tab/>
      </w:r>
      <w:r w:rsidRPr="00FF77E7">
        <w:rPr>
          <w:i w:val="0"/>
          <w:noProof/>
          <w:sz w:val="18"/>
        </w:rPr>
        <w:fldChar w:fldCharType="begin"/>
      </w:r>
      <w:r w:rsidRPr="00FF77E7">
        <w:rPr>
          <w:i w:val="0"/>
          <w:noProof/>
          <w:sz w:val="18"/>
        </w:rPr>
        <w:instrText xml:space="preserve"> PAGEREF _Toc184888312 \h </w:instrText>
      </w:r>
      <w:r w:rsidRPr="00FF77E7">
        <w:rPr>
          <w:i w:val="0"/>
          <w:noProof/>
          <w:sz w:val="18"/>
        </w:rPr>
      </w:r>
      <w:r w:rsidRPr="00FF77E7">
        <w:rPr>
          <w:i w:val="0"/>
          <w:noProof/>
          <w:sz w:val="18"/>
        </w:rPr>
        <w:fldChar w:fldCharType="separate"/>
      </w:r>
      <w:r w:rsidR="001113FA">
        <w:rPr>
          <w:i w:val="0"/>
          <w:noProof/>
          <w:sz w:val="18"/>
        </w:rPr>
        <w:t>29</w:t>
      </w:r>
      <w:r w:rsidRPr="00FF77E7">
        <w:rPr>
          <w:i w:val="0"/>
          <w:noProof/>
          <w:sz w:val="18"/>
        </w:rPr>
        <w:fldChar w:fldCharType="end"/>
      </w:r>
    </w:p>
    <w:p w14:paraId="4A7BB3B8" w14:textId="2B3CB5D4" w:rsidR="00FE7F93" w:rsidRPr="001D517F" w:rsidRDefault="00FF77E7" w:rsidP="0048364F">
      <w:pPr>
        <w:sectPr w:rsidR="00FE7F93" w:rsidRPr="001D517F" w:rsidSect="0081489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0A327F37" w14:textId="77777777" w:rsidR="00814893" w:rsidRDefault="00814893">
      <w:r>
        <w:object w:dxaOrig="2146" w:dyaOrig="1561" w14:anchorId="29E325EB">
          <v:shape id="_x0000_i1027" type="#_x0000_t75" alt="Commonwealth Coat of Arms of Australia" style="width:110.2pt;height:79.75pt" o:ole="" fillcolor="window">
            <v:imagedata r:id="rId7" o:title=""/>
          </v:shape>
          <o:OLEObject Type="Embed" ProgID="Word.Picture.8" ShapeID="_x0000_i1027" DrawAspect="Content" ObjectID="_1795507156" r:id="rId20"/>
        </w:object>
      </w:r>
    </w:p>
    <w:p w14:paraId="4E472876" w14:textId="77777777" w:rsidR="00814893" w:rsidRDefault="00814893"/>
    <w:p w14:paraId="1AE81BA6" w14:textId="77777777" w:rsidR="00814893" w:rsidRDefault="00814893" w:rsidP="000178F8">
      <w:pPr>
        <w:spacing w:line="240" w:lineRule="auto"/>
      </w:pPr>
    </w:p>
    <w:p w14:paraId="55796E8B" w14:textId="70E7E02C" w:rsidR="00814893" w:rsidRDefault="00814893" w:rsidP="000178F8">
      <w:pPr>
        <w:pStyle w:val="ShortTP1"/>
      </w:pPr>
      <w:r>
        <w:fldChar w:fldCharType="begin"/>
      </w:r>
      <w:r>
        <w:instrText xml:space="preserve"> STYLEREF ShortT </w:instrText>
      </w:r>
      <w:r>
        <w:fldChar w:fldCharType="separate"/>
      </w:r>
      <w:r w:rsidR="001113FA">
        <w:rPr>
          <w:noProof/>
        </w:rPr>
        <w:t>Treasury Laws Amendment (Fairer for Families and Farmers and Other Measures) Act 2024</w:t>
      </w:r>
      <w:r>
        <w:rPr>
          <w:noProof/>
        </w:rPr>
        <w:fldChar w:fldCharType="end"/>
      </w:r>
    </w:p>
    <w:p w14:paraId="2E92B006" w14:textId="50A13637" w:rsidR="00814893" w:rsidRDefault="00814893" w:rsidP="000178F8">
      <w:pPr>
        <w:pStyle w:val="ActNoP1"/>
      </w:pPr>
      <w:r>
        <w:fldChar w:fldCharType="begin"/>
      </w:r>
      <w:r>
        <w:instrText xml:space="preserve"> STYLEREF Actno </w:instrText>
      </w:r>
      <w:r>
        <w:fldChar w:fldCharType="separate"/>
      </w:r>
      <w:r w:rsidR="001113FA">
        <w:rPr>
          <w:noProof/>
        </w:rPr>
        <w:t>No. 136, 2024</w:t>
      </w:r>
      <w:r>
        <w:rPr>
          <w:noProof/>
        </w:rPr>
        <w:fldChar w:fldCharType="end"/>
      </w:r>
    </w:p>
    <w:p w14:paraId="4C77B4BD" w14:textId="77777777" w:rsidR="00814893" w:rsidRPr="009A0728" w:rsidRDefault="00814893" w:rsidP="009A0728">
      <w:pPr>
        <w:pBdr>
          <w:bottom w:val="single" w:sz="6" w:space="0" w:color="auto"/>
        </w:pBdr>
        <w:spacing w:before="400" w:line="240" w:lineRule="auto"/>
        <w:rPr>
          <w:rFonts w:eastAsia="Times New Roman"/>
          <w:b/>
          <w:sz w:val="28"/>
        </w:rPr>
      </w:pPr>
    </w:p>
    <w:p w14:paraId="275D9958" w14:textId="77777777" w:rsidR="00814893" w:rsidRPr="009A0728" w:rsidRDefault="00814893" w:rsidP="009A0728">
      <w:pPr>
        <w:spacing w:line="40" w:lineRule="exact"/>
        <w:rPr>
          <w:rFonts w:eastAsia="Calibri"/>
          <w:b/>
          <w:sz w:val="28"/>
        </w:rPr>
      </w:pPr>
    </w:p>
    <w:p w14:paraId="4CD080E9" w14:textId="77777777" w:rsidR="00814893" w:rsidRPr="009A0728" w:rsidRDefault="00814893" w:rsidP="009A0728">
      <w:pPr>
        <w:pBdr>
          <w:top w:val="single" w:sz="12" w:space="0" w:color="auto"/>
        </w:pBdr>
        <w:spacing w:line="240" w:lineRule="auto"/>
        <w:rPr>
          <w:rFonts w:eastAsia="Times New Roman"/>
          <w:b/>
          <w:sz w:val="28"/>
        </w:rPr>
      </w:pPr>
    </w:p>
    <w:p w14:paraId="6918DD58" w14:textId="77777777" w:rsidR="00814893" w:rsidRDefault="00814893" w:rsidP="00814893">
      <w:pPr>
        <w:pStyle w:val="Page1"/>
        <w:spacing w:before="400"/>
      </w:pPr>
      <w:r>
        <w:t>An Act to amend the law relating to the cessation of the registries modernisation program, information and safety standards, Housing Australia, industry codes, taxation, corporations, financial services and foreign acquisitions and takeovers, and for other purposes</w:t>
      </w:r>
    </w:p>
    <w:p w14:paraId="4E0E1A71" w14:textId="30722E6A" w:rsidR="00E931D8" w:rsidRDefault="00E931D8" w:rsidP="000C5962">
      <w:pPr>
        <w:pStyle w:val="AssentDt"/>
        <w:spacing w:before="240"/>
        <w:rPr>
          <w:sz w:val="24"/>
        </w:rPr>
      </w:pPr>
      <w:r>
        <w:rPr>
          <w:sz w:val="24"/>
        </w:rPr>
        <w:t>[</w:t>
      </w:r>
      <w:r>
        <w:rPr>
          <w:i/>
          <w:sz w:val="24"/>
        </w:rPr>
        <w:t>Assented to 10 December 2024</w:t>
      </w:r>
      <w:r>
        <w:rPr>
          <w:sz w:val="24"/>
        </w:rPr>
        <w:t>]</w:t>
      </w:r>
    </w:p>
    <w:p w14:paraId="51FFCAF2" w14:textId="1344B630" w:rsidR="0048364F" w:rsidRPr="001D517F" w:rsidRDefault="0048364F" w:rsidP="00152C0F">
      <w:pPr>
        <w:spacing w:before="240" w:line="240" w:lineRule="auto"/>
        <w:rPr>
          <w:sz w:val="32"/>
        </w:rPr>
      </w:pPr>
      <w:r w:rsidRPr="001D517F">
        <w:rPr>
          <w:sz w:val="32"/>
        </w:rPr>
        <w:t>The Parliament of Australia enacts:</w:t>
      </w:r>
    </w:p>
    <w:p w14:paraId="5D199328" w14:textId="77777777" w:rsidR="0048364F" w:rsidRPr="001D517F" w:rsidRDefault="0048364F" w:rsidP="00152C0F">
      <w:pPr>
        <w:pStyle w:val="ActHead5"/>
      </w:pPr>
      <w:bookmarkStart w:id="1" w:name="_Toc184888256"/>
      <w:r w:rsidRPr="00A15312">
        <w:rPr>
          <w:rStyle w:val="CharSectno"/>
        </w:rPr>
        <w:t>1</w:t>
      </w:r>
      <w:r w:rsidRPr="001D517F">
        <w:t xml:space="preserve">  Short title</w:t>
      </w:r>
      <w:bookmarkEnd w:id="1"/>
    </w:p>
    <w:p w14:paraId="392F5F4A" w14:textId="77777777" w:rsidR="0048364F" w:rsidRPr="001D517F" w:rsidRDefault="0048364F" w:rsidP="00152C0F">
      <w:pPr>
        <w:pStyle w:val="subsection"/>
      </w:pPr>
      <w:r w:rsidRPr="001D517F">
        <w:tab/>
      </w:r>
      <w:r w:rsidRPr="001D517F">
        <w:tab/>
        <w:t xml:space="preserve">This Act </w:t>
      </w:r>
      <w:r w:rsidR="00275197" w:rsidRPr="001D517F">
        <w:t xml:space="preserve">is </w:t>
      </w:r>
      <w:r w:rsidRPr="001D517F">
        <w:t xml:space="preserve">the </w:t>
      </w:r>
      <w:r w:rsidR="007C651B" w:rsidRPr="001D517F">
        <w:rPr>
          <w:i/>
        </w:rPr>
        <w:t>Treasury Laws Amendment (Fairer for Families and Farmers and Other Measures) Act 2024</w:t>
      </w:r>
      <w:r w:rsidRPr="001D517F">
        <w:t>.</w:t>
      </w:r>
    </w:p>
    <w:p w14:paraId="69677A17" w14:textId="77777777" w:rsidR="0048364F" w:rsidRPr="001D517F" w:rsidRDefault="0048364F" w:rsidP="00152C0F">
      <w:pPr>
        <w:pStyle w:val="ActHead5"/>
      </w:pPr>
      <w:bookmarkStart w:id="2" w:name="_Toc184888257"/>
      <w:r w:rsidRPr="00A15312">
        <w:rPr>
          <w:rStyle w:val="CharSectno"/>
        </w:rPr>
        <w:lastRenderedPageBreak/>
        <w:t>2</w:t>
      </w:r>
      <w:r w:rsidRPr="001D517F">
        <w:t xml:space="preserve">  Commencement</w:t>
      </w:r>
      <w:bookmarkEnd w:id="2"/>
    </w:p>
    <w:p w14:paraId="41C3A6E3" w14:textId="77777777" w:rsidR="0048364F" w:rsidRPr="001D517F" w:rsidRDefault="0048364F" w:rsidP="00152C0F">
      <w:pPr>
        <w:pStyle w:val="subsection"/>
      </w:pPr>
      <w:r w:rsidRPr="001D517F">
        <w:tab/>
        <w:t>(1)</w:t>
      </w:r>
      <w:r w:rsidRPr="001D517F">
        <w:tab/>
        <w:t>Each provision of this Act specified in column 1 of the table commences, or is taken to have commenced, in accordance with column 2 of the table. Any other statement in column 2 has effect according to its terms.</w:t>
      </w:r>
    </w:p>
    <w:p w14:paraId="09E626D6" w14:textId="77777777" w:rsidR="0048364F" w:rsidRPr="001D517F" w:rsidRDefault="0048364F" w:rsidP="00152C0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D517F" w14:paraId="2C60BA19" w14:textId="77777777" w:rsidTr="004C7C8C">
        <w:trPr>
          <w:tblHeader/>
        </w:trPr>
        <w:tc>
          <w:tcPr>
            <w:tcW w:w="7111" w:type="dxa"/>
            <w:gridSpan w:val="3"/>
            <w:tcBorders>
              <w:top w:val="single" w:sz="12" w:space="0" w:color="auto"/>
              <w:bottom w:val="single" w:sz="6" w:space="0" w:color="auto"/>
            </w:tcBorders>
            <w:shd w:val="clear" w:color="auto" w:fill="auto"/>
          </w:tcPr>
          <w:p w14:paraId="5D6CA772" w14:textId="77777777" w:rsidR="0048364F" w:rsidRPr="001D517F" w:rsidRDefault="0048364F" w:rsidP="00152C0F">
            <w:pPr>
              <w:pStyle w:val="TableHeading"/>
            </w:pPr>
            <w:r w:rsidRPr="001D517F">
              <w:t>Commencement information</w:t>
            </w:r>
          </w:p>
        </w:tc>
      </w:tr>
      <w:tr w:rsidR="0048364F" w:rsidRPr="001D517F" w14:paraId="3AE7F0AA" w14:textId="77777777" w:rsidTr="004C7C8C">
        <w:trPr>
          <w:tblHeader/>
        </w:trPr>
        <w:tc>
          <w:tcPr>
            <w:tcW w:w="1701" w:type="dxa"/>
            <w:tcBorders>
              <w:top w:val="single" w:sz="6" w:space="0" w:color="auto"/>
              <w:bottom w:val="single" w:sz="6" w:space="0" w:color="auto"/>
            </w:tcBorders>
            <w:shd w:val="clear" w:color="auto" w:fill="auto"/>
          </w:tcPr>
          <w:p w14:paraId="15D02A53" w14:textId="77777777" w:rsidR="0048364F" w:rsidRPr="001D517F" w:rsidRDefault="0048364F" w:rsidP="00152C0F">
            <w:pPr>
              <w:pStyle w:val="TableHeading"/>
            </w:pPr>
            <w:r w:rsidRPr="001D517F">
              <w:t>Column 1</w:t>
            </w:r>
          </w:p>
        </w:tc>
        <w:tc>
          <w:tcPr>
            <w:tcW w:w="3828" w:type="dxa"/>
            <w:tcBorders>
              <w:top w:val="single" w:sz="6" w:space="0" w:color="auto"/>
              <w:bottom w:val="single" w:sz="6" w:space="0" w:color="auto"/>
            </w:tcBorders>
            <w:shd w:val="clear" w:color="auto" w:fill="auto"/>
          </w:tcPr>
          <w:p w14:paraId="6DF47270" w14:textId="77777777" w:rsidR="0048364F" w:rsidRPr="001D517F" w:rsidRDefault="0048364F" w:rsidP="00152C0F">
            <w:pPr>
              <w:pStyle w:val="TableHeading"/>
            </w:pPr>
            <w:r w:rsidRPr="001D517F">
              <w:t>Column 2</w:t>
            </w:r>
          </w:p>
        </w:tc>
        <w:tc>
          <w:tcPr>
            <w:tcW w:w="1582" w:type="dxa"/>
            <w:tcBorders>
              <w:top w:val="single" w:sz="6" w:space="0" w:color="auto"/>
              <w:bottom w:val="single" w:sz="6" w:space="0" w:color="auto"/>
            </w:tcBorders>
            <w:shd w:val="clear" w:color="auto" w:fill="auto"/>
          </w:tcPr>
          <w:p w14:paraId="55D72D0B" w14:textId="77777777" w:rsidR="0048364F" w:rsidRPr="001D517F" w:rsidRDefault="0048364F" w:rsidP="00152C0F">
            <w:pPr>
              <w:pStyle w:val="TableHeading"/>
            </w:pPr>
            <w:r w:rsidRPr="001D517F">
              <w:t>Column 3</w:t>
            </w:r>
          </w:p>
        </w:tc>
      </w:tr>
      <w:tr w:rsidR="0048364F" w:rsidRPr="001D517F" w14:paraId="5168D69F" w14:textId="77777777" w:rsidTr="004C7C8C">
        <w:trPr>
          <w:tblHeader/>
        </w:trPr>
        <w:tc>
          <w:tcPr>
            <w:tcW w:w="1701" w:type="dxa"/>
            <w:tcBorders>
              <w:top w:val="single" w:sz="6" w:space="0" w:color="auto"/>
              <w:bottom w:val="single" w:sz="12" w:space="0" w:color="auto"/>
            </w:tcBorders>
            <w:shd w:val="clear" w:color="auto" w:fill="auto"/>
          </w:tcPr>
          <w:p w14:paraId="6F087249" w14:textId="77777777" w:rsidR="0048364F" w:rsidRPr="001D517F" w:rsidRDefault="0048364F" w:rsidP="00152C0F">
            <w:pPr>
              <w:pStyle w:val="TableHeading"/>
            </w:pPr>
            <w:r w:rsidRPr="001D517F">
              <w:t>Provisions</w:t>
            </w:r>
          </w:p>
        </w:tc>
        <w:tc>
          <w:tcPr>
            <w:tcW w:w="3828" w:type="dxa"/>
            <w:tcBorders>
              <w:top w:val="single" w:sz="6" w:space="0" w:color="auto"/>
              <w:bottom w:val="single" w:sz="12" w:space="0" w:color="auto"/>
            </w:tcBorders>
            <w:shd w:val="clear" w:color="auto" w:fill="auto"/>
          </w:tcPr>
          <w:p w14:paraId="32155421" w14:textId="77777777" w:rsidR="0048364F" w:rsidRPr="001D517F" w:rsidRDefault="0048364F" w:rsidP="00152C0F">
            <w:pPr>
              <w:pStyle w:val="TableHeading"/>
            </w:pPr>
            <w:r w:rsidRPr="001D517F">
              <w:t>Commencement</w:t>
            </w:r>
          </w:p>
        </w:tc>
        <w:tc>
          <w:tcPr>
            <w:tcW w:w="1582" w:type="dxa"/>
            <w:tcBorders>
              <w:top w:val="single" w:sz="6" w:space="0" w:color="auto"/>
              <w:bottom w:val="single" w:sz="12" w:space="0" w:color="auto"/>
            </w:tcBorders>
            <w:shd w:val="clear" w:color="auto" w:fill="auto"/>
          </w:tcPr>
          <w:p w14:paraId="77494855" w14:textId="77777777" w:rsidR="0048364F" w:rsidRPr="001D517F" w:rsidRDefault="0048364F" w:rsidP="00152C0F">
            <w:pPr>
              <w:pStyle w:val="TableHeading"/>
            </w:pPr>
            <w:r w:rsidRPr="001D517F">
              <w:t>Date/Details</w:t>
            </w:r>
          </w:p>
        </w:tc>
      </w:tr>
      <w:tr w:rsidR="0048364F" w:rsidRPr="001D517F" w14:paraId="77990A07" w14:textId="77777777" w:rsidTr="004C7C8C">
        <w:tc>
          <w:tcPr>
            <w:tcW w:w="1701" w:type="dxa"/>
            <w:tcBorders>
              <w:top w:val="single" w:sz="12" w:space="0" w:color="auto"/>
            </w:tcBorders>
            <w:shd w:val="clear" w:color="auto" w:fill="auto"/>
          </w:tcPr>
          <w:p w14:paraId="3DFE6169" w14:textId="77777777" w:rsidR="0048364F" w:rsidRPr="001D517F" w:rsidRDefault="0048364F" w:rsidP="00152C0F">
            <w:pPr>
              <w:pStyle w:val="Tabletext"/>
            </w:pPr>
            <w:r w:rsidRPr="001D517F">
              <w:t xml:space="preserve">1.  </w:t>
            </w:r>
            <w:r w:rsidR="00262F0A" w:rsidRPr="001D517F">
              <w:t>Sections 1</w:t>
            </w:r>
            <w:r w:rsidRPr="001D517F">
              <w:t xml:space="preserve"> to 3 and anything in this Act not elsewhere covered by this table</w:t>
            </w:r>
          </w:p>
        </w:tc>
        <w:tc>
          <w:tcPr>
            <w:tcW w:w="3828" w:type="dxa"/>
            <w:tcBorders>
              <w:top w:val="single" w:sz="12" w:space="0" w:color="auto"/>
            </w:tcBorders>
            <w:shd w:val="clear" w:color="auto" w:fill="auto"/>
          </w:tcPr>
          <w:p w14:paraId="62EBD634" w14:textId="77777777" w:rsidR="0048364F" w:rsidRPr="001D517F" w:rsidRDefault="0048364F" w:rsidP="00152C0F">
            <w:pPr>
              <w:pStyle w:val="Tabletext"/>
            </w:pPr>
            <w:r w:rsidRPr="001D517F">
              <w:t>The day this Act receives the Royal Assent.</w:t>
            </w:r>
          </w:p>
        </w:tc>
        <w:tc>
          <w:tcPr>
            <w:tcW w:w="1582" w:type="dxa"/>
            <w:tcBorders>
              <w:top w:val="single" w:sz="12" w:space="0" w:color="auto"/>
            </w:tcBorders>
            <w:shd w:val="clear" w:color="auto" w:fill="auto"/>
          </w:tcPr>
          <w:p w14:paraId="0C8579A9" w14:textId="3B7F7357" w:rsidR="0048364F" w:rsidRPr="001D517F" w:rsidRDefault="00D33F4C" w:rsidP="00152C0F">
            <w:pPr>
              <w:pStyle w:val="Tabletext"/>
            </w:pPr>
            <w:r>
              <w:t>10 December 2024</w:t>
            </w:r>
          </w:p>
        </w:tc>
      </w:tr>
      <w:tr w:rsidR="0048364F" w:rsidRPr="001D517F" w14:paraId="77F61362" w14:textId="77777777" w:rsidTr="004C7C8C">
        <w:tc>
          <w:tcPr>
            <w:tcW w:w="1701" w:type="dxa"/>
            <w:shd w:val="clear" w:color="auto" w:fill="auto"/>
          </w:tcPr>
          <w:p w14:paraId="4522B33E" w14:textId="77777777" w:rsidR="0048364F" w:rsidRPr="001D517F" w:rsidRDefault="0048364F" w:rsidP="00152C0F">
            <w:pPr>
              <w:pStyle w:val="Tabletext"/>
            </w:pPr>
            <w:r w:rsidRPr="001D517F">
              <w:t xml:space="preserve">2.  </w:t>
            </w:r>
            <w:r w:rsidR="00D05046" w:rsidRPr="001D517F">
              <w:t xml:space="preserve">Schedule 1, </w:t>
            </w:r>
            <w:r w:rsidR="00262F0A" w:rsidRPr="001D517F">
              <w:t>Part 1</w:t>
            </w:r>
          </w:p>
        </w:tc>
        <w:tc>
          <w:tcPr>
            <w:tcW w:w="3828" w:type="dxa"/>
            <w:shd w:val="clear" w:color="auto" w:fill="auto"/>
          </w:tcPr>
          <w:p w14:paraId="5F431F5F" w14:textId="77777777" w:rsidR="0048364F" w:rsidRPr="001D517F" w:rsidRDefault="00D05046" w:rsidP="00152C0F">
            <w:pPr>
              <w:pStyle w:val="Tabletext"/>
            </w:pPr>
            <w:r w:rsidRPr="001D517F">
              <w:t>The day after this Act receives the Royal Assent.</w:t>
            </w:r>
          </w:p>
        </w:tc>
        <w:tc>
          <w:tcPr>
            <w:tcW w:w="1582" w:type="dxa"/>
            <w:shd w:val="clear" w:color="auto" w:fill="auto"/>
          </w:tcPr>
          <w:p w14:paraId="2D177527" w14:textId="5866B754" w:rsidR="0048364F" w:rsidRPr="001D517F" w:rsidRDefault="00D33F4C" w:rsidP="00152C0F">
            <w:pPr>
              <w:pStyle w:val="Tabletext"/>
            </w:pPr>
            <w:r>
              <w:t>11 December 2024</w:t>
            </w:r>
          </w:p>
        </w:tc>
      </w:tr>
      <w:tr w:rsidR="0048364F" w:rsidRPr="001D517F" w14:paraId="42F6BB9D" w14:textId="77777777" w:rsidTr="004C7C8C">
        <w:tc>
          <w:tcPr>
            <w:tcW w:w="1701" w:type="dxa"/>
            <w:shd w:val="clear" w:color="auto" w:fill="auto"/>
          </w:tcPr>
          <w:p w14:paraId="36529BFA" w14:textId="77777777" w:rsidR="0048364F" w:rsidRPr="001D517F" w:rsidRDefault="0048364F" w:rsidP="00152C0F">
            <w:pPr>
              <w:pStyle w:val="Tabletext"/>
            </w:pPr>
            <w:r w:rsidRPr="001D517F">
              <w:t xml:space="preserve">3.  </w:t>
            </w:r>
            <w:r w:rsidR="00D05046" w:rsidRPr="001D517F">
              <w:t>Schedule 1, Part 2, Division 1</w:t>
            </w:r>
          </w:p>
        </w:tc>
        <w:tc>
          <w:tcPr>
            <w:tcW w:w="3828" w:type="dxa"/>
            <w:shd w:val="clear" w:color="auto" w:fill="auto"/>
          </w:tcPr>
          <w:p w14:paraId="1A368596" w14:textId="77777777" w:rsidR="0048364F" w:rsidRPr="001D517F" w:rsidRDefault="00D05046" w:rsidP="00152C0F">
            <w:pPr>
              <w:pStyle w:val="Tabletext"/>
            </w:pPr>
            <w:r w:rsidRPr="001D517F">
              <w:t>31 December 2024.</w:t>
            </w:r>
          </w:p>
        </w:tc>
        <w:tc>
          <w:tcPr>
            <w:tcW w:w="1582" w:type="dxa"/>
            <w:shd w:val="clear" w:color="auto" w:fill="auto"/>
          </w:tcPr>
          <w:p w14:paraId="38AF9513" w14:textId="77777777" w:rsidR="0048364F" w:rsidRPr="001D517F" w:rsidRDefault="00D05046" w:rsidP="00152C0F">
            <w:pPr>
              <w:pStyle w:val="Tabletext"/>
            </w:pPr>
            <w:r w:rsidRPr="001D517F">
              <w:t>31 December 2024</w:t>
            </w:r>
          </w:p>
        </w:tc>
      </w:tr>
      <w:tr w:rsidR="0048364F" w:rsidRPr="001D517F" w14:paraId="6B79B9FF" w14:textId="77777777" w:rsidTr="004C7C8C">
        <w:tc>
          <w:tcPr>
            <w:tcW w:w="1701" w:type="dxa"/>
            <w:shd w:val="clear" w:color="auto" w:fill="auto"/>
          </w:tcPr>
          <w:p w14:paraId="0E885B57" w14:textId="77777777" w:rsidR="0048364F" w:rsidRPr="001D517F" w:rsidRDefault="0048364F" w:rsidP="00152C0F">
            <w:pPr>
              <w:pStyle w:val="Tabletext"/>
            </w:pPr>
            <w:r w:rsidRPr="001D517F">
              <w:t xml:space="preserve">4.  </w:t>
            </w:r>
            <w:r w:rsidR="00D05046" w:rsidRPr="001D517F">
              <w:t>Schedule 1, Part 2, Division 2</w:t>
            </w:r>
          </w:p>
        </w:tc>
        <w:tc>
          <w:tcPr>
            <w:tcW w:w="3828" w:type="dxa"/>
            <w:shd w:val="clear" w:color="auto" w:fill="auto"/>
          </w:tcPr>
          <w:p w14:paraId="2024E243" w14:textId="77777777" w:rsidR="0048364F" w:rsidRPr="001D517F" w:rsidRDefault="00D05046" w:rsidP="00152C0F">
            <w:pPr>
              <w:pStyle w:val="Tabletext"/>
            </w:pPr>
            <w:r w:rsidRPr="001D517F">
              <w:t>The day after this Act receives the Royal Assent.</w:t>
            </w:r>
          </w:p>
        </w:tc>
        <w:tc>
          <w:tcPr>
            <w:tcW w:w="1582" w:type="dxa"/>
            <w:shd w:val="clear" w:color="auto" w:fill="auto"/>
          </w:tcPr>
          <w:p w14:paraId="4208ED05" w14:textId="1DE197CE" w:rsidR="0048364F" w:rsidRPr="001D517F" w:rsidRDefault="00D33F4C" w:rsidP="00152C0F">
            <w:pPr>
              <w:pStyle w:val="Tabletext"/>
            </w:pPr>
            <w:r>
              <w:t>11 December 2024</w:t>
            </w:r>
          </w:p>
        </w:tc>
      </w:tr>
      <w:tr w:rsidR="00DE551D" w:rsidRPr="001D517F" w14:paraId="48233404" w14:textId="77777777" w:rsidTr="004C7C8C">
        <w:tc>
          <w:tcPr>
            <w:tcW w:w="1701" w:type="dxa"/>
            <w:shd w:val="clear" w:color="auto" w:fill="auto"/>
          </w:tcPr>
          <w:p w14:paraId="37E15C08" w14:textId="77777777" w:rsidR="00DE551D" w:rsidRPr="001D517F" w:rsidRDefault="00DE551D" w:rsidP="00152C0F">
            <w:pPr>
              <w:pStyle w:val="Tabletext"/>
            </w:pPr>
            <w:r w:rsidRPr="001D517F">
              <w:t xml:space="preserve">5.  </w:t>
            </w:r>
            <w:r w:rsidR="00262F0A" w:rsidRPr="001D517F">
              <w:t>Schedule 2</w:t>
            </w:r>
            <w:r w:rsidRPr="001D517F">
              <w:t xml:space="preserve">, </w:t>
            </w:r>
            <w:r w:rsidR="00262F0A" w:rsidRPr="001D517F">
              <w:t>Part 1</w:t>
            </w:r>
          </w:p>
        </w:tc>
        <w:tc>
          <w:tcPr>
            <w:tcW w:w="3828" w:type="dxa"/>
            <w:shd w:val="clear" w:color="auto" w:fill="auto"/>
          </w:tcPr>
          <w:p w14:paraId="5B946410" w14:textId="77777777" w:rsidR="00DE551D" w:rsidRPr="001D517F" w:rsidRDefault="00DE551D" w:rsidP="00152C0F">
            <w:pPr>
              <w:pStyle w:val="Tabletext"/>
            </w:pPr>
            <w:r w:rsidRPr="001D517F">
              <w:t>The day after this Act receives the Royal Assent.</w:t>
            </w:r>
          </w:p>
        </w:tc>
        <w:tc>
          <w:tcPr>
            <w:tcW w:w="1582" w:type="dxa"/>
            <w:shd w:val="clear" w:color="auto" w:fill="auto"/>
          </w:tcPr>
          <w:p w14:paraId="66CFACC0" w14:textId="524EB064" w:rsidR="00DE551D" w:rsidRPr="001D517F" w:rsidRDefault="00D33F4C" w:rsidP="00152C0F">
            <w:pPr>
              <w:pStyle w:val="Tabletext"/>
            </w:pPr>
            <w:r>
              <w:t>11 December 2024</w:t>
            </w:r>
          </w:p>
        </w:tc>
      </w:tr>
      <w:tr w:rsidR="00DE551D" w:rsidRPr="001D517F" w14:paraId="37FA974C" w14:textId="77777777" w:rsidTr="004C7C8C">
        <w:tc>
          <w:tcPr>
            <w:tcW w:w="1701" w:type="dxa"/>
            <w:shd w:val="clear" w:color="auto" w:fill="auto"/>
          </w:tcPr>
          <w:p w14:paraId="098F575F" w14:textId="77777777" w:rsidR="00DE551D" w:rsidRPr="001D517F" w:rsidRDefault="00DE551D" w:rsidP="00152C0F">
            <w:pPr>
              <w:pStyle w:val="Tabletext"/>
            </w:pPr>
            <w:r w:rsidRPr="001D517F">
              <w:t xml:space="preserve">6.  </w:t>
            </w:r>
            <w:r w:rsidR="00262F0A" w:rsidRPr="001D517F">
              <w:t>Schedule 2</w:t>
            </w:r>
            <w:r w:rsidRPr="001D517F">
              <w:t xml:space="preserve">, </w:t>
            </w:r>
            <w:r w:rsidR="001D517F">
              <w:t>item 2</w:t>
            </w:r>
            <w:r w:rsidRPr="001D517F">
              <w:t>8</w:t>
            </w:r>
          </w:p>
        </w:tc>
        <w:tc>
          <w:tcPr>
            <w:tcW w:w="3828" w:type="dxa"/>
            <w:shd w:val="clear" w:color="auto" w:fill="auto"/>
          </w:tcPr>
          <w:p w14:paraId="5B1789CA" w14:textId="77777777" w:rsidR="00DE551D" w:rsidRPr="001D517F" w:rsidRDefault="00DE551D" w:rsidP="00152C0F">
            <w:pPr>
              <w:pStyle w:val="Tabletext"/>
            </w:pPr>
            <w:r w:rsidRPr="001D517F">
              <w:t xml:space="preserve">At the same time as the provisions covered by table </w:t>
            </w:r>
            <w:r w:rsidR="001D517F">
              <w:t>item 5</w:t>
            </w:r>
            <w:r w:rsidRPr="001D517F">
              <w:t>.</w:t>
            </w:r>
          </w:p>
          <w:p w14:paraId="310DDFA7" w14:textId="77777777" w:rsidR="00DE551D" w:rsidRPr="001D517F" w:rsidRDefault="00DE551D" w:rsidP="00152C0F">
            <w:pPr>
              <w:pStyle w:val="Tabletext"/>
            </w:pPr>
            <w:r w:rsidRPr="001D517F">
              <w:t xml:space="preserve">However, the provisions do not commence at all if </w:t>
            </w:r>
            <w:r w:rsidR="00262F0A" w:rsidRPr="001D517F">
              <w:t>Part 1</w:t>
            </w:r>
            <w:r w:rsidRPr="001D517F">
              <w:t xml:space="preserve"> of </w:t>
            </w:r>
            <w:r w:rsidR="00262F0A" w:rsidRPr="001D517F">
              <w:t>Schedule 6</w:t>
            </w:r>
            <w:r w:rsidRPr="001D517F">
              <w:t xml:space="preserve"> to the </w:t>
            </w:r>
            <w:r w:rsidRPr="001D517F">
              <w:rPr>
                <w:i/>
              </w:rPr>
              <w:t>Treasury Laws Amendment (Better Targeted Superannuation Concessions and Other Measures) Act 2024</w:t>
            </w:r>
            <w:r w:rsidRPr="001D517F">
              <w:t xml:space="preserve"> commences at or before that time.</w:t>
            </w:r>
          </w:p>
        </w:tc>
        <w:tc>
          <w:tcPr>
            <w:tcW w:w="1582" w:type="dxa"/>
            <w:shd w:val="clear" w:color="auto" w:fill="auto"/>
          </w:tcPr>
          <w:p w14:paraId="7C49D844" w14:textId="178E62E4" w:rsidR="00DE551D" w:rsidRPr="001D517F" w:rsidRDefault="00D33F4C" w:rsidP="00152C0F">
            <w:pPr>
              <w:pStyle w:val="Tabletext"/>
            </w:pPr>
            <w:r>
              <w:t>11 December 2024</w:t>
            </w:r>
          </w:p>
        </w:tc>
      </w:tr>
      <w:tr w:rsidR="00DE551D" w:rsidRPr="001D517F" w14:paraId="044548C7" w14:textId="77777777" w:rsidTr="004C7C8C">
        <w:tc>
          <w:tcPr>
            <w:tcW w:w="1701" w:type="dxa"/>
            <w:shd w:val="clear" w:color="auto" w:fill="auto"/>
          </w:tcPr>
          <w:p w14:paraId="238B1C59" w14:textId="77777777" w:rsidR="00DE551D" w:rsidRPr="001D517F" w:rsidRDefault="00DE551D" w:rsidP="00152C0F">
            <w:pPr>
              <w:pStyle w:val="Tabletext"/>
            </w:pPr>
            <w:r w:rsidRPr="001D517F">
              <w:t xml:space="preserve">7. </w:t>
            </w:r>
            <w:r w:rsidR="000124AA">
              <w:t xml:space="preserve"> </w:t>
            </w:r>
            <w:r w:rsidR="00262F0A" w:rsidRPr="001D517F">
              <w:t>Schedule 2</w:t>
            </w:r>
            <w:r w:rsidRPr="001D517F">
              <w:t xml:space="preserve">, </w:t>
            </w:r>
            <w:r w:rsidR="001D517F">
              <w:t>item 2</w:t>
            </w:r>
            <w:r w:rsidRPr="001D517F">
              <w:t>9</w:t>
            </w:r>
          </w:p>
        </w:tc>
        <w:tc>
          <w:tcPr>
            <w:tcW w:w="3828" w:type="dxa"/>
            <w:shd w:val="clear" w:color="auto" w:fill="auto"/>
          </w:tcPr>
          <w:p w14:paraId="2ACB3EBA" w14:textId="77777777" w:rsidR="00DE551D" w:rsidRPr="001D517F" w:rsidRDefault="00DE551D" w:rsidP="00152C0F">
            <w:pPr>
              <w:pStyle w:val="Tabletext"/>
            </w:pPr>
            <w:r w:rsidRPr="001D517F">
              <w:t xml:space="preserve">Immediately after the commencement of </w:t>
            </w:r>
            <w:r w:rsidR="00262F0A" w:rsidRPr="001D517F">
              <w:t>Part 1</w:t>
            </w:r>
            <w:r w:rsidRPr="001D517F">
              <w:t xml:space="preserve"> of </w:t>
            </w:r>
            <w:r w:rsidR="00262F0A" w:rsidRPr="001D517F">
              <w:t>Schedule 6</w:t>
            </w:r>
            <w:r w:rsidRPr="001D517F">
              <w:t xml:space="preserve"> to the </w:t>
            </w:r>
            <w:r w:rsidRPr="001D517F">
              <w:rPr>
                <w:i/>
              </w:rPr>
              <w:t>Treasury Laws Amendment (Better Targeted Superannuation Concessions and Other Measures) Act 2024</w:t>
            </w:r>
            <w:r w:rsidRPr="001D517F">
              <w:t>.</w:t>
            </w:r>
          </w:p>
          <w:p w14:paraId="5232287B" w14:textId="77777777" w:rsidR="00DE551D" w:rsidRPr="001D517F" w:rsidRDefault="00DE551D" w:rsidP="00152C0F">
            <w:pPr>
              <w:pStyle w:val="Tabletext"/>
            </w:pPr>
            <w:r w:rsidRPr="001D517F">
              <w:t xml:space="preserve">However, the provisions do not commence at all if that </w:t>
            </w:r>
            <w:r w:rsidR="00262F0A" w:rsidRPr="001D517F">
              <w:t>Part c</w:t>
            </w:r>
            <w:r w:rsidRPr="001D517F">
              <w:t xml:space="preserve">ommences </w:t>
            </w:r>
            <w:r w:rsidR="004D6E38">
              <w:t xml:space="preserve">at or </w:t>
            </w:r>
            <w:r w:rsidRPr="001D517F">
              <w:t xml:space="preserve">before the commencement of the provisions covered by table </w:t>
            </w:r>
            <w:r w:rsidR="001D517F">
              <w:t>item 5</w:t>
            </w:r>
            <w:r w:rsidRPr="001D517F">
              <w:t>.</w:t>
            </w:r>
          </w:p>
        </w:tc>
        <w:tc>
          <w:tcPr>
            <w:tcW w:w="1582" w:type="dxa"/>
            <w:shd w:val="clear" w:color="auto" w:fill="auto"/>
          </w:tcPr>
          <w:p w14:paraId="6947D863" w14:textId="77777777" w:rsidR="00DE551D" w:rsidRPr="001D517F" w:rsidRDefault="00DE551D" w:rsidP="00152C0F">
            <w:pPr>
              <w:pStyle w:val="Tabletext"/>
            </w:pPr>
          </w:p>
        </w:tc>
      </w:tr>
      <w:tr w:rsidR="0048364F" w:rsidRPr="001D517F" w14:paraId="0502BA1D" w14:textId="77777777" w:rsidTr="004C7C8C">
        <w:tc>
          <w:tcPr>
            <w:tcW w:w="1701" w:type="dxa"/>
            <w:shd w:val="clear" w:color="auto" w:fill="auto"/>
          </w:tcPr>
          <w:p w14:paraId="7105A29A" w14:textId="77777777" w:rsidR="0048364F" w:rsidRPr="001D517F" w:rsidRDefault="00D5624F" w:rsidP="00152C0F">
            <w:pPr>
              <w:pStyle w:val="Tabletext"/>
            </w:pPr>
            <w:r w:rsidRPr="001D517F">
              <w:t>8</w:t>
            </w:r>
            <w:r w:rsidR="0048364F" w:rsidRPr="001D517F">
              <w:t xml:space="preserve">.  </w:t>
            </w:r>
            <w:r w:rsidR="001D517F">
              <w:t>Schedule 3</w:t>
            </w:r>
          </w:p>
        </w:tc>
        <w:tc>
          <w:tcPr>
            <w:tcW w:w="3828" w:type="dxa"/>
            <w:shd w:val="clear" w:color="auto" w:fill="auto"/>
          </w:tcPr>
          <w:p w14:paraId="003BE383" w14:textId="77777777" w:rsidR="0048364F" w:rsidRPr="001D517F" w:rsidRDefault="008C6546" w:rsidP="00152C0F">
            <w:pPr>
              <w:pStyle w:val="Tabletext"/>
            </w:pPr>
            <w:r w:rsidRPr="001D517F">
              <w:t>The day after this Act receives the Royal Assent.</w:t>
            </w:r>
          </w:p>
        </w:tc>
        <w:tc>
          <w:tcPr>
            <w:tcW w:w="1582" w:type="dxa"/>
            <w:shd w:val="clear" w:color="auto" w:fill="auto"/>
          </w:tcPr>
          <w:p w14:paraId="1493CBEB" w14:textId="4FC75970" w:rsidR="0048364F" w:rsidRPr="001D517F" w:rsidRDefault="00D33F4C" w:rsidP="00152C0F">
            <w:pPr>
              <w:pStyle w:val="Tabletext"/>
            </w:pPr>
            <w:r>
              <w:t>11 December 2024</w:t>
            </w:r>
          </w:p>
        </w:tc>
      </w:tr>
      <w:tr w:rsidR="0048364F" w:rsidRPr="001D517F" w14:paraId="6CD58150" w14:textId="77777777" w:rsidTr="004C7C8C">
        <w:tc>
          <w:tcPr>
            <w:tcW w:w="1701" w:type="dxa"/>
            <w:tcBorders>
              <w:bottom w:val="single" w:sz="4" w:space="0" w:color="auto"/>
            </w:tcBorders>
            <w:shd w:val="clear" w:color="auto" w:fill="auto"/>
          </w:tcPr>
          <w:p w14:paraId="54AA8DCF" w14:textId="77777777" w:rsidR="0048364F" w:rsidRPr="001D517F" w:rsidRDefault="00D5624F" w:rsidP="00152C0F">
            <w:pPr>
              <w:pStyle w:val="Tabletext"/>
            </w:pPr>
            <w:r w:rsidRPr="001D517F">
              <w:t>9</w:t>
            </w:r>
            <w:r w:rsidR="0048364F" w:rsidRPr="001D517F">
              <w:t xml:space="preserve">.  </w:t>
            </w:r>
            <w:r w:rsidR="00CE2086" w:rsidRPr="001D517F">
              <w:t>Schedule 4</w:t>
            </w:r>
          </w:p>
        </w:tc>
        <w:tc>
          <w:tcPr>
            <w:tcW w:w="3828" w:type="dxa"/>
            <w:tcBorders>
              <w:bottom w:val="single" w:sz="4" w:space="0" w:color="auto"/>
            </w:tcBorders>
            <w:shd w:val="clear" w:color="auto" w:fill="auto"/>
          </w:tcPr>
          <w:p w14:paraId="2E0F0EBB" w14:textId="77777777" w:rsidR="00CE2086" w:rsidRPr="001D517F" w:rsidRDefault="00CE2086" w:rsidP="00152C0F">
            <w:pPr>
              <w:pStyle w:val="Tabletext"/>
            </w:pPr>
            <w:r w:rsidRPr="001D517F">
              <w:t>The later of:</w:t>
            </w:r>
          </w:p>
          <w:p w14:paraId="12B4E165" w14:textId="77777777" w:rsidR="0048364F" w:rsidRDefault="00CE2086" w:rsidP="00D27882">
            <w:pPr>
              <w:pStyle w:val="Tablea"/>
            </w:pPr>
            <w:r w:rsidRPr="001D517F">
              <w:t>(</w:t>
            </w:r>
            <w:r w:rsidR="007E4CBC">
              <w:t>a</w:t>
            </w:r>
            <w:r w:rsidRPr="001D517F">
              <w:t>) the day after this Act receives the Royal Assent</w:t>
            </w:r>
            <w:r w:rsidR="007E4CBC">
              <w:t>; and</w:t>
            </w:r>
          </w:p>
          <w:p w14:paraId="4037A1C7" w14:textId="77777777" w:rsidR="007E4CBC" w:rsidRPr="001D517F" w:rsidRDefault="007E4CBC" w:rsidP="007E4CBC">
            <w:pPr>
              <w:pStyle w:val="Tablea"/>
            </w:pPr>
            <w:r w:rsidRPr="001D517F">
              <w:t>(</w:t>
            </w:r>
            <w:r>
              <w:t>b</w:t>
            </w:r>
            <w:r w:rsidRPr="001D517F">
              <w:t>) 1 April 2025</w:t>
            </w:r>
            <w:r>
              <w:t>.</w:t>
            </w:r>
          </w:p>
        </w:tc>
        <w:tc>
          <w:tcPr>
            <w:tcW w:w="1582" w:type="dxa"/>
            <w:tcBorders>
              <w:bottom w:val="single" w:sz="4" w:space="0" w:color="auto"/>
            </w:tcBorders>
            <w:shd w:val="clear" w:color="auto" w:fill="auto"/>
          </w:tcPr>
          <w:p w14:paraId="50F5E17F" w14:textId="77777777" w:rsidR="0048364F" w:rsidRDefault="00D33F4C" w:rsidP="00152C0F">
            <w:pPr>
              <w:pStyle w:val="Tabletext"/>
            </w:pPr>
            <w:r>
              <w:t>1 April 2025</w:t>
            </w:r>
          </w:p>
          <w:p w14:paraId="31463113" w14:textId="073A1E67" w:rsidR="00C010E8" w:rsidRPr="001D517F" w:rsidRDefault="00C010E8" w:rsidP="00152C0F">
            <w:pPr>
              <w:pStyle w:val="Tabletext"/>
            </w:pPr>
            <w:r>
              <w:t>paragraph (b) applies</w:t>
            </w:r>
          </w:p>
        </w:tc>
      </w:tr>
      <w:tr w:rsidR="0048364F" w:rsidRPr="001D517F" w14:paraId="013F1F9C" w14:textId="77777777" w:rsidTr="002F33A0">
        <w:tc>
          <w:tcPr>
            <w:tcW w:w="1701" w:type="dxa"/>
            <w:shd w:val="clear" w:color="auto" w:fill="auto"/>
          </w:tcPr>
          <w:p w14:paraId="55CECAFA" w14:textId="77777777" w:rsidR="0048364F" w:rsidRPr="001D517F" w:rsidRDefault="00D5624F" w:rsidP="00152C0F">
            <w:pPr>
              <w:pStyle w:val="Tabletext"/>
            </w:pPr>
            <w:r w:rsidRPr="001D517F">
              <w:t>10</w:t>
            </w:r>
            <w:r w:rsidR="0048364F" w:rsidRPr="001D517F">
              <w:t xml:space="preserve">.  </w:t>
            </w:r>
            <w:r w:rsidR="00350873" w:rsidRPr="001D517F">
              <w:t>Schedule 5</w:t>
            </w:r>
          </w:p>
        </w:tc>
        <w:tc>
          <w:tcPr>
            <w:tcW w:w="3828" w:type="dxa"/>
            <w:shd w:val="clear" w:color="auto" w:fill="auto"/>
          </w:tcPr>
          <w:p w14:paraId="794DCED4" w14:textId="77777777" w:rsidR="0048364F" w:rsidRPr="001D517F" w:rsidRDefault="00350873" w:rsidP="00152C0F">
            <w:pPr>
              <w:pStyle w:val="Tabletext"/>
            </w:pPr>
            <w:r w:rsidRPr="001D517F">
              <w:t>The first 1 January, 1 April, 1 July or 1 October to occur after the day this Act receives the Royal Assent.</w:t>
            </w:r>
          </w:p>
        </w:tc>
        <w:tc>
          <w:tcPr>
            <w:tcW w:w="1582" w:type="dxa"/>
            <w:shd w:val="clear" w:color="auto" w:fill="auto"/>
          </w:tcPr>
          <w:p w14:paraId="39049E71" w14:textId="1CE4F2A5" w:rsidR="0048364F" w:rsidRPr="001D517F" w:rsidRDefault="00D33F4C" w:rsidP="00152C0F">
            <w:pPr>
              <w:pStyle w:val="Tabletext"/>
            </w:pPr>
            <w:r>
              <w:t>1 January 2025</w:t>
            </w:r>
          </w:p>
        </w:tc>
      </w:tr>
      <w:tr w:rsidR="002F33A0" w:rsidRPr="001D517F" w14:paraId="78D93F84" w14:textId="77777777" w:rsidTr="002F33A0">
        <w:tc>
          <w:tcPr>
            <w:tcW w:w="1701" w:type="dxa"/>
            <w:shd w:val="clear" w:color="auto" w:fill="auto"/>
          </w:tcPr>
          <w:p w14:paraId="6DAC4CE1" w14:textId="77777777" w:rsidR="002F33A0" w:rsidRPr="001D517F" w:rsidRDefault="00D5624F" w:rsidP="00152C0F">
            <w:pPr>
              <w:pStyle w:val="Tabletext"/>
            </w:pPr>
            <w:r w:rsidRPr="001D517F">
              <w:t>11</w:t>
            </w:r>
            <w:r w:rsidR="002F33A0" w:rsidRPr="001D517F">
              <w:t xml:space="preserve">.  </w:t>
            </w:r>
            <w:r w:rsidR="00262F0A" w:rsidRPr="001D517F">
              <w:t>Schedule 6</w:t>
            </w:r>
            <w:r w:rsidR="002F33A0" w:rsidRPr="001D517F">
              <w:t xml:space="preserve">, </w:t>
            </w:r>
            <w:r w:rsidR="00262F0A" w:rsidRPr="001D517F">
              <w:t>Part 1</w:t>
            </w:r>
          </w:p>
        </w:tc>
        <w:tc>
          <w:tcPr>
            <w:tcW w:w="3828" w:type="dxa"/>
            <w:shd w:val="clear" w:color="auto" w:fill="auto"/>
          </w:tcPr>
          <w:p w14:paraId="060E5033" w14:textId="77777777" w:rsidR="002F33A0" w:rsidRPr="001D517F" w:rsidRDefault="002F33A0" w:rsidP="00152C0F">
            <w:pPr>
              <w:pStyle w:val="Tabletext"/>
            </w:pPr>
            <w:r w:rsidRPr="001D517F">
              <w:t>The day after this Act receives the Royal Assent.</w:t>
            </w:r>
          </w:p>
        </w:tc>
        <w:tc>
          <w:tcPr>
            <w:tcW w:w="1582" w:type="dxa"/>
            <w:shd w:val="clear" w:color="auto" w:fill="auto"/>
          </w:tcPr>
          <w:p w14:paraId="6E27684D" w14:textId="4310FC89" w:rsidR="002F33A0" w:rsidRPr="001D517F" w:rsidRDefault="00D33F4C" w:rsidP="00152C0F">
            <w:pPr>
              <w:pStyle w:val="Tabletext"/>
            </w:pPr>
            <w:r>
              <w:t>11 December 2024</w:t>
            </w:r>
          </w:p>
        </w:tc>
      </w:tr>
      <w:tr w:rsidR="002F33A0" w:rsidRPr="001D517F" w14:paraId="505E0FDA" w14:textId="77777777" w:rsidTr="002F33A0">
        <w:tc>
          <w:tcPr>
            <w:tcW w:w="1701" w:type="dxa"/>
            <w:shd w:val="clear" w:color="auto" w:fill="auto"/>
          </w:tcPr>
          <w:p w14:paraId="41669A5F" w14:textId="77777777" w:rsidR="002F33A0" w:rsidRPr="001D517F" w:rsidRDefault="002F33A0" w:rsidP="00152C0F">
            <w:pPr>
              <w:pStyle w:val="Tabletext"/>
            </w:pPr>
            <w:r w:rsidRPr="001D517F">
              <w:t>1</w:t>
            </w:r>
            <w:r w:rsidR="00D5624F" w:rsidRPr="001D517F">
              <w:t>2</w:t>
            </w:r>
            <w:r w:rsidRPr="001D517F">
              <w:t xml:space="preserve">.  </w:t>
            </w:r>
            <w:r w:rsidR="00262F0A" w:rsidRPr="001D517F">
              <w:t>Schedule 6</w:t>
            </w:r>
            <w:r w:rsidRPr="001D517F">
              <w:t>, Part 2</w:t>
            </w:r>
          </w:p>
        </w:tc>
        <w:tc>
          <w:tcPr>
            <w:tcW w:w="3828" w:type="dxa"/>
            <w:shd w:val="clear" w:color="auto" w:fill="auto"/>
          </w:tcPr>
          <w:p w14:paraId="183D0C40" w14:textId="77777777" w:rsidR="002F33A0" w:rsidRPr="001D517F" w:rsidRDefault="002F33A0" w:rsidP="00152C0F">
            <w:pPr>
              <w:pStyle w:val="Tabletext"/>
            </w:pPr>
            <w:r w:rsidRPr="001D517F">
              <w:t>The first 1 January, 1 April, 1 July or 1 October to occur after the day this Act receives the Royal Assent.</w:t>
            </w:r>
          </w:p>
        </w:tc>
        <w:tc>
          <w:tcPr>
            <w:tcW w:w="1582" w:type="dxa"/>
            <w:shd w:val="clear" w:color="auto" w:fill="auto"/>
          </w:tcPr>
          <w:p w14:paraId="790BAFA4" w14:textId="6FA2F0F7" w:rsidR="002F33A0" w:rsidRPr="001D517F" w:rsidRDefault="00D33F4C" w:rsidP="00152C0F">
            <w:pPr>
              <w:pStyle w:val="Tabletext"/>
            </w:pPr>
            <w:r>
              <w:t>1 January 2025</w:t>
            </w:r>
          </w:p>
        </w:tc>
      </w:tr>
      <w:tr w:rsidR="002F33A0" w:rsidRPr="001D517F" w14:paraId="32D75158" w14:textId="77777777" w:rsidTr="004C7C8C">
        <w:tc>
          <w:tcPr>
            <w:tcW w:w="1701" w:type="dxa"/>
            <w:tcBorders>
              <w:bottom w:val="single" w:sz="12" w:space="0" w:color="auto"/>
            </w:tcBorders>
            <w:shd w:val="clear" w:color="auto" w:fill="auto"/>
          </w:tcPr>
          <w:p w14:paraId="4392FFFA" w14:textId="77777777" w:rsidR="002F33A0" w:rsidRPr="001D517F" w:rsidRDefault="002F33A0" w:rsidP="00152C0F">
            <w:pPr>
              <w:pStyle w:val="Tabletext"/>
            </w:pPr>
            <w:r w:rsidRPr="001D517F">
              <w:t>1</w:t>
            </w:r>
            <w:r w:rsidR="00D5624F" w:rsidRPr="001D517F">
              <w:t>3</w:t>
            </w:r>
            <w:r w:rsidRPr="001D517F">
              <w:t xml:space="preserve">.  </w:t>
            </w:r>
            <w:r w:rsidR="00262F0A" w:rsidRPr="001D517F">
              <w:t>Schedule 6</w:t>
            </w:r>
            <w:r w:rsidRPr="001D517F">
              <w:t>, Part 3</w:t>
            </w:r>
          </w:p>
        </w:tc>
        <w:tc>
          <w:tcPr>
            <w:tcW w:w="3828" w:type="dxa"/>
            <w:tcBorders>
              <w:bottom w:val="single" w:sz="12" w:space="0" w:color="auto"/>
            </w:tcBorders>
            <w:shd w:val="clear" w:color="auto" w:fill="auto"/>
          </w:tcPr>
          <w:p w14:paraId="7972F53B" w14:textId="77777777" w:rsidR="002F33A0" w:rsidRPr="001D517F" w:rsidRDefault="002F33A0" w:rsidP="00152C0F">
            <w:pPr>
              <w:pStyle w:val="Tabletext"/>
            </w:pPr>
            <w:r w:rsidRPr="001D517F">
              <w:t>The day after the end of the period of 14 days beginning on the day this Act receives the Royal Assent.</w:t>
            </w:r>
          </w:p>
        </w:tc>
        <w:tc>
          <w:tcPr>
            <w:tcW w:w="1582" w:type="dxa"/>
            <w:tcBorders>
              <w:bottom w:val="single" w:sz="12" w:space="0" w:color="auto"/>
            </w:tcBorders>
            <w:shd w:val="clear" w:color="auto" w:fill="auto"/>
          </w:tcPr>
          <w:p w14:paraId="4A36C95A" w14:textId="7565F0F6" w:rsidR="002F33A0" w:rsidRPr="001D517F" w:rsidRDefault="00D33F4C" w:rsidP="00152C0F">
            <w:pPr>
              <w:pStyle w:val="Tabletext"/>
            </w:pPr>
            <w:r>
              <w:t>24 December 2024</w:t>
            </w:r>
          </w:p>
        </w:tc>
      </w:tr>
    </w:tbl>
    <w:p w14:paraId="09587A09" w14:textId="77777777" w:rsidR="0048364F" w:rsidRPr="001D517F" w:rsidRDefault="00201D27" w:rsidP="00152C0F">
      <w:pPr>
        <w:pStyle w:val="notetext"/>
      </w:pPr>
      <w:r w:rsidRPr="001D517F">
        <w:t>Note:</w:t>
      </w:r>
      <w:r w:rsidRPr="001D517F">
        <w:tab/>
        <w:t>This table relates only to the provisions of this Act as originally enacted. It will not be amended to deal with any later amendments of this Act.</w:t>
      </w:r>
    </w:p>
    <w:p w14:paraId="224E4F50" w14:textId="77777777" w:rsidR="0048364F" w:rsidRPr="001D517F" w:rsidRDefault="0048364F" w:rsidP="00152C0F">
      <w:pPr>
        <w:pStyle w:val="subsection"/>
      </w:pPr>
      <w:r w:rsidRPr="001D517F">
        <w:tab/>
        <w:t>(2)</w:t>
      </w:r>
      <w:r w:rsidRPr="001D517F">
        <w:tab/>
      </w:r>
      <w:r w:rsidR="00201D27" w:rsidRPr="001D517F">
        <w:t xml:space="preserve">Any information in </w:t>
      </w:r>
      <w:r w:rsidR="00877D48" w:rsidRPr="001D517F">
        <w:t>c</w:t>
      </w:r>
      <w:r w:rsidR="00201D27" w:rsidRPr="001D517F">
        <w:t>olumn 3 of the table is not part of this Act. Information may be inserted in this column, or information in it may be edited, in any published version of this Act.</w:t>
      </w:r>
    </w:p>
    <w:p w14:paraId="314571B3" w14:textId="77777777" w:rsidR="0048364F" w:rsidRPr="001D517F" w:rsidRDefault="0048364F" w:rsidP="00152C0F">
      <w:pPr>
        <w:pStyle w:val="ActHead5"/>
      </w:pPr>
      <w:bookmarkStart w:id="3" w:name="_Toc184888258"/>
      <w:r w:rsidRPr="00A15312">
        <w:rPr>
          <w:rStyle w:val="CharSectno"/>
        </w:rPr>
        <w:t>3</w:t>
      </w:r>
      <w:r w:rsidRPr="001D517F">
        <w:t xml:space="preserve">  Schedules</w:t>
      </w:r>
      <w:bookmarkEnd w:id="3"/>
    </w:p>
    <w:p w14:paraId="5027BE5D" w14:textId="77777777" w:rsidR="0048364F" w:rsidRPr="001D517F" w:rsidRDefault="0048364F" w:rsidP="00152C0F">
      <w:pPr>
        <w:pStyle w:val="subsection"/>
      </w:pPr>
      <w:r w:rsidRPr="001D517F">
        <w:tab/>
      </w:r>
      <w:r w:rsidRPr="001D517F">
        <w:tab/>
      </w:r>
      <w:r w:rsidR="00202618" w:rsidRPr="001D517F">
        <w:t>Legislation that is specified in a Schedule to this Act is amended or repealed as set out in the applicable items in the Schedule concerned, and any other item in a Schedule to this Act has effect according to its terms.</w:t>
      </w:r>
    </w:p>
    <w:p w14:paraId="1FBEC390" w14:textId="77777777" w:rsidR="00F44E90" w:rsidRPr="001D517F" w:rsidRDefault="00F44E90" w:rsidP="00152C0F">
      <w:pPr>
        <w:pStyle w:val="ActHead6"/>
        <w:pageBreakBefore/>
      </w:pPr>
      <w:bookmarkStart w:id="4" w:name="_Toc184888259"/>
      <w:r w:rsidRPr="00A15312">
        <w:rPr>
          <w:rStyle w:val="CharAmSchNo"/>
        </w:rPr>
        <w:t>Schedule 1</w:t>
      </w:r>
      <w:r w:rsidRPr="001D517F">
        <w:t>—</w:t>
      </w:r>
      <w:r w:rsidRPr="00A15312">
        <w:rPr>
          <w:rStyle w:val="CharAmSchText"/>
        </w:rPr>
        <w:t>Amendments relating to the cessation of registries modernisation program</w:t>
      </w:r>
      <w:bookmarkEnd w:id="4"/>
    </w:p>
    <w:p w14:paraId="7461339E" w14:textId="77777777" w:rsidR="00F44E90" w:rsidRPr="001D517F" w:rsidRDefault="00262F0A" w:rsidP="00152C0F">
      <w:pPr>
        <w:pStyle w:val="ActHead7"/>
      </w:pPr>
      <w:bookmarkStart w:id="5" w:name="_Hlk173247468"/>
      <w:bookmarkStart w:id="6" w:name="_Toc184888260"/>
      <w:r w:rsidRPr="00A15312">
        <w:rPr>
          <w:rStyle w:val="CharAmPartNo"/>
        </w:rPr>
        <w:t>Part 1</w:t>
      </w:r>
      <w:r w:rsidR="00F44E90" w:rsidRPr="001D517F">
        <w:t>—</w:t>
      </w:r>
      <w:r w:rsidR="00F44E90" w:rsidRPr="00A15312">
        <w:rPr>
          <w:rStyle w:val="CharAmPartText"/>
        </w:rPr>
        <w:t>Transferred staff members</w:t>
      </w:r>
      <w:bookmarkEnd w:id="6"/>
    </w:p>
    <w:p w14:paraId="5006191A" w14:textId="77777777" w:rsidR="00F44E90" w:rsidRPr="001D517F" w:rsidRDefault="00F44E90" w:rsidP="00152C0F">
      <w:pPr>
        <w:pStyle w:val="ActHead9"/>
      </w:pPr>
      <w:bookmarkStart w:id="7" w:name="_Toc184888261"/>
      <w:bookmarkStart w:id="8" w:name="_Hlk184892003"/>
      <w:bookmarkEnd w:id="5"/>
      <w:r w:rsidRPr="001D517F">
        <w:t>Australian Securities and Investments Commission Act 2001</w:t>
      </w:r>
      <w:bookmarkEnd w:id="7"/>
    </w:p>
    <w:bookmarkEnd w:id="8"/>
    <w:p w14:paraId="14FDD915" w14:textId="77777777" w:rsidR="00F44E90" w:rsidRPr="001D517F" w:rsidRDefault="00F44E90" w:rsidP="00152C0F">
      <w:pPr>
        <w:pStyle w:val="ItemHead"/>
      </w:pPr>
      <w:r w:rsidRPr="001D517F">
        <w:t xml:space="preserve">1  At the end of </w:t>
      </w:r>
      <w:r w:rsidR="00262F0A" w:rsidRPr="001D517F">
        <w:t>section 1</w:t>
      </w:r>
      <w:r w:rsidRPr="001D517F">
        <w:t>20</w:t>
      </w:r>
    </w:p>
    <w:p w14:paraId="697DBDEA" w14:textId="77777777" w:rsidR="00F44E90" w:rsidRPr="001D517F" w:rsidRDefault="00F44E90" w:rsidP="00152C0F">
      <w:pPr>
        <w:pStyle w:val="Item"/>
      </w:pPr>
      <w:r w:rsidRPr="001D517F">
        <w:t>Add:</w:t>
      </w:r>
    </w:p>
    <w:p w14:paraId="17EB9832" w14:textId="77777777" w:rsidR="00F44E90" w:rsidRPr="001D517F" w:rsidRDefault="00F44E90" w:rsidP="00152C0F">
      <w:pPr>
        <w:pStyle w:val="SubsectionHead"/>
      </w:pPr>
      <w:r w:rsidRPr="001D517F">
        <w:t>Staff transferred under a machinery of government change</w:t>
      </w:r>
    </w:p>
    <w:p w14:paraId="443A7601" w14:textId="77777777" w:rsidR="00F44E90" w:rsidRPr="001D517F" w:rsidRDefault="00F44E90" w:rsidP="00152C0F">
      <w:pPr>
        <w:pStyle w:val="subsection"/>
      </w:pPr>
      <w:r w:rsidRPr="001D517F">
        <w:tab/>
        <w:t>(3)</w:t>
      </w:r>
      <w:r w:rsidRPr="001D517F">
        <w:tab/>
        <w:t>If:</w:t>
      </w:r>
    </w:p>
    <w:p w14:paraId="11CDD4EA" w14:textId="77777777" w:rsidR="00F44E90" w:rsidRPr="001D517F" w:rsidRDefault="00F44E90" w:rsidP="00152C0F">
      <w:pPr>
        <w:pStyle w:val="paragraph"/>
      </w:pPr>
      <w:r w:rsidRPr="001D517F">
        <w:tab/>
        <w:t>(a)</w:t>
      </w:r>
      <w:r w:rsidRPr="001D517F">
        <w:tab/>
        <w:t xml:space="preserve">a person is covered by a determination made under paragraph 72(1)(b) of the </w:t>
      </w:r>
      <w:r w:rsidRPr="001D517F">
        <w:rPr>
          <w:i/>
        </w:rPr>
        <w:t>Public Service Act 1999</w:t>
      </w:r>
      <w:r w:rsidRPr="001D517F">
        <w:t>; and</w:t>
      </w:r>
    </w:p>
    <w:p w14:paraId="206DD29A" w14:textId="77777777" w:rsidR="00F44E90" w:rsidRPr="001D517F" w:rsidRDefault="00F44E90" w:rsidP="00152C0F">
      <w:pPr>
        <w:pStyle w:val="paragraph"/>
      </w:pPr>
      <w:r w:rsidRPr="001D517F">
        <w:tab/>
        <w:t>(b)</w:t>
      </w:r>
      <w:r w:rsidRPr="001D517F">
        <w:tab/>
        <w:t>the determination causes the person to transfer to ASIC by causing the person to:</w:t>
      </w:r>
    </w:p>
    <w:p w14:paraId="30351D43" w14:textId="77777777" w:rsidR="00F44E90" w:rsidRPr="001D517F" w:rsidRDefault="00F44E90" w:rsidP="00152C0F">
      <w:pPr>
        <w:pStyle w:val="paragraphsub"/>
      </w:pPr>
      <w:r w:rsidRPr="001D517F">
        <w:tab/>
        <w:t>(i)</w:t>
      </w:r>
      <w:r w:rsidRPr="001D517F">
        <w:tab/>
        <w:t>cease to be an APS employee; and</w:t>
      </w:r>
    </w:p>
    <w:p w14:paraId="00B0597A" w14:textId="77777777" w:rsidR="00F44E90" w:rsidRPr="001D517F" w:rsidRDefault="00F44E90" w:rsidP="00152C0F">
      <w:pPr>
        <w:pStyle w:val="paragraphsub"/>
      </w:pPr>
      <w:r w:rsidRPr="001D517F">
        <w:tab/>
        <w:t>(ii)</w:t>
      </w:r>
      <w:r w:rsidRPr="001D517F">
        <w:tab/>
        <w:t>become a non</w:t>
      </w:r>
      <w:r w:rsidR="00152C0F">
        <w:noBreakHyphen/>
      </w:r>
      <w:r w:rsidRPr="001D517F">
        <w:t>APS employee (within the meaning of subsection 72(6) of that Act) of ASIC;</w:t>
      </w:r>
    </w:p>
    <w:p w14:paraId="08655166" w14:textId="77777777" w:rsidR="00F44E90" w:rsidRPr="001D517F" w:rsidRDefault="00F44E90" w:rsidP="00152C0F">
      <w:pPr>
        <w:pStyle w:val="subsection2"/>
      </w:pPr>
      <w:r w:rsidRPr="001D517F">
        <w:t xml:space="preserve">the person is taken to be employed under </w:t>
      </w:r>
      <w:r w:rsidR="00262F0A" w:rsidRPr="001D517F">
        <w:t>subsection (</w:t>
      </w:r>
      <w:r w:rsidRPr="001D517F">
        <w:t>1) of this section.</w:t>
      </w:r>
    </w:p>
    <w:p w14:paraId="31F072C0" w14:textId="77777777" w:rsidR="00F44E90" w:rsidRPr="001D517F" w:rsidRDefault="00F44E90" w:rsidP="00152C0F">
      <w:pPr>
        <w:pStyle w:val="notetext"/>
      </w:pPr>
      <w:r w:rsidRPr="001D517F">
        <w:t>Note:</w:t>
      </w:r>
      <w:r w:rsidRPr="001D517F">
        <w:tab/>
        <w:t xml:space="preserve">This means the person becomes a </w:t>
      </w:r>
      <w:r w:rsidRPr="001D517F">
        <w:rPr>
          <w:b/>
          <w:i/>
        </w:rPr>
        <w:t>staff member</w:t>
      </w:r>
      <w:r w:rsidRPr="001D517F">
        <w:t xml:space="preserve"> (as defined in section 5) at the time the person becomes a non</w:t>
      </w:r>
      <w:r w:rsidR="00152C0F">
        <w:noBreakHyphen/>
      </w:r>
      <w:r w:rsidRPr="001D517F">
        <w:t>APS employee of ASIC under the determination.</w:t>
      </w:r>
    </w:p>
    <w:p w14:paraId="706EF3AB" w14:textId="77777777" w:rsidR="00F44E90" w:rsidRPr="001D517F" w:rsidRDefault="00F44E90" w:rsidP="00152C0F">
      <w:pPr>
        <w:pStyle w:val="subsection"/>
      </w:pPr>
      <w:r w:rsidRPr="001D517F">
        <w:tab/>
        <w:t>(4)</w:t>
      </w:r>
      <w:r w:rsidRPr="001D517F">
        <w:tab/>
        <w:t xml:space="preserve">Despite </w:t>
      </w:r>
      <w:r w:rsidR="00262F0A" w:rsidRPr="001D517F">
        <w:t>subsection (</w:t>
      </w:r>
      <w:r w:rsidRPr="001D517F">
        <w:t xml:space="preserve">2), during the period that subsection 72(3) of the </w:t>
      </w:r>
      <w:r w:rsidRPr="001D517F">
        <w:rPr>
          <w:i/>
        </w:rPr>
        <w:t>Public Service Act 1999</w:t>
      </w:r>
      <w:r w:rsidRPr="001D517F">
        <w:t xml:space="preserve"> has effect for the person in relation to the transfer, the person is entitled to the remuneration and other conditions of employment referred to in subsection 72(3) of that Act.</w:t>
      </w:r>
    </w:p>
    <w:p w14:paraId="6B86ED5A" w14:textId="77777777" w:rsidR="00F44E90" w:rsidRPr="001D517F" w:rsidRDefault="00F44E90" w:rsidP="00152C0F">
      <w:pPr>
        <w:pStyle w:val="notetext"/>
      </w:pPr>
      <w:r w:rsidRPr="001D517F">
        <w:t>Note:</w:t>
      </w:r>
      <w:r w:rsidRPr="001D517F">
        <w:tab/>
        <w:t>For when this period ends, see subsection 72(4) of that Act.</w:t>
      </w:r>
    </w:p>
    <w:p w14:paraId="324C9274" w14:textId="77777777" w:rsidR="00F44E90" w:rsidRPr="001D517F" w:rsidRDefault="00F44E90" w:rsidP="00152C0F">
      <w:pPr>
        <w:pStyle w:val="ItemHead"/>
      </w:pPr>
      <w:r w:rsidRPr="001D517F">
        <w:t>2  At the end of section 249</w:t>
      </w:r>
    </w:p>
    <w:p w14:paraId="3E9B3040" w14:textId="77777777" w:rsidR="00F44E90" w:rsidRPr="001D517F" w:rsidRDefault="00F44E90" w:rsidP="00152C0F">
      <w:pPr>
        <w:pStyle w:val="Item"/>
      </w:pPr>
      <w:r w:rsidRPr="001D517F">
        <w:t>Add:</w:t>
      </w:r>
    </w:p>
    <w:p w14:paraId="6296E55C" w14:textId="77777777" w:rsidR="00F44E90" w:rsidRPr="001D517F" w:rsidRDefault="00F44E90" w:rsidP="00152C0F">
      <w:pPr>
        <w:pStyle w:val="subsection"/>
      </w:pPr>
      <w:r w:rsidRPr="001D517F">
        <w:tab/>
        <w:t>(4)</w:t>
      </w:r>
      <w:r w:rsidRPr="001D517F">
        <w:tab/>
        <w:t xml:space="preserve">For the purposes of applying </w:t>
      </w:r>
      <w:r w:rsidR="00262F0A" w:rsidRPr="001D517F">
        <w:t>subsection (</w:t>
      </w:r>
      <w:r w:rsidRPr="001D517F">
        <w:t>1) to an agreement, the references in that subsection to subsections 120(3), 120(4), 121(1) and 121(2) of this Act are references to those subsections as in force at the time the agreement was purportedly made.</w:t>
      </w:r>
    </w:p>
    <w:p w14:paraId="51E9D9A8" w14:textId="77777777" w:rsidR="00F44E90" w:rsidRPr="001D517F" w:rsidRDefault="00F44E90" w:rsidP="00152C0F">
      <w:pPr>
        <w:pStyle w:val="ItemHead"/>
      </w:pPr>
      <w:r w:rsidRPr="001D517F">
        <w:t>3  Section 310</w:t>
      </w:r>
    </w:p>
    <w:p w14:paraId="134FD6B4" w14:textId="77777777" w:rsidR="00F44E90" w:rsidRPr="001D517F" w:rsidRDefault="00F44E90" w:rsidP="00152C0F">
      <w:pPr>
        <w:pStyle w:val="Item"/>
      </w:pPr>
      <w:r w:rsidRPr="001D517F">
        <w:t xml:space="preserve">Omit “under </w:t>
      </w:r>
      <w:r w:rsidR="00262F0A" w:rsidRPr="001D517F">
        <w:t>subsection 1</w:t>
      </w:r>
      <w:r w:rsidRPr="001D517F">
        <w:t xml:space="preserve">20(3)”, substitute “under former </w:t>
      </w:r>
      <w:r w:rsidR="00262F0A" w:rsidRPr="001D517F">
        <w:t>subsection 1</w:t>
      </w:r>
      <w:r w:rsidRPr="001D517F">
        <w:t>20(3)”.</w:t>
      </w:r>
    </w:p>
    <w:p w14:paraId="78EC749B" w14:textId="77777777" w:rsidR="00F44E90" w:rsidRPr="001D517F" w:rsidRDefault="00F44E90" w:rsidP="00152C0F">
      <w:pPr>
        <w:pStyle w:val="ItemHead"/>
      </w:pPr>
      <w:r w:rsidRPr="001D517F">
        <w:t>4  In the appropriate position</w:t>
      </w:r>
    </w:p>
    <w:p w14:paraId="22424783" w14:textId="77777777" w:rsidR="00F44E90" w:rsidRPr="001D517F" w:rsidRDefault="00F44E90" w:rsidP="00152C0F">
      <w:pPr>
        <w:pStyle w:val="Item"/>
      </w:pPr>
      <w:r w:rsidRPr="001D517F">
        <w:t>Insert:</w:t>
      </w:r>
    </w:p>
    <w:p w14:paraId="63BE20F6" w14:textId="77777777" w:rsidR="00F44E90" w:rsidRPr="001D517F" w:rsidRDefault="00F44E90" w:rsidP="00152C0F">
      <w:pPr>
        <w:pStyle w:val="ActHead2"/>
      </w:pPr>
      <w:bookmarkStart w:id="9" w:name="_Toc184888262"/>
      <w:r w:rsidRPr="00A15312">
        <w:rPr>
          <w:rStyle w:val="CharPartNo"/>
        </w:rPr>
        <w:t>Part 42</w:t>
      </w:r>
      <w:r w:rsidRPr="001D517F">
        <w:t>—</w:t>
      </w:r>
      <w:r w:rsidRPr="00A15312">
        <w:rPr>
          <w:rStyle w:val="CharPartText"/>
        </w:rPr>
        <w:t>Application provision relating to Schedule 1 to the Treasury Laws Amendment (Fairer for Families and Farmers and Other Measures) Act 2024</w:t>
      </w:r>
      <w:bookmarkEnd w:id="9"/>
    </w:p>
    <w:p w14:paraId="10037C4D" w14:textId="77777777" w:rsidR="00F44E90" w:rsidRPr="00A15312" w:rsidRDefault="00F44E90" w:rsidP="00152C0F">
      <w:pPr>
        <w:pStyle w:val="Header"/>
      </w:pPr>
      <w:r w:rsidRPr="00A15312">
        <w:rPr>
          <w:rStyle w:val="CharDivNo"/>
        </w:rPr>
        <w:t xml:space="preserve"> </w:t>
      </w:r>
      <w:r w:rsidRPr="00A15312">
        <w:rPr>
          <w:rStyle w:val="CharDivText"/>
        </w:rPr>
        <w:t xml:space="preserve"> </w:t>
      </w:r>
    </w:p>
    <w:p w14:paraId="70C43DE8" w14:textId="77777777" w:rsidR="00F44E90" w:rsidRPr="001D517F" w:rsidRDefault="00F44E90" w:rsidP="00152C0F">
      <w:pPr>
        <w:pStyle w:val="ActHead5"/>
      </w:pPr>
      <w:bookmarkStart w:id="10" w:name="_Toc184888263"/>
      <w:r w:rsidRPr="00A15312">
        <w:rPr>
          <w:rStyle w:val="CharSectno"/>
        </w:rPr>
        <w:t>347</w:t>
      </w:r>
      <w:r w:rsidRPr="001D517F">
        <w:t xml:space="preserve">  Application—transferred staff members</w:t>
      </w:r>
      <w:bookmarkEnd w:id="10"/>
    </w:p>
    <w:p w14:paraId="3387E65E" w14:textId="77777777" w:rsidR="00F44E90" w:rsidRPr="001D517F" w:rsidRDefault="00263ABC" w:rsidP="00152C0F">
      <w:pPr>
        <w:pStyle w:val="subsection"/>
      </w:pPr>
      <w:r w:rsidRPr="001D517F">
        <w:tab/>
      </w:r>
      <w:r w:rsidRPr="001D517F">
        <w:tab/>
      </w:r>
      <w:r w:rsidR="00F44E90" w:rsidRPr="001D517F">
        <w:t xml:space="preserve">The amendment of </w:t>
      </w:r>
      <w:r w:rsidR="00262F0A" w:rsidRPr="001D517F">
        <w:t>section 1</w:t>
      </w:r>
      <w:r w:rsidR="00F44E90" w:rsidRPr="001D517F">
        <w:t xml:space="preserve">20 made by </w:t>
      </w:r>
      <w:r w:rsidR="00262F0A" w:rsidRPr="001D517F">
        <w:t>Part 1</w:t>
      </w:r>
      <w:r w:rsidR="00F44E90" w:rsidRPr="001D517F">
        <w:t xml:space="preserve"> of Schedule 1 to the </w:t>
      </w:r>
      <w:r w:rsidR="00F44E90" w:rsidRPr="001D517F">
        <w:rPr>
          <w:i/>
        </w:rPr>
        <w:t>Treasury Laws Amendment (Fairer for Families and Farmers and Other Measures) Act 2024</w:t>
      </w:r>
      <w:r w:rsidR="00F44E90" w:rsidRPr="001D517F">
        <w:t xml:space="preserve"> applies in relation to determinations made under paragraph 72(1)(b) of the </w:t>
      </w:r>
      <w:r w:rsidR="00F44E90" w:rsidRPr="001D517F">
        <w:rPr>
          <w:i/>
        </w:rPr>
        <w:t>Public Service Act 1999</w:t>
      </w:r>
      <w:r w:rsidR="00F44E90" w:rsidRPr="001D517F">
        <w:t xml:space="preserve"> on or after the commencement of that Part.</w:t>
      </w:r>
    </w:p>
    <w:p w14:paraId="7F9D6C00" w14:textId="77777777" w:rsidR="00F44E90" w:rsidRPr="001D517F" w:rsidRDefault="00F44E90" w:rsidP="00152C0F">
      <w:pPr>
        <w:pStyle w:val="ActHead7"/>
        <w:pageBreakBefore/>
      </w:pPr>
      <w:bookmarkStart w:id="11" w:name="_Toc184888264"/>
      <w:r w:rsidRPr="00A15312">
        <w:rPr>
          <w:rStyle w:val="CharAmPartNo"/>
        </w:rPr>
        <w:t>Part 2</w:t>
      </w:r>
      <w:r w:rsidRPr="001D517F">
        <w:t>—</w:t>
      </w:r>
      <w:r w:rsidRPr="00A15312">
        <w:rPr>
          <w:rStyle w:val="CharAmPartText"/>
        </w:rPr>
        <w:t>Commencement of amendments relating to registries modernisation program</w:t>
      </w:r>
      <w:bookmarkEnd w:id="11"/>
    </w:p>
    <w:p w14:paraId="5545439F" w14:textId="77777777" w:rsidR="00F44E90" w:rsidRPr="001D517F" w:rsidRDefault="00F44E90" w:rsidP="00152C0F">
      <w:pPr>
        <w:pStyle w:val="ActHead8"/>
      </w:pPr>
      <w:bookmarkStart w:id="12" w:name="_Toc184888265"/>
      <w:r w:rsidRPr="001D517F">
        <w:t>Division 1—Commencement of registries modernisation amendments</w:t>
      </w:r>
      <w:bookmarkEnd w:id="12"/>
    </w:p>
    <w:p w14:paraId="5D3FFBE8" w14:textId="77777777" w:rsidR="00F44E90" w:rsidRPr="001D517F" w:rsidRDefault="00F44E90" w:rsidP="00152C0F">
      <w:pPr>
        <w:pStyle w:val="ActHead9"/>
      </w:pPr>
      <w:bookmarkStart w:id="13" w:name="_Toc184888266"/>
      <w:bookmarkStart w:id="14" w:name="_Hlk184892034"/>
      <w:r w:rsidRPr="001D517F">
        <w:t>Corporate Collective Investment Vehicle Framework and Other Measures Act 2022</w:t>
      </w:r>
      <w:bookmarkEnd w:id="13"/>
    </w:p>
    <w:bookmarkEnd w:id="14"/>
    <w:p w14:paraId="7AAFE89E" w14:textId="77777777" w:rsidR="00F44E90" w:rsidRPr="001D517F" w:rsidRDefault="00F44E90" w:rsidP="00152C0F">
      <w:pPr>
        <w:pStyle w:val="ItemHead"/>
      </w:pPr>
      <w:r w:rsidRPr="001D517F">
        <w:t xml:space="preserve">5  Subsection 2(1) (table </w:t>
      </w:r>
      <w:r w:rsidR="001D517F">
        <w:t>item 5</w:t>
      </w:r>
      <w:r w:rsidRPr="001D517F">
        <w:t>)</w:t>
      </w:r>
    </w:p>
    <w:p w14:paraId="497BE079" w14:textId="77777777" w:rsidR="00F44E90" w:rsidRPr="001D517F" w:rsidRDefault="00F44E90" w:rsidP="00152C0F">
      <w:pPr>
        <w:pStyle w:val="Item"/>
      </w:pPr>
      <w:r w:rsidRPr="001D517F">
        <w:t>Repeal the item, substitute:</w:t>
      </w:r>
    </w:p>
    <w:tbl>
      <w:tblPr>
        <w:tblW w:w="7111" w:type="dxa"/>
        <w:tblInd w:w="107" w:type="dxa"/>
        <w:tblLayout w:type="fixed"/>
        <w:tblCellMar>
          <w:left w:w="107" w:type="dxa"/>
          <w:right w:w="107" w:type="dxa"/>
        </w:tblCellMar>
        <w:tblLook w:val="0000" w:firstRow="0" w:lastRow="0" w:firstColumn="0" w:lastColumn="0" w:noHBand="0" w:noVBand="0"/>
      </w:tblPr>
      <w:tblGrid>
        <w:gridCol w:w="2188"/>
        <w:gridCol w:w="4923"/>
      </w:tblGrid>
      <w:tr w:rsidR="00F44E90" w:rsidRPr="001D517F" w14:paraId="24B7D993" w14:textId="77777777" w:rsidTr="001E5F93">
        <w:tc>
          <w:tcPr>
            <w:tcW w:w="2188" w:type="dxa"/>
            <w:shd w:val="clear" w:color="auto" w:fill="auto"/>
          </w:tcPr>
          <w:p w14:paraId="305F4B2A" w14:textId="77777777" w:rsidR="00F44E90" w:rsidRPr="001D517F" w:rsidRDefault="00F44E90" w:rsidP="00152C0F">
            <w:pPr>
              <w:pStyle w:val="Tabletext"/>
            </w:pPr>
            <w:r w:rsidRPr="001D517F">
              <w:t>5.  Schedule 5, Part 3</w:t>
            </w:r>
          </w:p>
        </w:tc>
        <w:tc>
          <w:tcPr>
            <w:tcW w:w="4923" w:type="dxa"/>
            <w:shd w:val="clear" w:color="auto" w:fill="auto"/>
          </w:tcPr>
          <w:p w14:paraId="52D34F7E" w14:textId="77777777" w:rsidR="00F44E90" w:rsidRPr="001D517F" w:rsidRDefault="00F44E90" w:rsidP="00152C0F">
            <w:pPr>
              <w:pStyle w:val="Tabletext"/>
            </w:pPr>
            <w:r w:rsidRPr="001D517F">
              <w:t>A single day to be fixed by Proclamation.</w:t>
            </w:r>
          </w:p>
          <w:p w14:paraId="0F9D6852" w14:textId="77777777" w:rsidR="00F44E90" w:rsidRPr="001D517F" w:rsidRDefault="00F44E90" w:rsidP="00152C0F">
            <w:pPr>
              <w:pStyle w:val="Tabletext"/>
            </w:pPr>
            <w:r w:rsidRPr="001D517F">
              <w:t>However, if the provisions do not commence before 1 July 2026, they commence on that day.</w:t>
            </w:r>
          </w:p>
        </w:tc>
      </w:tr>
    </w:tbl>
    <w:p w14:paraId="3C229054" w14:textId="77777777" w:rsidR="00F44E90" w:rsidRPr="001D517F" w:rsidRDefault="00F44E90" w:rsidP="00152C0F">
      <w:pPr>
        <w:pStyle w:val="ActHead8"/>
      </w:pPr>
      <w:bookmarkStart w:id="15" w:name="_Toc184888267"/>
      <w:r w:rsidRPr="001D517F">
        <w:t>Division 2—Application of registries modernisation amendments</w:t>
      </w:r>
      <w:bookmarkEnd w:id="15"/>
    </w:p>
    <w:p w14:paraId="1507BBA3" w14:textId="77777777" w:rsidR="00F44E90" w:rsidRPr="001D517F" w:rsidRDefault="00F44E90" w:rsidP="00152C0F">
      <w:pPr>
        <w:pStyle w:val="ActHead9"/>
      </w:pPr>
      <w:bookmarkStart w:id="16" w:name="_Toc184888268"/>
      <w:bookmarkStart w:id="17" w:name="_Hlk184892054"/>
      <w:r w:rsidRPr="001D517F">
        <w:t>Corporate Collective Investment Vehicle Framework and Other Measures Act 2022</w:t>
      </w:r>
      <w:bookmarkEnd w:id="16"/>
    </w:p>
    <w:bookmarkEnd w:id="17"/>
    <w:p w14:paraId="64B61CE0" w14:textId="77777777" w:rsidR="00F44E90" w:rsidRPr="001D517F" w:rsidRDefault="00F44E90" w:rsidP="00152C0F">
      <w:pPr>
        <w:pStyle w:val="ItemHead"/>
      </w:pPr>
      <w:r w:rsidRPr="001D517F">
        <w:t>6  At the end of Part 3 of Schedule 5</w:t>
      </w:r>
    </w:p>
    <w:p w14:paraId="397EB436" w14:textId="77777777" w:rsidR="00F44E90" w:rsidRPr="001D517F" w:rsidRDefault="00F44E90" w:rsidP="00152C0F">
      <w:pPr>
        <w:pStyle w:val="Item"/>
      </w:pPr>
      <w:r w:rsidRPr="001D517F">
        <w:t>Add:</w:t>
      </w:r>
    </w:p>
    <w:p w14:paraId="4CD4589A" w14:textId="77777777" w:rsidR="00F44E90" w:rsidRPr="001D517F" w:rsidRDefault="00F44E90" w:rsidP="00152C0F">
      <w:pPr>
        <w:pStyle w:val="Transitional"/>
      </w:pPr>
      <w:r w:rsidRPr="001D517F">
        <w:t>20  Validation of acts or things done during interim period</w:t>
      </w:r>
    </w:p>
    <w:p w14:paraId="0957F5BF" w14:textId="77777777" w:rsidR="00F44E90" w:rsidRPr="001D517F" w:rsidRDefault="00F44E90" w:rsidP="00152C0F">
      <w:pPr>
        <w:pStyle w:val="SubitemHead"/>
      </w:pPr>
      <w:r w:rsidRPr="001D517F">
        <w:t>Object</w:t>
      </w:r>
    </w:p>
    <w:p w14:paraId="0E7B6626" w14:textId="77777777" w:rsidR="00F44E90" w:rsidRPr="001D517F" w:rsidRDefault="00F44E90" w:rsidP="00152C0F">
      <w:pPr>
        <w:pStyle w:val="Subitem"/>
      </w:pPr>
      <w:r w:rsidRPr="001D517F">
        <w:t>(1)</w:t>
      </w:r>
      <w:r w:rsidRPr="001D517F">
        <w:tab/>
        <w:t>The object of this item is to treat all situations during the interim period in every respect as if:</w:t>
      </w:r>
    </w:p>
    <w:p w14:paraId="2F0A7767" w14:textId="77777777" w:rsidR="00F44E90" w:rsidRPr="001D517F" w:rsidRDefault="00F44E90" w:rsidP="00152C0F">
      <w:pPr>
        <w:pStyle w:val="paragraph"/>
      </w:pPr>
      <w:r w:rsidRPr="001D517F">
        <w:tab/>
        <w:t>(a)</w:t>
      </w:r>
      <w:r w:rsidRPr="001D517F">
        <w:tab/>
        <w:t xml:space="preserve">the amendments made by Division 1 of Part 2 of Schedule 1 to the </w:t>
      </w:r>
      <w:r w:rsidRPr="001D517F">
        <w:rPr>
          <w:i/>
        </w:rPr>
        <w:t>Treasury Laws Amendment (Fairer for Families and Farmers and Other Measures) Act 2024</w:t>
      </w:r>
      <w:r w:rsidRPr="001D517F">
        <w:t xml:space="preserve"> had not been made at the start of 31 December 2024; and</w:t>
      </w:r>
    </w:p>
    <w:p w14:paraId="3F937BB7" w14:textId="77777777" w:rsidR="00F44E90" w:rsidRPr="001D517F" w:rsidRDefault="00F44E90" w:rsidP="00152C0F">
      <w:pPr>
        <w:pStyle w:val="paragraph"/>
      </w:pPr>
      <w:r w:rsidRPr="001D517F">
        <w:tab/>
        <w:t>(b)</w:t>
      </w:r>
      <w:r w:rsidRPr="001D517F">
        <w:tab/>
        <w:t>the amendments made by the postponed items had been made at the start of 1 January 2025 and had effect during the interim period.</w:t>
      </w:r>
    </w:p>
    <w:p w14:paraId="17FDF865" w14:textId="77777777" w:rsidR="00F44E90" w:rsidRPr="001D517F" w:rsidRDefault="00F44E90" w:rsidP="00152C0F">
      <w:pPr>
        <w:pStyle w:val="SubitemHead"/>
      </w:pPr>
      <w:r w:rsidRPr="001D517F">
        <w:t>Validation of acts and things done in interim period</w:t>
      </w:r>
    </w:p>
    <w:p w14:paraId="052EF72A" w14:textId="77777777" w:rsidR="00F44E90" w:rsidRPr="001D517F" w:rsidRDefault="00F44E90" w:rsidP="00152C0F">
      <w:pPr>
        <w:pStyle w:val="Subitem"/>
      </w:pPr>
      <w:r w:rsidRPr="001D517F">
        <w:t>(2)</w:t>
      </w:r>
      <w:r w:rsidRPr="001D517F">
        <w:tab/>
        <w:t>An act or thing that was done at any time during the interim period is as valid, and is taken always to have been as valid, as it would have been if:</w:t>
      </w:r>
    </w:p>
    <w:p w14:paraId="75CCA9C5" w14:textId="77777777" w:rsidR="00F44E90" w:rsidRPr="001D517F" w:rsidRDefault="00F44E90" w:rsidP="00152C0F">
      <w:pPr>
        <w:pStyle w:val="paragraph"/>
      </w:pPr>
      <w:r w:rsidRPr="001D517F">
        <w:tab/>
        <w:t>(a)</w:t>
      </w:r>
      <w:r w:rsidRPr="001D517F">
        <w:tab/>
        <w:t xml:space="preserve">the amendments made by Division 1 of Part 2 of Schedule 1 to the </w:t>
      </w:r>
      <w:r w:rsidRPr="001D517F">
        <w:rPr>
          <w:i/>
        </w:rPr>
        <w:t>Treasury Laws Amendment (Fairer for Families and Farmers and Other Measures) Act 2024</w:t>
      </w:r>
      <w:r w:rsidRPr="001D517F">
        <w:t xml:space="preserve"> had not been made at the start of 31 December 2024; and</w:t>
      </w:r>
    </w:p>
    <w:p w14:paraId="4799EE84" w14:textId="77777777" w:rsidR="00F44E90" w:rsidRPr="001D517F" w:rsidRDefault="00F44E90" w:rsidP="00152C0F">
      <w:pPr>
        <w:pStyle w:val="paragraph"/>
      </w:pPr>
      <w:r w:rsidRPr="001D517F">
        <w:tab/>
        <w:t>(b)</w:t>
      </w:r>
      <w:r w:rsidRPr="001D517F">
        <w:tab/>
        <w:t>in particular, the amendments made by the postponed items had been made at the start of 1 January 2025 and had effect during the interim period.</w:t>
      </w:r>
    </w:p>
    <w:p w14:paraId="776012D8" w14:textId="77777777" w:rsidR="00F44E90" w:rsidRPr="001D517F" w:rsidRDefault="00F44E90" w:rsidP="00152C0F">
      <w:pPr>
        <w:pStyle w:val="SubitemHead"/>
      </w:pPr>
      <w:r w:rsidRPr="001D517F">
        <w:t>Acts and things to which this item applies</w:t>
      </w:r>
    </w:p>
    <w:p w14:paraId="3BBFE0F4" w14:textId="77777777" w:rsidR="00F44E90" w:rsidRPr="001D517F" w:rsidRDefault="00F44E90" w:rsidP="00152C0F">
      <w:pPr>
        <w:pStyle w:val="Subitem"/>
      </w:pPr>
      <w:r w:rsidRPr="001D517F">
        <w:t>(3)</w:t>
      </w:r>
      <w:r w:rsidRPr="001D517F">
        <w:tab/>
        <w:t>This item applies to an act or thing, regardless of the basis on which, or capacity in which, the act or thing was done or purported to be done.</w:t>
      </w:r>
    </w:p>
    <w:p w14:paraId="4B25CD7A" w14:textId="77777777" w:rsidR="00F44E90" w:rsidRPr="001D517F" w:rsidRDefault="00F44E90" w:rsidP="00152C0F">
      <w:pPr>
        <w:pStyle w:val="SubitemHead"/>
      </w:pPr>
      <w:r w:rsidRPr="001D517F">
        <w:t>Definitions</w:t>
      </w:r>
    </w:p>
    <w:p w14:paraId="04489D30" w14:textId="77777777" w:rsidR="00F44E90" w:rsidRPr="001D517F" w:rsidRDefault="00F44E90" w:rsidP="00152C0F">
      <w:pPr>
        <w:pStyle w:val="Subitem"/>
      </w:pPr>
      <w:r w:rsidRPr="001D517F">
        <w:t>(4)</w:t>
      </w:r>
      <w:r w:rsidRPr="001D517F">
        <w:tab/>
        <w:t>In this item:</w:t>
      </w:r>
    </w:p>
    <w:p w14:paraId="70C2E212" w14:textId="77777777" w:rsidR="00F44E90" w:rsidRPr="001D517F" w:rsidRDefault="00F44E90" w:rsidP="00152C0F">
      <w:pPr>
        <w:pStyle w:val="Item"/>
      </w:pPr>
      <w:r w:rsidRPr="001D517F">
        <w:rPr>
          <w:b/>
          <w:i/>
        </w:rPr>
        <w:t>interim period</w:t>
      </w:r>
      <w:r w:rsidRPr="001D517F">
        <w:t xml:space="preserve"> means the period:</w:t>
      </w:r>
    </w:p>
    <w:p w14:paraId="7F67D01C" w14:textId="77777777" w:rsidR="00F44E90" w:rsidRPr="001D517F" w:rsidRDefault="00F44E90" w:rsidP="00152C0F">
      <w:pPr>
        <w:pStyle w:val="paragraph"/>
      </w:pPr>
      <w:r w:rsidRPr="001D517F">
        <w:tab/>
        <w:t>(a)</w:t>
      </w:r>
      <w:r w:rsidRPr="001D517F">
        <w:tab/>
        <w:t>starting at the start of 1 January 2025; and</w:t>
      </w:r>
    </w:p>
    <w:p w14:paraId="4CA7C0E0" w14:textId="77777777" w:rsidR="00F44E90" w:rsidRPr="001D517F" w:rsidRDefault="00F44E90" w:rsidP="00152C0F">
      <w:pPr>
        <w:pStyle w:val="paragraph"/>
      </w:pPr>
      <w:r w:rsidRPr="001D517F">
        <w:tab/>
        <w:t>(b)</w:t>
      </w:r>
      <w:r w:rsidRPr="001D517F">
        <w:tab/>
        <w:t xml:space="preserve">ending at the end of the day before the day on which Division 2 of Part 2 of Schedule 1 to the </w:t>
      </w:r>
      <w:r w:rsidRPr="001D517F">
        <w:rPr>
          <w:i/>
        </w:rPr>
        <w:t>Treasury Laws Amendment (Fairer for Families and Farmers and Other Measures) Act 2024</w:t>
      </w:r>
      <w:r w:rsidRPr="001D517F">
        <w:t xml:space="preserve"> commences.</w:t>
      </w:r>
    </w:p>
    <w:p w14:paraId="5A9F3135" w14:textId="77777777" w:rsidR="00F44E90" w:rsidRPr="001D517F" w:rsidRDefault="00F44E90" w:rsidP="00152C0F">
      <w:pPr>
        <w:pStyle w:val="Item"/>
      </w:pPr>
      <w:r w:rsidRPr="001D517F">
        <w:rPr>
          <w:b/>
          <w:i/>
        </w:rPr>
        <w:t>postponed item</w:t>
      </w:r>
      <w:r w:rsidRPr="001D517F">
        <w:t xml:space="preserve"> means item 15, 16, 17, 18 or 19 of this Schedule (which would commence on 1 January 2025 if Division 1 of Part 2 of Schedule 1 to the </w:t>
      </w:r>
      <w:r w:rsidRPr="001D517F">
        <w:rPr>
          <w:i/>
        </w:rPr>
        <w:t>Treasury Laws Amendment (Fairer for Families and Farmers and Other Measures) Act 2024</w:t>
      </w:r>
      <w:r w:rsidRPr="001D517F">
        <w:t xml:space="preserve"> were disregarded).</w:t>
      </w:r>
    </w:p>
    <w:p w14:paraId="282FA44F" w14:textId="77777777" w:rsidR="005423E9" w:rsidRPr="001D517F" w:rsidRDefault="00262F0A" w:rsidP="00152C0F">
      <w:pPr>
        <w:pStyle w:val="ActHead6"/>
        <w:pageBreakBefore/>
      </w:pPr>
      <w:bookmarkStart w:id="18" w:name="_Toc184888269"/>
      <w:r w:rsidRPr="00A15312">
        <w:rPr>
          <w:rStyle w:val="CharAmSchNo"/>
        </w:rPr>
        <w:t>Schedule 2</w:t>
      </w:r>
      <w:r w:rsidR="005423E9" w:rsidRPr="001D517F">
        <w:t>—</w:t>
      </w:r>
      <w:r w:rsidR="005423E9" w:rsidRPr="00A15312">
        <w:rPr>
          <w:rStyle w:val="CharAmSchText"/>
        </w:rPr>
        <w:t>Regulation of safety standards and information standards</w:t>
      </w:r>
      <w:bookmarkEnd w:id="18"/>
    </w:p>
    <w:p w14:paraId="46BF2D4F" w14:textId="77777777" w:rsidR="005423E9" w:rsidRPr="001D517F" w:rsidRDefault="00262F0A" w:rsidP="00152C0F">
      <w:pPr>
        <w:pStyle w:val="ActHead7"/>
      </w:pPr>
      <w:bookmarkStart w:id="19" w:name="_Toc184888270"/>
      <w:r w:rsidRPr="00A15312">
        <w:rPr>
          <w:rStyle w:val="CharAmPartNo"/>
        </w:rPr>
        <w:t>Part 1</w:t>
      </w:r>
      <w:r w:rsidR="005423E9" w:rsidRPr="001D517F">
        <w:t>—</w:t>
      </w:r>
      <w:r w:rsidR="005423E9" w:rsidRPr="00A15312">
        <w:rPr>
          <w:rStyle w:val="CharAmPartText"/>
        </w:rPr>
        <w:t>Main amendments</w:t>
      </w:r>
      <w:bookmarkEnd w:id="19"/>
    </w:p>
    <w:p w14:paraId="2F3A1BE6" w14:textId="77777777" w:rsidR="005423E9" w:rsidRPr="001D517F" w:rsidRDefault="005423E9" w:rsidP="00152C0F">
      <w:pPr>
        <w:pStyle w:val="ActHead9"/>
      </w:pPr>
      <w:bookmarkStart w:id="20" w:name="_Toc184888271"/>
      <w:bookmarkStart w:id="21" w:name="_Hlk184892078"/>
      <w:r w:rsidRPr="001D517F">
        <w:t>Competition and Consumer Act 2010</w:t>
      </w:r>
      <w:bookmarkEnd w:id="20"/>
    </w:p>
    <w:bookmarkEnd w:id="21"/>
    <w:p w14:paraId="634D051E" w14:textId="77777777" w:rsidR="005423E9" w:rsidRPr="001D517F" w:rsidRDefault="005423E9" w:rsidP="00152C0F">
      <w:pPr>
        <w:pStyle w:val="ItemHead"/>
      </w:pPr>
      <w:r w:rsidRPr="001D517F">
        <w:t>1  Paragraph 131E(1)(b)</w:t>
      </w:r>
    </w:p>
    <w:p w14:paraId="1CCA4371" w14:textId="77777777" w:rsidR="005423E9" w:rsidRPr="001D517F" w:rsidRDefault="005423E9" w:rsidP="00152C0F">
      <w:pPr>
        <w:pStyle w:val="Item"/>
      </w:pPr>
      <w:r w:rsidRPr="001D517F">
        <w:t>Omit “or 105(1)”.</w:t>
      </w:r>
    </w:p>
    <w:p w14:paraId="1689FCFA" w14:textId="77777777" w:rsidR="005423E9" w:rsidRPr="001D517F" w:rsidRDefault="005423E9" w:rsidP="00152C0F">
      <w:pPr>
        <w:pStyle w:val="ItemHead"/>
      </w:pPr>
      <w:r w:rsidRPr="001D517F">
        <w:t>2  Paragraph 131E(1)(i)</w:t>
      </w:r>
    </w:p>
    <w:p w14:paraId="46BABBC4" w14:textId="77777777" w:rsidR="005423E9" w:rsidRPr="001D517F" w:rsidRDefault="005423E9" w:rsidP="00152C0F">
      <w:pPr>
        <w:pStyle w:val="Item"/>
      </w:pPr>
      <w:r w:rsidRPr="001D517F">
        <w:t>Omit “or 135(1)”.</w:t>
      </w:r>
    </w:p>
    <w:p w14:paraId="04C229D8" w14:textId="77777777" w:rsidR="005423E9" w:rsidRPr="001D517F" w:rsidRDefault="005423E9" w:rsidP="00152C0F">
      <w:pPr>
        <w:pStyle w:val="ItemHead"/>
      </w:pPr>
      <w:r w:rsidRPr="001D517F">
        <w:t xml:space="preserve">3  At the end of </w:t>
      </w:r>
      <w:r w:rsidR="00262F0A" w:rsidRPr="001D517F">
        <w:t>section 1</w:t>
      </w:r>
      <w:r w:rsidRPr="001D517F">
        <w:t>31E</w:t>
      </w:r>
    </w:p>
    <w:p w14:paraId="27CBFC91" w14:textId="77777777" w:rsidR="005423E9" w:rsidRPr="001D517F" w:rsidRDefault="005423E9" w:rsidP="00152C0F">
      <w:pPr>
        <w:pStyle w:val="Item"/>
      </w:pPr>
      <w:r w:rsidRPr="001D517F">
        <w:t>Add:</w:t>
      </w:r>
    </w:p>
    <w:p w14:paraId="57A509E3" w14:textId="77777777" w:rsidR="005423E9" w:rsidRPr="001D517F" w:rsidRDefault="005423E9" w:rsidP="00152C0F">
      <w:pPr>
        <w:pStyle w:val="subsection"/>
      </w:pPr>
      <w:r w:rsidRPr="001D517F">
        <w:tab/>
        <w:t>(4)</w:t>
      </w:r>
      <w:r w:rsidRPr="001D517F">
        <w:tab/>
      </w:r>
      <w:r w:rsidR="00262F0A" w:rsidRPr="001D517F">
        <w:t>Subsections 1</w:t>
      </w:r>
      <w:r w:rsidRPr="001D517F">
        <w:t xml:space="preserve">04(5) and 134(4) of the Australian Consumer Law have effect despite </w:t>
      </w:r>
      <w:r w:rsidR="00262F0A" w:rsidRPr="001D517F">
        <w:t>subsection 1</w:t>
      </w:r>
      <w:r w:rsidRPr="001D517F">
        <w:t xml:space="preserve">4(2) of the </w:t>
      </w:r>
      <w:r w:rsidRPr="001D517F">
        <w:rPr>
          <w:i/>
        </w:rPr>
        <w:t>Legislation Act 2003</w:t>
      </w:r>
      <w:r w:rsidRPr="001D517F">
        <w:t>.</w:t>
      </w:r>
    </w:p>
    <w:p w14:paraId="717920AE" w14:textId="77777777" w:rsidR="005423E9" w:rsidRPr="001D517F" w:rsidRDefault="005423E9" w:rsidP="00152C0F">
      <w:pPr>
        <w:pStyle w:val="ItemHead"/>
      </w:pPr>
      <w:r w:rsidRPr="001D517F">
        <w:t xml:space="preserve">4  Subsection 2(1) of </w:t>
      </w:r>
      <w:r w:rsidR="00262F0A" w:rsidRPr="001D517F">
        <w:t>Schedule 2</w:t>
      </w:r>
      <w:r w:rsidRPr="001D517F">
        <w:t xml:space="preserve"> (definition of </w:t>
      </w:r>
      <w:r w:rsidRPr="001D517F">
        <w:rPr>
          <w:i/>
        </w:rPr>
        <w:t>information standard</w:t>
      </w:r>
      <w:r w:rsidRPr="001D517F">
        <w:t>)</w:t>
      </w:r>
    </w:p>
    <w:p w14:paraId="4EE79D89" w14:textId="77777777" w:rsidR="005423E9" w:rsidRPr="001D517F" w:rsidRDefault="005423E9" w:rsidP="00152C0F">
      <w:pPr>
        <w:pStyle w:val="Item"/>
      </w:pPr>
      <w:r w:rsidRPr="001D517F">
        <w:t>Omit “sections 134(1) and 135(1)”, substitute “</w:t>
      </w:r>
      <w:r w:rsidR="00262F0A" w:rsidRPr="001D517F">
        <w:t>section 1</w:t>
      </w:r>
      <w:r w:rsidRPr="001D517F">
        <w:t>34(1)”.</w:t>
      </w:r>
    </w:p>
    <w:p w14:paraId="26936105" w14:textId="77777777" w:rsidR="005423E9" w:rsidRPr="001D517F" w:rsidRDefault="005423E9" w:rsidP="00152C0F">
      <w:pPr>
        <w:pStyle w:val="ItemHead"/>
      </w:pPr>
      <w:r w:rsidRPr="001D517F">
        <w:t xml:space="preserve">5  Subsection 2(1) of </w:t>
      </w:r>
      <w:r w:rsidR="00262F0A" w:rsidRPr="001D517F">
        <w:t>Schedule 2</w:t>
      </w:r>
      <w:r w:rsidRPr="001D517F">
        <w:t xml:space="preserve"> (definition of </w:t>
      </w:r>
      <w:r w:rsidRPr="001D517F">
        <w:rPr>
          <w:i/>
        </w:rPr>
        <w:t>safety standard</w:t>
      </w:r>
      <w:r w:rsidRPr="001D517F">
        <w:t>)</w:t>
      </w:r>
    </w:p>
    <w:p w14:paraId="7EFDC4E5" w14:textId="77777777" w:rsidR="005423E9" w:rsidRPr="001D517F" w:rsidRDefault="005423E9" w:rsidP="00152C0F">
      <w:pPr>
        <w:pStyle w:val="Item"/>
      </w:pPr>
      <w:r w:rsidRPr="001D517F">
        <w:t>Omit “sections 104(1) and 105(1)”, substitute “</w:t>
      </w:r>
      <w:r w:rsidR="00262F0A" w:rsidRPr="001D517F">
        <w:t>section 1</w:t>
      </w:r>
      <w:r w:rsidRPr="001D517F">
        <w:t>04(1)”.</w:t>
      </w:r>
    </w:p>
    <w:p w14:paraId="68777B5A" w14:textId="77777777" w:rsidR="005423E9" w:rsidRPr="001D517F" w:rsidRDefault="005423E9" w:rsidP="00152C0F">
      <w:pPr>
        <w:pStyle w:val="ItemHead"/>
      </w:pPr>
      <w:r w:rsidRPr="001D517F">
        <w:t>6  Sub</w:t>
      </w:r>
      <w:r w:rsidR="00262F0A" w:rsidRPr="001D517F">
        <w:t>section 1</w:t>
      </w:r>
      <w:r w:rsidRPr="001D517F">
        <w:t xml:space="preserve">04(1) of </w:t>
      </w:r>
      <w:r w:rsidR="00262F0A" w:rsidRPr="001D517F">
        <w:t>Schedule 2</w:t>
      </w:r>
    </w:p>
    <w:p w14:paraId="4AC416C4" w14:textId="77777777" w:rsidR="005423E9" w:rsidRPr="001D517F" w:rsidRDefault="005423E9" w:rsidP="00152C0F">
      <w:pPr>
        <w:pStyle w:val="Item"/>
      </w:pPr>
      <w:r w:rsidRPr="001D517F">
        <w:t>Omit “published on the internet”, substitute “, for the purposes of preventing or reducing the risk of injury to any person”.</w:t>
      </w:r>
    </w:p>
    <w:p w14:paraId="5FAA4CB2" w14:textId="77777777" w:rsidR="005423E9" w:rsidRPr="001D517F" w:rsidRDefault="005423E9" w:rsidP="00152C0F">
      <w:pPr>
        <w:pStyle w:val="ItemHead"/>
      </w:pPr>
      <w:r w:rsidRPr="001D517F">
        <w:t>7  Sub</w:t>
      </w:r>
      <w:r w:rsidR="00262F0A" w:rsidRPr="001D517F">
        <w:t>section 1</w:t>
      </w:r>
      <w:r w:rsidRPr="001D517F">
        <w:t xml:space="preserve">04(2) of </w:t>
      </w:r>
      <w:r w:rsidR="00262F0A" w:rsidRPr="001D517F">
        <w:t>Schedule 2</w:t>
      </w:r>
    </w:p>
    <w:p w14:paraId="234D2D4B" w14:textId="77777777" w:rsidR="005423E9" w:rsidRPr="001D517F" w:rsidRDefault="005423E9" w:rsidP="00152C0F">
      <w:pPr>
        <w:pStyle w:val="Item"/>
      </w:pPr>
      <w:r w:rsidRPr="001D517F">
        <w:t xml:space="preserve">Omit all the words from and including “A safety standard” to and including “injury to any person”, substitute “Without limiting </w:t>
      </w:r>
      <w:r w:rsidR="00262F0A" w:rsidRPr="001D517F">
        <w:t>subsection (</w:t>
      </w:r>
      <w:r w:rsidRPr="001D517F">
        <w:t>1), a safety standard for consumer goods of a particular kind may consist of requirements about the following matters”.</w:t>
      </w:r>
    </w:p>
    <w:p w14:paraId="62CF6DE9" w14:textId="77777777" w:rsidR="005423E9" w:rsidRPr="001D517F" w:rsidRDefault="005423E9" w:rsidP="00152C0F">
      <w:pPr>
        <w:pStyle w:val="ItemHead"/>
      </w:pPr>
      <w:r w:rsidRPr="001D517F">
        <w:t>8  Sub</w:t>
      </w:r>
      <w:r w:rsidR="00262F0A" w:rsidRPr="001D517F">
        <w:t>section 1</w:t>
      </w:r>
      <w:r w:rsidRPr="001D517F">
        <w:t xml:space="preserve">04(3) of </w:t>
      </w:r>
      <w:r w:rsidR="00262F0A" w:rsidRPr="001D517F">
        <w:t>Schedule 2</w:t>
      </w:r>
    </w:p>
    <w:p w14:paraId="4AB8716A" w14:textId="77777777" w:rsidR="005423E9" w:rsidRPr="001D517F" w:rsidRDefault="005423E9" w:rsidP="00152C0F">
      <w:pPr>
        <w:pStyle w:val="Item"/>
      </w:pPr>
      <w:r w:rsidRPr="001D517F">
        <w:t xml:space="preserve">Omit all the words from and including “A safety standard” to and including “injury to any person”, substitute “Without limiting </w:t>
      </w:r>
      <w:r w:rsidR="00262F0A" w:rsidRPr="001D517F">
        <w:t>subsection (</w:t>
      </w:r>
      <w:r w:rsidRPr="001D517F">
        <w:t>1), a safety standard for product related services of a particular kind may consist of requirements about the following matters”.</w:t>
      </w:r>
    </w:p>
    <w:p w14:paraId="20E3CD52" w14:textId="77777777" w:rsidR="005423E9" w:rsidRPr="001D517F" w:rsidRDefault="005423E9" w:rsidP="00152C0F">
      <w:pPr>
        <w:pStyle w:val="ItemHead"/>
      </w:pPr>
      <w:r w:rsidRPr="001D517F">
        <w:t xml:space="preserve">9  At the end of </w:t>
      </w:r>
      <w:r w:rsidR="00262F0A" w:rsidRPr="001D517F">
        <w:t>section 1</w:t>
      </w:r>
      <w:r w:rsidRPr="001D517F">
        <w:t xml:space="preserve">04 of </w:t>
      </w:r>
      <w:r w:rsidR="00262F0A" w:rsidRPr="001D517F">
        <w:t>Schedule 2</w:t>
      </w:r>
    </w:p>
    <w:p w14:paraId="5E488626" w14:textId="77777777" w:rsidR="005423E9" w:rsidRPr="001D517F" w:rsidRDefault="005423E9" w:rsidP="00152C0F">
      <w:pPr>
        <w:pStyle w:val="Item"/>
      </w:pPr>
      <w:r w:rsidRPr="001D517F">
        <w:t>Add:</w:t>
      </w:r>
    </w:p>
    <w:p w14:paraId="1F4F44F6" w14:textId="77777777" w:rsidR="005423E9" w:rsidRPr="001D517F" w:rsidRDefault="005423E9" w:rsidP="00152C0F">
      <w:pPr>
        <w:pStyle w:val="subsection"/>
      </w:pPr>
      <w:r w:rsidRPr="001D517F">
        <w:tab/>
        <w:t>(4)</w:t>
      </w:r>
      <w:r w:rsidRPr="001D517F">
        <w:tab/>
        <w:t>A safety standard may also deal with matters incidental or related to preventing or reducing the risk of injury to any person.</w:t>
      </w:r>
    </w:p>
    <w:p w14:paraId="3F154D16" w14:textId="77777777" w:rsidR="005423E9" w:rsidRPr="001D517F" w:rsidRDefault="005423E9" w:rsidP="00152C0F">
      <w:pPr>
        <w:pStyle w:val="subsection"/>
      </w:pPr>
      <w:r w:rsidRPr="001D517F">
        <w:tab/>
        <w:t>(5)</w:t>
      </w:r>
      <w:r w:rsidRPr="001D517F">
        <w:tab/>
        <w:t xml:space="preserve">A safety standard may make provision in relation to a matter by applying, adopting or incorporating, with or without modification, any matter contained in any other instrument or writing (an </w:t>
      </w:r>
      <w:r w:rsidRPr="001D517F">
        <w:rPr>
          <w:b/>
          <w:bCs/>
          <w:i/>
          <w:iCs/>
        </w:rPr>
        <w:t>incorporated instrument</w:t>
      </w:r>
      <w:r w:rsidRPr="001D517F">
        <w:t>):</w:t>
      </w:r>
    </w:p>
    <w:p w14:paraId="2F3B15EB" w14:textId="77777777" w:rsidR="005423E9" w:rsidRPr="001D517F" w:rsidRDefault="005423E9" w:rsidP="00152C0F">
      <w:pPr>
        <w:pStyle w:val="paragraph"/>
      </w:pPr>
      <w:r w:rsidRPr="001D517F">
        <w:tab/>
        <w:t>(a)</w:t>
      </w:r>
      <w:r w:rsidRPr="001D517F">
        <w:tab/>
        <w:t>as in force or existing at a particular time; or</w:t>
      </w:r>
    </w:p>
    <w:p w14:paraId="08C49272" w14:textId="77777777" w:rsidR="005423E9" w:rsidRPr="001D517F" w:rsidRDefault="005423E9" w:rsidP="00152C0F">
      <w:pPr>
        <w:pStyle w:val="paragraph"/>
      </w:pPr>
      <w:r w:rsidRPr="001D517F">
        <w:tab/>
        <w:t>(b)</w:t>
      </w:r>
      <w:r w:rsidRPr="001D517F">
        <w:tab/>
        <w:t>as in force or existing from time to time.</w:t>
      </w:r>
    </w:p>
    <w:p w14:paraId="7832CA1F" w14:textId="77777777" w:rsidR="005423E9" w:rsidRPr="001D517F" w:rsidRDefault="005423E9" w:rsidP="00152C0F">
      <w:pPr>
        <w:pStyle w:val="subsection"/>
      </w:pPr>
      <w:bookmarkStart w:id="22" w:name="_Hlk178329036"/>
      <w:r w:rsidRPr="001D517F">
        <w:tab/>
        <w:t>(6)</w:t>
      </w:r>
      <w:r w:rsidRPr="001D517F">
        <w:tab/>
        <w:t>If:</w:t>
      </w:r>
    </w:p>
    <w:p w14:paraId="4F80F5A1" w14:textId="77777777" w:rsidR="005423E9" w:rsidRPr="001D517F" w:rsidRDefault="005423E9" w:rsidP="00152C0F">
      <w:pPr>
        <w:pStyle w:val="paragraph"/>
      </w:pPr>
      <w:r w:rsidRPr="001D517F">
        <w:tab/>
        <w:t>(a)</w:t>
      </w:r>
      <w:r w:rsidRPr="001D517F">
        <w:tab/>
        <w:t xml:space="preserve">a safety standard makes provision in relation to a matter in accordance with </w:t>
      </w:r>
      <w:r w:rsidR="00262F0A" w:rsidRPr="001D517F">
        <w:t>subsection (</w:t>
      </w:r>
      <w:r w:rsidRPr="001D517F">
        <w:t>5); and</w:t>
      </w:r>
    </w:p>
    <w:p w14:paraId="215C10C2" w14:textId="77777777" w:rsidR="005423E9" w:rsidRPr="001D517F" w:rsidRDefault="005423E9" w:rsidP="00152C0F">
      <w:pPr>
        <w:pStyle w:val="paragraph"/>
      </w:pPr>
      <w:r w:rsidRPr="001D517F">
        <w:tab/>
        <w:t>(b)</w:t>
      </w:r>
      <w:r w:rsidRPr="001D517F">
        <w:tab/>
        <w:t>the incorporated instrument is prepared or approved by an Australian or international standards body;</w:t>
      </w:r>
    </w:p>
    <w:p w14:paraId="63FBB233" w14:textId="77777777" w:rsidR="005423E9" w:rsidRPr="001D517F" w:rsidRDefault="005423E9" w:rsidP="00152C0F">
      <w:pPr>
        <w:pStyle w:val="subsection2"/>
      </w:pPr>
      <w:r w:rsidRPr="001D517F">
        <w:t>the safety standard may also make provision in relation to any matter dealt with in the incorporated instrument.</w:t>
      </w:r>
      <w:bookmarkEnd w:id="22"/>
    </w:p>
    <w:p w14:paraId="49F0328E" w14:textId="77777777" w:rsidR="005423E9" w:rsidRPr="001D517F" w:rsidRDefault="005423E9" w:rsidP="00152C0F">
      <w:pPr>
        <w:pStyle w:val="ItemHead"/>
      </w:pPr>
      <w:r w:rsidRPr="001D517F">
        <w:t xml:space="preserve">10  </w:t>
      </w:r>
      <w:r w:rsidR="00262F0A" w:rsidRPr="001D517F">
        <w:t>Section 1</w:t>
      </w:r>
      <w:r w:rsidRPr="001D517F">
        <w:t xml:space="preserve">05 of </w:t>
      </w:r>
      <w:r w:rsidR="00262F0A" w:rsidRPr="001D517F">
        <w:t>Schedule 2</w:t>
      </w:r>
    </w:p>
    <w:p w14:paraId="1ED05E3C" w14:textId="77777777" w:rsidR="005423E9" w:rsidRPr="001D517F" w:rsidRDefault="005423E9" w:rsidP="00152C0F">
      <w:pPr>
        <w:pStyle w:val="Item"/>
      </w:pPr>
      <w:r w:rsidRPr="001D517F">
        <w:t>Repeal the section.</w:t>
      </w:r>
    </w:p>
    <w:p w14:paraId="3ABBE5CF" w14:textId="77777777" w:rsidR="005423E9" w:rsidRPr="001D517F" w:rsidRDefault="005423E9" w:rsidP="00152C0F">
      <w:pPr>
        <w:pStyle w:val="ItemHead"/>
      </w:pPr>
      <w:r w:rsidRPr="001D517F">
        <w:t xml:space="preserve">11  </w:t>
      </w:r>
      <w:r w:rsidR="00262F0A" w:rsidRPr="001D517F">
        <w:t>Section 1</w:t>
      </w:r>
      <w:r w:rsidRPr="001D517F">
        <w:t xml:space="preserve">08 of </w:t>
      </w:r>
      <w:r w:rsidR="00262F0A" w:rsidRPr="001D517F">
        <w:t>Schedule 2</w:t>
      </w:r>
    </w:p>
    <w:p w14:paraId="556C1103" w14:textId="77777777" w:rsidR="005423E9" w:rsidRPr="001D517F" w:rsidRDefault="005423E9" w:rsidP="00152C0F">
      <w:pPr>
        <w:pStyle w:val="Item"/>
      </w:pPr>
      <w:r w:rsidRPr="001D517F">
        <w:t>Repeal the section, substitute:</w:t>
      </w:r>
    </w:p>
    <w:p w14:paraId="2DD57FA0" w14:textId="77777777" w:rsidR="005423E9" w:rsidRPr="001D517F" w:rsidRDefault="005423E9" w:rsidP="00152C0F">
      <w:pPr>
        <w:pStyle w:val="ActHead5"/>
      </w:pPr>
      <w:bookmarkStart w:id="23" w:name="_Hlk174361296"/>
      <w:bookmarkStart w:id="24" w:name="_Toc184888272"/>
      <w:r w:rsidRPr="00A15312">
        <w:rPr>
          <w:rStyle w:val="CharSectno"/>
        </w:rPr>
        <w:t>108</w:t>
      </w:r>
      <w:r w:rsidRPr="001D517F">
        <w:t xml:space="preserve">  Requirements relating to alternative methods of complying</w:t>
      </w:r>
      <w:bookmarkEnd w:id="24"/>
    </w:p>
    <w:p w14:paraId="728DE74D" w14:textId="77777777" w:rsidR="005423E9" w:rsidRPr="001D517F" w:rsidRDefault="005423E9" w:rsidP="00152C0F">
      <w:pPr>
        <w:pStyle w:val="subsection"/>
      </w:pPr>
      <w:r w:rsidRPr="001D517F">
        <w:tab/>
        <w:t>(1)</w:t>
      </w:r>
      <w:r w:rsidRPr="001D517F">
        <w:tab/>
        <w:t>This section applies if:</w:t>
      </w:r>
    </w:p>
    <w:p w14:paraId="48EF6E6E" w14:textId="77777777" w:rsidR="005423E9" w:rsidRPr="001D517F" w:rsidRDefault="005423E9" w:rsidP="00152C0F">
      <w:pPr>
        <w:pStyle w:val="paragraph"/>
      </w:pPr>
      <w:r w:rsidRPr="001D517F">
        <w:tab/>
        <w:t>(a)</w:t>
      </w:r>
      <w:r w:rsidRPr="001D517F">
        <w:tab/>
        <w:t>a safety standard for consumer goods, or product related services, of a particular kind is in force; and</w:t>
      </w:r>
    </w:p>
    <w:p w14:paraId="246C5CBC" w14:textId="77777777" w:rsidR="005423E9" w:rsidRPr="001D517F" w:rsidRDefault="005423E9" w:rsidP="00152C0F">
      <w:pPr>
        <w:pStyle w:val="paragraph"/>
      </w:pPr>
      <w:r w:rsidRPr="001D517F">
        <w:tab/>
        <w:t>(b)</w:t>
      </w:r>
      <w:r w:rsidRPr="001D517F">
        <w:tab/>
        <w:t>the standard specifies, as alternative methods of complying with the standard (or part of the standard), 2 or more sets of requirements.</w:t>
      </w:r>
    </w:p>
    <w:p w14:paraId="6C2E6BEA" w14:textId="77777777" w:rsidR="005423E9" w:rsidRPr="001D517F" w:rsidRDefault="005423E9" w:rsidP="00152C0F">
      <w:pPr>
        <w:pStyle w:val="subsection"/>
      </w:pPr>
      <w:r w:rsidRPr="001D517F">
        <w:tab/>
        <w:t>(2)</w:t>
      </w:r>
      <w:r w:rsidRPr="001D517F">
        <w:tab/>
        <w:t>If:</w:t>
      </w:r>
    </w:p>
    <w:p w14:paraId="4BEEE51F" w14:textId="77777777" w:rsidR="005423E9" w:rsidRPr="001D517F" w:rsidRDefault="005423E9" w:rsidP="00152C0F">
      <w:pPr>
        <w:pStyle w:val="paragraph"/>
      </w:pPr>
      <w:r w:rsidRPr="001D517F">
        <w:tab/>
        <w:t>(a)</w:t>
      </w:r>
      <w:r w:rsidRPr="001D517F">
        <w:tab/>
        <w:t>a person, in trade or commerce:</w:t>
      </w:r>
    </w:p>
    <w:p w14:paraId="26D8AC82" w14:textId="77777777" w:rsidR="005423E9" w:rsidRPr="001D517F" w:rsidRDefault="005423E9" w:rsidP="00152C0F">
      <w:pPr>
        <w:pStyle w:val="paragraphsub"/>
      </w:pPr>
      <w:r w:rsidRPr="001D517F">
        <w:tab/>
        <w:t>(i)</w:t>
      </w:r>
      <w:r w:rsidRPr="001D517F">
        <w:tab/>
        <w:t>has supplied, or offered for supply, goods or services of that kind; or</w:t>
      </w:r>
    </w:p>
    <w:p w14:paraId="615EAD53" w14:textId="77777777" w:rsidR="005423E9" w:rsidRPr="001D517F" w:rsidRDefault="005423E9" w:rsidP="00152C0F">
      <w:pPr>
        <w:pStyle w:val="paragraphsub"/>
      </w:pPr>
      <w:r w:rsidRPr="001D517F">
        <w:tab/>
        <w:t>(ii)</w:t>
      </w:r>
      <w:r w:rsidRPr="001D517F">
        <w:tab/>
        <w:t>is supplying, or offering for supply, goods or services of that kind; or</w:t>
      </w:r>
    </w:p>
    <w:p w14:paraId="082C288A" w14:textId="77777777" w:rsidR="005423E9" w:rsidRPr="001D517F" w:rsidRDefault="005423E9" w:rsidP="00152C0F">
      <w:pPr>
        <w:pStyle w:val="paragraphsub"/>
      </w:pPr>
      <w:r w:rsidRPr="001D517F">
        <w:tab/>
        <w:t>(iii)</w:t>
      </w:r>
      <w:r w:rsidRPr="001D517F">
        <w:tab/>
        <w:t>intends to supply, or offer for supply, goods or services of that kind; and</w:t>
      </w:r>
    </w:p>
    <w:p w14:paraId="211BF261" w14:textId="77777777" w:rsidR="005423E9" w:rsidRPr="001D517F" w:rsidRDefault="005423E9" w:rsidP="00152C0F">
      <w:pPr>
        <w:pStyle w:val="paragraph"/>
      </w:pPr>
      <w:r w:rsidRPr="001D517F">
        <w:tab/>
        <w:t>(b)</w:t>
      </w:r>
      <w:r w:rsidRPr="001D517F">
        <w:tab/>
        <w:t>the regulator gives to the person a written request to nominate which of those sets of requirements the person has complied with, is complying with, or intends to comply with;</w:t>
      </w:r>
    </w:p>
    <w:p w14:paraId="482E2836" w14:textId="77777777" w:rsidR="005423E9" w:rsidRPr="001D517F" w:rsidRDefault="005423E9" w:rsidP="00152C0F">
      <w:pPr>
        <w:pStyle w:val="subsection2"/>
      </w:pPr>
      <w:r w:rsidRPr="001D517F">
        <w:t>the person must, within the period specified in the request, give to the regulator a written notice nominating one of those sets of requirements.</w:t>
      </w:r>
    </w:p>
    <w:p w14:paraId="2DC98991" w14:textId="77777777" w:rsidR="005423E9" w:rsidRPr="001D517F" w:rsidRDefault="005423E9" w:rsidP="00152C0F">
      <w:pPr>
        <w:pStyle w:val="notetext"/>
      </w:pPr>
      <w:r w:rsidRPr="001D517F">
        <w:t>Note 1:</w:t>
      </w:r>
      <w:r w:rsidRPr="001D517F">
        <w:tab/>
        <w:t>A pecuniary penalty may be imposed for a contravention of this subsection.</w:t>
      </w:r>
    </w:p>
    <w:p w14:paraId="27AF535F" w14:textId="77777777" w:rsidR="005423E9" w:rsidRPr="001D517F" w:rsidRDefault="005423E9" w:rsidP="00152C0F">
      <w:pPr>
        <w:pStyle w:val="notetext"/>
      </w:pPr>
      <w:r w:rsidRPr="001D517F">
        <w:t>Note 2:</w:t>
      </w:r>
      <w:r w:rsidRPr="001D517F">
        <w:tab/>
        <w:t xml:space="preserve">A contravention of this subsection is an offence (see </w:t>
      </w:r>
      <w:r w:rsidR="00262F0A" w:rsidRPr="001D517F">
        <w:t>section 1</w:t>
      </w:r>
      <w:r w:rsidRPr="001D517F">
        <w:t>96).</w:t>
      </w:r>
    </w:p>
    <w:p w14:paraId="0C1E393C" w14:textId="77777777" w:rsidR="005423E9" w:rsidRPr="001D517F" w:rsidRDefault="005423E9" w:rsidP="00152C0F">
      <w:pPr>
        <w:pStyle w:val="subsection"/>
      </w:pPr>
      <w:r w:rsidRPr="001D517F">
        <w:tab/>
        <w:t>(3)</w:t>
      </w:r>
      <w:r w:rsidRPr="001D517F">
        <w:tab/>
        <w:t>A person contravenes this subsection if:</w:t>
      </w:r>
    </w:p>
    <w:p w14:paraId="7E865E7A" w14:textId="77777777" w:rsidR="005423E9" w:rsidRPr="001D517F" w:rsidRDefault="005423E9" w:rsidP="00152C0F">
      <w:pPr>
        <w:pStyle w:val="paragraph"/>
      </w:pPr>
      <w:r w:rsidRPr="001D517F">
        <w:tab/>
        <w:t>(a)</w:t>
      </w:r>
      <w:r w:rsidRPr="001D517F">
        <w:tab/>
        <w:t>the person, in trade or commerce:</w:t>
      </w:r>
    </w:p>
    <w:p w14:paraId="03E36A8E" w14:textId="77777777" w:rsidR="005423E9" w:rsidRPr="001D517F" w:rsidRDefault="005423E9" w:rsidP="00152C0F">
      <w:pPr>
        <w:pStyle w:val="paragraphsub"/>
      </w:pPr>
      <w:r w:rsidRPr="001D517F">
        <w:tab/>
        <w:t>(i)</w:t>
      </w:r>
      <w:r w:rsidRPr="001D517F">
        <w:tab/>
        <w:t>has supplied, or offered for supply, goods or services of that kind; or</w:t>
      </w:r>
    </w:p>
    <w:p w14:paraId="467B835B" w14:textId="77777777" w:rsidR="005423E9" w:rsidRPr="001D517F" w:rsidRDefault="005423E9" w:rsidP="00152C0F">
      <w:pPr>
        <w:pStyle w:val="paragraphsub"/>
      </w:pPr>
      <w:r w:rsidRPr="001D517F">
        <w:tab/>
        <w:t>(ii)</w:t>
      </w:r>
      <w:r w:rsidRPr="001D517F">
        <w:tab/>
        <w:t>is supplying, or offering for supply, goods or services of that kind; and</w:t>
      </w:r>
    </w:p>
    <w:p w14:paraId="0B6B15A0" w14:textId="77777777" w:rsidR="005423E9" w:rsidRPr="001D517F" w:rsidRDefault="005423E9" w:rsidP="00152C0F">
      <w:pPr>
        <w:pStyle w:val="paragraph"/>
      </w:pPr>
      <w:r w:rsidRPr="001D517F">
        <w:tab/>
        <w:t>(b)</w:t>
      </w:r>
      <w:r w:rsidRPr="001D517F">
        <w:tab/>
        <w:t xml:space="preserve">the person nominates a set of requirements, either by giving to the regulator a written notice under </w:t>
      </w:r>
      <w:r w:rsidR="00262F0A" w:rsidRPr="001D517F">
        <w:t>subsection (</w:t>
      </w:r>
      <w:r w:rsidRPr="001D517F">
        <w:t>2) of this section or by other means; and</w:t>
      </w:r>
    </w:p>
    <w:p w14:paraId="26294D41" w14:textId="77777777" w:rsidR="005423E9" w:rsidRPr="001D517F" w:rsidRDefault="005423E9" w:rsidP="00152C0F">
      <w:pPr>
        <w:pStyle w:val="paragraph"/>
      </w:pPr>
      <w:r w:rsidRPr="001D517F">
        <w:tab/>
        <w:t>(c)</w:t>
      </w:r>
      <w:r w:rsidRPr="001D517F">
        <w:tab/>
        <w:t>those goods or services did not or do not comply with that set of requirements.</w:t>
      </w:r>
    </w:p>
    <w:p w14:paraId="19857DF3" w14:textId="77777777" w:rsidR="005423E9" w:rsidRPr="001D517F" w:rsidRDefault="005423E9" w:rsidP="00152C0F">
      <w:pPr>
        <w:pStyle w:val="notetext"/>
      </w:pPr>
      <w:r w:rsidRPr="001D517F">
        <w:t>Note:</w:t>
      </w:r>
      <w:r w:rsidRPr="001D517F">
        <w:tab/>
        <w:t>A pecuniary penalty may be imposed for a contravention of this subsection.</w:t>
      </w:r>
    </w:p>
    <w:p w14:paraId="313D83C2" w14:textId="77777777" w:rsidR="005423E9" w:rsidRPr="001D517F" w:rsidRDefault="005423E9" w:rsidP="00152C0F">
      <w:pPr>
        <w:pStyle w:val="ActHead5"/>
      </w:pPr>
      <w:bookmarkStart w:id="25" w:name="_Toc184888273"/>
      <w:bookmarkEnd w:id="23"/>
      <w:r w:rsidRPr="00A15312">
        <w:rPr>
          <w:rStyle w:val="CharSectno"/>
        </w:rPr>
        <w:t>108A</w:t>
      </w:r>
      <w:r w:rsidRPr="001D517F">
        <w:t xml:space="preserve">  Requirement to give information or documents</w:t>
      </w:r>
      <w:bookmarkEnd w:id="25"/>
    </w:p>
    <w:p w14:paraId="1FF470F6" w14:textId="77777777" w:rsidR="005423E9" w:rsidRPr="001D517F" w:rsidRDefault="005423E9" w:rsidP="00152C0F">
      <w:pPr>
        <w:pStyle w:val="subsection"/>
      </w:pPr>
      <w:r w:rsidRPr="001D517F">
        <w:tab/>
      </w:r>
      <w:r w:rsidRPr="001D517F">
        <w:tab/>
        <w:t>If:</w:t>
      </w:r>
    </w:p>
    <w:p w14:paraId="7F9E4BC7" w14:textId="77777777" w:rsidR="005423E9" w:rsidRPr="001D517F" w:rsidRDefault="005423E9" w:rsidP="00152C0F">
      <w:pPr>
        <w:pStyle w:val="paragraph"/>
      </w:pPr>
      <w:r w:rsidRPr="001D517F">
        <w:tab/>
        <w:t>(a)</w:t>
      </w:r>
      <w:r w:rsidRPr="001D517F">
        <w:tab/>
        <w:t>a safety standard for consumer goods, or product related services, of a particular kind is in force; and</w:t>
      </w:r>
    </w:p>
    <w:p w14:paraId="76CE1D42" w14:textId="77777777" w:rsidR="005423E9" w:rsidRPr="001D517F" w:rsidRDefault="005423E9" w:rsidP="00152C0F">
      <w:pPr>
        <w:pStyle w:val="paragraph"/>
      </w:pPr>
      <w:r w:rsidRPr="001D517F">
        <w:tab/>
        <w:t>(b)</w:t>
      </w:r>
      <w:r w:rsidRPr="001D517F">
        <w:tab/>
        <w:t>a person, in trade or commerce:</w:t>
      </w:r>
    </w:p>
    <w:p w14:paraId="5C455281" w14:textId="77777777" w:rsidR="005423E9" w:rsidRPr="001D517F" w:rsidRDefault="005423E9" w:rsidP="00152C0F">
      <w:pPr>
        <w:pStyle w:val="paragraphsub"/>
      </w:pPr>
      <w:r w:rsidRPr="001D517F">
        <w:tab/>
        <w:t>(i)</w:t>
      </w:r>
      <w:r w:rsidRPr="001D517F">
        <w:tab/>
        <w:t>has supplied, or offered for supply, goods or services of that kind; or</w:t>
      </w:r>
    </w:p>
    <w:p w14:paraId="6A7AFD7F" w14:textId="77777777" w:rsidR="005423E9" w:rsidRPr="001D517F" w:rsidRDefault="005423E9" w:rsidP="00152C0F">
      <w:pPr>
        <w:pStyle w:val="paragraphsub"/>
      </w:pPr>
      <w:r w:rsidRPr="001D517F">
        <w:tab/>
        <w:t>(ii)</w:t>
      </w:r>
      <w:r w:rsidRPr="001D517F">
        <w:tab/>
        <w:t>is supplying, or offering for supply, goods or services of that kind; or</w:t>
      </w:r>
    </w:p>
    <w:p w14:paraId="0B5BDACA" w14:textId="77777777" w:rsidR="005423E9" w:rsidRPr="001D517F" w:rsidRDefault="005423E9" w:rsidP="00152C0F">
      <w:pPr>
        <w:pStyle w:val="paragraphsub"/>
      </w:pPr>
      <w:r w:rsidRPr="001D517F">
        <w:tab/>
        <w:t>(iii)</w:t>
      </w:r>
      <w:r w:rsidRPr="001D517F">
        <w:tab/>
        <w:t>intends to supply, or offer for supply, goods or services of that kind; and</w:t>
      </w:r>
    </w:p>
    <w:p w14:paraId="5DE52F34" w14:textId="77777777" w:rsidR="005423E9" w:rsidRPr="001D517F" w:rsidRDefault="005423E9" w:rsidP="00152C0F">
      <w:pPr>
        <w:pStyle w:val="paragraph"/>
      </w:pPr>
      <w:r w:rsidRPr="001D517F">
        <w:tab/>
        <w:t>(c)</w:t>
      </w:r>
      <w:r w:rsidRPr="001D517F">
        <w:tab/>
        <w:t>the regulator gives to the person a written request for information or documents to determine whether the person has complied, is complying, or will comply with the standard;</w:t>
      </w:r>
    </w:p>
    <w:p w14:paraId="3C50C418" w14:textId="77777777" w:rsidR="005423E9" w:rsidRPr="001D517F" w:rsidRDefault="005423E9" w:rsidP="00152C0F">
      <w:pPr>
        <w:pStyle w:val="subsection2"/>
      </w:pPr>
      <w:r w:rsidRPr="001D517F">
        <w:t>the person must, within the period specified in the request, give to the regulator the requested information or documents.</w:t>
      </w:r>
    </w:p>
    <w:p w14:paraId="017F9D45" w14:textId="77777777" w:rsidR="005423E9" w:rsidRPr="001D517F" w:rsidRDefault="005423E9" w:rsidP="00152C0F">
      <w:pPr>
        <w:pStyle w:val="notetext"/>
      </w:pPr>
      <w:r w:rsidRPr="001D517F">
        <w:t>Note:</w:t>
      </w:r>
      <w:r w:rsidRPr="001D517F">
        <w:tab/>
        <w:t>A pecuniary penalty may be imposed for a contravention of this subsection.</w:t>
      </w:r>
    </w:p>
    <w:p w14:paraId="17C11DA9" w14:textId="77777777" w:rsidR="005423E9" w:rsidRPr="001D517F" w:rsidRDefault="005423E9" w:rsidP="00152C0F">
      <w:pPr>
        <w:pStyle w:val="ItemHead"/>
      </w:pPr>
      <w:r w:rsidRPr="001D517F">
        <w:t>12  Sub</w:t>
      </w:r>
      <w:r w:rsidR="00262F0A" w:rsidRPr="001D517F">
        <w:t>section 1</w:t>
      </w:r>
      <w:r w:rsidRPr="001D517F">
        <w:t xml:space="preserve">34(1) of </w:t>
      </w:r>
      <w:r w:rsidR="00262F0A" w:rsidRPr="001D517F">
        <w:t>Schedule 2</w:t>
      </w:r>
    </w:p>
    <w:p w14:paraId="669B9BB5" w14:textId="77777777" w:rsidR="005423E9" w:rsidRPr="001D517F" w:rsidRDefault="005423E9" w:rsidP="00152C0F">
      <w:pPr>
        <w:pStyle w:val="Item"/>
      </w:pPr>
      <w:r w:rsidRPr="001D517F">
        <w:t>Omit “published on the internet”.</w:t>
      </w:r>
    </w:p>
    <w:p w14:paraId="7AB166C0" w14:textId="77777777" w:rsidR="005423E9" w:rsidRPr="001D517F" w:rsidRDefault="005423E9" w:rsidP="00152C0F">
      <w:pPr>
        <w:pStyle w:val="ItemHead"/>
      </w:pPr>
      <w:r w:rsidRPr="001D517F">
        <w:t>13  Sub</w:t>
      </w:r>
      <w:r w:rsidR="00262F0A" w:rsidRPr="001D517F">
        <w:t>section 1</w:t>
      </w:r>
      <w:r w:rsidRPr="001D517F">
        <w:t xml:space="preserve">34(1) of </w:t>
      </w:r>
      <w:r w:rsidR="00262F0A" w:rsidRPr="001D517F">
        <w:t>Schedule 2</w:t>
      </w:r>
    </w:p>
    <w:p w14:paraId="02BFBCCE" w14:textId="77777777" w:rsidR="005423E9" w:rsidRPr="001D517F" w:rsidRDefault="005423E9" w:rsidP="00152C0F">
      <w:pPr>
        <w:pStyle w:val="Item"/>
      </w:pPr>
      <w:r w:rsidRPr="001D517F">
        <w:t xml:space="preserve">After “an </w:t>
      </w:r>
      <w:r w:rsidRPr="001D517F">
        <w:rPr>
          <w:b/>
          <w:i/>
        </w:rPr>
        <w:t>information standard</w:t>
      </w:r>
      <w:r w:rsidRPr="001D517F">
        <w:t>”, insert “in relation to the provision of information”.</w:t>
      </w:r>
    </w:p>
    <w:p w14:paraId="10BAD16D" w14:textId="77777777" w:rsidR="005423E9" w:rsidRPr="001D517F" w:rsidRDefault="005423E9" w:rsidP="00152C0F">
      <w:pPr>
        <w:pStyle w:val="ItemHead"/>
      </w:pPr>
      <w:r w:rsidRPr="001D517F">
        <w:t xml:space="preserve">14  At the end of </w:t>
      </w:r>
      <w:r w:rsidR="00262F0A" w:rsidRPr="001D517F">
        <w:t>subsection 1</w:t>
      </w:r>
      <w:r w:rsidRPr="001D517F">
        <w:t xml:space="preserve">34(2) of </w:t>
      </w:r>
      <w:r w:rsidR="00262F0A" w:rsidRPr="001D517F">
        <w:t>Schedule 2</w:t>
      </w:r>
    </w:p>
    <w:p w14:paraId="6A010AFA" w14:textId="77777777" w:rsidR="005423E9" w:rsidRPr="001D517F" w:rsidRDefault="005423E9" w:rsidP="00152C0F">
      <w:pPr>
        <w:pStyle w:val="paragraph"/>
      </w:pPr>
      <w:bookmarkStart w:id="26" w:name="_Hlk181808648"/>
      <w:r w:rsidRPr="001D517F">
        <w:tab/>
        <w:t>; (g)</w:t>
      </w:r>
      <w:r w:rsidRPr="001D517F">
        <w:tab/>
        <w:t>require the making and keeping of records in relation to goods or services of that kind;</w:t>
      </w:r>
    </w:p>
    <w:p w14:paraId="450F1B7F" w14:textId="77777777" w:rsidR="005423E9" w:rsidRPr="001D517F" w:rsidRDefault="005423E9" w:rsidP="00152C0F">
      <w:pPr>
        <w:pStyle w:val="paragraph"/>
      </w:pPr>
      <w:bookmarkStart w:id="27" w:name="_Hlk181808597"/>
      <w:bookmarkEnd w:id="26"/>
      <w:r w:rsidRPr="001D517F">
        <w:tab/>
        <w:t>(h)</w:t>
      </w:r>
      <w:r w:rsidRPr="001D517F">
        <w:tab/>
        <w:t>require the provision of information to any person, including the regulator, in relation to goods or services of that kind.</w:t>
      </w:r>
    </w:p>
    <w:bookmarkEnd w:id="27"/>
    <w:p w14:paraId="6F9EA895" w14:textId="77777777" w:rsidR="005423E9" w:rsidRPr="001D517F" w:rsidRDefault="005423E9" w:rsidP="00152C0F">
      <w:pPr>
        <w:pStyle w:val="ItemHead"/>
      </w:pPr>
      <w:r w:rsidRPr="001D517F">
        <w:t xml:space="preserve">15  At the end of </w:t>
      </w:r>
      <w:r w:rsidR="00262F0A" w:rsidRPr="001D517F">
        <w:t>section 1</w:t>
      </w:r>
      <w:r w:rsidRPr="001D517F">
        <w:t xml:space="preserve">34 of </w:t>
      </w:r>
      <w:r w:rsidR="00262F0A" w:rsidRPr="001D517F">
        <w:t>Schedule 2</w:t>
      </w:r>
    </w:p>
    <w:p w14:paraId="34B646FA" w14:textId="77777777" w:rsidR="005423E9" w:rsidRPr="001D517F" w:rsidRDefault="005423E9" w:rsidP="00152C0F">
      <w:pPr>
        <w:pStyle w:val="Item"/>
      </w:pPr>
      <w:r w:rsidRPr="001D517F">
        <w:t>Add:</w:t>
      </w:r>
    </w:p>
    <w:p w14:paraId="4FCDBF8F" w14:textId="77777777" w:rsidR="005423E9" w:rsidRPr="001D517F" w:rsidRDefault="005423E9" w:rsidP="00152C0F">
      <w:pPr>
        <w:pStyle w:val="subsection"/>
      </w:pPr>
      <w:r w:rsidRPr="001D517F">
        <w:tab/>
        <w:t>(3)</w:t>
      </w:r>
      <w:r w:rsidRPr="001D517F">
        <w:tab/>
        <w:t>An information standard may also deal with matters incidental or related to the provision of information for goods or services of a particular kind.</w:t>
      </w:r>
    </w:p>
    <w:p w14:paraId="233AA984" w14:textId="77777777" w:rsidR="005423E9" w:rsidRPr="001D517F" w:rsidRDefault="005423E9" w:rsidP="00152C0F">
      <w:pPr>
        <w:pStyle w:val="subsection"/>
      </w:pPr>
      <w:r w:rsidRPr="001D517F">
        <w:tab/>
        <w:t>(4)</w:t>
      </w:r>
      <w:r w:rsidRPr="001D517F">
        <w:tab/>
        <w:t xml:space="preserve">An information standard may make provision in relation to a matter by applying, adopting or incorporating, with or without modification, any matter contained in any other instrument or writing (an </w:t>
      </w:r>
      <w:r w:rsidRPr="001D517F">
        <w:rPr>
          <w:b/>
          <w:bCs/>
          <w:i/>
          <w:iCs/>
        </w:rPr>
        <w:t>incorporated instrument</w:t>
      </w:r>
      <w:r w:rsidRPr="001D517F">
        <w:t>):</w:t>
      </w:r>
    </w:p>
    <w:p w14:paraId="1C85FB41" w14:textId="77777777" w:rsidR="005423E9" w:rsidRPr="001D517F" w:rsidRDefault="005423E9" w:rsidP="00152C0F">
      <w:pPr>
        <w:pStyle w:val="paragraph"/>
      </w:pPr>
      <w:r w:rsidRPr="001D517F">
        <w:tab/>
        <w:t>(a)</w:t>
      </w:r>
      <w:r w:rsidRPr="001D517F">
        <w:tab/>
        <w:t>as in force or existing at a particular time; or</w:t>
      </w:r>
    </w:p>
    <w:p w14:paraId="5B04BF55" w14:textId="77777777" w:rsidR="005423E9" w:rsidRPr="001D517F" w:rsidRDefault="005423E9" w:rsidP="00152C0F">
      <w:pPr>
        <w:pStyle w:val="paragraph"/>
      </w:pPr>
      <w:r w:rsidRPr="001D517F">
        <w:tab/>
        <w:t>(b)</w:t>
      </w:r>
      <w:r w:rsidRPr="001D517F">
        <w:tab/>
        <w:t>as in force or existing from time to time.</w:t>
      </w:r>
    </w:p>
    <w:p w14:paraId="602D0E19" w14:textId="77777777" w:rsidR="005423E9" w:rsidRPr="001D517F" w:rsidRDefault="005423E9" w:rsidP="00152C0F">
      <w:pPr>
        <w:pStyle w:val="subsection"/>
      </w:pPr>
      <w:r w:rsidRPr="001D517F">
        <w:tab/>
        <w:t>(5)</w:t>
      </w:r>
      <w:r w:rsidRPr="001D517F">
        <w:tab/>
        <w:t>If:</w:t>
      </w:r>
    </w:p>
    <w:p w14:paraId="3B82B657" w14:textId="77777777" w:rsidR="005423E9" w:rsidRPr="001D517F" w:rsidRDefault="005423E9" w:rsidP="00152C0F">
      <w:pPr>
        <w:pStyle w:val="paragraph"/>
      </w:pPr>
      <w:r w:rsidRPr="001D517F">
        <w:tab/>
        <w:t>(a)</w:t>
      </w:r>
      <w:r w:rsidRPr="001D517F">
        <w:tab/>
        <w:t xml:space="preserve">an information standard makes provision in relation to a matter in accordance with </w:t>
      </w:r>
      <w:r w:rsidR="00262F0A" w:rsidRPr="001D517F">
        <w:t>subsection (</w:t>
      </w:r>
      <w:r w:rsidRPr="001D517F">
        <w:t>4); and</w:t>
      </w:r>
    </w:p>
    <w:p w14:paraId="2099F89B" w14:textId="77777777" w:rsidR="005423E9" w:rsidRPr="001D517F" w:rsidRDefault="005423E9" w:rsidP="00152C0F">
      <w:pPr>
        <w:pStyle w:val="paragraph"/>
      </w:pPr>
      <w:r w:rsidRPr="001D517F">
        <w:tab/>
        <w:t>(b)</w:t>
      </w:r>
      <w:r w:rsidRPr="001D517F">
        <w:tab/>
        <w:t>the incorporated instrument is prepared or approved by an Australian or international standards body;</w:t>
      </w:r>
    </w:p>
    <w:p w14:paraId="4DE31359" w14:textId="77777777" w:rsidR="005423E9" w:rsidRPr="001D517F" w:rsidRDefault="005423E9" w:rsidP="00152C0F">
      <w:pPr>
        <w:pStyle w:val="subsection2"/>
      </w:pPr>
      <w:r w:rsidRPr="001D517F">
        <w:t>the information standard may also make provision in relation to any matter dealt with in the incorporated instrument.</w:t>
      </w:r>
    </w:p>
    <w:p w14:paraId="1B6A0A49" w14:textId="77777777" w:rsidR="005423E9" w:rsidRPr="001D517F" w:rsidRDefault="005423E9" w:rsidP="00152C0F">
      <w:pPr>
        <w:pStyle w:val="ItemHead"/>
      </w:pPr>
      <w:r w:rsidRPr="001D517F">
        <w:t xml:space="preserve">16  </w:t>
      </w:r>
      <w:r w:rsidR="00262F0A" w:rsidRPr="001D517F">
        <w:t>Section 1</w:t>
      </w:r>
      <w:r w:rsidRPr="001D517F">
        <w:t xml:space="preserve">35 of </w:t>
      </w:r>
      <w:r w:rsidR="00262F0A" w:rsidRPr="001D517F">
        <w:t>Schedule 2</w:t>
      </w:r>
    </w:p>
    <w:p w14:paraId="4E195AE6" w14:textId="77777777" w:rsidR="005423E9" w:rsidRPr="001D517F" w:rsidRDefault="005423E9" w:rsidP="00152C0F">
      <w:pPr>
        <w:pStyle w:val="Item"/>
      </w:pPr>
      <w:r w:rsidRPr="001D517F">
        <w:t>Repeal the section.</w:t>
      </w:r>
    </w:p>
    <w:p w14:paraId="3DC1153A" w14:textId="77777777" w:rsidR="005423E9" w:rsidRPr="001D517F" w:rsidRDefault="005423E9" w:rsidP="00152C0F">
      <w:pPr>
        <w:pStyle w:val="ItemHead"/>
      </w:pPr>
      <w:r w:rsidRPr="001D517F">
        <w:t xml:space="preserve">17  After </w:t>
      </w:r>
      <w:r w:rsidR="00262F0A" w:rsidRPr="001D517F">
        <w:t>subsection 1</w:t>
      </w:r>
      <w:r w:rsidRPr="001D517F">
        <w:t xml:space="preserve">36(1) of </w:t>
      </w:r>
      <w:r w:rsidR="00262F0A" w:rsidRPr="001D517F">
        <w:t>Schedule 2</w:t>
      </w:r>
    </w:p>
    <w:p w14:paraId="33582C96" w14:textId="77777777" w:rsidR="005423E9" w:rsidRPr="001D517F" w:rsidRDefault="005423E9" w:rsidP="00152C0F">
      <w:pPr>
        <w:pStyle w:val="Item"/>
      </w:pPr>
      <w:r w:rsidRPr="001D517F">
        <w:t>Insert:</w:t>
      </w:r>
    </w:p>
    <w:p w14:paraId="58B33A27" w14:textId="77777777" w:rsidR="005423E9" w:rsidRPr="001D517F" w:rsidRDefault="005423E9" w:rsidP="00152C0F">
      <w:pPr>
        <w:pStyle w:val="subsection"/>
      </w:pPr>
      <w:r w:rsidRPr="001D517F">
        <w:tab/>
        <w:t>(1A)</w:t>
      </w:r>
      <w:r w:rsidRPr="001D517F">
        <w:tab/>
      </w:r>
      <w:r w:rsidR="00262F0A" w:rsidRPr="001D517F">
        <w:t>Subsection (</w:t>
      </w:r>
      <w:r w:rsidRPr="001D517F">
        <w:t xml:space="preserve">1) does not apply if the person failed to comply only with a provision of the standard that is specified by the standard to be a provision to which </w:t>
      </w:r>
      <w:r w:rsidR="00262F0A" w:rsidRPr="001D517F">
        <w:t>section 1</w:t>
      </w:r>
      <w:r w:rsidRPr="001D517F">
        <w:t>37AA applies.</w:t>
      </w:r>
    </w:p>
    <w:p w14:paraId="6ECAC4D4" w14:textId="77777777" w:rsidR="005423E9" w:rsidRPr="001D517F" w:rsidRDefault="005423E9" w:rsidP="00152C0F">
      <w:pPr>
        <w:pStyle w:val="subsection"/>
      </w:pPr>
      <w:r w:rsidRPr="001D517F">
        <w:tab/>
        <w:t>(1B)</w:t>
      </w:r>
      <w:r w:rsidRPr="001D517F">
        <w:tab/>
        <w:t xml:space="preserve">A person who wishes to rely on </w:t>
      </w:r>
      <w:r w:rsidR="00262F0A" w:rsidRPr="001D517F">
        <w:t>subsection (</w:t>
      </w:r>
      <w:r w:rsidRPr="001D517F">
        <w:t>1A) in proceedings bears an evidential burden in relation to that matter.</w:t>
      </w:r>
    </w:p>
    <w:p w14:paraId="73EDF0F9" w14:textId="77777777" w:rsidR="005423E9" w:rsidRPr="001D517F" w:rsidRDefault="005423E9" w:rsidP="00152C0F">
      <w:pPr>
        <w:pStyle w:val="ItemHead"/>
      </w:pPr>
      <w:r w:rsidRPr="001D517F">
        <w:t xml:space="preserve">18  After </w:t>
      </w:r>
      <w:r w:rsidR="00262F0A" w:rsidRPr="001D517F">
        <w:t>subsection 1</w:t>
      </w:r>
      <w:r w:rsidRPr="001D517F">
        <w:t xml:space="preserve">37(1) of </w:t>
      </w:r>
      <w:r w:rsidR="00262F0A" w:rsidRPr="001D517F">
        <w:t>Schedule 2</w:t>
      </w:r>
    </w:p>
    <w:p w14:paraId="0A427952" w14:textId="77777777" w:rsidR="005423E9" w:rsidRPr="001D517F" w:rsidRDefault="005423E9" w:rsidP="00152C0F">
      <w:pPr>
        <w:pStyle w:val="Item"/>
      </w:pPr>
      <w:r w:rsidRPr="001D517F">
        <w:t>Insert:</w:t>
      </w:r>
    </w:p>
    <w:p w14:paraId="3334F1D1" w14:textId="77777777" w:rsidR="005423E9" w:rsidRPr="001D517F" w:rsidRDefault="005423E9" w:rsidP="00152C0F">
      <w:pPr>
        <w:pStyle w:val="subsection"/>
      </w:pPr>
      <w:r w:rsidRPr="001D517F">
        <w:tab/>
        <w:t>(1A)</w:t>
      </w:r>
      <w:r w:rsidRPr="001D517F">
        <w:tab/>
      </w:r>
      <w:r w:rsidR="00262F0A" w:rsidRPr="001D517F">
        <w:t>Subsection (</w:t>
      </w:r>
      <w:r w:rsidRPr="001D517F">
        <w:t xml:space="preserve">1) does not apply if the person failed to comply only with a provision of the standard that is specified by the standard to be a provision to which </w:t>
      </w:r>
      <w:r w:rsidR="00262F0A" w:rsidRPr="001D517F">
        <w:t>section 1</w:t>
      </w:r>
      <w:r w:rsidRPr="001D517F">
        <w:t>37AA applies.</w:t>
      </w:r>
    </w:p>
    <w:p w14:paraId="112DAD27" w14:textId="77777777" w:rsidR="005423E9" w:rsidRPr="001D517F" w:rsidRDefault="005423E9" w:rsidP="00152C0F">
      <w:pPr>
        <w:pStyle w:val="subsection"/>
      </w:pPr>
      <w:r w:rsidRPr="001D517F">
        <w:tab/>
        <w:t>(1B)</w:t>
      </w:r>
      <w:r w:rsidRPr="001D517F">
        <w:tab/>
        <w:t xml:space="preserve">A person who wishes to rely on </w:t>
      </w:r>
      <w:r w:rsidR="00262F0A" w:rsidRPr="001D517F">
        <w:t>subsection (</w:t>
      </w:r>
      <w:r w:rsidRPr="001D517F">
        <w:t>1A) in proceedings bears an evidential burden in relation to that matter.</w:t>
      </w:r>
    </w:p>
    <w:p w14:paraId="20587CEC" w14:textId="77777777" w:rsidR="005423E9" w:rsidRPr="001D517F" w:rsidRDefault="005423E9" w:rsidP="00152C0F">
      <w:pPr>
        <w:pStyle w:val="ItemHead"/>
      </w:pPr>
      <w:r w:rsidRPr="001D517F">
        <w:t xml:space="preserve">19  After </w:t>
      </w:r>
      <w:r w:rsidR="00262F0A" w:rsidRPr="001D517F">
        <w:t>section 1</w:t>
      </w:r>
      <w:r w:rsidRPr="001D517F">
        <w:t xml:space="preserve">37 of </w:t>
      </w:r>
      <w:r w:rsidR="00262F0A" w:rsidRPr="001D517F">
        <w:t>Schedule 2</w:t>
      </w:r>
    </w:p>
    <w:p w14:paraId="7DBD35B5" w14:textId="77777777" w:rsidR="005423E9" w:rsidRPr="001D517F" w:rsidRDefault="005423E9" w:rsidP="00152C0F">
      <w:pPr>
        <w:pStyle w:val="Item"/>
      </w:pPr>
      <w:r w:rsidRPr="001D517F">
        <w:t>Insert:</w:t>
      </w:r>
    </w:p>
    <w:p w14:paraId="5EC267FF" w14:textId="77777777" w:rsidR="005423E9" w:rsidRPr="001D517F" w:rsidRDefault="005423E9" w:rsidP="00152C0F">
      <w:pPr>
        <w:pStyle w:val="ActHead5"/>
      </w:pPr>
      <w:bookmarkStart w:id="28" w:name="_Hlk181804924"/>
      <w:bookmarkStart w:id="29" w:name="_Toc184888274"/>
      <w:r w:rsidRPr="00A15312">
        <w:rPr>
          <w:rStyle w:val="CharSectno"/>
        </w:rPr>
        <w:t>137AA</w:t>
      </w:r>
      <w:r w:rsidRPr="001D517F">
        <w:t xml:space="preserve">  Other non</w:t>
      </w:r>
      <w:r w:rsidR="00152C0F">
        <w:noBreakHyphen/>
      </w:r>
      <w:r w:rsidRPr="001D517F">
        <w:t>compliance with information standards</w:t>
      </w:r>
      <w:bookmarkEnd w:id="29"/>
    </w:p>
    <w:p w14:paraId="631C9C98" w14:textId="77777777" w:rsidR="005423E9" w:rsidRPr="001D517F" w:rsidRDefault="005423E9" w:rsidP="00152C0F">
      <w:pPr>
        <w:pStyle w:val="subsection"/>
      </w:pPr>
      <w:r w:rsidRPr="001D517F">
        <w:tab/>
        <w:t>(1)</w:t>
      </w:r>
      <w:r w:rsidRPr="001D517F">
        <w:tab/>
        <w:t>A person contravenes this section if:</w:t>
      </w:r>
    </w:p>
    <w:p w14:paraId="5BB04FD4" w14:textId="77777777" w:rsidR="005423E9" w:rsidRPr="001D517F" w:rsidRDefault="005423E9" w:rsidP="00152C0F">
      <w:pPr>
        <w:pStyle w:val="paragraph"/>
      </w:pPr>
      <w:r w:rsidRPr="001D517F">
        <w:tab/>
        <w:t>(a)</w:t>
      </w:r>
      <w:r w:rsidRPr="001D517F">
        <w:tab/>
        <w:t>an information standard for goods or services of a particular kind is in force; and</w:t>
      </w:r>
    </w:p>
    <w:p w14:paraId="15F36557" w14:textId="77777777" w:rsidR="005423E9" w:rsidRPr="001D517F" w:rsidRDefault="005423E9" w:rsidP="00152C0F">
      <w:pPr>
        <w:pStyle w:val="paragraph"/>
      </w:pPr>
      <w:r w:rsidRPr="001D517F">
        <w:tab/>
        <w:t>(b)</w:t>
      </w:r>
      <w:r w:rsidRPr="001D517F">
        <w:tab/>
        <w:t>the person, in trade or commerce, has supplied, or offered for supply, goods or services of that kind; and</w:t>
      </w:r>
    </w:p>
    <w:p w14:paraId="35836E9B" w14:textId="77777777" w:rsidR="005423E9" w:rsidRPr="001D517F" w:rsidRDefault="005423E9" w:rsidP="00152C0F">
      <w:pPr>
        <w:pStyle w:val="paragraph"/>
      </w:pPr>
      <w:r w:rsidRPr="001D517F">
        <w:tab/>
        <w:t>(c)</w:t>
      </w:r>
      <w:r w:rsidRPr="001D517F">
        <w:tab/>
        <w:t>the person is subject to a requirement under a provision of the standard that is specified by the standard to be a provision to which this section applies; and</w:t>
      </w:r>
    </w:p>
    <w:p w14:paraId="0E370C66" w14:textId="77777777" w:rsidR="005423E9" w:rsidRPr="001D517F" w:rsidRDefault="005423E9" w:rsidP="00152C0F">
      <w:pPr>
        <w:pStyle w:val="paragraph"/>
      </w:pPr>
      <w:r w:rsidRPr="001D517F">
        <w:tab/>
        <w:t>(d)</w:t>
      </w:r>
      <w:r w:rsidRPr="001D517F">
        <w:tab/>
        <w:t>the person engages in conduct in relation to the supply or offer; and</w:t>
      </w:r>
    </w:p>
    <w:p w14:paraId="70E36198" w14:textId="77777777" w:rsidR="005423E9" w:rsidRPr="001D517F" w:rsidRDefault="005423E9" w:rsidP="00152C0F">
      <w:pPr>
        <w:pStyle w:val="paragraph"/>
      </w:pPr>
      <w:r w:rsidRPr="001D517F">
        <w:tab/>
        <w:t>(e)</w:t>
      </w:r>
      <w:r w:rsidRPr="001D517F">
        <w:tab/>
        <w:t>the conduct contravenes the requirement.</w:t>
      </w:r>
    </w:p>
    <w:p w14:paraId="5E23FB6E" w14:textId="77777777" w:rsidR="005423E9" w:rsidRPr="001D517F" w:rsidRDefault="005423E9" w:rsidP="00152C0F">
      <w:pPr>
        <w:pStyle w:val="notetext"/>
      </w:pPr>
      <w:r w:rsidRPr="001D517F">
        <w:t>Note:</w:t>
      </w:r>
      <w:r w:rsidRPr="001D517F">
        <w:tab/>
        <w:t>A pecuniary penalty may be imposed for a contravention of this subsection.</w:t>
      </w:r>
    </w:p>
    <w:p w14:paraId="25718481" w14:textId="77777777" w:rsidR="005423E9" w:rsidRPr="001D517F" w:rsidRDefault="005423E9" w:rsidP="00152C0F">
      <w:pPr>
        <w:pStyle w:val="subsection"/>
      </w:pPr>
      <w:r w:rsidRPr="001D517F">
        <w:tab/>
        <w:t>(2)</w:t>
      </w:r>
      <w:r w:rsidRPr="001D517F">
        <w:tab/>
      </w:r>
      <w:r w:rsidR="00262F0A" w:rsidRPr="001D517F">
        <w:t>Subsection (</w:t>
      </w:r>
      <w:r w:rsidRPr="001D517F">
        <w:t>1) does not apply to goods that are intended to be used outside Australia.</w:t>
      </w:r>
    </w:p>
    <w:p w14:paraId="0EF4FEAA" w14:textId="77777777" w:rsidR="005423E9" w:rsidRPr="001D517F" w:rsidRDefault="005423E9" w:rsidP="00152C0F">
      <w:pPr>
        <w:pStyle w:val="subsection"/>
      </w:pPr>
      <w:r w:rsidRPr="001D517F">
        <w:tab/>
        <w:t>(3)</w:t>
      </w:r>
      <w:r w:rsidRPr="001D517F">
        <w:tab/>
      </w:r>
      <w:r w:rsidR="00262F0A" w:rsidRPr="001D517F">
        <w:t>Subsections 1</w:t>
      </w:r>
      <w:r w:rsidRPr="001D517F">
        <w:t xml:space="preserve">36(6) and (7) apply for the purposes of this section in the same way those sections apply for the purposes of </w:t>
      </w:r>
      <w:r w:rsidR="00262F0A" w:rsidRPr="001D517F">
        <w:t>section 1</w:t>
      </w:r>
      <w:r w:rsidRPr="001D517F">
        <w:t>36.</w:t>
      </w:r>
    </w:p>
    <w:bookmarkEnd w:id="28"/>
    <w:p w14:paraId="67DA8344" w14:textId="77777777" w:rsidR="005423E9" w:rsidRPr="001D517F" w:rsidRDefault="005423E9" w:rsidP="00152C0F">
      <w:pPr>
        <w:pStyle w:val="ItemHead"/>
      </w:pPr>
      <w:r w:rsidRPr="001D517F">
        <w:t>20  At the end of Part 3</w:t>
      </w:r>
      <w:r w:rsidR="00152C0F">
        <w:noBreakHyphen/>
      </w:r>
      <w:r w:rsidRPr="001D517F">
        <w:t xml:space="preserve">4 of </w:t>
      </w:r>
      <w:r w:rsidR="00262F0A" w:rsidRPr="001D517F">
        <w:t>Schedule 2</w:t>
      </w:r>
    </w:p>
    <w:p w14:paraId="44EABACB" w14:textId="77777777" w:rsidR="005423E9" w:rsidRPr="001D517F" w:rsidRDefault="005423E9" w:rsidP="00152C0F">
      <w:pPr>
        <w:pStyle w:val="Item"/>
      </w:pPr>
      <w:r w:rsidRPr="001D517F">
        <w:t>Add:</w:t>
      </w:r>
    </w:p>
    <w:p w14:paraId="7C0CD795" w14:textId="77777777" w:rsidR="005423E9" w:rsidRPr="001D517F" w:rsidRDefault="005423E9" w:rsidP="00152C0F">
      <w:pPr>
        <w:pStyle w:val="ActHead5"/>
      </w:pPr>
      <w:bookmarkStart w:id="30" w:name="_Toc184888275"/>
      <w:r w:rsidRPr="00A15312">
        <w:rPr>
          <w:rStyle w:val="CharSectno"/>
        </w:rPr>
        <w:t>137B</w:t>
      </w:r>
      <w:r w:rsidRPr="001D517F">
        <w:t xml:space="preserve">  Requirement to give information or documents</w:t>
      </w:r>
      <w:bookmarkEnd w:id="30"/>
    </w:p>
    <w:p w14:paraId="13B7672B" w14:textId="77777777" w:rsidR="005423E9" w:rsidRPr="001D517F" w:rsidRDefault="005423E9" w:rsidP="00152C0F">
      <w:pPr>
        <w:pStyle w:val="subsection"/>
      </w:pPr>
      <w:r w:rsidRPr="001D517F">
        <w:tab/>
      </w:r>
      <w:r w:rsidRPr="001D517F">
        <w:tab/>
        <w:t>If:</w:t>
      </w:r>
    </w:p>
    <w:p w14:paraId="7DFD8FCB" w14:textId="77777777" w:rsidR="005423E9" w:rsidRPr="001D517F" w:rsidRDefault="005423E9" w:rsidP="00152C0F">
      <w:pPr>
        <w:pStyle w:val="paragraph"/>
      </w:pPr>
      <w:r w:rsidRPr="001D517F">
        <w:tab/>
        <w:t>(a)</w:t>
      </w:r>
      <w:r w:rsidRPr="001D517F">
        <w:tab/>
        <w:t>an information standard for goods or services of a particular kind is in force; and</w:t>
      </w:r>
    </w:p>
    <w:p w14:paraId="03826146" w14:textId="77777777" w:rsidR="005423E9" w:rsidRPr="001D517F" w:rsidRDefault="005423E9" w:rsidP="00152C0F">
      <w:pPr>
        <w:pStyle w:val="paragraph"/>
      </w:pPr>
      <w:r w:rsidRPr="001D517F">
        <w:tab/>
        <w:t>(b)</w:t>
      </w:r>
      <w:r w:rsidRPr="001D517F">
        <w:tab/>
        <w:t>a person, in trade or commerce:</w:t>
      </w:r>
    </w:p>
    <w:p w14:paraId="3BDA7E17" w14:textId="77777777" w:rsidR="005423E9" w:rsidRPr="001D517F" w:rsidRDefault="005423E9" w:rsidP="00152C0F">
      <w:pPr>
        <w:pStyle w:val="paragraphsub"/>
      </w:pPr>
      <w:r w:rsidRPr="001D517F">
        <w:tab/>
        <w:t>(i)</w:t>
      </w:r>
      <w:r w:rsidRPr="001D517F">
        <w:tab/>
        <w:t>has supplied, or offered for supply, goods or services of that kind; or</w:t>
      </w:r>
    </w:p>
    <w:p w14:paraId="48241305" w14:textId="77777777" w:rsidR="005423E9" w:rsidRPr="001D517F" w:rsidRDefault="005423E9" w:rsidP="00152C0F">
      <w:pPr>
        <w:pStyle w:val="paragraphsub"/>
      </w:pPr>
      <w:r w:rsidRPr="001D517F">
        <w:tab/>
        <w:t>(ii)</w:t>
      </w:r>
      <w:r w:rsidRPr="001D517F">
        <w:tab/>
        <w:t>is supplying, or offering for supply, goods or services of that kind; or</w:t>
      </w:r>
    </w:p>
    <w:p w14:paraId="2AFA786A" w14:textId="77777777" w:rsidR="005423E9" w:rsidRPr="001D517F" w:rsidRDefault="005423E9" w:rsidP="00152C0F">
      <w:pPr>
        <w:pStyle w:val="paragraphsub"/>
      </w:pPr>
      <w:r w:rsidRPr="001D517F">
        <w:tab/>
        <w:t>(iii)</w:t>
      </w:r>
      <w:r w:rsidRPr="001D517F">
        <w:tab/>
        <w:t>intends to supply, or offer for supply, goods or services of that kind; and</w:t>
      </w:r>
    </w:p>
    <w:p w14:paraId="65EA4CED" w14:textId="77777777" w:rsidR="005423E9" w:rsidRPr="001D517F" w:rsidRDefault="005423E9" w:rsidP="00152C0F">
      <w:pPr>
        <w:pStyle w:val="paragraph"/>
      </w:pPr>
      <w:r w:rsidRPr="001D517F">
        <w:tab/>
        <w:t>(c)</w:t>
      </w:r>
      <w:r w:rsidRPr="001D517F">
        <w:tab/>
        <w:t>the regulator gives to the person a written request for information or documents to determine whether the person has complied, is complying, or will comply with the standard;</w:t>
      </w:r>
    </w:p>
    <w:p w14:paraId="689618CE" w14:textId="77777777" w:rsidR="005423E9" w:rsidRPr="001D517F" w:rsidRDefault="005423E9" w:rsidP="00152C0F">
      <w:pPr>
        <w:pStyle w:val="subsection2"/>
      </w:pPr>
      <w:r w:rsidRPr="001D517F">
        <w:t>the person must, within the period specified in the request, give to the regulator the requested information or documents.</w:t>
      </w:r>
    </w:p>
    <w:p w14:paraId="61428893" w14:textId="77777777" w:rsidR="005423E9" w:rsidRPr="001D517F" w:rsidRDefault="005423E9" w:rsidP="00152C0F">
      <w:pPr>
        <w:pStyle w:val="notetext"/>
      </w:pPr>
      <w:r w:rsidRPr="001D517F">
        <w:t>Note:</w:t>
      </w:r>
      <w:r w:rsidRPr="001D517F">
        <w:tab/>
        <w:t>A pecuniary penalty may be imposed for a contravention of this subsection.</w:t>
      </w:r>
    </w:p>
    <w:p w14:paraId="507E6544" w14:textId="77777777" w:rsidR="005423E9" w:rsidRPr="001D517F" w:rsidRDefault="005423E9" w:rsidP="00152C0F">
      <w:pPr>
        <w:pStyle w:val="ItemHead"/>
      </w:pPr>
      <w:r w:rsidRPr="001D517F">
        <w:t>21  Sub</w:t>
      </w:r>
      <w:r w:rsidR="00262F0A" w:rsidRPr="001D517F">
        <w:t>section 1</w:t>
      </w:r>
      <w:r w:rsidRPr="001D517F">
        <w:t xml:space="preserve">96(1) of </w:t>
      </w:r>
      <w:r w:rsidR="00262F0A" w:rsidRPr="001D517F">
        <w:t>Schedule 2</w:t>
      </w:r>
    </w:p>
    <w:p w14:paraId="1BFFB0D4" w14:textId="77777777" w:rsidR="005423E9" w:rsidRPr="001D517F" w:rsidRDefault="005423E9" w:rsidP="00152C0F">
      <w:pPr>
        <w:pStyle w:val="Item"/>
      </w:pPr>
      <w:r w:rsidRPr="001D517F">
        <w:t>Omit “</w:t>
      </w:r>
      <w:r w:rsidR="00262F0A" w:rsidRPr="001D517F">
        <w:t>section 1</w:t>
      </w:r>
      <w:r w:rsidRPr="001D517F">
        <w:t>08”, substitute “</w:t>
      </w:r>
      <w:r w:rsidR="00262F0A" w:rsidRPr="001D517F">
        <w:t>subsection 1</w:t>
      </w:r>
      <w:r w:rsidRPr="001D517F">
        <w:t>08(2)”.</w:t>
      </w:r>
    </w:p>
    <w:p w14:paraId="3B2F87AA" w14:textId="77777777" w:rsidR="005423E9" w:rsidRPr="001D517F" w:rsidRDefault="005423E9" w:rsidP="00152C0F">
      <w:pPr>
        <w:pStyle w:val="ItemHead"/>
      </w:pPr>
      <w:bookmarkStart w:id="31" w:name="_Hlk181624576"/>
      <w:r w:rsidRPr="001D517F">
        <w:t xml:space="preserve">22  </w:t>
      </w:r>
      <w:r w:rsidR="00262F0A" w:rsidRPr="001D517F">
        <w:t>Subparagraph 2</w:t>
      </w:r>
      <w:r w:rsidRPr="001D517F">
        <w:t xml:space="preserve">24(1)(a)(viii) of </w:t>
      </w:r>
      <w:r w:rsidR="00262F0A" w:rsidRPr="001D517F">
        <w:t>Schedule 2</w:t>
      </w:r>
    </w:p>
    <w:p w14:paraId="297445A6" w14:textId="77777777" w:rsidR="005423E9" w:rsidRPr="001D517F" w:rsidRDefault="005423E9" w:rsidP="00152C0F">
      <w:pPr>
        <w:pStyle w:val="Item"/>
      </w:pPr>
      <w:r w:rsidRPr="001D517F">
        <w:t>After “107(1) or (2)”, insert “, 108(2) or (3), 108A”.</w:t>
      </w:r>
    </w:p>
    <w:p w14:paraId="6CA0B051" w14:textId="77777777" w:rsidR="005423E9" w:rsidRPr="001D517F" w:rsidRDefault="005423E9" w:rsidP="00152C0F">
      <w:pPr>
        <w:pStyle w:val="ItemHead"/>
      </w:pPr>
      <w:r w:rsidRPr="001D517F">
        <w:t xml:space="preserve">23  </w:t>
      </w:r>
      <w:r w:rsidR="00262F0A" w:rsidRPr="001D517F">
        <w:t>Subparagraph 2</w:t>
      </w:r>
      <w:r w:rsidRPr="001D517F">
        <w:t xml:space="preserve">24(1)(a)(ix) of </w:t>
      </w:r>
      <w:r w:rsidR="00262F0A" w:rsidRPr="001D517F">
        <w:t>Schedule 2</w:t>
      </w:r>
    </w:p>
    <w:p w14:paraId="6B990A69" w14:textId="77777777" w:rsidR="005423E9" w:rsidRPr="001D517F" w:rsidRDefault="005423E9" w:rsidP="00152C0F">
      <w:pPr>
        <w:pStyle w:val="Item"/>
      </w:pPr>
      <w:r w:rsidRPr="001D517F">
        <w:t>Omit “or 137(1) or (2)”, substitute “, 137(1) or (2), 137AA or 137B”.</w:t>
      </w:r>
    </w:p>
    <w:p w14:paraId="69314911" w14:textId="77777777" w:rsidR="005423E9" w:rsidRPr="001D517F" w:rsidRDefault="005423E9" w:rsidP="00152C0F">
      <w:pPr>
        <w:pStyle w:val="ItemHead"/>
      </w:pPr>
      <w:r w:rsidRPr="001D517F">
        <w:t xml:space="preserve">24  Subsection 224(3) of </w:t>
      </w:r>
      <w:r w:rsidR="00262F0A" w:rsidRPr="001D517F">
        <w:t>Schedule 2</w:t>
      </w:r>
      <w:r w:rsidRPr="001D517F">
        <w:t xml:space="preserve"> (after table item 10)</w:t>
      </w:r>
    </w:p>
    <w:p w14:paraId="22CCF2CF" w14:textId="77777777" w:rsidR="005423E9" w:rsidRPr="001D517F" w:rsidRDefault="005423E9" w:rsidP="00152C0F">
      <w:pPr>
        <w:pStyle w:val="Item"/>
      </w:pPr>
      <w:r w:rsidRPr="001D517F">
        <w:t>Insert:</w:t>
      </w:r>
    </w:p>
    <w:p w14:paraId="2B8BBCAD" w14:textId="77777777" w:rsidR="005423E9" w:rsidRPr="001D517F" w:rsidRDefault="005423E9" w:rsidP="00152C0F">
      <w:pPr>
        <w:pStyle w:val="Tabletext"/>
      </w:pPr>
    </w:p>
    <w:tbl>
      <w:tblPr>
        <w:tblW w:w="7087" w:type="dxa"/>
        <w:tblLayout w:type="fixed"/>
        <w:tblLook w:val="0000" w:firstRow="0" w:lastRow="0" w:firstColumn="0" w:lastColumn="0" w:noHBand="0" w:noVBand="0"/>
      </w:tblPr>
      <w:tblGrid>
        <w:gridCol w:w="709"/>
        <w:gridCol w:w="2693"/>
        <w:gridCol w:w="1984"/>
        <w:gridCol w:w="1701"/>
      </w:tblGrid>
      <w:tr w:rsidR="005423E9" w:rsidRPr="001D517F" w14:paraId="5A4B4BD9" w14:textId="77777777" w:rsidTr="00262F0A">
        <w:tc>
          <w:tcPr>
            <w:tcW w:w="709" w:type="dxa"/>
            <w:tcBorders>
              <w:bottom w:val="single" w:sz="4" w:space="0" w:color="auto"/>
            </w:tcBorders>
            <w:shd w:val="clear" w:color="auto" w:fill="auto"/>
          </w:tcPr>
          <w:p w14:paraId="2AD20BA5" w14:textId="77777777" w:rsidR="005423E9" w:rsidRPr="001D517F" w:rsidRDefault="005423E9" w:rsidP="00152C0F">
            <w:pPr>
              <w:pStyle w:val="Tabletext"/>
            </w:pPr>
            <w:r w:rsidRPr="001D517F">
              <w:t>10A</w:t>
            </w:r>
          </w:p>
        </w:tc>
        <w:tc>
          <w:tcPr>
            <w:tcW w:w="2693" w:type="dxa"/>
            <w:tcBorders>
              <w:bottom w:val="single" w:sz="4" w:space="0" w:color="auto"/>
            </w:tcBorders>
            <w:shd w:val="clear" w:color="auto" w:fill="auto"/>
          </w:tcPr>
          <w:p w14:paraId="571587C4" w14:textId="77777777" w:rsidR="005423E9" w:rsidRPr="001D517F" w:rsidRDefault="00262F0A" w:rsidP="00152C0F">
            <w:pPr>
              <w:pStyle w:val="Tabletext"/>
            </w:pPr>
            <w:r w:rsidRPr="001D517F">
              <w:t>section 1</w:t>
            </w:r>
            <w:r w:rsidR="005423E9" w:rsidRPr="001D517F">
              <w:t>08(2)</w:t>
            </w:r>
          </w:p>
        </w:tc>
        <w:tc>
          <w:tcPr>
            <w:tcW w:w="1984" w:type="dxa"/>
            <w:tcBorders>
              <w:bottom w:val="single" w:sz="4" w:space="0" w:color="auto"/>
            </w:tcBorders>
            <w:shd w:val="clear" w:color="auto" w:fill="auto"/>
          </w:tcPr>
          <w:p w14:paraId="70064756" w14:textId="77777777" w:rsidR="005423E9" w:rsidRPr="001D517F" w:rsidRDefault="005423E9" w:rsidP="00152C0F">
            <w:pPr>
              <w:pStyle w:val="Tabletext"/>
            </w:pPr>
            <w:r w:rsidRPr="001D517F">
              <w:t>$50,000</w:t>
            </w:r>
          </w:p>
        </w:tc>
        <w:tc>
          <w:tcPr>
            <w:tcW w:w="1701" w:type="dxa"/>
            <w:tcBorders>
              <w:bottom w:val="single" w:sz="4" w:space="0" w:color="auto"/>
            </w:tcBorders>
            <w:shd w:val="clear" w:color="auto" w:fill="auto"/>
          </w:tcPr>
          <w:p w14:paraId="3BEBA5FA" w14:textId="77777777" w:rsidR="005423E9" w:rsidRPr="001D517F" w:rsidRDefault="005423E9" w:rsidP="00152C0F">
            <w:pPr>
              <w:pStyle w:val="Tabletext"/>
            </w:pPr>
            <w:r w:rsidRPr="001D517F">
              <w:t>$10,000</w:t>
            </w:r>
          </w:p>
        </w:tc>
      </w:tr>
      <w:tr w:rsidR="005423E9" w:rsidRPr="001D517F" w14:paraId="397165BD" w14:textId="77777777" w:rsidTr="00262F0A">
        <w:tc>
          <w:tcPr>
            <w:tcW w:w="709" w:type="dxa"/>
            <w:tcBorders>
              <w:top w:val="single" w:sz="4" w:space="0" w:color="auto"/>
              <w:bottom w:val="single" w:sz="4" w:space="0" w:color="auto"/>
            </w:tcBorders>
            <w:shd w:val="clear" w:color="auto" w:fill="auto"/>
          </w:tcPr>
          <w:p w14:paraId="15A9B07B" w14:textId="77777777" w:rsidR="005423E9" w:rsidRPr="001D517F" w:rsidRDefault="005423E9" w:rsidP="00152C0F">
            <w:pPr>
              <w:pStyle w:val="Tabletext"/>
            </w:pPr>
            <w:r w:rsidRPr="001D517F">
              <w:t>10B</w:t>
            </w:r>
          </w:p>
        </w:tc>
        <w:tc>
          <w:tcPr>
            <w:tcW w:w="2693" w:type="dxa"/>
            <w:tcBorders>
              <w:top w:val="single" w:sz="4" w:space="0" w:color="auto"/>
              <w:bottom w:val="single" w:sz="4" w:space="0" w:color="auto"/>
            </w:tcBorders>
            <w:shd w:val="clear" w:color="auto" w:fill="auto"/>
          </w:tcPr>
          <w:p w14:paraId="29E420B2" w14:textId="77777777" w:rsidR="005423E9" w:rsidRPr="001D517F" w:rsidRDefault="00262F0A" w:rsidP="00152C0F">
            <w:pPr>
              <w:pStyle w:val="Tabletext"/>
            </w:pPr>
            <w:r w:rsidRPr="001D517F">
              <w:t>section 1</w:t>
            </w:r>
            <w:r w:rsidR="005423E9" w:rsidRPr="001D517F">
              <w:t>08(3)</w:t>
            </w:r>
          </w:p>
        </w:tc>
        <w:tc>
          <w:tcPr>
            <w:tcW w:w="1984" w:type="dxa"/>
            <w:tcBorders>
              <w:top w:val="single" w:sz="4" w:space="0" w:color="auto"/>
              <w:bottom w:val="single" w:sz="4" w:space="0" w:color="auto"/>
            </w:tcBorders>
            <w:shd w:val="clear" w:color="auto" w:fill="auto"/>
          </w:tcPr>
          <w:p w14:paraId="2FC7277A" w14:textId="77777777" w:rsidR="005423E9" w:rsidRPr="001D517F" w:rsidRDefault="005423E9" w:rsidP="00152C0F">
            <w:pPr>
              <w:pStyle w:val="Tabletext"/>
            </w:pPr>
            <w:r w:rsidRPr="001D517F">
              <w:t>$250,000</w:t>
            </w:r>
          </w:p>
        </w:tc>
        <w:tc>
          <w:tcPr>
            <w:tcW w:w="1701" w:type="dxa"/>
            <w:tcBorders>
              <w:top w:val="single" w:sz="4" w:space="0" w:color="auto"/>
              <w:bottom w:val="single" w:sz="4" w:space="0" w:color="auto"/>
            </w:tcBorders>
            <w:shd w:val="clear" w:color="auto" w:fill="auto"/>
          </w:tcPr>
          <w:p w14:paraId="064252DC" w14:textId="77777777" w:rsidR="005423E9" w:rsidRPr="001D517F" w:rsidRDefault="005423E9" w:rsidP="00152C0F">
            <w:pPr>
              <w:pStyle w:val="Tabletext"/>
            </w:pPr>
            <w:r w:rsidRPr="001D517F">
              <w:t>$50,000</w:t>
            </w:r>
          </w:p>
        </w:tc>
      </w:tr>
      <w:tr w:rsidR="005423E9" w:rsidRPr="001D517F" w14:paraId="7373ED23" w14:textId="77777777" w:rsidTr="00262F0A">
        <w:tc>
          <w:tcPr>
            <w:tcW w:w="709" w:type="dxa"/>
            <w:tcBorders>
              <w:top w:val="single" w:sz="4" w:space="0" w:color="auto"/>
            </w:tcBorders>
            <w:shd w:val="clear" w:color="auto" w:fill="auto"/>
          </w:tcPr>
          <w:p w14:paraId="4E58D6C1" w14:textId="77777777" w:rsidR="005423E9" w:rsidRPr="001D517F" w:rsidRDefault="005423E9" w:rsidP="00152C0F">
            <w:pPr>
              <w:pStyle w:val="Tabletext"/>
            </w:pPr>
            <w:r w:rsidRPr="001D517F">
              <w:t>10C</w:t>
            </w:r>
          </w:p>
        </w:tc>
        <w:tc>
          <w:tcPr>
            <w:tcW w:w="2693" w:type="dxa"/>
            <w:tcBorders>
              <w:top w:val="single" w:sz="4" w:space="0" w:color="auto"/>
            </w:tcBorders>
            <w:shd w:val="clear" w:color="auto" w:fill="auto"/>
          </w:tcPr>
          <w:p w14:paraId="413394D0" w14:textId="77777777" w:rsidR="005423E9" w:rsidRPr="001D517F" w:rsidRDefault="00262F0A" w:rsidP="00152C0F">
            <w:pPr>
              <w:pStyle w:val="Tabletext"/>
            </w:pPr>
            <w:r w:rsidRPr="001D517F">
              <w:t>section 1</w:t>
            </w:r>
            <w:r w:rsidR="005423E9" w:rsidRPr="001D517F">
              <w:t>08A</w:t>
            </w:r>
          </w:p>
        </w:tc>
        <w:tc>
          <w:tcPr>
            <w:tcW w:w="1984" w:type="dxa"/>
            <w:tcBorders>
              <w:top w:val="single" w:sz="4" w:space="0" w:color="auto"/>
            </w:tcBorders>
            <w:shd w:val="clear" w:color="auto" w:fill="auto"/>
          </w:tcPr>
          <w:p w14:paraId="72E0BC36" w14:textId="77777777" w:rsidR="005423E9" w:rsidRPr="001D517F" w:rsidRDefault="005423E9" w:rsidP="00152C0F">
            <w:pPr>
              <w:pStyle w:val="Tabletext"/>
            </w:pPr>
            <w:r w:rsidRPr="001D517F">
              <w:t>$50,000</w:t>
            </w:r>
          </w:p>
        </w:tc>
        <w:tc>
          <w:tcPr>
            <w:tcW w:w="1701" w:type="dxa"/>
            <w:tcBorders>
              <w:top w:val="single" w:sz="4" w:space="0" w:color="auto"/>
            </w:tcBorders>
            <w:shd w:val="clear" w:color="auto" w:fill="auto"/>
          </w:tcPr>
          <w:p w14:paraId="32A15CDA" w14:textId="77777777" w:rsidR="005423E9" w:rsidRPr="001D517F" w:rsidRDefault="005423E9" w:rsidP="00152C0F">
            <w:pPr>
              <w:pStyle w:val="Tabletext"/>
            </w:pPr>
            <w:r w:rsidRPr="001D517F">
              <w:t>$10,000</w:t>
            </w:r>
          </w:p>
        </w:tc>
      </w:tr>
    </w:tbl>
    <w:bookmarkEnd w:id="31"/>
    <w:p w14:paraId="415D3EAB" w14:textId="77777777" w:rsidR="005423E9" w:rsidRPr="001D517F" w:rsidRDefault="005423E9" w:rsidP="00152C0F">
      <w:pPr>
        <w:pStyle w:val="ItemHead"/>
      </w:pPr>
      <w:r w:rsidRPr="001D517F">
        <w:t xml:space="preserve">25  Subsection 224(3) of </w:t>
      </w:r>
      <w:r w:rsidR="00262F0A" w:rsidRPr="001D517F">
        <w:t>Schedule 2</w:t>
      </w:r>
      <w:r w:rsidRPr="001D517F">
        <w:t xml:space="preserve"> (after table item 14)</w:t>
      </w:r>
    </w:p>
    <w:p w14:paraId="3139EFC7" w14:textId="77777777" w:rsidR="005423E9" w:rsidRPr="001D517F" w:rsidRDefault="005423E9" w:rsidP="00152C0F">
      <w:pPr>
        <w:pStyle w:val="Item"/>
      </w:pPr>
      <w:r w:rsidRPr="001D517F">
        <w:t>Insert:</w:t>
      </w:r>
    </w:p>
    <w:p w14:paraId="16B06DFA" w14:textId="77777777" w:rsidR="005423E9" w:rsidRPr="001D517F" w:rsidRDefault="005423E9" w:rsidP="00152C0F">
      <w:pPr>
        <w:pStyle w:val="Tabletext"/>
      </w:pPr>
    </w:p>
    <w:tbl>
      <w:tblPr>
        <w:tblW w:w="7087" w:type="dxa"/>
        <w:tblLayout w:type="fixed"/>
        <w:tblLook w:val="0000" w:firstRow="0" w:lastRow="0" w:firstColumn="0" w:lastColumn="0" w:noHBand="0" w:noVBand="0"/>
      </w:tblPr>
      <w:tblGrid>
        <w:gridCol w:w="709"/>
        <w:gridCol w:w="2693"/>
        <w:gridCol w:w="1984"/>
        <w:gridCol w:w="1701"/>
      </w:tblGrid>
      <w:tr w:rsidR="005423E9" w:rsidRPr="001D517F" w14:paraId="43C0C5E8" w14:textId="77777777" w:rsidTr="00262F0A">
        <w:tc>
          <w:tcPr>
            <w:tcW w:w="709" w:type="dxa"/>
            <w:shd w:val="clear" w:color="auto" w:fill="auto"/>
          </w:tcPr>
          <w:p w14:paraId="0977CAA5" w14:textId="77777777" w:rsidR="005423E9" w:rsidRPr="001D517F" w:rsidRDefault="005423E9" w:rsidP="00152C0F">
            <w:pPr>
              <w:pStyle w:val="Tabletext"/>
            </w:pPr>
            <w:r w:rsidRPr="001D517F">
              <w:t>14A</w:t>
            </w:r>
          </w:p>
        </w:tc>
        <w:tc>
          <w:tcPr>
            <w:tcW w:w="2693" w:type="dxa"/>
            <w:shd w:val="clear" w:color="auto" w:fill="auto"/>
          </w:tcPr>
          <w:p w14:paraId="53A5BF9B" w14:textId="77777777" w:rsidR="005423E9" w:rsidRPr="001D517F" w:rsidRDefault="00262F0A" w:rsidP="00152C0F">
            <w:pPr>
              <w:pStyle w:val="Tabletext"/>
            </w:pPr>
            <w:r w:rsidRPr="001D517F">
              <w:t>section 1</w:t>
            </w:r>
            <w:r w:rsidR="005423E9" w:rsidRPr="001D517F">
              <w:t>37AA or 137B</w:t>
            </w:r>
          </w:p>
        </w:tc>
        <w:tc>
          <w:tcPr>
            <w:tcW w:w="1984" w:type="dxa"/>
            <w:shd w:val="clear" w:color="auto" w:fill="auto"/>
          </w:tcPr>
          <w:p w14:paraId="18B488D5" w14:textId="77777777" w:rsidR="005423E9" w:rsidRPr="001D517F" w:rsidRDefault="005423E9" w:rsidP="00152C0F">
            <w:pPr>
              <w:pStyle w:val="Tabletext"/>
            </w:pPr>
            <w:r w:rsidRPr="001D517F">
              <w:t>$50,000</w:t>
            </w:r>
          </w:p>
        </w:tc>
        <w:tc>
          <w:tcPr>
            <w:tcW w:w="1701" w:type="dxa"/>
            <w:shd w:val="clear" w:color="auto" w:fill="auto"/>
          </w:tcPr>
          <w:p w14:paraId="60F21FF4" w14:textId="77777777" w:rsidR="005423E9" w:rsidRPr="001D517F" w:rsidRDefault="005423E9" w:rsidP="00152C0F">
            <w:pPr>
              <w:pStyle w:val="Tabletext"/>
            </w:pPr>
            <w:r w:rsidRPr="001D517F">
              <w:t>$10,000</w:t>
            </w:r>
          </w:p>
        </w:tc>
      </w:tr>
    </w:tbl>
    <w:p w14:paraId="55752F32" w14:textId="77777777" w:rsidR="005423E9" w:rsidRPr="001D517F" w:rsidRDefault="005423E9" w:rsidP="00152C0F">
      <w:pPr>
        <w:pStyle w:val="ItemHead"/>
      </w:pPr>
      <w:r w:rsidRPr="001D517F">
        <w:t xml:space="preserve">26  Subsection 224(3A) of </w:t>
      </w:r>
      <w:r w:rsidR="00262F0A" w:rsidRPr="001D517F">
        <w:t>Schedule 2</w:t>
      </w:r>
    </w:p>
    <w:p w14:paraId="0BA069CF" w14:textId="77777777" w:rsidR="005423E9" w:rsidRPr="001D517F" w:rsidRDefault="005423E9" w:rsidP="00152C0F">
      <w:pPr>
        <w:pStyle w:val="Item"/>
      </w:pPr>
      <w:r w:rsidRPr="001D517F">
        <w:t>Omit “9, 11 and 13”, substitute “10, 12 and 14”.</w:t>
      </w:r>
    </w:p>
    <w:p w14:paraId="2407D91B" w14:textId="77777777" w:rsidR="005423E9" w:rsidRPr="001D517F" w:rsidRDefault="005423E9" w:rsidP="00152C0F">
      <w:pPr>
        <w:pStyle w:val="ItemHead"/>
      </w:pPr>
      <w:r w:rsidRPr="001D517F">
        <w:t xml:space="preserve">27  In the appropriate position in Chapter 6 of </w:t>
      </w:r>
      <w:r w:rsidR="00262F0A" w:rsidRPr="001D517F">
        <w:t>Schedule 2</w:t>
      </w:r>
    </w:p>
    <w:p w14:paraId="5C20AF68" w14:textId="77777777" w:rsidR="005423E9" w:rsidRPr="001D517F" w:rsidRDefault="005423E9" w:rsidP="00152C0F">
      <w:pPr>
        <w:pStyle w:val="Item"/>
      </w:pPr>
      <w:r w:rsidRPr="001D517F">
        <w:t>Insert:</w:t>
      </w:r>
    </w:p>
    <w:p w14:paraId="6CF6175F" w14:textId="77777777" w:rsidR="005423E9" w:rsidRPr="001D517F" w:rsidRDefault="005423E9" w:rsidP="00152C0F">
      <w:pPr>
        <w:pStyle w:val="ActHead2"/>
      </w:pPr>
      <w:bookmarkStart w:id="32" w:name="_Toc184888276"/>
      <w:r w:rsidRPr="00A15312">
        <w:rPr>
          <w:rStyle w:val="CharPartNo"/>
        </w:rPr>
        <w:t>Part 8</w:t>
      </w:r>
      <w:r w:rsidRPr="001D517F">
        <w:t>—</w:t>
      </w:r>
      <w:r w:rsidRPr="00A15312">
        <w:rPr>
          <w:rStyle w:val="CharPartText"/>
        </w:rPr>
        <w:t>Application and saving provisions relating to the Treasury Laws Amendment (Fairer for Families and Farmers and Other Measures) Act 2024</w:t>
      </w:r>
      <w:bookmarkEnd w:id="32"/>
    </w:p>
    <w:p w14:paraId="37EB9B9C" w14:textId="77777777" w:rsidR="005423E9" w:rsidRPr="00A15312" w:rsidRDefault="005423E9" w:rsidP="00152C0F">
      <w:pPr>
        <w:pStyle w:val="Header"/>
      </w:pPr>
      <w:r w:rsidRPr="00A15312">
        <w:rPr>
          <w:rStyle w:val="CharDivNo"/>
        </w:rPr>
        <w:t xml:space="preserve"> </w:t>
      </w:r>
      <w:r w:rsidRPr="00A15312">
        <w:rPr>
          <w:rStyle w:val="CharDivText"/>
        </w:rPr>
        <w:t xml:space="preserve"> </w:t>
      </w:r>
    </w:p>
    <w:p w14:paraId="64BD9280" w14:textId="77777777" w:rsidR="005423E9" w:rsidRPr="001D517F" w:rsidRDefault="005423E9" w:rsidP="00152C0F">
      <w:pPr>
        <w:pStyle w:val="ActHead5"/>
      </w:pPr>
      <w:bookmarkStart w:id="33" w:name="_Toc184888277"/>
      <w:r w:rsidRPr="00A15312">
        <w:rPr>
          <w:rStyle w:val="CharSectno"/>
        </w:rPr>
        <w:t>306</w:t>
      </w:r>
      <w:r w:rsidRPr="001D517F">
        <w:t xml:space="preserve">  Definitions</w:t>
      </w:r>
      <w:bookmarkEnd w:id="33"/>
    </w:p>
    <w:p w14:paraId="57AA28BE" w14:textId="77777777" w:rsidR="005423E9" w:rsidRPr="001D517F" w:rsidRDefault="005423E9" w:rsidP="00152C0F">
      <w:pPr>
        <w:pStyle w:val="subsection"/>
      </w:pPr>
      <w:r w:rsidRPr="001D517F">
        <w:tab/>
      </w:r>
      <w:r w:rsidRPr="001D517F">
        <w:tab/>
        <w:t>In this Part:</w:t>
      </w:r>
    </w:p>
    <w:p w14:paraId="35E9DE9C" w14:textId="77777777" w:rsidR="005423E9" w:rsidRPr="001D517F" w:rsidRDefault="005423E9" w:rsidP="00152C0F">
      <w:pPr>
        <w:pStyle w:val="Definition"/>
      </w:pPr>
      <w:r w:rsidRPr="001D517F">
        <w:rPr>
          <w:b/>
          <w:i/>
        </w:rPr>
        <w:t>amending Schedule</w:t>
      </w:r>
      <w:r w:rsidRPr="001D517F">
        <w:t xml:space="preserve"> means Schedule 2 to the </w:t>
      </w:r>
      <w:r w:rsidRPr="001D517F">
        <w:rPr>
          <w:i/>
        </w:rPr>
        <w:t>Treasury Laws Amendment (Fairer for Families and Farmers and Other Measures) Act 2024</w:t>
      </w:r>
      <w:r w:rsidRPr="001D517F">
        <w:t>.</w:t>
      </w:r>
    </w:p>
    <w:p w14:paraId="680DDB7D" w14:textId="77777777" w:rsidR="005423E9" w:rsidRPr="001D517F" w:rsidRDefault="005423E9" w:rsidP="00152C0F">
      <w:pPr>
        <w:pStyle w:val="ActHead5"/>
      </w:pPr>
      <w:bookmarkStart w:id="34" w:name="_Toc184888278"/>
      <w:r w:rsidRPr="00A15312">
        <w:rPr>
          <w:rStyle w:val="CharSectno"/>
        </w:rPr>
        <w:t>307</w:t>
      </w:r>
      <w:r w:rsidRPr="001D517F">
        <w:t xml:space="preserve">  Saving—safety standards declared by the Minister</w:t>
      </w:r>
      <w:bookmarkEnd w:id="34"/>
    </w:p>
    <w:p w14:paraId="76AA3BEC" w14:textId="77777777" w:rsidR="005423E9" w:rsidRPr="001D517F" w:rsidRDefault="005423E9" w:rsidP="00152C0F">
      <w:pPr>
        <w:pStyle w:val="subsection"/>
      </w:pPr>
      <w:r w:rsidRPr="001D517F">
        <w:tab/>
      </w:r>
      <w:r w:rsidRPr="001D517F">
        <w:tab/>
        <w:t xml:space="preserve">Despite the repeal of </w:t>
      </w:r>
      <w:r w:rsidR="00262F0A" w:rsidRPr="001D517F">
        <w:t>section 1</w:t>
      </w:r>
      <w:r w:rsidRPr="001D517F">
        <w:t>05 by the amending Schedule, a safety standard that:</w:t>
      </w:r>
    </w:p>
    <w:p w14:paraId="7BC9D40D" w14:textId="77777777" w:rsidR="005423E9" w:rsidRPr="001D517F" w:rsidRDefault="005423E9" w:rsidP="00152C0F">
      <w:pPr>
        <w:pStyle w:val="paragraph"/>
        <w:rPr>
          <w:caps/>
        </w:rPr>
      </w:pPr>
      <w:r w:rsidRPr="001D517F">
        <w:tab/>
        <w:t>(a)</w:t>
      </w:r>
      <w:r w:rsidRPr="001D517F">
        <w:tab/>
        <w:t>was declared for the purposes of that section; and</w:t>
      </w:r>
    </w:p>
    <w:p w14:paraId="08D8F8BA" w14:textId="77777777" w:rsidR="005423E9" w:rsidRPr="001D517F" w:rsidRDefault="005423E9" w:rsidP="00152C0F">
      <w:pPr>
        <w:pStyle w:val="paragraph"/>
      </w:pPr>
      <w:r w:rsidRPr="001D517F">
        <w:tab/>
        <w:t>(b)</w:t>
      </w:r>
      <w:r w:rsidRPr="001D517F">
        <w:tab/>
        <w:t xml:space="preserve">was in force immediately before the commencement of </w:t>
      </w:r>
      <w:r w:rsidR="00262F0A" w:rsidRPr="001D517F">
        <w:t>Part 1</w:t>
      </w:r>
      <w:r w:rsidRPr="001D517F">
        <w:t xml:space="preserve"> of the amending Schedule;</w:t>
      </w:r>
    </w:p>
    <w:p w14:paraId="06CAB0BF" w14:textId="77777777" w:rsidR="005423E9" w:rsidRPr="001D517F" w:rsidRDefault="005423E9" w:rsidP="00152C0F">
      <w:pPr>
        <w:pStyle w:val="subsection2"/>
      </w:pPr>
      <w:r w:rsidRPr="001D517F">
        <w:t xml:space="preserve">continues in force (and may be dealt with) on and after the commencement of </w:t>
      </w:r>
      <w:r w:rsidR="00262F0A" w:rsidRPr="001D517F">
        <w:t>Part 1</w:t>
      </w:r>
      <w:r w:rsidRPr="001D517F">
        <w:t xml:space="preserve"> of the amending Schedule as if it were made for the purposes of </w:t>
      </w:r>
      <w:r w:rsidR="00262F0A" w:rsidRPr="001D517F">
        <w:t>section 1</w:t>
      </w:r>
      <w:r w:rsidRPr="001D517F">
        <w:t>04, as amended by the amending Schedule.</w:t>
      </w:r>
    </w:p>
    <w:p w14:paraId="28EB3334" w14:textId="77777777" w:rsidR="005423E9" w:rsidRPr="001D517F" w:rsidRDefault="005423E9" w:rsidP="00152C0F">
      <w:pPr>
        <w:pStyle w:val="ActHead5"/>
      </w:pPr>
      <w:bookmarkStart w:id="35" w:name="_Toc184888279"/>
      <w:r w:rsidRPr="00A15312">
        <w:rPr>
          <w:rStyle w:val="CharSectno"/>
        </w:rPr>
        <w:t>308</w:t>
      </w:r>
      <w:r w:rsidRPr="001D517F">
        <w:t xml:space="preserve">  Application—nomination and compliance with safety standards</w:t>
      </w:r>
      <w:bookmarkEnd w:id="35"/>
    </w:p>
    <w:p w14:paraId="621824FC" w14:textId="77777777" w:rsidR="005423E9" w:rsidRPr="001D517F" w:rsidRDefault="005423E9" w:rsidP="00152C0F">
      <w:pPr>
        <w:pStyle w:val="subsection"/>
      </w:pPr>
      <w:r w:rsidRPr="001D517F">
        <w:tab/>
        <w:t>(1)</w:t>
      </w:r>
      <w:r w:rsidRPr="001D517F">
        <w:tab/>
        <w:t xml:space="preserve">Despite the repeal of </w:t>
      </w:r>
      <w:r w:rsidR="00262F0A" w:rsidRPr="001D517F">
        <w:t>section 1</w:t>
      </w:r>
      <w:r w:rsidRPr="001D517F">
        <w:t xml:space="preserve">08 by the amending Schedule, that section continues to apply in relation to requests given by the regulator before the commencement of </w:t>
      </w:r>
      <w:r w:rsidR="00262F0A" w:rsidRPr="001D517F">
        <w:t>Part 1</w:t>
      </w:r>
      <w:r w:rsidRPr="001D517F">
        <w:t xml:space="preserve"> of the amending Schedule, as if that repeal had not happened.</w:t>
      </w:r>
    </w:p>
    <w:p w14:paraId="534FC23E" w14:textId="77777777" w:rsidR="005423E9" w:rsidRPr="001D517F" w:rsidRDefault="005423E9" w:rsidP="00152C0F">
      <w:pPr>
        <w:pStyle w:val="subsection"/>
      </w:pPr>
      <w:r w:rsidRPr="001D517F">
        <w:tab/>
        <w:t>(2)</w:t>
      </w:r>
      <w:r w:rsidRPr="001D517F">
        <w:tab/>
      </w:r>
      <w:r w:rsidR="00262F0A" w:rsidRPr="001D517F">
        <w:t>Section 1</w:t>
      </w:r>
      <w:r w:rsidRPr="001D517F">
        <w:t xml:space="preserve">08, as inserted by the amending Schedule, applies in relation to safety standards made before, on or after the commencement of </w:t>
      </w:r>
      <w:r w:rsidR="00262F0A" w:rsidRPr="001D517F">
        <w:t>Part 1</w:t>
      </w:r>
      <w:r w:rsidRPr="001D517F">
        <w:t xml:space="preserve"> of the amending Schedule.</w:t>
      </w:r>
    </w:p>
    <w:p w14:paraId="35DBB78A" w14:textId="77777777" w:rsidR="005423E9" w:rsidRPr="001D517F" w:rsidRDefault="005423E9" w:rsidP="00152C0F">
      <w:pPr>
        <w:pStyle w:val="ActHead5"/>
      </w:pPr>
      <w:bookmarkStart w:id="36" w:name="_Toc184888280"/>
      <w:r w:rsidRPr="00A15312">
        <w:rPr>
          <w:rStyle w:val="CharSectno"/>
        </w:rPr>
        <w:t>309</w:t>
      </w:r>
      <w:r w:rsidRPr="001D517F">
        <w:t xml:space="preserve">  Application—requests for information or documents</w:t>
      </w:r>
      <w:bookmarkEnd w:id="36"/>
    </w:p>
    <w:p w14:paraId="491CFC01" w14:textId="77777777" w:rsidR="005423E9" w:rsidRPr="001D517F" w:rsidRDefault="005423E9" w:rsidP="00152C0F">
      <w:pPr>
        <w:pStyle w:val="subsection"/>
      </w:pPr>
      <w:r w:rsidRPr="001D517F">
        <w:tab/>
      </w:r>
      <w:r w:rsidRPr="001D517F">
        <w:tab/>
      </w:r>
      <w:r w:rsidR="00262F0A" w:rsidRPr="001D517F">
        <w:t>Sections 1</w:t>
      </w:r>
      <w:r w:rsidRPr="001D517F">
        <w:t xml:space="preserve">08A and 137B, as inserted by the amending Schedule, apply in relation to safety standards and information standards made before, on or after the commencement of </w:t>
      </w:r>
      <w:r w:rsidR="00262F0A" w:rsidRPr="001D517F">
        <w:t>Part 1</w:t>
      </w:r>
      <w:r w:rsidRPr="001D517F">
        <w:t xml:space="preserve"> of the amending Schedule.</w:t>
      </w:r>
    </w:p>
    <w:p w14:paraId="77FC8827" w14:textId="77777777" w:rsidR="005423E9" w:rsidRPr="001D517F" w:rsidRDefault="005423E9" w:rsidP="00152C0F">
      <w:pPr>
        <w:pStyle w:val="ActHead7"/>
        <w:pageBreakBefore/>
      </w:pPr>
      <w:bookmarkStart w:id="37" w:name="_Toc184888281"/>
      <w:r w:rsidRPr="00A15312">
        <w:rPr>
          <w:rStyle w:val="CharAmPartNo"/>
        </w:rPr>
        <w:t>Part 2</w:t>
      </w:r>
      <w:r w:rsidRPr="001D517F">
        <w:t>—</w:t>
      </w:r>
      <w:r w:rsidRPr="00A15312">
        <w:rPr>
          <w:rStyle w:val="CharAmPartText"/>
        </w:rPr>
        <w:t>Contingent amendments if this Act commences before the Treasury Laws Amendment (Better Targeted Superannuation Concessions and Other Measures) Act 2024</w:t>
      </w:r>
      <w:bookmarkEnd w:id="37"/>
    </w:p>
    <w:p w14:paraId="2E003F8C" w14:textId="77777777" w:rsidR="005423E9" w:rsidRPr="001D517F" w:rsidRDefault="005423E9" w:rsidP="00152C0F">
      <w:pPr>
        <w:pStyle w:val="ActHead9"/>
      </w:pPr>
      <w:bookmarkStart w:id="38" w:name="_Toc184888282"/>
      <w:bookmarkStart w:id="39" w:name="_Hlk184892120"/>
      <w:r w:rsidRPr="001D517F">
        <w:t>Competition and Consumer Act 2010</w:t>
      </w:r>
      <w:bookmarkEnd w:id="38"/>
    </w:p>
    <w:bookmarkEnd w:id="39"/>
    <w:p w14:paraId="5A92AF9B" w14:textId="77777777" w:rsidR="005423E9" w:rsidRPr="001D517F" w:rsidRDefault="005423E9" w:rsidP="00152C0F">
      <w:pPr>
        <w:pStyle w:val="ItemHead"/>
      </w:pPr>
      <w:r w:rsidRPr="001D517F">
        <w:t xml:space="preserve">28  Paragraph 104(2)(c) of </w:t>
      </w:r>
      <w:r w:rsidR="00262F0A" w:rsidRPr="001D517F">
        <w:t>Schedule 2</w:t>
      </w:r>
    </w:p>
    <w:p w14:paraId="4867ADAB" w14:textId="77777777" w:rsidR="005423E9" w:rsidRPr="001D517F" w:rsidRDefault="005423E9" w:rsidP="00152C0F">
      <w:pPr>
        <w:pStyle w:val="Item"/>
      </w:pPr>
      <w:r w:rsidRPr="001D517F">
        <w:t>Repeal the paragraph, substitute:</w:t>
      </w:r>
    </w:p>
    <w:p w14:paraId="4C7E433A" w14:textId="77777777" w:rsidR="005423E9" w:rsidRPr="001D517F" w:rsidRDefault="005423E9" w:rsidP="00152C0F">
      <w:pPr>
        <w:pStyle w:val="paragraph"/>
      </w:pPr>
      <w:r w:rsidRPr="001D517F">
        <w:tab/>
        <w:t>(c)</w:t>
      </w:r>
      <w:r w:rsidRPr="001D517F">
        <w:tab/>
        <w:t>the form and content of markings to accompany consumer goods of that kind;</w:t>
      </w:r>
    </w:p>
    <w:p w14:paraId="22E5D433" w14:textId="77777777" w:rsidR="005423E9" w:rsidRPr="001D517F" w:rsidRDefault="005423E9" w:rsidP="00152C0F">
      <w:pPr>
        <w:pStyle w:val="paragraph"/>
      </w:pPr>
      <w:r w:rsidRPr="001D517F">
        <w:tab/>
        <w:t>(d)</w:t>
      </w:r>
      <w:r w:rsidRPr="001D517F">
        <w:tab/>
        <w:t>the form and content of warnings, instructions or other information about consumer goods of that kind.</w:t>
      </w:r>
    </w:p>
    <w:p w14:paraId="660A70FB" w14:textId="77777777" w:rsidR="005423E9" w:rsidRPr="001D517F" w:rsidRDefault="005423E9" w:rsidP="00152C0F">
      <w:pPr>
        <w:pStyle w:val="ActHead9"/>
      </w:pPr>
      <w:bookmarkStart w:id="40" w:name="_Toc184888283"/>
      <w:bookmarkStart w:id="41" w:name="_Hlk184892131"/>
      <w:r w:rsidRPr="001D517F">
        <w:t>Treasury Laws Amendment (Better Targeted Superannuation Concessions and Other Measures) Act 2024</w:t>
      </w:r>
      <w:bookmarkEnd w:id="40"/>
    </w:p>
    <w:bookmarkEnd w:id="41"/>
    <w:p w14:paraId="399D3FD3" w14:textId="77777777" w:rsidR="005423E9" w:rsidRPr="001D517F" w:rsidRDefault="005423E9" w:rsidP="00152C0F">
      <w:pPr>
        <w:pStyle w:val="ItemHead"/>
      </w:pPr>
      <w:r w:rsidRPr="001D517F">
        <w:t xml:space="preserve">29  </w:t>
      </w:r>
      <w:r w:rsidR="00262F0A" w:rsidRPr="001D517F">
        <w:t>Item 1</w:t>
      </w:r>
      <w:r w:rsidRPr="001D517F">
        <w:t xml:space="preserve"> of </w:t>
      </w:r>
      <w:r w:rsidR="00262F0A" w:rsidRPr="001D517F">
        <w:t>Schedule 6</w:t>
      </w:r>
    </w:p>
    <w:p w14:paraId="60A6580B" w14:textId="77777777" w:rsidR="005423E9" w:rsidRPr="001D517F" w:rsidRDefault="005423E9" w:rsidP="00152C0F">
      <w:pPr>
        <w:pStyle w:val="Item"/>
      </w:pPr>
      <w:r w:rsidRPr="001D517F">
        <w:t>Repeal the item.</w:t>
      </w:r>
    </w:p>
    <w:p w14:paraId="688C8864" w14:textId="77777777" w:rsidR="008C6546" w:rsidRPr="001D517F" w:rsidRDefault="001D517F" w:rsidP="00152C0F">
      <w:pPr>
        <w:pStyle w:val="ActHead6"/>
        <w:pageBreakBefore/>
      </w:pPr>
      <w:bookmarkStart w:id="42" w:name="_Toc184888284"/>
      <w:r w:rsidRPr="00A15312">
        <w:rPr>
          <w:rStyle w:val="CharAmSchNo"/>
        </w:rPr>
        <w:t>Schedule 3</w:t>
      </w:r>
      <w:r w:rsidR="008C6546" w:rsidRPr="001D517F">
        <w:t>—</w:t>
      </w:r>
      <w:r w:rsidR="008C6546" w:rsidRPr="00A15312">
        <w:rPr>
          <w:rStyle w:val="CharAmSchText"/>
        </w:rPr>
        <w:t>Increasing the cap on the Housing Australia Special Account</w:t>
      </w:r>
      <w:bookmarkEnd w:id="42"/>
    </w:p>
    <w:p w14:paraId="725961D5" w14:textId="77777777" w:rsidR="008C6546" w:rsidRPr="00A15312" w:rsidRDefault="008C6546" w:rsidP="00152C0F">
      <w:pPr>
        <w:pStyle w:val="Header"/>
      </w:pPr>
      <w:r w:rsidRPr="00A15312">
        <w:rPr>
          <w:rStyle w:val="CharAmPartNo"/>
        </w:rPr>
        <w:t xml:space="preserve"> </w:t>
      </w:r>
      <w:r w:rsidRPr="00A15312">
        <w:rPr>
          <w:rStyle w:val="CharAmPartText"/>
        </w:rPr>
        <w:t xml:space="preserve"> </w:t>
      </w:r>
    </w:p>
    <w:p w14:paraId="6A0B0BBB" w14:textId="77777777" w:rsidR="008C6546" w:rsidRPr="001D517F" w:rsidRDefault="008C6546" w:rsidP="00152C0F">
      <w:pPr>
        <w:pStyle w:val="ActHead9"/>
      </w:pPr>
      <w:bookmarkStart w:id="43" w:name="_Toc184888285"/>
      <w:bookmarkStart w:id="44" w:name="_Hlk184892142"/>
      <w:r w:rsidRPr="001D517F">
        <w:t>Housing Australia Act 2018</w:t>
      </w:r>
      <w:bookmarkEnd w:id="43"/>
    </w:p>
    <w:bookmarkEnd w:id="44"/>
    <w:p w14:paraId="44CDFFBE" w14:textId="77777777" w:rsidR="008C6546" w:rsidRPr="001D517F" w:rsidRDefault="008C6546" w:rsidP="00152C0F">
      <w:pPr>
        <w:pStyle w:val="ItemHead"/>
      </w:pPr>
      <w:r w:rsidRPr="001D517F">
        <w:t>1  Subsection 47D(1)</w:t>
      </w:r>
    </w:p>
    <w:p w14:paraId="2DD8EAB3" w14:textId="77777777" w:rsidR="008C6546" w:rsidRPr="001D517F" w:rsidRDefault="008C6546" w:rsidP="00152C0F">
      <w:pPr>
        <w:pStyle w:val="Item"/>
      </w:pPr>
      <w:r w:rsidRPr="001D517F">
        <w:t>Omit “$1 billion”, substitute “$4 billion”.</w:t>
      </w:r>
    </w:p>
    <w:p w14:paraId="75B0A439" w14:textId="77777777" w:rsidR="00CE2086" w:rsidRPr="001D517F" w:rsidRDefault="00CE2086" w:rsidP="00152C0F">
      <w:pPr>
        <w:pStyle w:val="ActHead6"/>
        <w:pageBreakBefore/>
      </w:pPr>
      <w:bookmarkStart w:id="45" w:name="_Toc184888286"/>
      <w:r w:rsidRPr="00A15312">
        <w:rPr>
          <w:rStyle w:val="CharAmSchNo"/>
        </w:rPr>
        <w:t>Schedule 4</w:t>
      </w:r>
      <w:r w:rsidRPr="001D517F">
        <w:t>—</w:t>
      </w:r>
      <w:r w:rsidRPr="00A15312">
        <w:rPr>
          <w:rStyle w:val="CharAmSchText"/>
        </w:rPr>
        <w:t>Industry codes</w:t>
      </w:r>
      <w:bookmarkEnd w:id="45"/>
    </w:p>
    <w:p w14:paraId="14991EB0" w14:textId="77777777" w:rsidR="00CE2086" w:rsidRPr="001D517F" w:rsidRDefault="00262F0A" w:rsidP="00152C0F">
      <w:pPr>
        <w:pStyle w:val="ActHead7"/>
      </w:pPr>
      <w:bookmarkStart w:id="46" w:name="_Toc184888287"/>
      <w:r w:rsidRPr="00A15312">
        <w:rPr>
          <w:rStyle w:val="CharAmPartNo"/>
        </w:rPr>
        <w:t>Part 1</w:t>
      </w:r>
      <w:r w:rsidR="00CE2086" w:rsidRPr="001D517F">
        <w:t>—</w:t>
      </w:r>
      <w:r w:rsidR="00CE2086" w:rsidRPr="00A15312">
        <w:rPr>
          <w:rStyle w:val="CharAmPartText"/>
        </w:rPr>
        <w:t>Amount of penalties</w:t>
      </w:r>
      <w:bookmarkEnd w:id="46"/>
    </w:p>
    <w:p w14:paraId="513B02B4" w14:textId="77777777" w:rsidR="00CE2086" w:rsidRPr="001D517F" w:rsidRDefault="00CE2086" w:rsidP="00152C0F">
      <w:pPr>
        <w:pStyle w:val="ActHead9"/>
      </w:pPr>
      <w:bookmarkStart w:id="47" w:name="_Toc184888288"/>
      <w:bookmarkStart w:id="48" w:name="_Hlk184892164"/>
      <w:r w:rsidRPr="001D517F">
        <w:t>Competition and Consumer Act 2010</w:t>
      </w:r>
      <w:bookmarkEnd w:id="47"/>
    </w:p>
    <w:bookmarkEnd w:id="48"/>
    <w:p w14:paraId="5FE39924" w14:textId="77777777" w:rsidR="00CE2086" w:rsidRPr="001D517F" w:rsidRDefault="00CE2086" w:rsidP="00152C0F">
      <w:pPr>
        <w:pStyle w:val="ItemHead"/>
      </w:pPr>
      <w:r w:rsidRPr="001D517F">
        <w:t>1  Section 51ACF</w:t>
      </w:r>
    </w:p>
    <w:p w14:paraId="3976ED8B" w14:textId="77777777" w:rsidR="00CE2086" w:rsidRPr="001D517F" w:rsidRDefault="00CE2086" w:rsidP="00152C0F">
      <w:pPr>
        <w:pStyle w:val="Item"/>
      </w:pPr>
      <w:r w:rsidRPr="001D517F">
        <w:t>Repeal the section, substitute:</w:t>
      </w:r>
    </w:p>
    <w:p w14:paraId="2283C3D1" w14:textId="77777777" w:rsidR="00CE2086" w:rsidRPr="001D517F" w:rsidRDefault="00CE2086" w:rsidP="00152C0F">
      <w:pPr>
        <w:pStyle w:val="ActHead5"/>
      </w:pPr>
      <w:bookmarkStart w:id="49" w:name="_Toc184888289"/>
      <w:r w:rsidRPr="00A15312">
        <w:rPr>
          <w:rStyle w:val="CharSectno"/>
        </w:rPr>
        <w:t>51ACF</w:t>
      </w:r>
      <w:r w:rsidRPr="001D517F">
        <w:t xml:space="preserve">  Amount of penalty</w:t>
      </w:r>
      <w:bookmarkEnd w:id="49"/>
    </w:p>
    <w:p w14:paraId="33FBE5FE" w14:textId="77777777" w:rsidR="00CE2086" w:rsidRPr="001D517F" w:rsidRDefault="00CE2086" w:rsidP="00152C0F">
      <w:pPr>
        <w:pStyle w:val="subsection"/>
      </w:pPr>
      <w:r w:rsidRPr="001D517F">
        <w:tab/>
        <w:t>(1)</w:t>
      </w:r>
      <w:r w:rsidRPr="001D517F">
        <w:tab/>
        <w:t>The penalty to be specified in an infringement notice to be issued to a person, for an alleged contravention of a civil penalty provision of an industry code, must be equal to the following:</w:t>
      </w:r>
    </w:p>
    <w:p w14:paraId="61B31C89" w14:textId="77777777" w:rsidR="00CE2086" w:rsidRPr="001D517F" w:rsidRDefault="00CE2086" w:rsidP="00152C0F">
      <w:pPr>
        <w:pStyle w:val="paragraph"/>
      </w:pPr>
      <w:r w:rsidRPr="001D517F">
        <w:tab/>
        <w:t>(a)</w:t>
      </w:r>
      <w:r w:rsidRPr="001D517F">
        <w:tab/>
        <w:t xml:space="preserve">if </w:t>
      </w:r>
      <w:r w:rsidR="00262F0A" w:rsidRPr="001D517F">
        <w:t>subsection (</w:t>
      </w:r>
      <w:r w:rsidRPr="001D517F">
        <w:t>2) applies to the industry code:</w:t>
      </w:r>
    </w:p>
    <w:p w14:paraId="2F5A96C0" w14:textId="77777777" w:rsidR="00CE2086" w:rsidRPr="001D517F" w:rsidRDefault="00CE2086" w:rsidP="00152C0F">
      <w:pPr>
        <w:pStyle w:val="paragraphsub"/>
      </w:pPr>
      <w:r w:rsidRPr="001D517F">
        <w:tab/>
        <w:t>(i)</w:t>
      </w:r>
      <w:r w:rsidRPr="001D517F">
        <w:tab/>
        <w:t>if the person is a body corporate—600 penalty units; or</w:t>
      </w:r>
    </w:p>
    <w:p w14:paraId="41561B91" w14:textId="77777777" w:rsidR="00CE2086" w:rsidRPr="001D517F" w:rsidRDefault="00CE2086" w:rsidP="00152C0F">
      <w:pPr>
        <w:pStyle w:val="paragraphsub"/>
      </w:pPr>
      <w:r w:rsidRPr="001D517F">
        <w:tab/>
        <w:t>(ii)</w:t>
      </w:r>
      <w:r w:rsidRPr="001D517F">
        <w:tab/>
        <w:t>otherwise—12 penalty units;</w:t>
      </w:r>
    </w:p>
    <w:p w14:paraId="1F6C5F05" w14:textId="77777777" w:rsidR="00CE2086" w:rsidRPr="001D517F" w:rsidRDefault="00CE2086" w:rsidP="00152C0F">
      <w:pPr>
        <w:pStyle w:val="paragraph"/>
      </w:pPr>
      <w:r w:rsidRPr="001D517F">
        <w:tab/>
        <w:t>(b)</w:t>
      </w:r>
      <w:r w:rsidRPr="001D517F">
        <w:tab/>
        <w:t>otherwise:</w:t>
      </w:r>
    </w:p>
    <w:p w14:paraId="1B861863" w14:textId="77777777" w:rsidR="00CE2086" w:rsidRPr="001D517F" w:rsidRDefault="00CE2086" w:rsidP="00152C0F">
      <w:pPr>
        <w:pStyle w:val="paragraphsub"/>
      </w:pPr>
      <w:r w:rsidRPr="001D517F">
        <w:tab/>
        <w:t>(i)</w:t>
      </w:r>
      <w:r w:rsidRPr="001D517F">
        <w:tab/>
        <w:t>if the person is a body corporate—60 penalty units; or</w:t>
      </w:r>
    </w:p>
    <w:p w14:paraId="02625214" w14:textId="77777777" w:rsidR="00CE2086" w:rsidRPr="001D517F" w:rsidRDefault="00CE2086" w:rsidP="00152C0F">
      <w:pPr>
        <w:pStyle w:val="paragraphsub"/>
      </w:pPr>
      <w:r w:rsidRPr="001D517F">
        <w:tab/>
        <w:t>(ii)</w:t>
      </w:r>
      <w:r w:rsidRPr="001D517F">
        <w:tab/>
        <w:t>otherwise—12 penalty units.</w:t>
      </w:r>
    </w:p>
    <w:p w14:paraId="10F38104" w14:textId="77777777" w:rsidR="00CE2086" w:rsidRPr="001D517F" w:rsidRDefault="00CE2086" w:rsidP="00152C0F">
      <w:pPr>
        <w:pStyle w:val="SubsectionHead"/>
      </w:pPr>
      <w:r w:rsidRPr="001D517F">
        <w:t>Industry code relating to the industry of food and groceries</w:t>
      </w:r>
    </w:p>
    <w:p w14:paraId="68A92F53" w14:textId="77777777" w:rsidR="00CE2086" w:rsidRPr="001D517F" w:rsidRDefault="00CE2086" w:rsidP="00152C0F">
      <w:pPr>
        <w:pStyle w:val="subsection"/>
      </w:pPr>
      <w:r w:rsidRPr="001D517F">
        <w:tab/>
        <w:t>(2)</w:t>
      </w:r>
      <w:r w:rsidRPr="001D517F">
        <w:tab/>
        <w:t>This subsection applies to an industry code that:</w:t>
      </w:r>
    </w:p>
    <w:p w14:paraId="3D896ED3" w14:textId="77777777" w:rsidR="00CE2086" w:rsidRPr="001D517F" w:rsidRDefault="00CE2086" w:rsidP="00152C0F">
      <w:pPr>
        <w:pStyle w:val="paragraph"/>
      </w:pPr>
      <w:r w:rsidRPr="001D517F">
        <w:tab/>
        <w:t>(a)</w:t>
      </w:r>
      <w:r w:rsidRPr="001D517F">
        <w:tab/>
        <w:t>relates to the industry of food and groceries; and</w:t>
      </w:r>
    </w:p>
    <w:p w14:paraId="5C6D6F2A" w14:textId="77777777" w:rsidR="00CE2086" w:rsidRPr="001D517F" w:rsidRDefault="00CE2086" w:rsidP="00152C0F">
      <w:pPr>
        <w:pStyle w:val="paragraph"/>
      </w:pPr>
      <w:r w:rsidRPr="001D517F">
        <w:tab/>
        <w:t>(b)</w:t>
      </w:r>
      <w:r w:rsidRPr="001D517F">
        <w:tab/>
        <w:t>provides that this subsection applies to the code.</w:t>
      </w:r>
    </w:p>
    <w:p w14:paraId="6D4E8847" w14:textId="77777777" w:rsidR="00CE2086" w:rsidRPr="001D517F" w:rsidRDefault="00CE2086" w:rsidP="00152C0F">
      <w:pPr>
        <w:pStyle w:val="ItemHead"/>
      </w:pPr>
      <w:r w:rsidRPr="001D517F">
        <w:t>2  Subsection 51AE(2)</w:t>
      </w:r>
    </w:p>
    <w:p w14:paraId="78CF0CD1" w14:textId="77777777" w:rsidR="00CE2086" w:rsidRPr="001D517F" w:rsidRDefault="00CE2086" w:rsidP="00152C0F">
      <w:pPr>
        <w:pStyle w:val="Item"/>
      </w:pPr>
      <w:r w:rsidRPr="001D517F">
        <w:t>After “industry of franchising”, insert “or food and groceries”.</w:t>
      </w:r>
    </w:p>
    <w:p w14:paraId="3A2BA609" w14:textId="77777777" w:rsidR="00CE2086" w:rsidRPr="001D517F" w:rsidRDefault="00CE2086" w:rsidP="00152C0F">
      <w:pPr>
        <w:pStyle w:val="ItemHead"/>
      </w:pPr>
      <w:r w:rsidRPr="001D517F">
        <w:t>3  Subsection 51AE(2A)</w:t>
      </w:r>
    </w:p>
    <w:p w14:paraId="378D87B4" w14:textId="77777777" w:rsidR="00CE2086" w:rsidRPr="001D517F" w:rsidRDefault="00CE2086" w:rsidP="00152C0F">
      <w:pPr>
        <w:pStyle w:val="Item"/>
      </w:pPr>
      <w:r w:rsidRPr="001D517F">
        <w:t>After “industry of franchising”, insert “or food and groceries”.</w:t>
      </w:r>
    </w:p>
    <w:p w14:paraId="4B9BD576" w14:textId="77777777" w:rsidR="00CE2086" w:rsidRPr="001D517F" w:rsidRDefault="00CE2086" w:rsidP="00152C0F">
      <w:pPr>
        <w:pStyle w:val="ItemHead"/>
      </w:pPr>
      <w:r w:rsidRPr="001D517F">
        <w:t>4  Paragraph 51AE(2A)(c)</w:t>
      </w:r>
    </w:p>
    <w:p w14:paraId="3458FE3D" w14:textId="77777777" w:rsidR="00CE2086" w:rsidRPr="001D517F" w:rsidRDefault="00CE2086" w:rsidP="00152C0F">
      <w:pPr>
        <w:pStyle w:val="Item"/>
      </w:pPr>
      <w:r w:rsidRPr="001D517F">
        <w:t>Repeal the paragraph, substitute:</w:t>
      </w:r>
    </w:p>
    <w:p w14:paraId="551E32FD" w14:textId="77777777" w:rsidR="00CE2086" w:rsidRPr="001D517F" w:rsidRDefault="00CE2086" w:rsidP="00152C0F">
      <w:pPr>
        <w:pStyle w:val="paragraph"/>
      </w:pPr>
      <w:r w:rsidRPr="001D517F">
        <w:tab/>
        <w:t>(c)</w:t>
      </w:r>
      <w:r w:rsidRPr="001D517F">
        <w:tab/>
        <w:t>if the code does not prescribe a pecuniary penalty mentioned in paragraph (a) or (b) for a contravention of a civil penalty provision of the code by a person—prescribe the following for the contravention:</w:t>
      </w:r>
    </w:p>
    <w:p w14:paraId="02970308" w14:textId="77777777" w:rsidR="00CE2086" w:rsidRPr="001D517F" w:rsidRDefault="00CE2086" w:rsidP="00152C0F">
      <w:pPr>
        <w:pStyle w:val="paragraphsub"/>
      </w:pPr>
      <w:r w:rsidRPr="001D517F">
        <w:tab/>
        <w:t>(i)</w:t>
      </w:r>
      <w:r w:rsidRPr="001D517F">
        <w:tab/>
        <w:t>in the case of an industry code that relates to the industry of franchising—a pecuniary penalty not exceeding 600 penalty units;</w:t>
      </w:r>
    </w:p>
    <w:p w14:paraId="765C0BB1" w14:textId="77777777" w:rsidR="00CE2086" w:rsidRPr="001D517F" w:rsidRDefault="00CE2086" w:rsidP="00152C0F">
      <w:pPr>
        <w:pStyle w:val="paragraphsub"/>
      </w:pPr>
      <w:r w:rsidRPr="001D517F">
        <w:tab/>
        <w:t>(ii)</w:t>
      </w:r>
      <w:r w:rsidRPr="001D517F">
        <w:tab/>
        <w:t>in the case of an industry code that relates to the industry of food and groceries—a pecuniary penalty not exceeding 3,200 penalty units if the person is a body corporate and 640 penalty units if the person is not a body corporate.</w:t>
      </w:r>
    </w:p>
    <w:p w14:paraId="44397193" w14:textId="77777777" w:rsidR="00CE2086" w:rsidRPr="001D517F" w:rsidRDefault="00CE2086" w:rsidP="00152C0F">
      <w:pPr>
        <w:pStyle w:val="ItemHead"/>
      </w:pPr>
      <w:r w:rsidRPr="001D517F">
        <w:t>5  Subsection 52ZZG(2)</w:t>
      </w:r>
    </w:p>
    <w:p w14:paraId="6AC6F0F0" w14:textId="77777777" w:rsidR="00CE2086" w:rsidRPr="001D517F" w:rsidRDefault="00CE2086" w:rsidP="00152C0F">
      <w:pPr>
        <w:pStyle w:val="Item"/>
      </w:pPr>
      <w:r w:rsidRPr="001D517F">
        <w:t>Omit “paragraph 51ACF(a) to 50 penalty units”, substitute “subparagraph 51ACF(1)(b)(i) to 60 penalty units”.</w:t>
      </w:r>
    </w:p>
    <w:p w14:paraId="6D160D8A" w14:textId="77777777" w:rsidR="00CE2086" w:rsidRPr="001D517F" w:rsidRDefault="00CE2086" w:rsidP="00152C0F">
      <w:pPr>
        <w:pStyle w:val="Transitional"/>
      </w:pPr>
      <w:r w:rsidRPr="001D517F">
        <w:t>6  Application of amendments</w:t>
      </w:r>
    </w:p>
    <w:p w14:paraId="021245C5" w14:textId="77777777" w:rsidR="00CE2086" w:rsidRPr="001D517F" w:rsidRDefault="00CE2086" w:rsidP="00152C0F">
      <w:pPr>
        <w:pStyle w:val="Item"/>
      </w:pPr>
      <w:r w:rsidRPr="001D517F">
        <w:t xml:space="preserve">The amendments of sections 51ACF and 51AE of the </w:t>
      </w:r>
      <w:r w:rsidRPr="001D517F">
        <w:rPr>
          <w:i/>
        </w:rPr>
        <w:t>Competition and Consumer Act 2010</w:t>
      </w:r>
      <w:r w:rsidRPr="001D517F">
        <w:t xml:space="preserve"> made by this Part apply in relation to contraventions which happen, or are alleged to happen, on or after the day this Schedule commences.</w:t>
      </w:r>
    </w:p>
    <w:p w14:paraId="120B59EE" w14:textId="77777777" w:rsidR="00CE2086" w:rsidRPr="001D517F" w:rsidRDefault="00CE2086" w:rsidP="00152C0F">
      <w:pPr>
        <w:pStyle w:val="ActHead7"/>
        <w:pageBreakBefore/>
      </w:pPr>
      <w:bookmarkStart w:id="50" w:name="_Toc184888290"/>
      <w:r w:rsidRPr="00A15312">
        <w:rPr>
          <w:rStyle w:val="CharAmPartNo"/>
        </w:rPr>
        <w:t>Part 2</w:t>
      </w:r>
      <w:r w:rsidRPr="001D517F">
        <w:t>—</w:t>
      </w:r>
      <w:r w:rsidRPr="00A15312">
        <w:rPr>
          <w:rStyle w:val="CharAmPartText"/>
        </w:rPr>
        <w:t>Technical amendment</w:t>
      </w:r>
      <w:bookmarkEnd w:id="50"/>
    </w:p>
    <w:p w14:paraId="5885BE41" w14:textId="77777777" w:rsidR="00CE2086" w:rsidRPr="001D517F" w:rsidRDefault="00CE2086" w:rsidP="00152C0F">
      <w:pPr>
        <w:pStyle w:val="ActHead9"/>
      </w:pPr>
      <w:bookmarkStart w:id="51" w:name="_Toc184888291"/>
      <w:r w:rsidRPr="001D517F">
        <w:t>Competition and Consumer Act 2010</w:t>
      </w:r>
      <w:bookmarkEnd w:id="51"/>
    </w:p>
    <w:p w14:paraId="1DE09656" w14:textId="77777777" w:rsidR="00CE2086" w:rsidRPr="001D517F" w:rsidRDefault="00CE2086" w:rsidP="00152C0F">
      <w:pPr>
        <w:pStyle w:val="ItemHead"/>
      </w:pPr>
      <w:r w:rsidRPr="001D517F">
        <w:t>7  Paragraph 51AE(1B)(b)</w:t>
      </w:r>
    </w:p>
    <w:p w14:paraId="4BF42919" w14:textId="77777777" w:rsidR="00CE2086" w:rsidRPr="001D517F" w:rsidRDefault="00CE2086" w:rsidP="00152C0F">
      <w:pPr>
        <w:pStyle w:val="Item"/>
      </w:pPr>
      <w:r w:rsidRPr="001D517F">
        <w:t>Omit all the words after “any person or body”, substitute:</w:t>
      </w:r>
    </w:p>
    <w:p w14:paraId="70D98556" w14:textId="77777777" w:rsidR="00CE2086" w:rsidRPr="001D517F" w:rsidRDefault="00CE2086" w:rsidP="00152C0F">
      <w:pPr>
        <w:pStyle w:val="paragraph"/>
      </w:pPr>
      <w:r w:rsidRPr="001D517F">
        <w:tab/>
      </w:r>
      <w:r w:rsidRPr="001D517F">
        <w:tab/>
        <w:t>whether or not a participant in the industry to which the code relates, including the following:</w:t>
      </w:r>
    </w:p>
    <w:p w14:paraId="63DD2B9A" w14:textId="77777777" w:rsidR="00CE2086" w:rsidRPr="001D517F" w:rsidRDefault="00CE2086" w:rsidP="00152C0F">
      <w:pPr>
        <w:pStyle w:val="paragraphsub"/>
      </w:pPr>
      <w:r w:rsidRPr="001D517F">
        <w:tab/>
        <w:t>(i)</w:t>
      </w:r>
      <w:r w:rsidRPr="001D517F">
        <w:tab/>
        <w:t>a person or body referred to in subparagraph (a)(i), (ii) or (iii);</w:t>
      </w:r>
    </w:p>
    <w:p w14:paraId="36DE9A6C" w14:textId="77777777" w:rsidR="00CE2086" w:rsidRPr="001D517F" w:rsidRDefault="00CE2086" w:rsidP="00152C0F">
      <w:pPr>
        <w:pStyle w:val="paragraphsub"/>
      </w:pPr>
      <w:r w:rsidRPr="001D517F">
        <w:tab/>
        <w:t>(ii)</w:t>
      </w:r>
      <w:r w:rsidRPr="001D517F">
        <w:tab/>
        <w:t>any person from time to time holding, occupying or performing the duties of a specified office or position.</w:t>
      </w:r>
    </w:p>
    <w:p w14:paraId="14D6F528" w14:textId="77777777" w:rsidR="00350873" w:rsidRPr="001D517F" w:rsidRDefault="00350873" w:rsidP="00152C0F">
      <w:pPr>
        <w:pStyle w:val="ActHead6"/>
        <w:pageBreakBefore/>
      </w:pPr>
      <w:bookmarkStart w:id="52" w:name="_Toc184888292"/>
      <w:r w:rsidRPr="00A15312">
        <w:rPr>
          <w:rStyle w:val="CharAmSchNo"/>
        </w:rPr>
        <w:t>Schedule 5</w:t>
      </w:r>
      <w:r w:rsidRPr="001D517F">
        <w:t>—</w:t>
      </w:r>
      <w:r w:rsidRPr="00A15312">
        <w:rPr>
          <w:rStyle w:val="CharAmSchText"/>
        </w:rPr>
        <w:t>Deductible gift recipients</w:t>
      </w:r>
      <w:bookmarkEnd w:id="52"/>
    </w:p>
    <w:p w14:paraId="1587C3CB" w14:textId="77777777" w:rsidR="00350873" w:rsidRPr="00A15312" w:rsidRDefault="00350873" w:rsidP="00152C0F">
      <w:pPr>
        <w:pStyle w:val="Header"/>
      </w:pPr>
      <w:r w:rsidRPr="00A15312">
        <w:rPr>
          <w:rStyle w:val="CharAmPartNo"/>
        </w:rPr>
        <w:t xml:space="preserve"> </w:t>
      </w:r>
      <w:r w:rsidRPr="00A15312">
        <w:rPr>
          <w:rStyle w:val="CharAmPartText"/>
        </w:rPr>
        <w:t xml:space="preserve"> </w:t>
      </w:r>
    </w:p>
    <w:p w14:paraId="146F086F" w14:textId="77777777" w:rsidR="00350873" w:rsidRPr="001D517F" w:rsidRDefault="00350873" w:rsidP="00152C0F">
      <w:pPr>
        <w:pStyle w:val="ActHead9"/>
      </w:pPr>
      <w:bookmarkStart w:id="53" w:name="_Toc184888293"/>
      <w:bookmarkStart w:id="54" w:name="_Hlk184892215"/>
      <w:r w:rsidRPr="001D517F">
        <w:t>Income Tax Assessment Act 1997</w:t>
      </w:r>
      <w:bookmarkEnd w:id="53"/>
    </w:p>
    <w:bookmarkEnd w:id="54"/>
    <w:p w14:paraId="02A33AF5" w14:textId="77777777" w:rsidR="00350873" w:rsidRPr="001D517F" w:rsidRDefault="00350873" w:rsidP="00152C0F">
      <w:pPr>
        <w:pStyle w:val="ItemHead"/>
      </w:pPr>
      <w:r w:rsidRPr="001D517F">
        <w:t>1  Subsection 30</w:t>
      </w:r>
      <w:r w:rsidR="00152C0F">
        <w:noBreakHyphen/>
      </w:r>
      <w:r w:rsidRPr="001D517F">
        <w:t>20(2) (table item 1.2.14)</w:t>
      </w:r>
    </w:p>
    <w:p w14:paraId="4B19780F" w14:textId="77777777" w:rsidR="00350873" w:rsidRPr="001D517F" w:rsidRDefault="00350873" w:rsidP="00152C0F">
      <w:pPr>
        <w:pStyle w:val="Item"/>
      </w:pPr>
      <w:r w:rsidRPr="001D517F">
        <w:t>Repeal the item.</w:t>
      </w:r>
    </w:p>
    <w:p w14:paraId="2B1FB3FD" w14:textId="77777777" w:rsidR="00350873" w:rsidRPr="001D517F" w:rsidRDefault="00350873" w:rsidP="00152C0F">
      <w:pPr>
        <w:pStyle w:val="ItemHead"/>
      </w:pPr>
      <w:r w:rsidRPr="001D517F">
        <w:t>2  Subsection 30</w:t>
      </w:r>
      <w:r w:rsidR="00152C0F">
        <w:noBreakHyphen/>
      </w:r>
      <w:r w:rsidRPr="001D517F">
        <w:t xml:space="preserve">25(2) (table </w:t>
      </w:r>
      <w:r w:rsidR="001D517F">
        <w:t>item 2</w:t>
      </w:r>
      <w:r w:rsidRPr="001D517F">
        <w:t>.2.18)</w:t>
      </w:r>
    </w:p>
    <w:p w14:paraId="7A48C7E6" w14:textId="77777777" w:rsidR="00350873" w:rsidRPr="001D517F" w:rsidRDefault="00350873" w:rsidP="00152C0F">
      <w:pPr>
        <w:pStyle w:val="Item"/>
      </w:pPr>
      <w:r w:rsidRPr="001D517F">
        <w:t>Repeal the item.</w:t>
      </w:r>
    </w:p>
    <w:p w14:paraId="5529BE56" w14:textId="77777777" w:rsidR="00350873" w:rsidRPr="001D517F" w:rsidRDefault="00350873" w:rsidP="00152C0F">
      <w:pPr>
        <w:pStyle w:val="ItemHead"/>
      </w:pPr>
      <w:r w:rsidRPr="001D517F">
        <w:t>3  Subsection 30</w:t>
      </w:r>
      <w:r w:rsidR="00152C0F">
        <w:noBreakHyphen/>
      </w:r>
      <w:r w:rsidRPr="001D517F">
        <w:t>40(2) (table items 3.2.2, 3.2.9 and 3.2.10)</w:t>
      </w:r>
    </w:p>
    <w:p w14:paraId="3D77C5C7" w14:textId="77777777" w:rsidR="00350873" w:rsidRPr="001D517F" w:rsidRDefault="00350873" w:rsidP="00152C0F">
      <w:pPr>
        <w:pStyle w:val="Item"/>
      </w:pPr>
      <w:r w:rsidRPr="001D517F">
        <w:t>Repeal the items.</w:t>
      </w:r>
    </w:p>
    <w:p w14:paraId="36EB49A5" w14:textId="77777777" w:rsidR="00350873" w:rsidRPr="001D517F" w:rsidRDefault="00350873" w:rsidP="00152C0F">
      <w:pPr>
        <w:pStyle w:val="ItemHead"/>
      </w:pPr>
      <w:r w:rsidRPr="001D517F">
        <w:t>4  Subsection 30</w:t>
      </w:r>
      <w:r w:rsidR="00152C0F">
        <w:noBreakHyphen/>
      </w:r>
      <w:r w:rsidRPr="001D517F">
        <w:t>45(2) (table items 4.2.40 and 4.2.42)</w:t>
      </w:r>
    </w:p>
    <w:p w14:paraId="7B751D6C" w14:textId="77777777" w:rsidR="00350873" w:rsidRPr="001D517F" w:rsidRDefault="00350873" w:rsidP="00152C0F">
      <w:pPr>
        <w:pStyle w:val="Item"/>
      </w:pPr>
      <w:r w:rsidRPr="001D517F">
        <w:t>Repeal the items.</w:t>
      </w:r>
    </w:p>
    <w:p w14:paraId="56F6BA4F" w14:textId="77777777" w:rsidR="00350873" w:rsidRPr="001D517F" w:rsidRDefault="00350873" w:rsidP="00152C0F">
      <w:pPr>
        <w:pStyle w:val="ItemHead"/>
      </w:pPr>
      <w:r w:rsidRPr="001D517F">
        <w:t>5  Subsection 30</w:t>
      </w:r>
      <w:r w:rsidR="00152C0F">
        <w:noBreakHyphen/>
      </w:r>
      <w:r w:rsidRPr="001D517F">
        <w:t>105(2) (table item 13.2.4)</w:t>
      </w:r>
    </w:p>
    <w:p w14:paraId="52564F20" w14:textId="77777777" w:rsidR="00350873" w:rsidRPr="001D517F" w:rsidRDefault="00350873" w:rsidP="00152C0F">
      <w:pPr>
        <w:pStyle w:val="Item"/>
      </w:pPr>
      <w:r w:rsidRPr="001D517F">
        <w:t>Repeal the item.</w:t>
      </w:r>
    </w:p>
    <w:p w14:paraId="54266414" w14:textId="77777777" w:rsidR="00350873" w:rsidRPr="001D517F" w:rsidRDefault="00350873" w:rsidP="00152C0F">
      <w:pPr>
        <w:pStyle w:val="ItemHead"/>
      </w:pPr>
      <w:r w:rsidRPr="001D517F">
        <w:t>6  In the appropriate position in subsection 30</w:t>
      </w:r>
      <w:r w:rsidR="00152C0F">
        <w:noBreakHyphen/>
      </w:r>
      <w:r w:rsidRPr="001D517F">
        <w:t>105(2) (table)</w:t>
      </w:r>
    </w:p>
    <w:p w14:paraId="5FDA2ADB" w14:textId="77777777" w:rsidR="00350873" w:rsidRPr="001D517F" w:rsidRDefault="00350873" w:rsidP="00152C0F">
      <w:pPr>
        <w:pStyle w:val="Item"/>
      </w:pPr>
      <w:r w:rsidRPr="001D517F">
        <w:t>Insert:</w:t>
      </w:r>
    </w:p>
    <w:p w14:paraId="4FAAFA5C" w14:textId="77777777" w:rsidR="00350873" w:rsidRPr="001D517F" w:rsidRDefault="00350873" w:rsidP="00152C0F">
      <w:pPr>
        <w:pStyle w:val="Tabletext"/>
      </w:pPr>
    </w:p>
    <w:tbl>
      <w:tblPr>
        <w:tblW w:w="0" w:type="auto"/>
        <w:tblInd w:w="113" w:type="dxa"/>
        <w:tblLayout w:type="fixed"/>
        <w:tblLook w:val="0000" w:firstRow="0" w:lastRow="0" w:firstColumn="0" w:lastColumn="0" w:noHBand="0" w:noVBand="0"/>
      </w:tblPr>
      <w:tblGrid>
        <w:gridCol w:w="1271"/>
        <w:gridCol w:w="3453"/>
        <w:gridCol w:w="2362"/>
      </w:tblGrid>
      <w:tr w:rsidR="00350873" w:rsidRPr="001D517F" w14:paraId="5ADB738C" w14:textId="77777777" w:rsidTr="001E5F93">
        <w:tc>
          <w:tcPr>
            <w:tcW w:w="1271" w:type="dxa"/>
            <w:shd w:val="clear" w:color="auto" w:fill="auto"/>
          </w:tcPr>
          <w:p w14:paraId="6D537D5A" w14:textId="77777777" w:rsidR="00350873" w:rsidRPr="001D517F" w:rsidRDefault="00350873" w:rsidP="00152C0F">
            <w:pPr>
              <w:pStyle w:val="Tabletext"/>
            </w:pPr>
            <w:bookmarkStart w:id="55" w:name="_Hlk180428970"/>
            <w:r w:rsidRPr="001D517F">
              <w:t>13.2.47</w:t>
            </w:r>
          </w:p>
        </w:tc>
        <w:tc>
          <w:tcPr>
            <w:tcW w:w="3453" w:type="dxa"/>
            <w:shd w:val="clear" w:color="auto" w:fill="auto"/>
          </w:tcPr>
          <w:p w14:paraId="36FCCF0C" w14:textId="77777777" w:rsidR="00350873" w:rsidRPr="001D517F" w:rsidRDefault="00350873" w:rsidP="00152C0F">
            <w:pPr>
              <w:pStyle w:val="Tabletext"/>
            </w:pPr>
            <w:r w:rsidRPr="001D517F">
              <w:t>Skip Foundation Ltd</w:t>
            </w:r>
          </w:p>
        </w:tc>
        <w:tc>
          <w:tcPr>
            <w:tcW w:w="2362" w:type="dxa"/>
            <w:shd w:val="clear" w:color="auto" w:fill="auto"/>
          </w:tcPr>
          <w:p w14:paraId="1B9FC1D3" w14:textId="77777777" w:rsidR="00350873" w:rsidRPr="001D517F" w:rsidRDefault="00350873" w:rsidP="00152C0F">
            <w:pPr>
              <w:pStyle w:val="Tabletext"/>
            </w:pPr>
            <w:r w:rsidRPr="001D517F">
              <w:t>the gift must be made after 30 June 2024 and before 1 July 2029</w:t>
            </w:r>
          </w:p>
        </w:tc>
      </w:tr>
    </w:tbl>
    <w:bookmarkEnd w:id="55"/>
    <w:p w14:paraId="2FECAF08" w14:textId="77777777" w:rsidR="00350873" w:rsidRPr="001D517F" w:rsidRDefault="00350873" w:rsidP="00152C0F">
      <w:pPr>
        <w:pStyle w:val="ItemHead"/>
      </w:pPr>
      <w:r w:rsidRPr="001D517F">
        <w:t>7  Section 30</w:t>
      </w:r>
      <w:r w:rsidR="00152C0F">
        <w:noBreakHyphen/>
      </w:r>
      <w:r w:rsidRPr="001D517F">
        <w:t>315 (table items 45AAA, 60, 65AA, 67A and 73B)</w:t>
      </w:r>
    </w:p>
    <w:p w14:paraId="26039256" w14:textId="77777777" w:rsidR="00350873" w:rsidRPr="001D517F" w:rsidRDefault="00350873" w:rsidP="00152C0F">
      <w:pPr>
        <w:pStyle w:val="Item"/>
      </w:pPr>
      <w:r w:rsidRPr="001D517F">
        <w:t>Repeal the items.</w:t>
      </w:r>
    </w:p>
    <w:p w14:paraId="7211AB35" w14:textId="77777777" w:rsidR="00350873" w:rsidRPr="001D517F" w:rsidRDefault="00350873" w:rsidP="00152C0F">
      <w:pPr>
        <w:pStyle w:val="ItemHead"/>
      </w:pPr>
      <w:r w:rsidRPr="001D517F">
        <w:t>8  Section 30</w:t>
      </w:r>
      <w:r w:rsidR="00152C0F">
        <w:noBreakHyphen/>
      </w:r>
      <w:r w:rsidRPr="001D517F">
        <w:t>315 (table item 111AA)</w:t>
      </w:r>
    </w:p>
    <w:p w14:paraId="2AE1F269" w14:textId="77777777" w:rsidR="00350873" w:rsidRPr="001D517F" w:rsidRDefault="00350873" w:rsidP="00152C0F">
      <w:pPr>
        <w:pStyle w:val="Item"/>
      </w:pPr>
      <w:r w:rsidRPr="001D517F">
        <w:t>Repeal the item, substitute:</w:t>
      </w:r>
    </w:p>
    <w:p w14:paraId="391D7E30" w14:textId="77777777" w:rsidR="00350873" w:rsidRPr="001D517F" w:rsidRDefault="00350873" w:rsidP="00152C0F">
      <w:pPr>
        <w:pStyle w:val="Tabletext"/>
      </w:pPr>
    </w:p>
    <w:tbl>
      <w:tblPr>
        <w:tblW w:w="0" w:type="auto"/>
        <w:tblInd w:w="113" w:type="dxa"/>
        <w:tblLayout w:type="fixed"/>
        <w:tblLook w:val="0000" w:firstRow="0" w:lastRow="0" w:firstColumn="0" w:lastColumn="0" w:noHBand="0" w:noVBand="0"/>
      </w:tblPr>
      <w:tblGrid>
        <w:gridCol w:w="1271"/>
        <w:gridCol w:w="3453"/>
        <w:gridCol w:w="2362"/>
      </w:tblGrid>
      <w:tr w:rsidR="00350873" w:rsidRPr="001D517F" w14:paraId="1E53FE94" w14:textId="77777777" w:rsidTr="001E5F93">
        <w:tc>
          <w:tcPr>
            <w:tcW w:w="1271" w:type="dxa"/>
            <w:shd w:val="clear" w:color="auto" w:fill="auto"/>
          </w:tcPr>
          <w:p w14:paraId="3B7EBB53" w14:textId="77777777" w:rsidR="00350873" w:rsidRPr="001D517F" w:rsidRDefault="00350873" w:rsidP="00152C0F">
            <w:pPr>
              <w:pStyle w:val="Tabletext"/>
            </w:pPr>
            <w:r w:rsidRPr="001D517F">
              <w:t>111AA</w:t>
            </w:r>
          </w:p>
        </w:tc>
        <w:tc>
          <w:tcPr>
            <w:tcW w:w="3453" w:type="dxa"/>
            <w:shd w:val="clear" w:color="auto" w:fill="auto"/>
          </w:tcPr>
          <w:p w14:paraId="07E5285C" w14:textId="77777777" w:rsidR="00350873" w:rsidRPr="001D517F" w:rsidRDefault="00350873" w:rsidP="00152C0F">
            <w:pPr>
              <w:pStyle w:val="Tabletext"/>
            </w:pPr>
            <w:r w:rsidRPr="001D517F">
              <w:t>Skip Foundation Ltd</w:t>
            </w:r>
          </w:p>
        </w:tc>
        <w:tc>
          <w:tcPr>
            <w:tcW w:w="2362" w:type="dxa"/>
            <w:shd w:val="clear" w:color="auto" w:fill="auto"/>
          </w:tcPr>
          <w:p w14:paraId="7D4A16A7" w14:textId="77777777" w:rsidR="00350873" w:rsidRPr="001D517F" w:rsidRDefault="00350873" w:rsidP="00152C0F">
            <w:pPr>
              <w:pStyle w:val="Tabletext"/>
            </w:pPr>
            <w:r w:rsidRPr="001D517F">
              <w:t>item 13.2.47</w:t>
            </w:r>
          </w:p>
        </w:tc>
      </w:tr>
    </w:tbl>
    <w:p w14:paraId="175A3BA0" w14:textId="77777777" w:rsidR="00350873" w:rsidRPr="001D517F" w:rsidRDefault="00350873" w:rsidP="00152C0F">
      <w:pPr>
        <w:pStyle w:val="ItemHead"/>
      </w:pPr>
      <w:r w:rsidRPr="001D517F">
        <w:t>9  Section 30</w:t>
      </w:r>
      <w:r w:rsidR="00152C0F">
        <w:noBreakHyphen/>
      </w:r>
      <w:r w:rsidRPr="001D517F">
        <w:t>315 (table item 111B)</w:t>
      </w:r>
    </w:p>
    <w:p w14:paraId="7BAE2404" w14:textId="77777777" w:rsidR="00350873" w:rsidRPr="001D517F" w:rsidRDefault="00350873" w:rsidP="00152C0F">
      <w:pPr>
        <w:pStyle w:val="Item"/>
      </w:pPr>
      <w:r w:rsidRPr="001D517F">
        <w:t>Repeal the item.</w:t>
      </w:r>
    </w:p>
    <w:p w14:paraId="62A8A4D0" w14:textId="77777777" w:rsidR="002F33A0" w:rsidRPr="001D517F" w:rsidRDefault="00262F0A" w:rsidP="00152C0F">
      <w:pPr>
        <w:pStyle w:val="ActHead6"/>
        <w:pageBreakBefore/>
      </w:pPr>
      <w:bookmarkStart w:id="56" w:name="_Toc184888294"/>
      <w:r w:rsidRPr="00A15312">
        <w:rPr>
          <w:rStyle w:val="CharAmSchNo"/>
        </w:rPr>
        <w:t>Schedule 6</w:t>
      </w:r>
      <w:r w:rsidR="002F33A0" w:rsidRPr="001D517F">
        <w:t>—</w:t>
      </w:r>
      <w:r w:rsidR="002F33A0" w:rsidRPr="00A15312">
        <w:rPr>
          <w:rStyle w:val="CharAmSchText"/>
        </w:rPr>
        <w:t>Miscellaneous and technical amendments</w:t>
      </w:r>
      <w:bookmarkEnd w:id="56"/>
    </w:p>
    <w:p w14:paraId="7AC7A709" w14:textId="77777777" w:rsidR="002F33A0" w:rsidRPr="001D517F" w:rsidRDefault="00262F0A" w:rsidP="00152C0F">
      <w:pPr>
        <w:pStyle w:val="ActHead7"/>
      </w:pPr>
      <w:bookmarkStart w:id="57" w:name="_Toc184888295"/>
      <w:r w:rsidRPr="00A15312">
        <w:rPr>
          <w:rStyle w:val="CharAmPartNo"/>
        </w:rPr>
        <w:t>Part 1</w:t>
      </w:r>
      <w:r w:rsidR="002F33A0" w:rsidRPr="001D517F">
        <w:t>—</w:t>
      </w:r>
      <w:r w:rsidR="002F33A0" w:rsidRPr="00A15312">
        <w:rPr>
          <w:rStyle w:val="CharAmPartText"/>
        </w:rPr>
        <w:t>Amendments commencing day after Royal Assent</w:t>
      </w:r>
      <w:bookmarkEnd w:id="57"/>
    </w:p>
    <w:p w14:paraId="585FFE8D" w14:textId="77777777" w:rsidR="002F33A0" w:rsidRPr="001D517F" w:rsidRDefault="002F33A0" w:rsidP="00152C0F">
      <w:pPr>
        <w:pStyle w:val="ActHead8"/>
        <w:rPr>
          <w:rFonts w:eastAsia="Calibri"/>
        </w:rPr>
      </w:pPr>
      <w:bookmarkStart w:id="58" w:name="_Toc184888296"/>
      <w:r w:rsidRPr="001D517F">
        <w:t>Division 1—</w:t>
      </w:r>
      <w:r w:rsidRPr="001D517F">
        <w:rPr>
          <w:rFonts w:eastAsia="Calibri"/>
        </w:rPr>
        <w:t>Australian Securities and Investments Commission Act 2001</w:t>
      </w:r>
      <w:bookmarkEnd w:id="58"/>
    </w:p>
    <w:p w14:paraId="75B551D8" w14:textId="77777777" w:rsidR="002F33A0" w:rsidRPr="001D517F" w:rsidRDefault="002F33A0" w:rsidP="00152C0F">
      <w:pPr>
        <w:pStyle w:val="ActHead9"/>
      </w:pPr>
      <w:bookmarkStart w:id="59" w:name="_Toc184888297"/>
      <w:bookmarkStart w:id="60" w:name="_Hlk184892244"/>
      <w:r w:rsidRPr="001D517F">
        <w:rPr>
          <w:rFonts w:eastAsia="Calibri"/>
        </w:rPr>
        <w:t>Australian Securities and Investments Commission Act 2001</w:t>
      </w:r>
      <w:bookmarkEnd w:id="59"/>
    </w:p>
    <w:bookmarkEnd w:id="60"/>
    <w:p w14:paraId="4811B784" w14:textId="77777777" w:rsidR="002F33A0" w:rsidRPr="001D517F" w:rsidRDefault="002F33A0" w:rsidP="00152C0F">
      <w:pPr>
        <w:pStyle w:val="ItemHead"/>
      </w:pPr>
      <w:r w:rsidRPr="001D517F">
        <w:t>1  Sub</w:t>
      </w:r>
      <w:r w:rsidR="00262F0A" w:rsidRPr="001D517F">
        <w:t>section 1</w:t>
      </w:r>
      <w:r w:rsidRPr="001D517F">
        <w:t>2AC(1)</w:t>
      </w:r>
    </w:p>
    <w:p w14:paraId="6ABA1A18" w14:textId="77777777" w:rsidR="002F33A0" w:rsidRPr="001D517F" w:rsidRDefault="002F33A0" w:rsidP="00152C0F">
      <w:pPr>
        <w:pStyle w:val="Item"/>
      </w:pPr>
      <w:r w:rsidRPr="001D517F">
        <w:t>Omit “(1)”.</w:t>
      </w:r>
    </w:p>
    <w:p w14:paraId="0087EE14" w14:textId="77777777" w:rsidR="002F33A0" w:rsidRPr="001D517F" w:rsidRDefault="002F33A0" w:rsidP="00152C0F">
      <w:pPr>
        <w:pStyle w:val="ItemHead"/>
      </w:pPr>
      <w:r w:rsidRPr="001D517F">
        <w:t xml:space="preserve">2  </w:t>
      </w:r>
      <w:r w:rsidR="00262F0A" w:rsidRPr="001D517F">
        <w:t>Subsections 1</w:t>
      </w:r>
      <w:r w:rsidRPr="001D517F">
        <w:t>2AC(2) to (4)</w:t>
      </w:r>
    </w:p>
    <w:p w14:paraId="79C52332" w14:textId="77777777" w:rsidR="002F33A0" w:rsidRPr="001D517F" w:rsidRDefault="002F33A0" w:rsidP="00152C0F">
      <w:pPr>
        <w:pStyle w:val="Item"/>
      </w:pPr>
      <w:r w:rsidRPr="001D517F">
        <w:t>Repeal the subsections.</w:t>
      </w:r>
    </w:p>
    <w:p w14:paraId="1AE41C45" w14:textId="77777777" w:rsidR="002F33A0" w:rsidRPr="001D517F" w:rsidRDefault="002F33A0" w:rsidP="00152C0F">
      <w:pPr>
        <w:pStyle w:val="ActHead8"/>
        <w:rPr>
          <w:rFonts w:eastAsia="Calibri"/>
        </w:rPr>
      </w:pPr>
      <w:bookmarkStart w:id="61" w:name="_Toc184888298"/>
      <w:r w:rsidRPr="001D517F">
        <w:t>Division 2—</w:t>
      </w:r>
      <w:r w:rsidRPr="001D517F">
        <w:rPr>
          <w:rFonts w:eastAsia="Calibri"/>
        </w:rPr>
        <w:t>Contents of annual financial reports</w:t>
      </w:r>
      <w:bookmarkEnd w:id="61"/>
    </w:p>
    <w:p w14:paraId="3C1D3FAF" w14:textId="77777777" w:rsidR="002F33A0" w:rsidRPr="001D517F" w:rsidRDefault="002F33A0" w:rsidP="00152C0F">
      <w:pPr>
        <w:pStyle w:val="ActHead9"/>
      </w:pPr>
      <w:bookmarkStart w:id="62" w:name="_Toc184888299"/>
      <w:bookmarkStart w:id="63" w:name="_Hlk184892260"/>
      <w:r w:rsidRPr="001D517F">
        <w:t>Corporations Act 2001</w:t>
      </w:r>
      <w:bookmarkEnd w:id="62"/>
    </w:p>
    <w:bookmarkEnd w:id="63"/>
    <w:p w14:paraId="4920F464" w14:textId="77777777" w:rsidR="002F33A0" w:rsidRPr="001D517F" w:rsidRDefault="002F33A0" w:rsidP="00152C0F">
      <w:pPr>
        <w:pStyle w:val="ItemHead"/>
      </w:pPr>
      <w:r w:rsidRPr="001D517F">
        <w:t>3  Subparagraphs 295(3A)(a)(vi) and (vii)</w:t>
      </w:r>
    </w:p>
    <w:p w14:paraId="104C75AD" w14:textId="77777777" w:rsidR="002F33A0" w:rsidRPr="001D517F" w:rsidRDefault="002F33A0" w:rsidP="00152C0F">
      <w:pPr>
        <w:pStyle w:val="Item"/>
      </w:pPr>
      <w:r w:rsidRPr="001D517F">
        <w:t>Repeal the subparagraphs, substitute:</w:t>
      </w:r>
    </w:p>
    <w:p w14:paraId="604B1D0D" w14:textId="77777777" w:rsidR="002F33A0" w:rsidRPr="001D517F" w:rsidRDefault="002F33A0" w:rsidP="00152C0F">
      <w:pPr>
        <w:pStyle w:val="paragraph"/>
      </w:pPr>
      <w:r w:rsidRPr="001D517F">
        <w:tab/>
        <w:t>(vi)</w:t>
      </w:r>
      <w:r w:rsidRPr="001D517F">
        <w:tab/>
        <w:t>whether the entity was an Australian resident at that time;</w:t>
      </w:r>
    </w:p>
    <w:p w14:paraId="3CA66632" w14:textId="77777777" w:rsidR="002F33A0" w:rsidRPr="001D517F" w:rsidRDefault="002F33A0" w:rsidP="00152C0F">
      <w:pPr>
        <w:pStyle w:val="paragraph"/>
      </w:pPr>
      <w:r w:rsidRPr="001D517F">
        <w:tab/>
        <w:t>(vii)</w:t>
      </w:r>
      <w:r w:rsidRPr="001D517F">
        <w:tab/>
        <w:t xml:space="preserve">a list of each foreign jurisdiction (if any) in which the entity was, at that time, a resident for the purposes of the law of the foreign jurisdiction relating to foreign income tax (within the meaning of the </w:t>
      </w:r>
      <w:r w:rsidRPr="001D517F">
        <w:rPr>
          <w:i/>
        </w:rPr>
        <w:t>Income Tax Assessment Act 1997</w:t>
      </w:r>
      <w:r w:rsidRPr="001D517F">
        <w:t>); or</w:t>
      </w:r>
    </w:p>
    <w:p w14:paraId="56AB6A46" w14:textId="77777777" w:rsidR="002F33A0" w:rsidRPr="001D517F" w:rsidRDefault="002F33A0" w:rsidP="00152C0F">
      <w:pPr>
        <w:pStyle w:val="ItemHead"/>
      </w:pPr>
      <w:r w:rsidRPr="001D517F">
        <w:t>4  After subsection 295(3A)</w:t>
      </w:r>
    </w:p>
    <w:p w14:paraId="0918DEAB" w14:textId="77777777" w:rsidR="002F33A0" w:rsidRPr="001D517F" w:rsidRDefault="002F33A0" w:rsidP="00152C0F">
      <w:pPr>
        <w:pStyle w:val="Item"/>
      </w:pPr>
      <w:r w:rsidRPr="001D517F">
        <w:t>Insert:</w:t>
      </w:r>
    </w:p>
    <w:p w14:paraId="1A22F46E" w14:textId="77777777" w:rsidR="002F33A0" w:rsidRPr="001D517F" w:rsidRDefault="002F33A0" w:rsidP="00152C0F">
      <w:pPr>
        <w:pStyle w:val="subsection"/>
      </w:pPr>
      <w:r w:rsidRPr="001D517F">
        <w:tab/>
        <w:t>(3B)</w:t>
      </w:r>
      <w:r w:rsidRPr="001D517F">
        <w:tab/>
        <w:t xml:space="preserve">For the purposes of this section, an entity is an </w:t>
      </w:r>
      <w:r w:rsidRPr="001D517F">
        <w:rPr>
          <w:b/>
          <w:i/>
        </w:rPr>
        <w:t>Australian resident</w:t>
      </w:r>
      <w:r w:rsidRPr="001D517F">
        <w:t xml:space="preserve"> at the end of a financial year if the entity is:</w:t>
      </w:r>
    </w:p>
    <w:p w14:paraId="4A07DD2D" w14:textId="77777777" w:rsidR="002F33A0" w:rsidRPr="001D517F" w:rsidRDefault="002F33A0" w:rsidP="00152C0F">
      <w:pPr>
        <w:pStyle w:val="paragraph"/>
      </w:pPr>
      <w:r w:rsidRPr="001D517F">
        <w:tab/>
        <w:t>(a)</w:t>
      </w:r>
      <w:r w:rsidRPr="001D517F">
        <w:tab/>
        <w:t xml:space="preserve">an Australian resident (within the meaning of the </w:t>
      </w:r>
      <w:r w:rsidRPr="001D517F">
        <w:rPr>
          <w:i/>
        </w:rPr>
        <w:t>Income Tax Assessment Act 1997</w:t>
      </w:r>
      <w:r w:rsidRPr="001D517F">
        <w:t>) at that time; or</w:t>
      </w:r>
    </w:p>
    <w:p w14:paraId="2ABCF08C" w14:textId="77777777" w:rsidR="002F33A0" w:rsidRPr="001D517F" w:rsidRDefault="002F33A0" w:rsidP="00152C0F">
      <w:pPr>
        <w:pStyle w:val="paragraph"/>
      </w:pPr>
      <w:r w:rsidRPr="001D517F">
        <w:tab/>
        <w:t>(b)</w:t>
      </w:r>
      <w:r w:rsidRPr="001D517F">
        <w:tab/>
        <w:t xml:space="preserve">a partnership at least one member of which is an Australian resident (within the meaning of the </w:t>
      </w:r>
      <w:r w:rsidRPr="001D517F">
        <w:rPr>
          <w:i/>
        </w:rPr>
        <w:t>Income Tax Assessment Act 1997</w:t>
      </w:r>
      <w:r w:rsidRPr="001D517F">
        <w:t>) at that time; or</w:t>
      </w:r>
    </w:p>
    <w:p w14:paraId="2D650599" w14:textId="77777777" w:rsidR="002F33A0" w:rsidRPr="001D517F" w:rsidRDefault="002F33A0" w:rsidP="00152C0F">
      <w:pPr>
        <w:pStyle w:val="paragraph"/>
      </w:pPr>
      <w:r w:rsidRPr="001D517F">
        <w:tab/>
        <w:t>(c)</w:t>
      </w:r>
      <w:r w:rsidRPr="001D517F">
        <w:tab/>
        <w:t xml:space="preserve">a resident trust estate (within the meaning of Division 6 of Part III of the </w:t>
      </w:r>
      <w:r w:rsidRPr="001D517F">
        <w:rPr>
          <w:i/>
        </w:rPr>
        <w:t>Income Tax Assessment Act 1936</w:t>
      </w:r>
      <w:r w:rsidRPr="001D517F">
        <w:t>) in relation to the year of income (within the meaning of that Act) that corresponds to the financial year.</w:t>
      </w:r>
    </w:p>
    <w:p w14:paraId="17949726" w14:textId="77777777" w:rsidR="002F33A0" w:rsidRPr="001D517F" w:rsidRDefault="002F33A0" w:rsidP="00152C0F">
      <w:pPr>
        <w:pStyle w:val="ItemHead"/>
      </w:pPr>
      <w:r w:rsidRPr="001D517F">
        <w:t>5  In the appropriate position in Chapter 10</w:t>
      </w:r>
    </w:p>
    <w:p w14:paraId="3A775B1B" w14:textId="77777777" w:rsidR="002F33A0" w:rsidRPr="001D517F" w:rsidRDefault="002F33A0" w:rsidP="00152C0F">
      <w:pPr>
        <w:pStyle w:val="Item"/>
      </w:pPr>
      <w:r w:rsidRPr="001D517F">
        <w:t>Insert:</w:t>
      </w:r>
    </w:p>
    <w:p w14:paraId="0FEEED88" w14:textId="77777777" w:rsidR="002F33A0" w:rsidRPr="001D517F" w:rsidRDefault="00262F0A" w:rsidP="00152C0F">
      <w:pPr>
        <w:pStyle w:val="ActHead2"/>
      </w:pPr>
      <w:bookmarkStart w:id="64" w:name="_Toc184888300"/>
      <w:r w:rsidRPr="00A15312">
        <w:rPr>
          <w:rStyle w:val="CharPartNo"/>
        </w:rPr>
        <w:t>Part 1</w:t>
      </w:r>
      <w:r w:rsidR="002F33A0" w:rsidRPr="00A15312">
        <w:rPr>
          <w:rStyle w:val="CharPartNo"/>
        </w:rPr>
        <w:t>0.79</w:t>
      </w:r>
      <w:r w:rsidR="002F33A0" w:rsidRPr="001D517F">
        <w:t>—</w:t>
      </w:r>
      <w:r w:rsidR="002F33A0" w:rsidRPr="00A15312">
        <w:rPr>
          <w:rStyle w:val="CharPartText"/>
        </w:rPr>
        <w:t>Application provisions relating to the Treasury Laws Amendment (Fairer for Families and Farmers and Other Measures) Act 2024</w:t>
      </w:r>
      <w:bookmarkEnd w:id="64"/>
    </w:p>
    <w:p w14:paraId="5C1B4243" w14:textId="77777777" w:rsidR="002F33A0" w:rsidRPr="00A15312" w:rsidRDefault="002F33A0" w:rsidP="00152C0F">
      <w:pPr>
        <w:pStyle w:val="Header"/>
      </w:pPr>
      <w:r w:rsidRPr="00A15312">
        <w:rPr>
          <w:rStyle w:val="CharDivNo"/>
        </w:rPr>
        <w:t xml:space="preserve"> </w:t>
      </w:r>
      <w:r w:rsidRPr="00A15312">
        <w:rPr>
          <w:rStyle w:val="CharDivText"/>
        </w:rPr>
        <w:t xml:space="preserve"> </w:t>
      </w:r>
    </w:p>
    <w:p w14:paraId="1CC9E599" w14:textId="77777777" w:rsidR="002F33A0" w:rsidRPr="001D517F" w:rsidRDefault="002F33A0" w:rsidP="00152C0F">
      <w:pPr>
        <w:pStyle w:val="ActHead5"/>
      </w:pPr>
      <w:bookmarkStart w:id="65" w:name="_Toc184888301"/>
      <w:r w:rsidRPr="00A15312">
        <w:rPr>
          <w:rStyle w:val="CharSectno"/>
        </w:rPr>
        <w:t>1709</w:t>
      </w:r>
      <w:r w:rsidRPr="001D517F">
        <w:t xml:space="preserve">  Application provision</w:t>
      </w:r>
      <w:bookmarkEnd w:id="65"/>
    </w:p>
    <w:p w14:paraId="0879EF95" w14:textId="77777777" w:rsidR="002F33A0" w:rsidRPr="001D517F" w:rsidRDefault="002F33A0" w:rsidP="00152C0F">
      <w:pPr>
        <w:pStyle w:val="subsection"/>
      </w:pPr>
      <w:r w:rsidRPr="001D517F">
        <w:tab/>
      </w:r>
      <w:r w:rsidRPr="001D517F">
        <w:tab/>
        <w:t xml:space="preserve">The amendment of paragraph 295(3A)(a) made by Division 1 of </w:t>
      </w:r>
      <w:r w:rsidR="00262F0A" w:rsidRPr="001D517F">
        <w:t>Schedule 6</w:t>
      </w:r>
      <w:r w:rsidRPr="001D517F">
        <w:t xml:space="preserve"> to the </w:t>
      </w:r>
      <w:r w:rsidRPr="001D517F">
        <w:rPr>
          <w:i/>
        </w:rPr>
        <w:t>Treasury Laws Amendment (Fairer for Families and Farmers and Other Measures) Act 2024</w:t>
      </w:r>
      <w:r w:rsidRPr="001D517F">
        <w:t xml:space="preserve"> applies in relation to any financial reports for a financial year commencing on or after 1 July 2024.</w:t>
      </w:r>
    </w:p>
    <w:p w14:paraId="48E8E82B" w14:textId="77777777" w:rsidR="002F33A0" w:rsidRPr="001D517F" w:rsidRDefault="002F33A0" w:rsidP="00152C0F">
      <w:pPr>
        <w:pStyle w:val="ActHead8"/>
        <w:rPr>
          <w:rFonts w:eastAsia="Calibri"/>
        </w:rPr>
      </w:pPr>
      <w:bookmarkStart w:id="66" w:name="_Toc184888302"/>
      <w:r w:rsidRPr="001D517F">
        <w:t>Division 3—</w:t>
      </w:r>
      <w:r w:rsidRPr="001D517F">
        <w:rPr>
          <w:rFonts w:eastAsia="Calibri"/>
        </w:rPr>
        <w:t>Foreign Acquisitions and Takeovers Act 1975</w:t>
      </w:r>
      <w:bookmarkEnd w:id="66"/>
    </w:p>
    <w:p w14:paraId="2A1F8693" w14:textId="77777777" w:rsidR="002F33A0" w:rsidRPr="001D517F" w:rsidRDefault="002F33A0" w:rsidP="00152C0F">
      <w:pPr>
        <w:pStyle w:val="ActHead9"/>
      </w:pPr>
      <w:bookmarkStart w:id="67" w:name="_Toc184888303"/>
      <w:bookmarkStart w:id="68" w:name="_Hlk184892295"/>
      <w:r w:rsidRPr="001D517F">
        <w:rPr>
          <w:rFonts w:eastAsia="Calibri"/>
        </w:rPr>
        <w:t>Foreign Acquisitions and Takeovers Act 1975</w:t>
      </w:r>
      <w:bookmarkEnd w:id="67"/>
    </w:p>
    <w:bookmarkEnd w:id="68"/>
    <w:p w14:paraId="167A7DC9" w14:textId="77777777" w:rsidR="002F33A0" w:rsidRPr="001D517F" w:rsidRDefault="002F33A0" w:rsidP="00152C0F">
      <w:pPr>
        <w:pStyle w:val="ItemHead"/>
      </w:pPr>
      <w:r w:rsidRPr="001D517F">
        <w:t>6  Paragraph 95(7)(a)</w:t>
      </w:r>
    </w:p>
    <w:p w14:paraId="74384D53" w14:textId="77777777" w:rsidR="002F33A0" w:rsidRPr="001D517F" w:rsidRDefault="002F33A0" w:rsidP="00152C0F">
      <w:pPr>
        <w:pStyle w:val="Item"/>
      </w:pPr>
      <w:r w:rsidRPr="001D517F">
        <w:t>After “</w:t>
      </w:r>
      <w:r w:rsidR="00262F0A" w:rsidRPr="001D517F">
        <w:t>subsection (</w:t>
      </w:r>
      <w:r w:rsidRPr="001D517F">
        <w:t>8)”, insert “or (9) (whichever is applicable)”.</w:t>
      </w:r>
    </w:p>
    <w:p w14:paraId="2EFB6A08" w14:textId="77777777" w:rsidR="002F33A0" w:rsidRPr="001D517F" w:rsidRDefault="002F33A0" w:rsidP="00152C0F">
      <w:pPr>
        <w:pStyle w:val="ItemHead"/>
      </w:pPr>
      <w:r w:rsidRPr="001D517F">
        <w:t>7  Subsection 95(8)</w:t>
      </w:r>
    </w:p>
    <w:p w14:paraId="7E1F7890" w14:textId="77777777" w:rsidR="002F33A0" w:rsidRPr="001D517F" w:rsidRDefault="002F33A0" w:rsidP="00152C0F">
      <w:pPr>
        <w:pStyle w:val="Item"/>
      </w:pPr>
      <w:r w:rsidRPr="001D517F">
        <w:t xml:space="preserve">Omit “The interest”, substitute “If the contravention is a contravention of </w:t>
      </w:r>
      <w:r w:rsidR="00262F0A" w:rsidRPr="001D517F">
        <w:t>subsection (</w:t>
      </w:r>
      <w:r w:rsidRPr="001D517F">
        <w:t>1), the interest”.</w:t>
      </w:r>
    </w:p>
    <w:p w14:paraId="18612D57" w14:textId="77777777" w:rsidR="002F33A0" w:rsidRPr="001D517F" w:rsidRDefault="002F33A0" w:rsidP="00152C0F">
      <w:pPr>
        <w:pStyle w:val="ItemHead"/>
      </w:pPr>
      <w:r w:rsidRPr="001D517F">
        <w:t>8  At the end of section 95</w:t>
      </w:r>
    </w:p>
    <w:p w14:paraId="6315345A" w14:textId="77777777" w:rsidR="002F33A0" w:rsidRPr="001D517F" w:rsidRDefault="002F33A0" w:rsidP="00152C0F">
      <w:pPr>
        <w:pStyle w:val="Item"/>
      </w:pPr>
      <w:r w:rsidRPr="001D517F">
        <w:t>Add:</w:t>
      </w:r>
    </w:p>
    <w:p w14:paraId="3F86410E" w14:textId="77777777" w:rsidR="002F33A0" w:rsidRPr="001D517F" w:rsidRDefault="002F33A0" w:rsidP="00152C0F">
      <w:pPr>
        <w:pStyle w:val="subsection"/>
      </w:pPr>
      <w:r w:rsidRPr="001D517F">
        <w:tab/>
        <w:t>(9)</w:t>
      </w:r>
      <w:r w:rsidRPr="001D517F">
        <w:tab/>
        <w:t xml:space="preserve">If the contravention is a contravention of </w:t>
      </w:r>
      <w:r w:rsidR="00262F0A" w:rsidRPr="001D517F">
        <w:t>subsection (</w:t>
      </w:r>
      <w:r w:rsidRPr="001D517F">
        <w:t>4), the interest is the interest mentioned in that subsection.</w:t>
      </w:r>
    </w:p>
    <w:p w14:paraId="1C7A8031" w14:textId="77777777" w:rsidR="002F33A0" w:rsidRPr="001D517F" w:rsidRDefault="002F33A0" w:rsidP="00152C0F">
      <w:pPr>
        <w:pStyle w:val="Transitional"/>
      </w:pPr>
      <w:r w:rsidRPr="001D517F">
        <w:t>9  Application of amendments</w:t>
      </w:r>
    </w:p>
    <w:p w14:paraId="2294A3EE" w14:textId="77777777" w:rsidR="002F33A0" w:rsidRPr="001D517F" w:rsidRDefault="002F33A0" w:rsidP="00152C0F">
      <w:pPr>
        <w:pStyle w:val="Item"/>
      </w:pPr>
      <w:r w:rsidRPr="001D517F">
        <w:t xml:space="preserve">The amendments made by this Division apply in relation to a contravention of subsection 95(4) of the </w:t>
      </w:r>
      <w:r w:rsidRPr="001D517F">
        <w:rPr>
          <w:i/>
        </w:rPr>
        <w:t>Foreign Acquisitions and Takeovers Act 1975</w:t>
      </w:r>
      <w:r w:rsidRPr="001D517F">
        <w:t xml:space="preserve"> that occurs on or after the commencement of this item.</w:t>
      </w:r>
    </w:p>
    <w:p w14:paraId="3B61A9EB" w14:textId="77777777" w:rsidR="002F33A0" w:rsidRPr="001D517F" w:rsidRDefault="002F33A0" w:rsidP="00152C0F">
      <w:pPr>
        <w:pStyle w:val="ActHead8"/>
        <w:rPr>
          <w:rFonts w:eastAsia="Calibri"/>
        </w:rPr>
      </w:pPr>
      <w:bookmarkStart w:id="69" w:name="_Toc184888304"/>
      <w:r w:rsidRPr="001D517F">
        <w:t>Division 4—Assessable petroleum receipts worked out according to regulations</w:t>
      </w:r>
      <w:bookmarkEnd w:id="69"/>
    </w:p>
    <w:p w14:paraId="2CC068A6" w14:textId="77777777" w:rsidR="002F33A0" w:rsidRPr="001D517F" w:rsidRDefault="002F33A0" w:rsidP="00152C0F">
      <w:pPr>
        <w:pStyle w:val="ActHead9"/>
        <w:rPr>
          <w:rFonts w:eastAsia="Calibri"/>
        </w:rPr>
      </w:pPr>
      <w:bookmarkStart w:id="70" w:name="_Toc184888305"/>
      <w:r w:rsidRPr="001D517F">
        <w:rPr>
          <w:rFonts w:eastAsia="Calibri"/>
        </w:rPr>
        <w:t>Petroleum Resource Rent Tax Assessment Act 1987</w:t>
      </w:r>
      <w:bookmarkEnd w:id="70"/>
    </w:p>
    <w:p w14:paraId="6C7B7EB2" w14:textId="77777777" w:rsidR="002F33A0" w:rsidRPr="001D517F" w:rsidRDefault="002F33A0" w:rsidP="00152C0F">
      <w:pPr>
        <w:pStyle w:val="ItemHead"/>
      </w:pPr>
      <w:r w:rsidRPr="001D517F">
        <w:t>10  Section 26</w:t>
      </w:r>
    </w:p>
    <w:p w14:paraId="58B85D10" w14:textId="77777777" w:rsidR="002F33A0" w:rsidRPr="001D517F" w:rsidRDefault="002F33A0" w:rsidP="00152C0F">
      <w:pPr>
        <w:pStyle w:val="Item"/>
      </w:pPr>
      <w:r w:rsidRPr="001D517F">
        <w:t>Omit “, 24(1)(e)”.</w:t>
      </w:r>
    </w:p>
    <w:p w14:paraId="33D705F5" w14:textId="77777777" w:rsidR="002F33A0" w:rsidRPr="001D517F" w:rsidRDefault="002F33A0" w:rsidP="00152C0F">
      <w:pPr>
        <w:pStyle w:val="Transitional"/>
      </w:pPr>
      <w:r w:rsidRPr="001D517F">
        <w:t>11  Application of amendments</w:t>
      </w:r>
    </w:p>
    <w:p w14:paraId="5B0C44FF" w14:textId="77777777" w:rsidR="002F33A0" w:rsidRPr="001D517F" w:rsidRDefault="002F33A0" w:rsidP="00152C0F">
      <w:pPr>
        <w:pStyle w:val="Item"/>
      </w:pPr>
      <w:r w:rsidRPr="001D517F">
        <w:t>The amendment made by this Division applies in relation to a year of tax beginning on or after 1 July 2024.</w:t>
      </w:r>
    </w:p>
    <w:p w14:paraId="00BFBEEF" w14:textId="77777777" w:rsidR="002F33A0" w:rsidRPr="001D517F" w:rsidRDefault="002F33A0" w:rsidP="00152C0F">
      <w:pPr>
        <w:pStyle w:val="ActHead7"/>
        <w:pageBreakBefore/>
      </w:pPr>
      <w:bookmarkStart w:id="71" w:name="_Toc184888306"/>
      <w:r w:rsidRPr="00A15312">
        <w:rPr>
          <w:rStyle w:val="CharAmPartNo"/>
        </w:rPr>
        <w:t>Part 2</w:t>
      </w:r>
      <w:r w:rsidRPr="001D517F">
        <w:t>—</w:t>
      </w:r>
      <w:r w:rsidRPr="00A15312">
        <w:rPr>
          <w:rStyle w:val="CharAmPartText"/>
        </w:rPr>
        <w:t>Amendments commencing first day of next quarter</w:t>
      </w:r>
      <w:bookmarkEnd w:id="71"/>
    </w:p>
    <w:p w14:paraId="570C9790" w14:textId="77777777" w:rsidR="002F33A0" w:rsidRPr="001D517F" w:rsidRDefault="002F33A0" w:rsidP="00152C0F">
      <w:pPr>
        <w:pStyle w:val="ActHead8"/>
        <w:rPr>
          <w:rFonts w:eastAsia="Calibri"/>
        </w:rPr>
      </w:pPr>
      <w:bookmarkStart w:id="72" w:name="_Toc184888307"/>
      <w:r w:rsidRPr="001D517F">
        <w:t>Division 1—</w:t>
      </w:r>
      <w:r w:rsidRPr="001D517F">
        <w:rPr>
          <w:rFonts w:eastAsia="Calibri"/>
        </w:rPr>
        <w:t>General class investors</w:t>
      </w:r>
      <w:bookmarkEnd w:id="72"/>
    </w:p>
    <w:p w14:paraId="191F46C2" w14:textId="77777777" w:rsidR="002F33A0" w:rsidRPr="001D517F" w:rsidRDefault="002F33A0" w:rsidP="00152C0F">
      <w:pPr>
        <w:pStyle w:val="ActHead9"/>
      </w:pPr>
      <w:bookmarkStart w:id="73" w:name="_Toc184888308"/>
      <w:bookmarkStart w:id="74" w:name="_Hlk184892340"/>
      <w:r w:rsidRPr="001D517F">
        <w:t>Income Tax Assessment Act 1997</w:t>
      </w:r>
      <w:bookmarkEnd w:id="73"/>
    </w:p>
    <w:bookmarkEnd w:id="74"/>
    <w:p w14:paraId="5FEA3E71" w14:textId="77777777" w:rsidR="002F33A0" w:rsidRPr="001D517F" w:rsidRDefault="002F33A0" w:rsidP="00152C0F">
      <w:pPr>
        <w:pStyle w:val="ItemHead"/>
      </w:pPr>
      <w:r w:rsidRPr="001D517F">
        <w:t>12  After subsection 820</w:t>
      </w:r>
      <w:r w:rsidR="00152C0F">
        <w:noBreakHyphen/>
      </w:r>
      <w:r w:rsidRPr="001D517F">
        <w:t>85(2B)</w:t>
      </w:r>
    </w:p>
    <w:p w14:paraId="386A5735" w14:textId="77777777" w:rsidR="002F33A0" w:rsidRPr="001D517F" w:rsidRDefault="002F33A0" w:rsidP="00152C0F">
      <w:pPr>
        <w:pStyle w:val="Item"/>
      </w:pPr>
      <w:r w:rsidRPr="001D517F">
        <w:t>Insert:</w:t>
      </w:r>
    </w:p>
    <w:p w14:paraId="62A06425" w14:textId="77777777" w:rsidR="002F33A0" w:rsidRPr="001D517F" w:rsidRDefault="002F33A0" w:rsidP="00152C0F">
      <w:pPr>
        <w:pStyle w:val="subsection"/>
      </w:pPr>
      <w:r w:rsidRPr="001D517F">
        <w:tab/>
        <w:t>(2BA)</w:t>
      </w:r>
      <w:r w:rsidRPr="001D517F">
        <w:tab/>
        <w:t xml:space="preserve">For the purposes of </w:t>
      </w:r>
      <w:r w:rsidR="001D517F">
        <w:t>item 2</w:t>
      </w:r>
      <w:r w:rsidRPr="001D517F">
        <w:t xml:space="preserve"> of the table in </w:t>
      </w:r>
      <w:r w:rsidR="00262F0A" w:rsidRPr="001D517F">
        <w:t>subsection (</w:t>
      </w:r>
      <w:r w:rsidRPr="001D517F">
        <w:t xml:space="preserve">2) of this section, assume that the other </w:t>
      </w:r>
      <w:r w:rsidR="00152C0F" w:rsidRPr="00152C0F">
        <w:rPr>
          <w:position w:val="6"/>
          <w:sz w:val="16"/>
        </w:rPr>
        <w:t>*</w:t>
      </w:r>
      <w:r w:rsidRPr="001D517F">
        <w:t xml:space="preserve">Australian entity is a </w:t>
      </w:r>
      <w:r w:rsidR="00152C0F" w:rsidRPr="00152C0F">
        <w:rPr>
          <w:position w:val="6"/>
          <w:sz w:val="16"/>
        </w:rPr>
        <w:t>*</w:t>
      </w:r>
      <w:r w:rsidRPr="001D517F">
        <w:t>financial entity for all of the income year.</w:t>
      </w:r>
    </w:p>
    <w:p w14:paraId="3E2EBBC1" w14:textId="77777777" w:rsidR="002F33A0" w:rsidRPr="001D517F" w:rsidRDefault="002F33A0" w:rsidP="00152C0F">
      <w:pPr>
        <w:pStyle w:val="ItemHead"/>
      </w:pPr>
      <w:r w:rsidRPr="001D517F">
        <w:t>13  Subparagraph 820</w:t>
      </w:r>
      <w:r w:rsidR="00152C0F">
        <w:noBreakHyphen/>
      </w:r>
      <w:r w:rsidRPr="001D517F">
        <w:t>300(2)(c)(ii)</w:t>
      </w:r>
    </w:p>
    <w:p w14:paraId="21E5AC90" w14:textId="77777777" w:rsidR="002F33A0" w:rsidRPr="001D517F" w:rsidRDefault="002F33A0" w:rsidP="00152C0F">
      <w:pPr>
        <w:pStyle w:val="Item"/>
      </w:pPr>
      <w:r w:rsidRPr="001D517F">
        <w:t xml:space="preserve">Omit “that is an </w:t>
      </w:r>
      <w:r w:rsidR="00152C0F" w:rsidRPr="00152C0F">
        <w:rPr>
          <w:position w:val="6"/>
          <w:sz w:val="16"/>
        </w:rPr>
        <w:t>*</w:t>
      </w:r>
      <w:r w:rsidRPr="001D517F">
        <w:t>outward investing financial entity (non</w:t>
      </w:r>
      <w:r w:rsidR="00152C0F">
        <w:noBreakHyphen/>
      </w:r>
      <w:r w:rsidRPr="001D517F">
        <w:t xml:space="preserve">ADI) or an </w:t>
      </w:r>
      <w:r w:rsidR="00152C0F" w:rsidRPr="00152C0F">
        <w:rPr>
          <w:position w:val="6"/>
          <w:sz w:val="16"/>
        </w:rPr>
        <w:t>*</w:t>
      </w:r>
      <w:r w:rsidRPr="001D517F">
        <w:t xml:space="preserve">outward investing entity (ADI)”, substitute “(a </w:t>
      </w:r>
      <w:r w:rsidRPr="001D517F">
        <w:rPr>
          <w:b/>
          <w:i/>
        </w:rPr>
        <w:t>related investor</w:t>
      </w:r>
      <w:r w:rsidRPr="001D517F">
        <w:t xml:space="preserve">) to which </w:t>
      </w:r>
      <w:r w:rsidR="00262F0A" w:rsidRPr="001D517F">
        <w:t>subsection (</w:t>
      </w:r>
      <w:r w:rsidRPr="001D517F">
        <w:t>2AA) applies”.</w:t>
      </w:r>
    </w:p>
    <w:p w14:paraId="0319D4CD" w14:textId="77777777" w:rsidR="002F33A0" w:rsidRPr="001D517F" w:rsidRDefault="002F33A0" w:rsidP="00152C0F">
      <w:pPr>
        <w:pStyle w:val="ItemHead"/>
      </w:pPr>
      <w:r w:rsidRPr="001D517F">
        <w:t>14  After subsection 820</w:t>
      </w:r>
      <w:r w:rsidR="00152C0F">
        <w:noBreakHyphen/>
      </w:r>
      <w:r w:rsidRPr="001D517F">
        <w:t>300(2)</w:t>
      </w:r>
    </w:p>
    <w:p w14:paraId="110570B3" w14:textId="77777777" w:rsidR="002F33A0" w:rsidRPr="001D517F" w:rsidRDefault="002F33A0" w:rsidP="00152C0F">
      <w:pPr>
        <w:pStyle w:val="Item"/>
      </w:pPr>
      <w:r w:rsidRPr="001D517F">
        <w:t>Insert:</w:t>
      </w:r>
    </w:p>
    <w:p w14:paraId="18C14DA9" w14:textId="77777777" w:rsidR="002F33A0" w:rsidRPr="001D517F" w:rsidRDefault="002F33A0" w:rsidP="00152C0F">
      <w:pPr>
        <w:pStyle w:val="subsection"/>
      </w:pPr>
      <w:r w:rsidRPr="001D517F">
        <w:tab/>
        <w:t>(2AA)</w:t>
      </w:r>
      <w:r w:rsidRPr="001D517F">
        <w:tab/>
        <w:t>This subsection applies to a related investor for a period if at all times during the period:</w:t>
      </w:r>
    </w:p>
    <w:p w14:paraId="4ACD1393" w14:textId="77777777" w:rsidR="002F33A0" w:rsidRPr="001D517F" w:rsidRDefault="002F33A0" w:rsidP="00152C0F">
      <w:pPr>
        <w:pStyle w:val="paragraph"/>
      </w:pPr>
      <w:r w:rsidRPr="001D517F">
        <w:tab/>
        <w:t>(a)</w:t>
      </w:r>
      <w:r w:rsidRPr="001D517F">
        <w:tab/>
        <w:t xml:space="preserve">it is an </w:t>
      </w:r>
      <w:r w:rsidR="00152C0F" w:rsidRPr="00152C0F">
        <w:rPr>
          <w:position w:val="6"/>
          <w:sz w:val="16"/>
        </w:rPr>
        <w:t>*</w:t>
      </w:r>
      <w:r w:rsidRPr="001D517F">
        <w:t>outward investing financial entity (non</w:t>
      </w:r>
      <w:r w:rsidR="00152C0F">
        <w:noBreakHyphen/>
      </w:r>
      <w:r w:rsidRPr="001D517F">
        <w:t>ADI); or</w:t>
      </w:r>
    </w:p>
    <w:p w14:paraId="3874DDAC" w14:textId="77777777" w:rsidR="002F33A0" w:rsidRPr="001D517F" w:rsidRDefault="002F33A0" w:rsidP="00152C0F">
      <w:pPr>
        <w:pStyle w:val="paragraph"/>
      </w:pPr>
      <w:r w:rsidRPr="001D517F">
        <w:tab/>
        <w:t>(b)</w:t>
      </w:r>
      <w:r w:rsidRPr="001D517F">
        <w:tab/>
        <w:t xml:space="preserve">it is an </w:t>
      </w:r>
      <w:r w:rsidR="00152C0F" w:rsidRPr="00152C0F">
        <w:rPr>
          <w:position w:val="6"/>
          <w:sz w:val="16"/>
        </w:rPr>
        <w:t>*</w:t>
      </w:r>
      <w:r w:rsidRPr="001D517F">
        <w:t>outward investing entity (ADI); or</w:t>
      </w:r>
    </w:p>
    <w:p w14:paraId="7668DF35" w14:textId="77777777" w:rsidR="002F33A0" w:rsidRPr="001D517F" w:rsidRDefault="002F33A0" w:rsidP="00152C0F">
      <w:pPr>
        <w:pStyle w:val="paragraph"/>
      </w:pPr>
      <w:r w:rsidRPr="001D517F">
        <w:tab/>
        <w:t>(c)</w:t>
      </w:r>
      <w:r w:rsidRPr="001D517F">
        <w:tab/>
        <w:t>both:</w:t>
      </w:r>
    </w:p>
    <w:p w14:paraId="3047D849" w14:textId="77777777" w:rsidR="002F33A0" w:rsidRPr="001D517F" w:rsidRDefault="002F33A0" w:rsidP="00152C0F">
      <w:pPr>
        <w:pStyle w:val="paragraphsub"/>
      </w:pPr>
      <w:r w:rsidRPr="001D517F">
        <w:tab/>
        <w:t>(i)</w:t>
      </w:r>
      <w:r w:rsidRPr="001D517F">
        <w:tab/>
        <w:t xml:space="preserve">it is a </w:t>
      </w:r>
      <w:r w:rsidR="00152C0F" w:rsidRPr="00152C0F">
        <w:rPr>
          <w:position w:val="6"/>
          <w:sz w:val="16"/>
        </w:rPr>
        <w:t>*</w:t>
      </w:r>
      <w:r w:rsidRPr="001D517F">
        <w:t>general class investor; and</w:t>
      </w:r>
    </w:p>
    <w:p w14:paraId="4F412EE0" w14:textId="77777777" w:rsidR="002F33A0" w:rsidRPr="001D517F" w:rsidRDefault="002F33A0" w:rsidP="00152C0F">
      <w:pPr>
        <w:pStyle w:val="paragraphsub"/>
      </w:pPr>
      <w:r w:rsidRPr="001D517F">
        <w:tab/>
        <w:t>(ii)</w:t>
      </w:r>
      <w:r w:rsidRPr="001D517F">
        <w:tab/>
        <w:t xml:space="preserve">assuming that it were a </w:t>
      </w:r>
      <w:r w:rsidR="00152C0F" w:rsidRPr="00152C0F">
        <w:rPr>
          <w:position w:val="6"/>
          <w:sz w:val="16"/>
        </w:rPr>
        <w:t>*</w:t>
      </w:r>
      <w:r w:rsidRPr="001D517F">
        <w:t>financial entity, it would be an outward investing financial entity (non</w:t>
      </w:r>
      <w:r w:rsidR="00152C0F">
        <w:noBreakHyphen/>
      </w:r>
      <w:r w:rsidRPr="001D517F">
        <w:t>ADI).</w:t>
      </w:r>
    </w:p>
    <w:p w14:paraId="12B036B9" w14:textId="77777777" w:rsidR="002F33A0" w:rsidRPr="001D517F" w:rsidRDefault="002F33A0" w:rsidP="00152C0F">
      <w:pPr>
        <w:pStyle w:val="Transitional"/>
      </w:pPr>
      <w:r w:rsidRPr="001D517F">
        <w:t>15  Application of amendments</w:t>
      </w:r>
    </w:p>
    <w:p w14:paraId="0D30078A" w14:textId="77777777" w:rsidR="002F33A0" w:rsidRPr="001D517F" w:rsidRDefault="002F33A0" w:rsidP="00152C0F">
      <w:pPr>
        <w:pStyle w:val="Item"/>
      </w:pPr>
      <w:r w:rsidRPr="001D517F">
        <w:t>The amendments made by this Division apply in relation to an income year starting on or after 1 July 2023.</w:t>
      </w:r>
    </w:p>
    <w:p w14:paraId="069DF2AE" w14:textId="77777777" w:rsidR="002F33A0" w:rsidRPr="001D517F" w:rsidRDefault="002F33A0" w:rsidP="00152C0F">
      <w:pPr>
        <w:pStyle w:val="ActHead8"/>
        <w:rPr>
          <w:rFonts w:eastAsia="Calibri"/>
        </w:rPr>
      </w:pPr>
      <w:bookmarkStart w:id="75" w:name="_Toc184888309"/>
      <w:r w:rsidRPr="001D517F">
        <w:t>Division 2—</w:t>
      </w:r>
      <w:r w:rsidRPr="001D517F">
        <w:rPr>
          <w:rFonts w:eastAsia="Calibri"/>
        </w:rPr>
        <w:t>Deductible gift recipients</w:t>
      </w:r>
      <w:bookmarkEnd w:id="75"/>
    </w:p>
    <w:p w14:paraId="7473C3DE" w14:textId="77777777" w:rsidR="002F33A0" w:rsidRPr="001D517F" w:rsidRDefault="002F33A0" w:rsidP="00152C0F">
      <w:pPr>
        <w:pStyle w:val="ActHead9"/>
      </w:pPr>
      <w:bookmarkStart w:id="76" w:name="_Toc184888310"/>
      <w:r w:rsidRPr="001D517F">
        <w:t>Income Tax Assessment Act 1997</w:t>
      </w:r>
      <w:bookmarkEnd w:id="76"/>
    </w:p>
    <w:p w14:paraId="182E0081" w14:textId="77777777" w:rsidR="002F33A0" w:rsidRPr="001D517F" w:rsidRDefault="002F33A0" w:rsidP="00152C0F">
      <w:pPr>
        <w:pStyle w:val="ItemHead"/>
      </w:pPr>
      <w:r w:rsidRPr="001D517F">
        <w:t>16  Subsection 30</w:t>
      </w:r>
      <w:r w:rsidR="00152C0F">
        <w:noBreakHyphen/>
      </w:r>
      <w:r w:rsidRPr="001D517F">
        <w:t>45(2) (table item 4.2.9)</w:t>
      </w:r>
    </w:p>
    <w:p w14:paraId="37D61B39" w14:textId="77777777" w:rsidR="002F33A0" w:rsidRPr="001D517F" w:rsidRDefault="002F33A0" w:rsidP="00152C0F">
      <w:pPr>
        <w:pStyle w:val="Item"/>
      </w:pPr>
      <w:r w:rsidRPr="001D517F">
        <w:t>Omit “the Royal Society for the Prevention of Cruelty to Animals (South Australia) Incorporated”, substitute “Royal Society for the Prevention of Cruelty to Animals (South Australia) Limited”.</w:t>
      </w:r>
    </w:p>
    <w:p w14:paraId="2BDF22B0" w14:textId="77777777" w:rsidR="002F33A0" w:rsidRPr="001D517F" w:rsidRDefault="002F33A0" w:rsidP="00152C0F">
      <w:pPr>
        <w:pStyle w:val="ItemHead"/>
      </w:pPr>
      <w:r w:rsidRPr="001D517F">
        <w:t>17  Subsection 30</w:t>
      </w:r>
      <w:r w:rsidR="00152C0F">
        <w:noBreakHyphen/>
      </w:r>
      <w:r w:rsidRPr="001D517F">
        <w:t>45(2) (table item 4.2.26)</w:t>
      </w:r>
    </w:p>
    <w:p w14:paraId="2A4290A2" w14:textId="77777777" w:rsidR="002F33A0" w:rsidRPr="001D517F" w:rsidRDefault="002F33A0" w:rsidP="00152C0F">
      <w:pPr>
        <w:pStyle w:val="Item"/>
      </w:pPr>
      <w:r w:rsidRPr="001D517F">
        <w:t>Omit “Alcohol Education and Rehabilitation Foundation Limited”, substitute “Foundation for Alcohol Research and Education Limited”.</w:t>
      </w:r>
    </w:p>
    <w:p w14:paraId="56B35065" w14:textId="77777777" w:rsidR="002F33A0" w:rsidRPr="001D517F" w:rsidRDefault="002F33A0" w:rsidP="00152C0F">
      <w:pPr>
        <w:pStyle w:val="ItemHead"/>
      </w:pPr>
      <w:r w:rsidRPr="001D517F">
        <w:t>18  Subsection 30</w:t>
      </w:r>
      <w:r w:rsidR="00152C0F">
        <w:noBreakHyphen/>
      </w:r>
      <w:r w:rsidRPr="001D517F">
        <w:t>105(2) (table item 13.2.20)</w:t>
      </w:r>
    </w:p>
    <w:p w14:paraId="38201FB6" w14:textId="77777777" w:rsidR="002F33A0" w:rsidRPr="001D517F" w:rsidRDefault="002F33A0" w:rsidP="00152C0F">
      <w:pPr>
        <w:pStyle w:val="Item"/>
      </w:pPr>
      <w:r w:rsidRPr="001D517F">
        <w:t>Omit “The Prince’s Trust Australia Limited’, substitute “The King’s Trust Australia Limited”.</w:t>
      </w:r>
    </w:p>
    <w:p w14:paraId="436D6DF9" w14:textId="77777777" w:rsidR="002F33A0" w:rsidRPr="001D517F" w:rsidRDefault="002F33A0" w:rsidP="00152C0F">
      <w:pPr>
        <w:pStyle w:val="ItemHead"/>
      </w:pPr>
      <w:r w:rsidRPr="001D517F">
        <w:t>19  Section 30</w:t>
      </w:r>
      <w:r w:rsidR="00152C0F">
        <w:noBreakHyphen/>
      </w:r>
      <w:r w:rsidRPr="001D517F">
        <w:t>315 (after table item 49D)</w:t>
      </w:r>
    </w:p>
    <w:p w14:paraId="5820AFAA" w14:textId="77777777" w:rsidR="002F33A0" w:rsidRPr="001D517F" w:rsidRDefault="002F33A0" w:rsidP="00152C0F">
      <w:pPr>
        <w:pStyle w:val="Item"/>
      </w:pPr>
      <w:r w:rsidRPr="001D517F">
        <w:t>Insert:</w:t>
      </w:r>
    </w:p>
    <w:p w14:paraId="78FFEE29" w14:textId="77777777" w:rsidR="002F33A0" w:rsidRPr="001D517F" w:rsidRDefault="002F33A0" w:rsidP="00152C0F">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2F33A0" w:rsidRPr="001D517F" w14:paraId="626282C4" w14:textId="77777777" w:rsidTr="001E5F93">
        <w:tc>
          <w:tcPr>
            <w:tcW w:w="1063" w:type="dxa"/>
            <w:shd w:val="clear" w:color="auto" w:fill="auto"/>
          </w:tcPr>
          <w:p w14:paraId="0D60A032" w14:textId="77777777" w:rsidR="002F33A0" w:rsidRPr="001D517F" w:rsidRDefault="002F33A0" w:rsidP="00152C0F">
            <w:pPr>
              <w:pStyle w:val="Tabletext"/>
            </w:pPr>
            <w:r w:rsidRPr="001D517F">
              <w:t>49E</w:t>
            </w:r>
          </w:p>
        </w:tc>
        <w:tc>
          <w:tcPr>
            <w:tcW w:w="3917" w:type="dxa"/>
            <w:shd w:val="clear" w:color="auto" w:fill="auto"/>
          </w:tcPr>
          <w:p w14:paraId="4EEE5709" w14:textId="77777777" w:rsidR="002F33A0" w:rsidRPr="001D517F" w:rsidRDefault="002F33A0" w:rsidP="00152C0F">
            <w:pPr>
              <w:pStyle w:val="Tabletext"/>
            </w:pPr>
            <w:r w:rsidRPr="001D517F">
              <w:t>Foundation for Alcohol Research and Education Limited</w:t>
            </w:r>
          </w:p>
        </w:tc>
        <w:tc>
          <w:tcPr>
            <w:tcW w:w="2327" w:type="dxa"/>
            <w:shd w:val="clear" w:color="auto" w:fill="auto"/>
          </w:tcPr>
          <w:p w14:paraId="288DC8F1" w14:textId="77777777" w:rsidR="002F33A0" w:rsidRPr="001D517F" w:rsidRDefault="002F33A0" w:rsidP="00152C0F">
            <w:pPr>
              <w:pStyle w:val="Tabletext"/>
            </w:pPr>
            <w:r w:rsidRPr="001D517F">
              <w:t>item 4.2.26</w:t>
            </w:r>
          </w:p>
        </w:tc>
      </w:tr>
    </w:tbl>
    <w:p w14:paraId="783F8266" w14:textId="77777777" w:rsidR="002F33A0" w:rsidRPr="001D517F" w:rsidRDefault="002F33A0" w:rsidP="00152C0F">
      <w:pPr>
        <w:pStyle w:val="ItemHead"/>
      </w:pPr>
      <w:r w:rsidRPr="001D517F">
        <w:t>20  Section 30</w:t>
      </w:r>
      <w:r w:rsidR="00152C0F">
        <w:noBreakHyphen/>
      </w:r>
      <w:r w:rsidRPr="001D517F">
        <w:t>315 (after table item 64A)</w:t>
      </w:r>
    </w:p>
    <w:p w14:paraId="377A8428" w14:textId="77777777" w:rsidR="002F33A0" w:rsidRPr="001D517F" w:rsidRDefault="002F33A0" w:rsidP="00152C0F">
      <w:pPr>
        <w:pStyle w:val="Item"/>
      </w:pPr>
      <w:r w:rsidRPr="001D517F">
        <w:t>Insert:</w:t>
      </w:r>
    </w:p>
    <w:p w14:paraId="722CCB2B" w14:textId="77777777" w:rsidR="002F33A0" w:rsidRPr="001D517F" w:rsidRDefault="002F33A0" w:rsidP="00152C0F">
      <w:pPr>
        <w:pStyle w:val="Tabletext"/>
      </w:pPr>
    </w:p>
    <w:tbl>
      <w:tblPr>
        <w:tblW w:w="7307" w:type="dxa"/>
        <w:tblInd w:w="38" w:type="dxa"/>
        <w:tblLayout w:type="fixed"/>
        <w:tblLook w:val="0000" w:firstRow="0" w:lastRow="0" w:firstColumn="0" w:lastColumn="0" w:noHBand="0" w:noVBand="0"/>
      </w:tblPr>
      <w:tblGrid>
        <w:gridCol w:w="1063"/>
        <w:gridCol w:w="3917"/>
        <w:gridCol w:w="2327"/>
      </w:tblGrid>
      <w:tr w:rsidR="002F33A0" w:rsidRPr="001D517F" w14:paraId="7300BF48" w14:textId="77777777" w:rsidTr="001E5F93">
        <w:tc>
          <w:tcPr>
            <w:tcW w:w="1063" w:type="dxa"/>
            <w:shd w:val="clear" w:color="auto" w:fill="auto"/>
          </w:tcPr>
          <w:p w14:paraId="3B7B2C41" w14:textId="77777777" w:rsidR="002F33A0" w:rsidRPr="001D517F" w:rsidRDefault="002F33A0" w:rsidP="00152C0F">
            <w:pPr>
              <w:pStyle w:val="Tabletext"/>
            </w:pPr>
            <w:r w:rsidRPr="001D517F">
              <w:t>64B</w:t>
            </w:r>
          </w:p>
        </w:tc>
        <w:tc>
          <w:tcPr>
            <w:tcW w:w="3917" w:type="dxa"/>
            <w:shd w:val="clear" w:color="auto" w:fill="auto"/>
          </w:tcPr>
          <w:p w14:paraId="7F5D885C" w14:textId="77777777" w:rsidR="002F33A0" w:rsidRPr="001D517F" w:rsidRDefault="002F33A0" w:rsidP="00152C0F">
            <w:pPr>
              <w:pStyle w:val="Tabletext"/>
            </w:pPr>
            <w:r w:rsidRPr="001D517F">
              <w:t>King’s Trust Australia Limited</w:t>
            </w:r>
          </w:p>
        </w:tc>
        <w:tc>
          <w:tcPr>
            <w:tcW w:w="2327" w:type="dxa"/>
            <w:shd w:val="clear" w:color="auto" w:fill="auto"/>
          </w:tcPr>
          <w:p w14:paraId="42452DF4" w14:textId="77777777" w:rsidR="002F33A0" w:rsidRPr="001D517F" w:rsidRDefault="002F33A0" w:rsidP="00152C0F">
            <w:pPr>
              <w:pStyle w:val="Tabletext"/>
            </w:pPr>
            <w:r w:rsidRPr="001D517F">
              <w:t>item 13.2.20</w:t>
            </w:r>
          </w:p>
        </w:tc>
      </w:tr>
    </w:tbl>
    <w:p w14:paraId="7EB71E98" w14:textId="77777777" w:rsidR="002F33A0" w:rsidRPr="001D517F" w:rsidRDefault="002F33A0" w:rsidP="00152C0F">
      <w:pPr>
        <w:pStyle w:val="ItemHead"/>
      </w:pPr>
      <w:r w:rsidRPr="001D517F">
        <w:t>21  Section 30</w:t>
      </w:r>
      <w:r w:rsidR="00152C0F">
        <w:noBreakHyphen/>
      </w:r>
      <w:r w:rsidRPr="001D517F">
        <w:t>315 (table item 89A)</w:t>
      </w:r>
    </w:p>
    <w:p w14:paraId="521DADB8" w14:textId="77777777" w:rsidR="002F33A0" w:rsidRPr="001D517F" w:rsidRDefault="002F33A0" w:rsidP="00152C0F">
      <w:pPr>
        <w:pStyle w:val="Item"/>
      </w:pPr>
      <w:r w:rsidRPr="001D517F">
        <w:t>Repeal the item.</w:t>
      </w:r>
    </w:p>
    <w:p w14:paraId="579E5976" w14:textId="77777777" w:rsidR="002F33A0" w:rsidRPr="001D517F" w:rsidRDefault="002F33A0" w:rsidP="00152C0F">
      <w:pPr>
        <w:pStyle w:val="ActHead7"/>
        <w:pageBreakBefore/>
      </w:pPr>
      <w:bookmarkStart w:id="77" w:name="_Hlk176256525"/>
      <w:bookmarkStart w:id="78" w:name="_Toc184888311"/>
      <w:r w:rsidRPr="00A15312">
        <w:rPr>
          <w:rStyle w:val="CharAmPartNo"/>
        </w:rPr>
        <w:t>Part 3</w:t>
      </w:r>
      <w:r w:rsidRPr="001D517F">
        <w:t>—</w:t>
      </w:r>
      <w:r w:rsidRPr="00A15312">
        <w:rPr>
          <w:rStyle w:val="CharAmPartText"/>
        </w:rPr>
        <w:t>Amendments with other commencements: declaration of relevant relationships</w:t>
      </w:r>
      <w:bookmarkEnd w:id="78"/>
    </w:p>
    <w:p w14:paraId="70DAFA1A" w14:textId="77777777" w:rsidR="002F33A0" w:rsidRPr="001D517F" w:rsidRDefault="002F33A0" w:rsidP="00152C0F">
      <w:pPr>
        <w:pStyle w:val="ActHead9"/>
      </w:pPr>
      <w:bookmarkStart w:id="79" w:name="_Toc184888312"/>
      <w:bookmarkStart w:id="80" w:name="_Hlk184892386"/>
      <w:r w:rsidRPr="001D517F">
        <w:rPr>
          <w:rFonts w:eastAsia="Calibri"/>
        </w:rPr>
        <w:t>Corporations Act 2001</w:t>
      </w:r>
      <w:bookmarkEnd w:id="79"/>
    </w:p>
    <w:bookmarkEnd w:id="80"/>
    <w:p w14:paraId="1BB9A96A" w14:textId="77777777" w:rsidR="002F33A0" w:rsidRPr="001D517F" w:rsidRDefault="002F33A0" w:rsidP="00152C0F">
      <w:pPr>
        <w:pStyle w:val="ItemHead"/>
      </w:pPr>
      <w:r w:rsidRPr="001D517F">
        <w:t>22  After Subdivision C of Division 5 of Part 8B.6</w:t>
      </w:r>
    </w:p>
    <w:p w14:paraId="3CA505A0" w14:textId="77777777" w:rsidR="002F33A0" w:rsidRPr="001D517F" w:rsidRDefault="002F33A0" w:rsidP="00152C0F">
      <w:pPr>
        <w:pStyle w:val="Item"/>
      </w:pPr>
      <w:r w:rsidRPr="001D517F">
        <w:t>Insert:</w:t>
      </w:r>
    </w:p>
    <w:p w14:paraId="21D594DB" w14:textId="77777777" w:rsidR="002F33A0" w:rsidRPr="001D517F" w:rsidRDefault="002F33A0" w:rsidP="00152C0F">
      <w:pPr>
        <w:pStyle w:val="ActHead4"/>
      </w:pPr>
      <w:bookmarkStart w:id="81" w:name="_Toc184888313"/>
      <w:r w:rsidRPr="00A15312">
        <w:rPr>
          <w:rStyle w:val="CharSubdNo"/>
        </w:rPr>
        <w:t>Subdivision CA</w:t>
      </w:r>
      <w:r w:rsidRPr="001D517F">
        <w:t>—</w:t>
      </w:r>
      <w:r w:rsidRPr="00A15312">
        <w:rPr>
          <w:rStyle w:val="CharSubdText"/>
        </w:rPr>
        <w:t>Voluntary winding up</w:t>
      </w:r>
      <w:bookmarkEnd w:id="81"/>
    </w:p>
    <w:p w14:paraId="19BC6536" w14:textId="77777777" w:rsidR="002F33A0" w:rsidRPr="001D517F" w:rsidRDefault="002F33A0" w:rsidP="00152C0F">
      <w:pPr>
        <w:pStyle w:val="ActHead5"/>
      </w:pPr>
      <w:bookmarkStart w:id="82" w:name="_Toc184888314"/>
      <w:r w:rsidRPr="00A15312">
        <w:rPr>
          <w:rStyle w:val="CharSectno"/>
        </w:rPr>
        <w:t>1237KA</w:t>
      </w:r>
      <w:r w:rsidRPr="001D517F">
        <w:t xml:space="preserve">  Declaration of relevant relationships</w:t>
      </w:r>
      <w:bookmarkEnd w:id="82"/>
    </w:p>
    <w:p w14:paraId="6B837F50" w14:textId="77777777" w:rsidR="002F33A0" w:rsidRPr="001D517F" w:rsidRDefault="002F33A0" w:rsidP="00152C0F">
      <w:pPr>
        <w:pStyle w:val="subsection"/>
      </w:pPr>
      <w:r w:rsidRPr="001D517F">
        <w:tab/>
      </w:r>
      <w:r w:rsidRPr="001D517F">
        <w:tab/>
        <w:t>Paragraph 60(2)(a) has effect in relation to a liquidator of a sub</w:t>
      </w:r>
      <w:r w:rsidR="00152C0F">
        <w:noBreakHyphen/>
      </w:r>
      <w:r w:rsidRPr="001D517F">
        <w:t>fund of a CCIV as if the persons referred to in subparagraphs 60(2)(a)(iv) to (vii) included each other sub</w:t>
      </w:r>
      <w:r w:rsidR="00152C0F">
        <w:noBreakHyphen/>
      </w:r>
      <w:r w:rsidRPr="001D517F">
        <w:t>fund (if any) of the CCIV.</w:t>
      </w:r>
    </w:p>
    <w:p w14:paraId="2EB810D5" w14:textId="77777777" w:rsidR="002F33A0" w:rsidRPr="001D517F" w:rsidRDefault="002F33A0" w:rsidP="00152C0F">
      <w:pPr>
        <w:pStyle w:val="ItemHead"/>
      </w:pPr>
      <w:r w:rsidRPr="001D517F">
        <w:t xml:space="preserve">23  At the end of </w:t>
      </w:r>
      <w:r w:rsidR="00262F0A" w:rsidRPr="001D517F">
        <w:t>Part 1</w:t>
      </w:r>
      <w:r w:rsidRPr="001D517F">
        <w:t>0.79</w:t>
      </w:r>
    </w:p>
    <w:p w14:paraId="666A7D17" w14:textId="77777777" w:rsidR="002F33A0" w:rsidRPr="001D517F" w:rsidRDefault="002F33A0" w:rsidP="00152C0F">
      <w:pPr>
        <w:pStyle w:val="Item"/>
      </w:pPr>
      <w:r w:rsidRPr="001D517F">
        <w:t>Add:</w:t>
      </w:r>
    </w:p>
    <w:p w14:paraId="1E4DC0A9" w14:textId="77777777" w:rsidR="002F33A0" w:rsidRPr="001D517F" w:rsidRDefault="002F33A0" w:rsidP="00152C0F">
      <w:pPr>
        <w:pStyle w:val="ActHead5"/>
      </w:pPr>
      <w:bookmarkStart w:id="83" w:name="_Toc184888315"/>
      <w:r w:rsidRPr="00A15312">
        <w:rPr>
          <w:rStyle w:val="CharSectno"/>
        </w:rPr>
        <w:t>1710</w:t>
      </w:r>
      <w:r w:rsidRPr="001D517F">
        <w:t xml:space="preserve">  Declaration of relevant relationships</w:t>
      </w:r>
      <w:bookmarkEnd w:id="83"/>
    </w:p>
    <w:p w14:paraId="27E4DD0D" w14:textId="77777777" w:rsidR="002F33A0" w:rsidRPr="001D517F" w:rsidRDefault="002F33A0" w:rsidP="00152C0F">
      <w:pPr>
        <w:pStyle w:val="subsection"/>
      </w:pPr>
      <w:r w:rsidRPr="001D517F">
        <w:tab/>
        <w:t>(1)</w:t>
      </w:r>
      <w:r w:rsidRPr="001D517F">
        <w:tab/>
      </w:r>
      <w:r w:rsidR="00262F0A" w:rsidRPr="001D517F">
        <w:t>Section 1</w:t>
      </w:r>
      <w:r w:rsidRPr="001D517F">
        <w:t>237KA applies in relation to a declaration of relevant relationships (including a replacement declaration of relevant relationships) made on or after the commencement of this section.</w:t>
      </w:r>
    </w:p>
    <w:p w14:paraId="12010468" w14:textId="77777777" w:rsidR="002F33A0" w:rsidRPr="001D517F" w:rsidRDefault="002F33A0" w:rsidP="00152C0F">
      <w:pPr>
        <w:pStyle w:val="subsection"/>
      </w:pPr>
      <w:r w:rsidRPr="001D517F">
        <w:tab/>
        <w:t>(2)</w:t>
      </w:r>
      <w:r w:rsidRPr="001D517F">
        <w:tab/>
        <w:t>For the purposes of subparagraph 506A(4)(b)(i), a declaration of relevant relationships made under subsection 506A(2) is taken to become out</w:t>
      </w:r>
      <w:r w:rsidR="00152C0F">
        <w:noBreakHyphen/>
      </w:r>
      <w:r w:rsidRPr="001D517F">
        <w:t>of</w:t>
      </w:r>
      <w:r w:rsidR="00152C0F">
        <w:noBreakHyphen/>
      </w:r>
      <w:r w:rsidRPr="001D517F">
        <w:t>date on the commencement of this section if:</w:t>
      </w:r>
    </w:p>
    <w:p w14:paraId="4C12C499" w14:textId="77777777" w:rsidR="002F33A0" w:rsidRPr="001D517F" w:rsidRDefault="002F33A0" w:rsidP="00152C0F">
      <w:pPr>
        <w:pStyle w:val="paragraph"/>
      </w:pPr>
      <w:r w:rsidRPr="001D517F">
        <w:tab/>
        <w:t>(a)</w:t>
      </w:r>
      <w:r w:rsidRPr="001D517F">
        <w:tab/>
        <w:t>the declaration was made, before the commencement of this section, by a liquidator of a sub</w:t>
      </w:r>
      <w:r w:rsidR="00152C0F">
        <w:noBreakHyphen/>
      </w:r>
      <w:r w:rsidRPr="001D517F">
        <w:t>fund of a CCIV; and</w:t>
      </w:r>
    </w:p>
    <w:p w14:paraId="070D11FA" w14:textId="77777777" w:rsidR="002F33A0" w:rsidRDefault="002F33A0" w:rsidP="00152C0F">
      <w:pPr>
        <w:pStyle w:val="paragraph"/>
      </w:pPr>
      <w:r w:rsidRPr="001D517F">
        <w:tab/>
        <w:t>(b)</w:t>
      </w:r>
      <w:r w:rsidRPr="001D517F">
        <w:tab/>
        <w:t>on that commencement, any of the persons referred to in subparagraphs 60(2)(a)(i) to (iii) at that time has, or has had within the preceding 24 months, a relationship with another sub</w:t>
      </w:r>
      <w:r w:rsidR="00152C0F">
        <w:noBreakHyphen/>
      </w:r>
      <w:r w:rsidRPr="001D517F">
        <w:t>fund (if any) of the CCIV.</w:t>
      </w:r>
      <w:bookmarkEnd w:id="77"/>
    </w:p>
    <w:p w14:paraId="3C7EF848" w14:textId="77777777" w:rsidR="009B7587" w:rsidRDefault="009B7587"/>
    <w:p w14:paraId="49C67D92" w14:textId="77777777" w:rsidR="00814893" w:rsidRDefault="00814893" w:rsidP="00814893">
      <w:pPr>
        <w:pBdr>
          <w:bottom w:val="single" w:sz="4" w:space="1" w:color="auto"/>
        </w:pBdr>
        <w:sectPr w:rsidR="00814893" w:rsidSect="00814893">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2AB413C7" w14:textId="77777777" w:rsidR="00E931D8" w:rsidRDefault="00E931D8" w:rsidP="000C5962"/>
    <w:p w14:paraId="59678CC3" w14:textId="77777777" w:rsidR="00E931D8" w:rsidRDefault="00E931D8" w:rsidP="000C5962">
      <w:pPr>
        <w:pStyle w:val="2ndRd"/>
        <w:keepNext/>
        <w:pBdr>
          <w:top w:val="single" w:sz="2" w:space="1" w:color="auto"/>
        </w:pBdr>
      </w:pPr>
    </w:p>
    <w:p w14:paraId="748FFC03" w14:textId="77777777" w:rsidR="00E931D8" w:rsidRDefault="00E931D8" w:rsidP="000C5962">
      <w:pPr>
        <w:pStyle w:val="2ndRd"/>
        <w:keepNext/>
        <w:spacing w:line="260" w:lineRule="atLeast"/>
        <w:rPr>
          <w:i/>
        </w:rPr>
      </w:pPr>
      <w:r>
        <w:t>[</w:t>
      </w:r>
      <w:r>
        <w:rPr>
          <w:i/>
        </w:rPr>
        <w:t>Minister’s second reading speech made in—</w:t>
      </w:r>
    </w:p>
    <w:p w14:paraId="52C403DD" w14:textId="00C7A767" w:rsidR="00E931D8" w:rsidRDefault="00E931D8" w:rsidP="000C5962">
      <w:pPr>
        <w:pStyle w:val="2ndRd"/>
        <w:keepNext/>
        <w:spacing w:line="260" w:lineRule="atLeast"/>
        <w:rPr>
          <w:i/>
        </w:rPr>
      </w:pPr>
      <w:r>
        <w:rPr>
          <w:i/>
        </w:rPr>
        <w:t>House of Representatives on 27 November 2024</w:t>
      </w:r>
    </w:p>
    <w:p w14:paraId="44D50A07" w14:textId="03E0A3AA" w:rsidR="00E931D8" w:rsidRDefault="00E931D8" w:rsidP="000C5962">
      <w:pPr>
        <w:pStyle w:val="2ndRd"/>
        <w:keepNext/>
        <w:spacing w:line="260" w:lineRule="atLeast"/>
        <w:rPr>
          <w:i/>
        </w:rPr>
      </w:pPr>
      <w:r>
        <w:rPr>
          <w:i/>
        </w:rPr>
        <w:t>Senate on 28 November 2024</w:t>
      </w:r>
      <w:r>
        <w:t>]</w:t>
      </w:r>
    </w:p>
    <w:p w14:paraId="3BEE9917" w14:textId="53C81437" w:rsidR="00E931D8" w:rsidRDefault="00E931D8" w:rsidP="00D33F4C">
      <w:pPr>
        <w:framePr w:hSpace="180" w:wrap="around" w:vAnchor="text" w:hAnchor="page" w:x="2591" w:y="8345"/>
      </w:pPr>
      <w:r>
        <w:t>(160/24)</w:t>
      </w:r>
    </w:p>
    <w:p w14:paraId="6A22CAB9" w14:textId="77777777" w:rsidR="00E931D8" w:rsidRDefault="00E931D8"/>
    <w:sectPr w:rsidR="00E931D8" w:rsidSect="00814893">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14449" w14:textId="77777777" w:rsidR="00152C0F" w:rsidRDefault="00152C0F" w:rsidP="0048364F">
      <w:pPr>
        <w:spacing w:line="240" w:lineRule="auto"/>
      </w:pPr>
      <w:r>
        <w:separator/>
      </w:r>
    </w:p>
  </w:endnote>
  <w:endnote w:type="continuationSeparator" w:id="0">
    <w:p w14:paraId="731E347D" w14:textId="77777777" w:rsidR="00152C0F" w:rsidRDefault="00152C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73DC" w14:textId="77777777" w:rsidR="00152C0F" w:rsidRPr="005F1388" w:rsidRDefault="00152C0F" w:rsidP="00152C0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EC44" w14:textId="381D4DC2" w:rsidR="00E931D8" w:rsidRDefault="00E931D8" w:rsidP="00CD12A5">
    <w:pPr>
      <w:pStyle w:val="ScalePlusRef"/>
    </w:pPr>
    <w:r>
      <w:t>Note: An electronic version of this Act is available on the Federal Register of Legislation (</w:t>
    </w:r>
    <w:hyperlink r:id="rId1" w:history="1">
      <w:r>
        <w:t>https://www.legislation.gov.au/</w:t>
      </w:r>
    </w:hyperlink>
    <w:r>
      <w:t>)</w:t>
    </w:r>
  </w:p>
  <w:p w14:paraId="610DC4AB" w14:textId="77777777" w:rsidR="00E931D8" w:rsidRDefault="00E931D8" w:rsidP="00CD12A5"/>
  <w:p w14:paraId="02157851" w14:textId="4A5EC9BB" w:rsidR="00152C0F" w:rsidRDefault="00152C0F" w:rsidP="00152C0F">
    <w:pPr>
      <w:pStyle w:val="Footer"/>
      <w:spacing w:before="120"/>
    </w:pPr>
  </w:p>
  <w:p w14:paraId="0CB56278" w14:textId="77777777" w:rsidR="00152C0F" w:rsidRPr="005F1388" w:rsidRDefault="00152C0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AE37" w14:textId="77777777" w:rsidR="00152C0F" w:rsidRPr="00ED79B6" w:rsidRDefault="00152C0F" w:rsidP="00152C0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A01E" w14:textId="77777777" w:rsidR="00152C0F" w:rsidRDefault="00152C0F" w:rsidP="00152C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2C0F" w14:paraId="6F8FECBF" w14:textId="77777777" w:rsidTr="005950F0">
      <w:tc>
        <w:tcPr>
          <w:tcW w:w="646" w:type="dxa"/>
        </w:tcPr>
        <w:p w14:paraId="6B857DAE" w14:textId="77777777" w:rsidR="00152C0F" w:rsidRDefault="00152C0F" w:rsidP="005950F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B3373CB" w14:textId="4AABE726" w:rsidR="00152C0F" w:rsidRDefault="00152C0F" w:rsidP="005950F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13FA">
            <w:rPr>
              <w:i/>
              <w:sz w:val="18"/>
            </w:rPr>
            <w:t>Treasury Laws Amendment (Fairer for Families and Farmers and Other Measures) Act 2024</w:t>
          </w:r>
          <w:r w:rsidRPr="00ED79B6">
            <w:rPr>
              <w:i/>
              <w:sz w:val="18"/>
            </w:rPr>
            <w:fldChar w:fldCharType="end"/>
          </w:r>
        </w:p>
      </w:tc>
      <w:tc>
        <w:tcPr>
          <w:tcW w:w="1270" w:type="dxa"/>
        </w:tcPr>
        <w:p w14:paraId="7FEE2F0C" w14:textId="1443F269" w:rsidR="00152C0F" w:rsidRDefault="00152C0F" w:rsidP="005950F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13FA">
            <w:rPr>
              <w:i/>
              <w:sz w:val="18"/>
            </w:rPr>
            <w:t>No. 136, 2024</w:t>
          </w:r>
          <w:r w:rsidRPr="00ED79B6">
            <w:rPr>
              <w:i/>
              <w:sz w:val="18"/>
            </w:rPr>
            <w:fldChar w:fldCharType="end"/>
          </w:r>
        </w:p>
      </w:tc>
    </w:tr>
  </w:tbl>
  <w:p w14:paraId="7F7A524B" w14:textId="77777777" w:rsidR="00152C0F" w:rsidRDefault="00152C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586F0" w14:textId="77777777" w:rsidR="00152C0F" w:rsidRDefault="00152C0F" w:rsidP="00152C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2C0F" w14:paraId="239DB11E" w14:textId="77777777" w:rsidTr="005950F0">
      <w:tc>
        <w:tcPr>
          <w:tcW w:w="1247" w:type="dxa"/>
        </w:tcPr>
        <w:p w14:paraId="51E66E2B" w14:textId="4FA52709" w:rsidR="00152C0F" w:rsidRDefault="00152C0F" w:rsidP="005950F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113FA">
            <w:rPr>
              <w:i/>
              <w:sz w:val="18"/>
            </w:rPr>
            <w:t>No. 136, 2024</w:t>
          </w:r>
          <w:r w:rsidRPr="00ED79B6">
            <w:rPr>
              <w:i/>
              <w:sz w:val="18"/>
            </w:rPr>
            <w:fldChar w:fldCharType="end"/>
          </w:r>
        </w:p>
      </w:tc>
      <w:tc>
        <w:tcPr>
          <w:tcW w:w="5387" w:type="dxa"/>
        </w:tcPr>
        <w:p w14:paraId="101D3E51" w14:textId="198A3220" w:rsidR="00152C0F" w:rsidRDefault="00152C0F" w:rsidP="005950F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113FA">
            <w:rPr>
              <w:i/>
              <w:sz w:val="18"/>
            </w:rPr>
            <w:t>Treasury Laws Amendment (Fairer for Families and Farmers and Other Measures) Act 2024</w:t>
          </w:r>
          <w:r w:rsidRPr="00ED79B6">
            <w:rPr>
              <w:i/>
              <w:sz w:val="18"/>
            </w:rPr>
            <w:fldChar w:fldCharType="end"/>
          </w:r>
        </w:p>
      </w:tc>
      <w:tc>
        <w:tcPr>
          <w:tcW w:w="669" w:type="dxa"/>
        </w:tcPr>
        <w:p w14:paraId="4CEC62F8" w14:textId="77777777" w:rsidR="00152C0F" w:rsidRDefault="00152C0F" w:rsidP="005950F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3A08A63" w14:textId="77777777" w:rsidR="00152C0F" w:rsidRPr="00ED79B6" w:rsidRDefault="00152C0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5F13" w14:textId="77777777" w:rsidR="00152C0F" w:rsidRPr="00A961C4" w:rsidRDefault="00152C0F" w:rsidP="00152C0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52C0F" w14:paraId="6DD2D7FF" w14:textId="77777777" w:rsidTr="00A15312">
      <w:tc>
        <w:tcPr>
          <w:tcW w:w="646" w:type="dxa"/>
        </w:tcPr>
        <w:p w14:paraId="69FB5330" w14:textId="77777777" w:rsidR="00152C0F" w:rsidRDefault="00152C0F" w:rsidP="005950F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9B338DE" w14:textId="642A7D73" w:rsidR="00152C0F" w:rsidRDefault="00152C0F" w:rsidP="005950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13FA">
            <w:rPr>
              <w:i/>
              <w:sz w:val="18"/>
            </w:rPr>
            <w:t>Treasury Laws Amendment (Fairer for Families and Farmers and Other Measures) Act 2024</w:t>
          </w:r>
          <w:r w:rsidRPr="007A1328">
            <w:rPr>
              <w:i/>
              <w:sz w:val="18"/>
            </w:rPr>
            <w:fldChar w:fldCharType="end"/>
          </w:r>
        </w:p>
      </w:tc>
      <w:tc>
        <w:tcPr>
          <w:tcW w:w="1270" w:type="dxa"/>
        </w:tcPr>
        <w:p w14:paraId="1B999416" w14:textId="3364FE9B" w:rsidR="00152C0F" w:rsidRDefault="00152C0F" w:rsidP="005950F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113FA">
            <w:rPr>
              <w:i/>
              <w:sz w:val="18"/>
            </w:rPr>
            <w:t>No. 136, 2024</w:t>
          </w:r>
          <w:r w:rsidRPr="007A1328">
            <w:rPr>
              <w:i/>
              <w:sz w:val="18"/>
            </w:rPr>
            <w:fldChar w:fldCharType="end"/>
          </w:r>
        </w:p>
      </w:tc>
    </w:tr>
  </w:tbl>
  <w:p w14:paraId="4CB540D4" w14:textId="77777777" w:rsidR="00152C0F" w:rsidRPr="00A961C4" w:rsidRDefault="00152C0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A480" w14:textId="77777777" w:rsidR="00152C0F" w:rsidRPr="00A961C4" w:rsidRDefault="00152C0F" w:rsidP="00152C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52C0F" w14:paraId="3153532E" w14:textId="77777777" w:rsidTr="00A15312">
      <w:tc>
        <w:tcPr>
          <w:tcW w:w="1247" w:type="dxa"/>
        </w:tcPr>
        <w:p w14:paraId="1931AEC6" w14:textId="3BC3CED3" w:rsidR="00152C0F" w:rsidRDefault="00152C0F" w:rsidP="005950F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113FA">
            <w:rPr>
              <w:i/>
              <w:sz w:val="18"/>
            </w:rPr>
            <w:t>No. 136, 2024</w:t>
          </w:r>
          <w:r w:rsidRPr="007A1328">
            <w:rPr>
              <w:i/>
              <w:sz w:val="18"/>
            </w:rPr>
            <w:fldChar w:fldCharType="end"/>
          </w:r>
        </w:p>
      </w:tc>
      <w:tc>
        <w:tcPr>
          <w:tcW w:w="5387" w:type="dxa"/>
        </w:tcPr>
        <w:p w14:paraId="220AA777" w14:textId="4229469A" w:rsidR="00152C0F" w:rsidRDefault="00152C0F" w:rsidP="005950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13FA">
            <w:rPr>
              <w:i/>
              <w:sz w:val="18"/>
            </w:rPr>
            <w:t>Treasury Laws Amendment (Fairer for Families and Farmers and Other Measures) Act 2024</w:t>
          </w:r>
          <w:r w:rsidRPr="007A1328">
            <w:rPr>
              <w:i/>
              <w:sz w:val="18"/>
            </w:rPr>
            <w:fldChar w:fldCharType="end"/>
          </w:r>
        </w:p>
      </w:tc>
      <w:tc>
        <w:tcPr>
          <w:tcW w:w="669" w:type="dxa"/>
        </w:tcPr>
        <w:p w14:paraId="0DC7494A" w14:textId="77777777" w:rsidR="00152C0F" w:rsidRDefault="00152C0F" w:rsidP="005950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4AAE77F" w14:textId="77777777" w:rsidR="00152C0F" w:rsidRPr="00055B5C" w:rsidRDefault="00152C0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5167" w14:textId="77777777" w:rsidR="00152C0F" w:rsidRPr="00A961C4" w:rsidRDefault="00152C0F" w:rsidP="00152C0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52C0F" w14:paraId="3B3B2AF0" w14:textId="77777777" w:rsidTr="00A15312">
      <w:tc>
        <w:tcPr>
          <w:tcW w:w="1247" w:type="dxa"/>
        </w:tcPr>
        <w:p w14:paraId="3D5ED02F" w14:textId="6F541885" w:rsidR="00152C0F" w:rsidRDefault="00152C0F" w:rsidP="005950F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113FA">
            <w:rPr>
              <w:i/>
              <w:sz w:val="18"/>
            </w:rPr>
            <w:t>No. 136, 2024</w:t>
          </w:r>
          <w:r w:rsidRPr="007A1328">
            <w:rPr>
              <w:i/>
              <w:sz w:val="18"/>
            </w:rPr>
            <w:fldChar w:fldCharType="end"/>
          </w:r>
        </w:p>
      </w:tc>
      <w:tc>
        <w:tcPr>
          <w:tcW w:w="5387" w:type="dxa"/>
        </w:tcPr>
        <w:p w14:paraId="796566F9" w14:textId="3DF0E7AC" w:rsidR="00152C0F" w:rsidRDefault="00152C0F" w:rsidP="005950F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113FA">
            <w:rPr>
              <w:i/>
              <w:sz w:val="18"/>
            </w:rPr>
            <w:t>Treasury Laws Amendment (Fairer for Families and Farmers and Other Measures) Act 2024</w:t>
          </w:r>
          <w:r w:rsidRPr="007A1328">
            <w:rPr>
              <w:i/>
              <w:sz w:val="18"/>
            </w:rPr>
            <w:fldChar w:fldCharType="end"/>
          </w:r>
        </w:p>
      </w:tc>
      <w:tc>
        <w:tcPr>
          <w:tcW w:w="669" w:type="dxa"/>
        </w:tcPr>
        <w:p w14:paraId="422C5EBC" w14:textId="77777777" w:rsidR="00152C0F" w:rsidRDefault="00152C0F" w:rsidP="005950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7EB0E74" w14:textId="77777777" w:rsidR="00152C0F" w:rsidRPr="00A961C4" w:rsidRDefault="00152C0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31C2" w14:textId="77777777" w:rsidR="00152C0F" w:rsidRDefault="00152C0F" w:rsidP="0048364F">
      <w:pPr>
        <w:spacing w:line="240" w:lineRule="auto"/>
      </w:pPr>
      <w:r>
        <w:separator/>
      </w:r>
    </w:p>
  </w:footnote>
  <w:footnote w:type="continuationSeparator" w:id="0">
    <w:p w14:paraId="29B33FF0" w14:textId="77777777" w:rsidR="00152C0F" w:rsidRDefault="00152C0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950F" w14:textId="77777777" w:rsidR="00152C0F" w:rsidRPr="005F1388" w:rsidRDefault="00152C0F"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8EAB" w14:textId="10297DF8" w:rsidR="00814893" w:rsidRPr="00A961C4" w:rsidRDefault="00814893" w:rsidP="0048364F">
    <w:pPr>
      <w:rPr>
        <w:b/>
        <w:sz w:val="20"/>
      </w:rPr>
    </w:pPr>
  </w:p>
  <w:p w14:paraId="157C0FE3" w14:textId="22D25170" w:rsidR="00814893" w:rsidRPr="00A961C4" w:rsidRDefault="00814893" w:rsidP="0048364F">
    <w:pPr>
      <w:rPr>
        <w:b/>
        <w:sz w:val="20"/>
      </w:rPr>
    </w:pPr>
  </w:p>
  <w:p w14:paraId="537A422B" w14:textId="77777777" w:rsidR="00814893" w:rsidRPr="00A961C4" w:rsidRDefault="00814893"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3EA3D" w14:textId="0B2DEB11" w:rsidR="00814893" w:rsidRPr="00A961C4" w:rsidRDefault="00814893" w:rsidP="0048364F">
    <w:pPr>
      <w:jc w:val="right"/>
      <w:rPr>
        <w:sz w:val="20"/>
      </w:rPr>
    </w:pPr>
  </w:p>
  <w:p w14:paraId="0A3DF5D0" w14:textId="1855A00C" w:rsidR="00814893" w:rsidRPr="00A961C4" w:rsidRDefault="00814893" w:rsidP="0048364F">
    <w:pPr>
      <w:jc w:val="right"/>
      <w:rPr>
        <w:b/>
        <w:sz w:val="20"/>
      </w:rPr>
    </w:pPr>
  </w:p>
  <w:p w14:paraId="060BE344" w14:textId="77777777" w:rsidR="00814893" w:rsidRPr="00A961C4" w:rsidRDefault="00814893"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58BB" w14:textId="77777777" w:rsidR="00814893" w:rsidRPr="00A961C4" w:rsidRDefault="00814893"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B619" w14:textId="77777777" w:rsidR="00152C0F" w:rsidRPr="005F1388" w:rsidRDefault="00152C0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9864" w14:textId="77777777" w:rsidR="00152C0F" w:rsidRPr="005F1388" w:rsidRDefault="00152C0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90C9" w14:textId="77777777" w:rsidR="00152C0F" w:rsidRPr="00ED79B6" w:rsidRDefault="00152C0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5F5F" w14:textId="77777777" w:rsidR="00152C0F" w:rsidRPr="00ED79B6" w:rsidRDefault="00152C0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3D40" w14:textId="77777777" w:rsidR="00152C0F" w:rsidRPr="00ED79B6" w:rsidRDefault="00152C0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E113" w14:textId="66CA497B" w:rsidR="00152C0F" w:rsidRPr="00A961C4" w:rsidRDefault="00152C0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E078638" w14:textId="171BCB17" w:rsidR="00152C0F" w:rsidRPr="00A961C4" w:rsidRDefault="00152C0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B4F6F9" w14:textId="77777777" w:rsidR="00152C0F" w:rsidRPr="00A961C4" w:rsidRDefault="00152C0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4109" w14:textId="0833B406" w:rsidR="00152C0F" w:rsidRPr="00A961C4" w:rsidRDefault="00152C0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0E4ADB8" w14:textId="35CC574B" w:rsidR="00152C0F" w:rsidRPr="00A961C4" w:rsidRDefault="00152C0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FE92F34" w14:textId="77777777" w:rsidR="00152C0F" w:rsidRPr="00A961C4" w:rsidRDefault="00152C0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A2BD" w14:textId="77777777" w:rsidR="00152C0F" w:rsidRPr="00A961C4" w:rsidRDefault="00152C0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862821238">
    <w:abstractNumId w:val="9"/>
  </w:num>
  <w:num w:numId="2" w16cid:durableId="490023226">
    <w:abstractNumId w:val="7"/>
  </w:num>
  <w:num w:numId="3" w16cid:durableId="232742239">
    <w:abstractNumId w:val="6"/>
  </w:num>
  <w:num w:numId="4" w16cid:durableId="134296819">
    <w:abstractNumId w:val="5"/>
  </w:num>
  <w:num w:numId="5" w16cid:durableId="1698701432">
    <w:abstractNumId w:val="4"/>
  </w:num>
  <w:num w:numId="6" w16cid:durableId="433400513">
    <w:abstractNumId w:val="8"/>
  </w:num>
  <w:num w:numId="7" w16cid:durableId="143200104">
    <w:abstractNumId w:val="3"/>
  </w:num>
  <w:num w:numId="8" w16cid:durableId="2063166685">
    <w:abstractNumId w:val="2"/>
  </w:num>
  <w:num w:numId="9" w16cid:durableId="2113040455">
    <w:abstractNumId w:val="1"/>
  </w:num>
  <w:num w:numId="10" w16cid:durableId="1510481448">
    <w:abstractNumId w:val="0"/>
  </w:num>
  <w:num w:numId="11" w16cid:durableId="242498418">
    <w:abstractNumId w:val="11"/>
  </w:num>
  <w:num w:numId="12" w16cid:durableId="370157373">
    <w:abstractNumId w:val="10"/>
  </w:num>
  <w:num w:numId="13" w16cid:durableId="876433729">
    <w:abstractNumId w:val="13"/>
  </w:num>
  <w:num w:numId="14" w16cid:durableId="1599286859">
    <w:abstractNumId w:val="12"/>
  </w:num>
  <w:num w:numId="15" w16cid:durableId="1155693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45E2"/>
    <w:rsid w:val="00005D25"/>
    <w:rsid w:val="000113BC"/>
    <w:rsid w:val="000124AA"/>
    <w:rsid w:val="000136AF"/>
    <w:rsid w:val="000155EB"/>
    <w:rsid w:val="00041023"/>
    <w:rsid w:val="000417C9"/>
    <w:rsid w:val="00055B5C"/>
    <w:rsid w:val="00056391"/>
    <w:rsid w:val="00060FF9"/>
    <w:rsid w:val="000614BF"/>
    <w:rsid w:val="00066971"/>
    <w:rsid w:val="00083DBF"/>
    <w:rsid w:val="0009140C"/>
    <w:rsid w:val="000B1FD2"/>
    <w:rsid w:val="000B491C"/>
    <w:rsid w:val="000C224E"/>
    <w:rsid w:val="000C575C"/>
    <w:rsid w:val="000D05EF"/>
    <w:rsid w:val="000F21C1"/>
    <w:rsid w:val="000F316E"/>
    <w:rsid w:val="000F347F"/>
    <w:rsid w:val="00101D90"/>
    <w:rsid w:val="0010745C"/>
    <w:rsid w:val="001113FA"/>
    <w:rsid w:val="00113BD1"/>
    <w:rsid w:val="00121B87"/>
    <w:rsid w:val="00122206"/>
    <w:rsid w:val="00143457"/>
    <w:rsid w:val="00152C0F"/>
    <w:rsid w:val="001543DA"/>
    <w:rsid w:val="0015646E"/>
    <w:rsid w:val="001643C9"/>
    <w:rsid w:val="00164E97"/>
    <w:rsid w:val="00165568"/>
    <w:rsid w:val="00166C2F"/>
    <w:rsid w:val="00167049"/>
    <w:rsid w:val="001716C9"/>
    <w:rsid w:val="00173062"/>
    <w:rsid w:val="00173363"/>
    <w:rsid w:val="00173B94"/>
    <w:rsid w:val="00174E87"/>
    <w:rsid w:val="001854B4"/>
    <w:rsid w:val="001939E1"/>
    <w:rsid w:val="00195382"/>
    <w:rsid w:val="00196FA7"/>
    <w:rsid w:val="001A18A8"/>
    <w:rsid w:val="001A3658"/>
    <w:rsid w:val="001A759A"/>
    <w:rsid w:val="001B441D"/>
    <w:rsid w:val="001B633C"/>
    <w:rsid w:val="001B7A5D"/>
    <w:rsid w:val="001C2418"/>
    <w:rsid w:val="001C69C4"/>
    <w:rsid w:val="001D517F"/>
    <w:rsid w:val="001E2A0D"/>
    <w:rsid w:val="001E3590"/>
    <w:rsid w:val="001E5F93"/>
    <w:rsid w:val="001E7407"/>
    <w:rsid w:val="001F1A2C"/>
    <w:rsid w:val="001F721A"/>
    <w:rsid w:val="00201D27"/>
    <w:rsid w:val="00202618"/>
    <w:rsid w:val="0022232B"/>
    <w:rsid w:val="00225735"/>
    <w:rsid w:val="00240749"/>
    <w:rsid w:val="0024309E"/>
    <w:rsid w:val="00262F0A"/>
    <w:rsid w:val="00263820"/>
    <w:rsid w:val="00263ABC"/>
    <w:rsid w:val="00275197"/>
    <w:rsid w:val="00293B89"/>
    <w:rsid w:val="00297ECB"/>
    <w:rsid w:val="002B5A30"/>
    <w:rsid w:val="002D043A"/>
    <w:rsid w:val="002D395A"/>
    <w:rsid w:val="002F33A0"/>
    <w:rsid w:val="002F5A80"/>
    <w:rsid w:val="0031261A"/>
    <w:rsid w:val="003262A9"/>
    <w:rsid w:val="003317AA"/>
    <w:rsid w:val="003415D3"/>
    <w:rsid w:val="00350417"/>
    <w:rsid w:val="00350873"/>
    <w:rsid w:val="00352B0F"/>
    <w:rsid w:val="00373874"/>
    <w:rsid w:val="00375C6C"/>
    <w:rsid w:val="003A2A32"/>
    <w:rsid w:val="003A7B3C"/>
    <w:rsid w:val="003B4E3D"/>
    <w:rsid w:val="003C5F2B"/>
    <w:rsid w:val="003D0BFE"/>
    <w:rsid w:val="003D5700"/>
    <w:rsid w:val="003D7B89"/>
    <w:rsid w:val="00405579"/>
    <w:rsid w:val="004070E1"/>
    <w:rsid w:val="00410B8E"/>
    <w:rsid w:val="004116CD"/>
    <w:rsid w:val="00414C8F"/>
    <w:rsid w:val="00421FC1"/>
    <w:rsid w:val="004229C7"/>
    <w:rsid w:val="00424CA9"/>
    <w:rsid w:val="00436785"/>
    <w:rsid w:val="00436BD5"/>
    <w:rsid w:val="00437E4B"/>
    <w:rsid w:val="0044291A"/>
    <w:rsid w:val="004528D4"/>
    <w:rsid w:val="0048196B"/>
    <w:rsid w:val="0048364F"/>
    <w:rsid w:val="00486D05"/>
    <w:rsid w:val="00496F97"/>
    <w:rsid w:val="004B7A5E"/>
    <w:rsid w:val="004C4CEF"/>
    <w:rsid w:val="004C7C8C"/>
    <w:rsid w:val="004D6E38"/>
    <w:rsid w:val="004E2A4A"/>
    <w:rsid w:val="004F0D23"/>
    <w:rsid w:val="004F1FAC"/>
    <w:rsid w:val="004F28B6"/>
    <w:rsid w:val="0051533F"/>
    <w:rsid w:val="00516B8D"/>
    <w:rsid w:val="0051738F"/>
    <w:rsid w:val="005237FD"/>
    <w:rsid w:val="00537FBC"/>
    <w:rsid w:val="005423E9"/>
    <w:rsid w:val="0054339C"/>
    <w:rsid w:val="00543469"/>
    <w:rsid w:val="00545D52"/>
    <w:rsid w:val="00551B54"/>
    <w:rsid w:val="005601E0"/>
    <w:rsid w:val="00584811"/>
    <w:rsid w:val="00593AA6"/>
    <w:rsid w:val="00594161"/>
    <w:rsid w:val="00594749"/>
    <w:rsid w:val="005950F0"/>
    <w:rsid w:val="005A0D92"/>
    <w:rsid w:val="005B3E0F"/>
    <w:rsid w:val="005B4067"/>
    <w:rsid w:val="005C3F41"/>
    <w:rsid w:val="005D386A"/>
    <w:rsid w:val="005E152A"/>
    <w:rsid w:val="005F0088"/>
    <w:rsid w:val="005F11B1"/>
    <w:rsid w:val="00600219"/>
    <w:rsid w:val="00612393"/>
    <w:rsid w:val="00613965"/>
    <w:rsid w:val="006167FD"/>
    <w:rsid w:val="00632F4D"/>
    <w:rsid w:val="006346F7"/>
    <w:rsid w:val="00641DE5"/>
    <w:rsid w:val="00656F0C"/>
    <w:rsid w:val="00677CC2"/>
    <w:rsid w:val="00681F92"/>
    <w:rsid w:val="00683066"/>
    <w:rsid w:val="006842C2"/>
    <w:rsid w:val="00685F42"/>
    <w:rsid w:val="0069062A"/>
    <w:rsid w:val="0069207B"/>
    <w:rsid w:val="00695131"/>
    <w:rsid w:val="006A4B23"/>
    <w:rsid w:val="006C2874"/>
    <w:rsid w:val="006C7F8C"/>
    <w:rsid w:val="006D380D"/>
    <w:rsid w:val="006E0135"/>
    <w:rsid w:val="006E303A"/>
    <w:rsid w:val="006F1513"/>
    <w:rsid w:val="006F7E19"/>
    <w:rsid w:val="00700B2C"/>
    <w:rsid w:val="00712D8D"/>
    <w:rsid w:val="00713084"/>
    <w:rsid w:val="00714B26"/>
    <w:rsid w:val="00731E00"/>
    <w:rsid w:val="007440B7"/>
    <w:rsid w:val="0074619B"/>
    <w:rsid w:val="007634AD"/>
    <w:rsid w:val="007715C9"/>
    <w:rsid w:val="00772D73"/>
    <w:rsid w:val="00774EDD"/>
    <w:rsid w:val="007757EC"/>
    <w:rsid w:val="007B30AA"/>
    <w:rsid w:val="007C651B"/>
    <w:rsid w:val="007D6DA3"/>
    <w:rsid w:val="007E4CBC"/>
    <w:rsid w:val="007E7D4A"/>
    <w:rsid w:val="008006CC"/>
    <w:rsid w:val="00807F18"/>
    <w:rsid w:val="00814893"/>
    <w:rsid w:val="0082267B"/>
    <w:rsid w:val="00831E12"/>
    <w:rsid w:val="00831E8D"/>
    <w:rsid w:val="00856A31"/>
    <w:rsid w:val="00857D6B"/>
    <w:rsid w:val="00866543"/>
    <w:rsid w:val="008754D0"/>
    <w:rsid w:val="00876322"/>
    <w:rsid w:val="00877D48"/>
    <w:rsid w:val="00883781"/>
    <w:rsid w:val="00885570"/>
    <w:rsid w:val="00893958"/>
    <w:rsid w:val="008A2C36"/>
    <w:rsid w:val="008A2E77"/>
    <w:rsid w:val="008B53E0"/>
    <w:rsid w:val="008C2245"/>
    <w:rsid w:val="008C6546"/>
    <w:rsid w:val="008C6F6F"/>
    <w:rsid w:val="008C78C5"/>
    <w:rsid w:val="008D02D9"/>
    <w:rsid w:val="008D0EE0"/>
    <w:rsid w:val="008D3E94"/>
    <w:rsid w:val="008F4AF9"/>
    <w:rsid w:val="008F4F1C"/>
    <w:rsid w:val="008F77C4"/>
    <w:rsid w:val="009103F3"/>
    <w:rsid w:val="00912EA4"/>
    <w:rsid w:val="00932377"/>
    <w:rsid w:val="00943221"/>
    <w:rsid w:val="00954972"/>
    <w:rsid w:val="00966104"/>
    <w:rsid w:val="00967042"/>
    <w:rsid w:val="0098255A"/>
    <w:rsid w:val="009845BE"/>
    <w:rsid w:val="00991DC0"/>
    <w:rsid w:val="009969C9"/>
    <w:rsid w:val="009B7587"/>
    <w:rsid w:val="009E186E"/>
    <w:rsid w:val="009F7BD0"/>
    <w:rsid w:val="00A048FF"/>
    <w:rsid w:val="00A04D2A"/>
    <w:rsid w:val="00A05EA3"/>
    <w:rsid w:val="00A10775"/>
    <w:rsid w:val="00A13D9F"/>
    <w:rsid w:val="00A15312"/>
    <w:rsid w:val="00A16F0D"/>
    <w:rsid w:val="00A231E2"/>
    <w:rsid w:val="00A24147"/>
    <w:rsid w:val="00A356EA"/>
    <w:rsid w:val="00A36350"/>
    <w:rsid w:val="00A36C48"/>
    <w:rsid w:val="00A37750"/>
    <w:rsid w:val="00A41E0B"/>
    <w:rsid w:val="00A4266B"/>
    <w:rsid w:val="00A50132"/>
    <w:rsid w:val="00A55631"/>
    <w:rsid w:val="00A576F5"/>
    <w:rsid w:val="00A64912"/>
    <w:rsid w:val="00A70A74"/>
    <w:rsid w:val="00A7765A"/>
    <w:rsid w:val="00AA3795"/>
    <w:rsid w:val="00AC1E75"/>
    <w:rsid w:val="00AD5641"/>
    <w:rsid w:val="00AD7587"/>
    <w:rsid w:val="00AE1088"/>
    <w:rsid w:val="00AF1BA4"/>
    <w:rsid w:val="00B032D8"/>
    <w:rsid w:val="00B32BE2"/>
    <w:rsid w:val="00B33B3C"/>
    <w:rsid w:val="00B6382D"/>
    <w:rsid w:val="00B67C99"/>
    <w:rsid w:val="00B74D97"/>
    <w:rsid w:val="00B92576"/>
    <w:rsid w:val="00BA0E5A"/>
    <w:rsid w:val="00BA5026"/>
    <w:rsid w:val="00BB40BF"/>
    <w:rsid w:val="00BC0CD1"/>
    <w:rsid w:val="00BC260B"/>
    <w:rsid w:val="00BD0FF8"/>
    <w:rsid w:val="00BE719A"/>
    <w:rsid w:val="00BE720A"/>
    <w:rsid w:val="00BF0461"/>
    <w:rsid w:val="00BF4944"/>
    <w:rsid w:val="00BF56D4"/>
    <w:rsid w:val="00C010E8"/>
    <w:rsid w:val="00C04409"/>
    <w:rsid w:val="00C067E5"/>
    <w:rsid w:val="00C164CA"/>
    <w:rsid w:val="00C168B4"/>
    <w:rsid w:val="00C176CF"/>
    <w:rsid w:val="00C24EE9"/>
    <w:rsid w:val="00C345E2"/>
    <w:rsid w:val="00C410C3"/>
    <w:rsid w:val="00C42BF8"/>
    <w:rsid w:val="00C460AE"/>
    <w:rsid w:val="00C50043"/>
    <w:rsid w:val="00C54E84"/>
    <w:rsid w:val="00C71685"/>
    <w:rsid w:val="00C7573B"/>
    <w:rsid w:val="00C76CF3"/>
    <w:rsid w:val="00C94FA7"/>
    <w:rsid w:val="00CA5EB3"/>
    <w:rsid w:val="00CD66D5"/>
    <w:rsid w:val="00CE038D"/>
    <w:rsid w:val="00CE1E31"/>
    <w:rsid w:val="00CE2086"/>
    <w:rsid w:val="00CE4353"/>
    <w:rsid w:val="00CF0BB2"/>
    <w:rsid w:val="00D00EAA"/>
    <w:rsid w:val="00D05046"/>
    <w:rsid w:val="00D13441"/>
    <w:rsid w:val="00D243A3"/>
    <w:rsid w:val="00D27882"/>
    <w:rsid w:val="00D33F4C"/>
    <w:rsid w:val="00D342E3"/>
    <w:rsid w:val="00D401F1"/>
    <w:rsid w:val="00D4508E"/>
    <w:rsid w:val="00D477C3"/>
    <w:rsid w:val="00D50D19"/>
    <w:rsid w:val="00D52EFE"/>
    <w:rsid w:val="00D53E7B"/>
    <w:rsid w:val="00D5624F"/>
    <w:rsid w:val="00D63B59"/>
    <w:rsid w:val="00D63EF6"/>
    <w:rsid w:val="00D70DFB"/>
    <w:rsid w:val="00D73029"/>
    <w:rsid w:val="00D766DF"/>
    <w:rsid w:val="00D82486"/>
    <w:rsid w:val="00DA6D1D"/>
    <w:rsid w:val="00DD0F57"/>
    <w:rsid w:val="00DE2002"/>
    <w:rsid w:val="00DE551D"/>
    <w:rsid w:val="00DE7C9F"/>
    <w:rsid w:val="00DF7AE9"/>
    <w:rsid w:val="00E05704"/>
    <w:rsid w:val="00E06B94"/>
    <w:rsid w:val="00E24D66"/>
    <w:rsid w:val="00E37760"/>
    <w:rsid w:val="00E46D43"/>
    <w:rsid w:val="00E54292"/>
    <w:rsid w:val="00E56187"/>
    <w:rsid w:val="00E62A6C"/>
    <w:rsid w:val="00E74A73"/>
    <w:rsid w:val="00E74DC7"/>
    <w:rsid w:val="00E75AB0"/>
    <w:rsid w:val="00E84ECA"/>
    <w:rsid w:val="00E87699"/>
    <w:rsid w:val="00E931D8"/>
    <w:rsid w:val="00E947C6"/>
    <w:rsid w:val="00EA7C0B"/>
    <w:rsid w:val="00EB026F"/>
    <w:rsid w:val="00EB510C"/>
    <w:rsid w:val="00EC2CCA"/>
    <w:rsid w:val="00EC4CC3"/>
    <w:rsid w:val="00ED492F"/>
    <w:rsid w:val="00ED6D94"/>
    <w:rsid w:val="00EE3E36"/>
    <w:rsid w:val="00EE5680"/>
    <w:rsid w:val="00EF2E3A"/>
    <w:rsid w:val="00F01A62"/>
    <w:rsid w:val="00F047E2"/>
    <w:rsid w:val="00F078DC"/>
    <w:rsid w:val="00F13E86"/>
    <w:rsid w:val="00F16BE0"/>
    <w:rsid w:val="00F17B00"/>
    <w:rsid w:val="00F24D68"/>
    <w:rsid w:val="00F32FB0"/>
    <w:rsid w:val="00F44E90"/>
    <w:rsid w:val="00F5331D"/>
    <w:rsid w:val="00F6179B"/>
    <w:rsid w:val="00F66193"/>
    <w:rsid w:val="00F677A9"/>
    <w:rsid w:val="00F84CF5"/>
    <w:rsid w:val="00F92D35"/>
    <w:rsid w:val="00FA420B"/>
    <w:rsid w:val="00FD1E13"/>
    <w:rsid w:val="00FD7EB1"/>
    <w:rsid w:val="00FE41C9"/>
    <w:rsid w:val="00FE7F93"/>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49C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2C0F"/>
    <w:pPr>
      <w:spacing w:line="260" w:lineRule="atLeast"/>
    </w:pPr>
    <w:rPr>
      <w:sz w:val="22"/>
    </w:rPr>
  </w:style>
  <w:style w:type="paragraph" w:styleId="Heading1">
    <w:name w:val="heading 1"/>
    <w:basedOn w:val="Normal"/>
    <w:next w:val="Normal"/>
    <w:link w:val="Heading1Char"/>
    <w:uiPriority w:val="9"/>
    <w:qFormat/>
    <w:rsid w:val="00152C0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52C0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52C0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52C0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52C0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52C0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52C0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2C0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2C0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2C0F"/>
  </w:style>
  <w:style w:type="paragraph" w:customStyle="1" w:styleId="OPCParaBase">
    <w:name w:val="OPCParaBase"/>
    <w:qFormat/>
    <w:rsid w:val="00152C0F"/>
    <w:pPr>
      <w:spacing w:line="260" w:lineRule="atLeast"/>
    </w:pPr>
    <w:rPr>
      <w:rFonts w:eastAsia="Times New Roman" w:cs="Times New Roman"/>
      <w:sz w:val="22"/>
      <w:lang w:eastAsia="en-AU"/>
    </w:rPr>
  </w:style>
  <w:style w:type="paragraph" w:customStyle="1" w:styleId="ShortT">
    <w:name w:val="ShortT"/>
    <w:basedOn w:val="OPCParaBase"/>
    <w:next w:val="Normal"/>
    <w:qFormat/>
    <w:rsid w:val="00152C0F"/>
    <w:pPr>
      <w:spacing w:line="240" w:lineRule="auto"/>
    </w:pPr>
    <w:rPr>
      <w:b/>
      <w:sz w:val="40"/>
    </w:rPr>
  </w:style>
  <w:style w:type="paragraph" w:customStyle="1" w:styleId="ActHead1">
    <w:name w:val="ActHead 1"/>
    <w:aliases w:val="c"/>
    <w:basedOn w:val="OPCParaBase"/>
    <w:next w:val="Normal"/>
    <w:qFormat/>
    <w:rsid w:val="00152C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2C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2C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2C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52C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2C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2C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2C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2C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2C0F"/>
  </w:style>
  <w:style w:type="paragraph" w:customStyle="1" w:styleId="Blocks">
    <w:name w:val="Blocks"/>
    <w:aliases w:val="bb"/>
    <w:basedOn w:val="OPCParaBase"/>
    <w:qFormat/>
    <w:rsid w:val="00152C0F"/>
    <w:pPr>
      <w:spacing w:line="240" w:lineRule="auto"/>
    </w:pPr>
    <w:rPr>
      <w:sz w:val="24"/>
    </w:rPr>
  </w:style>
  <w:style w:type="paragraph" w:customStyle="1" w:styleId="BoxText">
    <w:name w:val="BoxText"/>
    <w:aliases w:val="bt"/>
    <w:basedOn w:val="OPCParaBase"/>
    <w:qFormat/>
    <w:rsid w:val="00152C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2C0F"/>
    <w:rPr>
      <w:b/>
    </w:rPr>
  </w:style>
  <w:style w:type="paragraph" w:customStyle="1" w:styleId="BoxHeadItalic">
    <w:name w:val="BoxHeadItalic"/>
    <w:aliases w:val="bhi"/>
    <w:basedOn w:val="BoxText"/>
    <w:next w:val="BoxStep"/>
    <w:qFormat/>
    <w:rsid w:val="00152C0F"/>
    <w:rPr>
      <w:i/>
    </w:rPr>
  </w:style>
  <w:style w:type="paragraph" w:customStyle="1" w:styleId="BoxList">
    <w:name w:val="BoxList"/>
    <w:aliases w:val="bl"/>
    <w:basedOn w:val="BoxText"/>
    <w:qFormat/>
    <w:rsid w:val="00152C0F"/>
    <w:pPr>
      <w:ind w:left="1559" w:hanging="425"/>
    </w:pPr>
  </w:style>
  <w:style w:type="paragraph" w:customStyle="1" w:styleId="BoxNote">
    <w:name w:val="BoxNote"/>
    <w:aliases w:val="bn"/>
    <w:basedOn w:val="BoxText"/>
    <w:qFormat/>
    <w:rsid w:val="00152C0F"/>
    <w:pPr>
      <w:tabs>
        <w:tab w:val="left" w:pos="1985"/>
      </w:tabs>
      <w:spacing w:before="122" w:line="198" w:lineRule="exact"/>
      <w:ind w:left="2948" w:hanging="1814"/>
    </w:pPr>
    <w:rPr>
      <w:sz w:val="18"/>
    </w:rPr>
  </w:style>
  <w:style w:type="paragraph" w:customStyle="1" w:styleId="BoxPara">
    <w:name w:val="BoxPara"/>
    <w:aliases w:val="bp"/>
    <w:basedOn w:val="BoxText"/>
    <w:qFormat/>
    <w:rsid w:val="00152C0F"/>
    <w:pPr>
      <w:tabs>
        <w:tab w:val="right" w:pos="2268"/>
      </w:tabs>
      <w:ind w:left="2552" w:hanging="1418"/>
    </w:pPr>
  </w:style>
  <w:style w:type="paragraph" w:customStyle="1" w:styleId="BoxStep">
    <w:name w:val="BoxStep"/>
    <w:aliases w:val="bs"/>
    <w:basedOn w:val="BoxText"/>
    <w:qFormat/>
    <w:rsid w:val="00152C0F"/>
    <w:pPr>
      <w:ind w:left="1985" w:hanging="851"/>
    </w:pPr>
  </w:style>
  <w:style w:type="character" w:customStyle="1" w:styleId="CharAmPartNo">
    <w:name w:val="CharAmPartNo"/>
    <w:basedOn w:val="OPCCharBase"/>
    <w:qFormat/>
    <w:rsid w:val="00152C0F"/>
  </w:style>
  <w:style w:type="character" w:customStyle="1" w:styleId="CharAmPartText">
    <w:name w:val="CharAmPartText"/>
    <w:basedOn w:val="OPCCharBase"/>
    <w:qFormat/>
    <w:rsid w:val="00152C0F"/>
  </w:style>
  <w:style w:type="character" w:customStyle="1" w:styleId="CharAmSchNo">
    <w:name w:val="CharAmSchNo"/>
    <w:basedOn w:val="OPCCharBase"/>
    <w:qFormat/>
    <w:rsid w:val="00152C0F"/>
  </w:style>
  <w:style w:type="character" w:customStyle="1" w:styleId="CharAmSchText">
    <w:name w:val="CharAmSchText"/>
    <w:basedOn w:val="OPCCharBase"/>
    <w:qFormat/>
    <w:rsid w:val="00152C0F"/>
  </w:style>
  <w:style w:type="character" w:customStyle="1" w:styleId="CharBoldItalic">
    <w:name w:val="CharBoldItalic"/>
    <w:basedOn w:val="OPCCharBase"/>
    <w:uiPriority w:val="1"/>
    <w:qFormat/>
    <w:rsid w:val="00152C0F"/>
    <w:rPr>
      <w:b/>
      <w:i/>
    </w:rPr>
  </w:style>
  <w:style w:type="character" w:customStyle="1" w:styleId="CharChapNo">
    <w:name w:val="CharChapNo"/>
    <w:basedOn w:val="OPCCharBase"/>
    <w:uiPriority w:val="1"/>
    <w:qFormat/>
    <w:rsid w:val="00152C0F"/>
  </w:style>
  <w:style w:type="character" w:customStyle="1" w:styleId="CharChapText">
    <w:name w:val="CharChapText"/>
    <w:basedOn w:val="OPCCharBase"/>
    <w:uiPriority w:val="1"/>
    <w:qFormat/>
    <w:rsid w:val="00152C0F"/>
  </w:style>
  <w:style w:type="character" w:customStyle="1" w:styleId="CharDivNo">
    <w:name w:val="CharDivNo"/>
    <w:basedOn w:val="OPCCharBase"/>
    <w:uiPriority w:val="1"/>
    <w:qFormat/>
    <w:rsid w:val="00152C0F"/>
  </w:style>
  <w:style w:type="character" w:customStyle="1" w:styleId="CharDivText">
    <w:name w:val="CharDivText"/>
    <w:basedOn w:val="OPCCharBase"/>
    <w:uiPriority w:val="1"/>
    <w:qFormat/>
    <w:rsid w:val="00152C0F"/>
  </w:style>
  <w:style w:type="character" w:customStyle="1" w:styleId="CharItalic">
    <w:name w:val="CharItalic"/>
    <w:basedOn w:val="OPCCharBase"/>
    <w:uiPriority w:val="1"/>
    <w:qFormat/>
    <w:rsid w:val="00152C0F"/>
    <w:rPr>
      <w:i/>
    </w:rPr>
  </w:style>
  <w:style w:type="character" w:customStyle="1" w:styleId="CharPartNo">
    <w:name w:val="CharPartNo"/>
    <w:basedOn w:val="OPCCharBase"/>
    <w:uiPriority w:val="1"/>
    <w:qFormat/>
    <w:rsid w:val="00152C0F"/>
  </w:style>
  <w:style w:type="character" w:customStyle="1" w:styleId="CharPartText">
    <w:name w:val="CharPartText"/>
    <w:basedOn w:val="OPCCharBase"/>
    <w:uiPriority w:val="1"/>
    <w:qFormat/>
    <w:rsid w:val="00152C0F"/>
  </w:style>
  <w:style w:type="character" w:customStyle="1" w:styleId="CharSectno">
    <w:name w:val="CharSectno"/>
    <w:basedOn w:val="OPCCharBase"/>
    <w:qFormat/>
    <w:rsid w:val="00152C0F"/>
  </w:style>
  <w:style w:type="character" w:customStyle="1" w:styleId="CharSubdNo">
    <w:name w:val="CharSubdNo"/>
    <w:basedOn w:val="OPCCharBase"/>
    <w:uiPriority w:val="1"/>
    <w:qFormat/>
    <w:rsid w:val="00152C0F"/>
  </w:style>
  <w:style w:type="character" w:customStyle="1" w:styleId="CharSubdText">
    <w:name w:val="CharSubdText"/>
    <w:basedOn w:val="OPCCharBase"/>
    <w:uiPriority w:val="1"/>
    <w:qFormat/>
    <w:rsid w:val="00152C0F"/>
  </w:style>
  <w:style w:type="paragraph" w:customStyle="1" w:styleId="CTA--">
    <w:name w:val="CTA --"/>
    <w:basedOn w:val="OPCParaBase"/>
    <w:next w:val="Normal"/>
    <w:rsid w:val="00152C0F"/>
    <w:pPr>
      <w:spacing w:before="60" w:line="240" w:lineRule="atLeast"/>
      <w:ind w:left="142" w:hanging="142"/>
    </w:pPr>
    <w:rPr>
      <w:sz w:val="20"/>
    </w:rPr>
  </w:style>
  <w:style w:type="paragraph" w:customStyle="1" w:styleId="CTA-">
    <w:name w:val="CTA -"/>
    <w:basedOn w:val="OPCParaBase"/>
    <w:rsid w:val="00152C0F"/>
    <w:pPr>
      <w:spacing w:before="60" w:line="240" w:lineRule="atLeast"/>
      <w:ind w:left="85" w:hanging="85"/>
    </w:pPr>
    <w:rPr>
      <w:sz w:val="20"/>
    </w:rPr>
  </w:style>
  <w:style w:type="paragraph" w:customStyle="1" w:styleId="CTA---">
    <w:name w:val="CTA ---"/>
    <w:basedOn w:val="OPCParaBase"/>
    <w:next w:val="Normal"/>
    <w:rsid w:val="00152C0F"/>
    <w:pPr>
      <w:spacing w:before="60" w:line="240" w:lineRule="atLeast"/>
      <w:ind w:left="198" w:hanging="198"/>
    </w:pPr>
    <w:rPr>
      <w:sz w:val="20"/>
    </w:rPr>
  </w:style>
  <w:style w:type="paragraph" w:customStyle="1" w:styleId="CTA----">
    <w:name w:val="CTA ----"/>
    <w:basedOn w:val="OPCParaBase"/>
    <w:next w:val="Normal"/>
    <w:rsid w:val="00152C0F"/>
    <w:pPr>
      <w:spacing w:before="60" w:line="240" w:lineRule="atLeast"/>
      <w:ind w:left="255" w:hanging="255"/>
    </w:pPr>
    <w:rPr>
      <w:sz w:val="20"/>
    </w:rPr>
  </w:style>
  <w:style w:type="paragraph" w:customStyle="1" w:styleId="CTA1a">
    <w:name w:val="CTA 1(a)"/>
    <w:basedOn w:val="OPCParaBase"/>
    <w:rsid w:val="00152C0F"/>
    <w:pPr>
      <w:tabs>
        <w:tab w:val="right" w:pos="414"/>
      </w:tabs>
      <w:spacing w:before="40" w:line="240" w:lineRule="atLeast"/>
      <w:ind w:left="675" w:hanging="675"/>
    </w:pPr>
    <w:rPr>
      <w:sz w:val="20"/>
    </w:rPr>
  </w:style>
  <w:style w:type="paragraph" w:customStyle="1" w:styleId="CTA1ai">
    <w:name w:val="CTA 1(a)(i)"/>
    <w:basedOn w:val="OPCParaBase"/>
    <w:rsid w:val="00152C0F"/>
    <w:pPr>
      <w:tabs>
        <w:tab w:val="right" w:pos="1004"/>
      </w:tabs>
      <w:spacing w:before="40" w:line="240" w:lineRule="atLeast"/>
      <w:ind w:left="1253" w:hanging="1253"/>
    </w:pPr>
    <w:rPr>
      <w:sz w:val="20"/>
    </w:rPr>
  </w:style>
  <w:style w:type="paragraph" w:customStyle="1" w:styleId="CTA2a">
    <w:name w:val="CTA 2(a)"/>
    <w:basedOn w:val="OPCParaBase"/>
    <w:rsid w:val="00152C0F"/>
    <w:pPr>
      <w:tabs>
        <w:tab w:val="right" w:pos="482"/>
      </w:tabs>
      <w:spacing w:before="40" w:line="240" w:lineRule="atLeast"/>
      <w:ind w:left="748" w:hanging="748"/>
    </w:pPr>
    <w:rPr>
      <w:sz w:val="20"/>
    </w:rPr>
  </w:style>
  <w:style w:type="paragraph" w:customStyle="1" w:styleId="CTA2ai">
    <w:name w:val="CTA 2(a)(i)"/>
    <w:basedOn w:val="OPCParaBase"/>
    <w:rsid w:val="00152C0F"/>
    <w:pPr>
      <w:tabs>
        <w:tab w:val="right" w:pos="1089"/>
      </w:tabs>
      <w:spacing w:before="40" w:line="240" w:lineRule="atLeast"/>
      <w:ind w:left="1327" w:hanging="1327"/>
    </w:pPr>
    <w:rPr>
      <w:sz w:val="20"/>
    </w:rPr>
  </w:style>
  <w:style w:type="paragraph" w:customStyle="1" w:styleId="CTA3a">
    <w:name w:val="CTA 3(a)"/>
    <w:basedOn w:val="OPCParaBase"/>
    <w:rsid w:val="00152C0F"/>
    <w:pPr>
      <w:tabs>
        <w:tab w:val="right" w:pos="556"/>
      </w:tabs>
      <w:spacing w:before="40" w:line="240" w:lineRule="atLeast"/>
      <w:ind w:left="805" w:hanging="805"/>
    </w:pPr>
    <w:rPr>
      <w:sz w:val="20"/>
    </w:rPr>
  </w:style>
  <w:style w:type="paragraph" w:customStyle="1" w:styleId="CTA3ai">
    <w:name w:val="CTA 3(a)(i)"/>
    <w:basedOn w:val="OPCParaBase"/>
    <w:rsid w:val="00152C0F"/>
    <w:pPr>
      <w:tabs>
        <w:tab w:val="right" w:pos="1140"/>
      </w:tabs>
      <w:spacing w:before="40" w:line="240" w:lineRule="atLeast"/>
      <w:ind w:left="1361" w:hanging="1361"/>
    </w:pPr>
    <w:rPr>
      <w:sz w:val="20"/>
    </w:rPr>
  </w:style>
  <w:style w:type="paragraph" w:customStyle="1" w:styleId="CTA4a">
    <w:name w:val="CTA 4(a)"/>
    <w:basedOn w:val="OPCParaBase"/>
    <w:rsid w:val="00152C0F"/>
    <w:pPr>
      <w:tabs>
        <w:tab w:val="right" w:pos="624"/>
      </w:tabs>
      <w:spacing w:before="40" w:line="240" w:lineRule="atLeast"/>
      <w:ind w:left="873" w:hanging="873"/>
    </w:pPr>
    <w:rPr>
      <w:sz w:val="20"/>
    </w:rPr>
  </w:style>
  <w:style w:type="paragraph" w:customStyle="1" w:styleId="CTA4ai">
    <w:name w:val="CTA 4(a)(i)"/>
    <w:basedOn w:val="OPCParaBase"/>
    <w:rsid w:val="00152C0F"/>
    <w:pPr>
      <w:tabs>
        <w:tab w:val="right" w:pos="1213"/>
      </w:tabs>
      <w:spacing w:before="40" w:line="240" w:lineRule="atLeast"/>
      <w:ind w:left="1452" w:hanging="1452"/>
    </w:pPr>
    <w:rPr>
      <w:sz w:val="20"/>
    </w:rPr>
  </w:style>
  <w:style w:type="paragraph" w:customStyle="1" w:styleId="CTACAPS">
    <w:name w:val="CTA CAPS"/>
    <w:basedOn w:val="OPCParaBase"/>
    <w:rsid w:val="00152C0F"/>
    <w:pPr>
      <w:spacing w:before="60" w:line="240" w:lineRule="atLeast"/>
    </w:pPr>
    <w:rPr>
      <w:sz w:val="20"/>
    </w:rPr>
  </w:style>
  <w:style w:type="paragraph" w:customStyle="1" w:styleId="CTAright">
    <w:name w:val="CTA right"/>
    <w:basedOn w:val="OPCParaBase"/>
    <w:rsid w:val="00152C0F"/>
    <w:pPr>
      <w:spacing w:before="60" w:line="240" w:lineRule="auto"/>
      <w:jc w:val="right"/>
    </w:pPr>
    <w:rPr>
      <w:sz w:val="20"/>
    </w:rPr>
  </w:style>
  <w:style w:type="paragraph" w:customStyle="1" w:styleId="subsection">
    <w:name w:val="subsection"/>
    <w:aliases w:val="ss"/>
    <w:basedOn w:val="OPCParaBase"/>
    <w:link w:val="subsectionChar"/>
    <w:rsid w:val="00152C0F"/>
    <w:pPr>
      <w:tabs>
        <w:tab w:val="right" w:pos="1021"/>
      </w:tabs>
      <w:spacing w:before="180" w:line="240" w:lineRule="auto"/>
      <w:ind w:left="1134" w:hanging="1134"/>
    </w:pPr>
  </w:style>
  <w:style w:type="paragraph" w:customStyle="1" w:styleId="Definition">
    <w:name w:val="Definition"/>
    <w:aliases w:val="dd"/>
    <w:basedOn w:val="OPCParaBase"/>
    <w:rsid w:val="00152C0F"/>
    <w:pPr>
      <w:spacing w:before="180" w:line="240" w:lineRule="auto"/>
      <w:ind w:left="1134"/>
    </w:pPr>
  </w:style>
  <w:style w:type="paragraph" w:customStyle="1" w:styleId="ETAsubitem">
    <w:name w:val="ETA(subitem)"/>
    <w:basedOn w:val="OPCParaBase"/>
    <w:rsid w:val="00152C0F"/>
    <w:pPr>
      <w:tabs>
        <w:tab w:val="right" w:pos="340"/>
      </w:tabs>
      <w:spacing w:before="60" w:line="240" w:lineRule="auto"/>
      <w:ind w:left="454" w:hanging="454"/>
    </w:pPr>
    <w:rPr>
      <w:sz w:val="20"/>
    </w:rPr>
  </w:style>
  <w:style w:type="paragraph" w:customStyle="1" w:styleId="ETApara">
    <w:name w:val="ETA(para)"/>
    <w:basedOn w:val="OPCParaBase"/>
    <w:rsid w:val="00152C0F"/>
    <w:pPr>
      <w:tabs>
        <w:tab w:val="right" w:pos="754"/>
      </w:tabs>
      <w:spacing w:before="60" w:line="240" w:lineRule="auto"/>
      <w:ind w:left="828" w:hanging="828"/>
    </w:pPr>
    <w:rPr>
      <w:sz w:val="20"/>
    </w:rPr>
  </w:style>
  <w:style w:type="paragraph" w:customStyle="1" w:styleId="ETAsubpara">
    <w:name w:val="ETA(subpara)"/>
    <w:basedOn w:val="OPCParaBase"/>
    <w:rsid w:val="00152C0F"/>
    <w:pPr>
      <w:tabs>
        <w:tab w:val="right" w:pos="1083"/>
      </w:tabs>
      <w:spacing w:before="60" w:line="240" w:lineRule="auto"/>
      <w:ind w:left="1191" w:hanging="1191"/>
    </w:pPr>
    <w:rPr>
      <w:sz w:val="20"/>
    </w:rPr>
  </w:style>
  <w:style w:type="paragraph" w:customStyle="1" w:styleId="ETAsub-subpara">
    <w:name w:val="ETA(sub-subpara)"/>
    <w:basedOn w:val="OPCParaBase"/>
    <w:rsid w:val="00152C0F"/>
    <w:pPr>
      <w:tabs>
        <w:tab w:val="right" w:pos="1412"/>
      </w:tabs>
      <w:spacing w:before="60" w:line="240" w:lineRule="auto"/>
      <w:ind w:left="1525" w:hanging="1525"/>
    </w:pPr>
    <w:rPr>
      <w:sz w:val="20"/>
    </w:rPr>
  </w:style>
  <w:style w:type="paragraph" w:customStyle="1" w:styleId="Formula">
    <w:name w:val="Formula"/>
    <w:basedOn w:val="OPCParaBase"/>
    <w:rsid w:val="00152C0F"/>
    <w:pPr>
      <w:spacing w:line="240" w:lineRule="auto"/>
      <w:ind w:left="1134"/>
    </w:pPr>
    <w:rPr>
      <w:sz w:val="20"/>
    </w:rPr>
  </w:style>
  <w:style w:type="paragraph" w:styleId="Header">
    <w:name w:val="header"/>
    <w:basedOn w:val="OPCParaBase"/>
    <w:link w:val="HeaderChar"/>
    <w:unhideWhenUsed/>
    <w:rsid w:val="00152C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2C0F"/>
    <w:rPr>
      <w:rFonts w:eastAsia="Times New Roman" w:cs="Times New Roman"/>
      <w:sz w:val="16"/>
      <w:lang w:eastAsia="en-AU"/>
    </w:rPr>
  </w:style>
  <w:style w:type="paragraph" w:customStyle="1" w:styleId="House">
    <w:name w:val="House"/>
    <w:basedOn w:val="OPCParaBase"/>
    <w:rsid w:val="00152C0F"/>
    <w:pPr>
      <w:spacing w:line="240" w:lineRule="auto"/>
    </w:pPr>
    <w:rPr>
      <w:sz w:val="28"/>
    </w:rPr>
  </w:style>
  <w:style w:type="paragraph" w:customStyle="1" w:styleId="Item">
    <w:name w:val="Item"/>
    <w:aliases w:val="i"/>
    <w:basedOn w:val="OPCParaBase"/>
    <w:next w:val="ItemHead"/>
    <w:link w:val="ItemChar"/>
    <w:rsid w:val="00152C0F"/>
    <w:pPr>
      <w:keepLines/>
      <w:spacing w:before="80" w:line="240" w:lineRule="auto"/>
      <w:ind w:left="709"/>
    </w:pPr>
  </w:style>
  <w:style w:type="paragraph" w:customStyle="1" w:styleId="ItemHead">
    <w:name w:val="ItemHead"/>
    <w:aliases w:val="ih"/>
    <w:basedOn w:val="OPCParaBase"/>
    <w:next w:val="Item"/>
    <w:link w:val="ItemHeadChar"/>
    <w:rsid w:val="00152C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52C0F"/>
    <w:pPr>
      <w:spacing w:line="240" w:lineRule="auto"/>
    </w:pPr>
    <w:rPr>
      <w:b/>
      <w:sz w:val="32"/>
    </w:rPr>
  </w:style>
  <w:style w:type="paragraph" w:customStyle="1" w:styleId="notedraft">
    <w:name w:val="note(draft)"/>
    <w:aliases w:val="nd"/>
    <w:basedOn w:val="OPCParaBase"/>
    <w:rsid w:val="00152C0F"/>
    <w:pPr>
      <w:spacing w:before="240" w:line="240" w:lineRule="auto"/>
      <w:ind w:left="284" w:hanging="284"/>
    </w:pPr>
    <w:rPr>
      <w:i/>
      <w:sz w:val="24"/>
    </w:rPr>
  </w:style>
  <w:style w:type="paragraph" w:customStyle="1" w:styleId="notemargin">
    <w:name w:val="note(margin)"/>
    <w:aliases w:val="nm"/>
    <w:basedOn w:val="OPCParaBase"/>
    <w:rsid w:val="00152C0F"/>
    <w:pPr>
      <w:tabs>
        <w:tab w:val="left" w:pos="709"/>
      </w:tabs>
      <w:spacing w:before="122" w:line="198" w:lineRule="exact"/>
      <w:ind w:left="709" w:hanging="709"/>
    </w:pPr>
    <w:rPr>
      <w:sz w:val="18"/>
    </w:rPr>
  </w:style>
  <w:style w:type="paragraph" w:customStyle="1" w:styleId="noteToPara">
    <w:name w:val="noteToPara"/>
    <w:aliases w:val="ntp"/>
    <w:basedOn w:val="OPCParaBase"/>
    <w:rsid w:val="00152C0F"/>
    <w:pPr>
      <w:spacing w:before="122" w:line="198" w:lineRule="exact"/>
      <w:ind w:left="2353" w:hanging="709"/>
    </w:pPr>
    <w:rPr>
      <w:sz w:val="18"/>
    </w:rPr>
  </w:style>
  <w:style w:type="paragraph" w:customStyle="1" w:styleId="noteParlAmend">
    <w:name w:val="note(ParlAmend)"/>
    <w:aliases w:val="npp"/>
    <w:basedOn w:val="OPCParaBase"/>
    <w:next w:val="ParlAmend"/>
    <w:rsid w:val="00152C0F"/>
    <w:pPr>
      <w:spacing w:line="240" w:lineRule="auto"/>
      <w:jc w:val="right"/>
    </w:pPr>
    <w:rPr>
      <w:rFonts w:ascii="Arial" w:hAnsi="Arial"/>
      <w:b/>
      <w:i/>
    </w:rPr>
  </w:style>
  <w:style w:type="paragraph" w:customStyle="1" w:styleId="Page1">
    <w:name w:val="Page1"/>
    <w:basedOn w:val="OPCParaBase"/>
    <w:rsid w:val="00152C0F"/>
    <w:pPr>
      <w:spacing w:before="5600" w:line="240" w:lineRule="auto"/>
    </w:pPr>
    <w:rPr>
      <w:b/>
      <w:sz w:val="32"/>
    </w:rPr>
  </w:style>
  <w:style w:type="paragraph" w:customStyle="1" w:styleId="PageBreak">
    <w:name w:val="PageBreak"/>
    <w:aliases w:val="pb"/>
    <w:basedOn w:val="OPCParaBase"/>
    <w:rsid w:val="00152C0F"/>
    <w:pPr>
      <w:spacing w:line="240" w:lineRule="auto"/>
    </w:pPr>
    <w:rPr>
      <w:sz w:val="20"/>
    </w:rPr>
  </w:style>
  <w:style w:type="paragraph" w:customStyle="1" w:styleId="paragraphsub">
    <w:name w:val="paragraph(sub)"/>
    <w:aliases w:val="aa"/>
    <w:basedOn w:val="OPCParaBase"/>
    <w:link w:val="paragraphsubChar"/>
    <w:rsid w:val="00152C0F"/>
    <w:pPr>
      <w:tabs>
        <w:tab w:val="right" w:pos="1985"/>
      </w:tabs>
      <w:spacing w:before="40" w:line="240" w:lineRule="auto"/>
      <w:ind w:left="2098" w:hanging="2098"/>
    </w:pPr>
  </w:style>
  <w:style w:type="paragraph" w:customStyle="1" w:styleId="paragraphsub-sub">
    <w:name w:val="paragraph(sub-sub)"/>
    <w:aliases w:val="aaa"/>
    <w:basedOn w:val="OPCParaBase"/>
    <w:rsid w:val="00152C0F"/>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152C0F"/>
    <w:pPr>
      <w:tabs>
        <w:tab w:val="right" w:pos="1531"/>
      </w:tabs>
      <w:spacing w:before="40" w:line="240" w:lineRule="auto"/>
      <w:ind w:left="1644" w:hanging="1644"/>
    </w:pPr>
  </w:style>
  <w:style w:type="paragraph" w:customStyle="1" w:styleId="ParlAmend">
    <w:name w:val="ParlAmend"/>
    <w:aliases w:val="pp"/>
    <w:basedOn w:val="OPCParaBase"/>
    <w:rsid w:val="00152C0F"/>
    <w:pPr>
      <w:spacing w:before="240" w:line="240" w:lineRule="atLeast"/>
      <w:ind w:hanging="567"/>
    </w:pPr>
    <w:rPr>
      <w:sz w:val="24"/>
    </w:rPr>
  </w:style>
  <w:style w:type="paragraph" w:customStyle="1" w:styleId="Penalty">
    <w:name w:val="Penalty"/>
    <w:basedOn w:val="OPCParaBase"/>
    <w:rsid w:val="00152C0F"/>
    <w:pPr>
      <w:tabs>
        <w:tab w:val="left" w:pos="2977"/>
      </w:tabs>
      <w:spacing w:before="180" w:line="240" w:lineRule="auto"/>
      <w:ind w:left="1985" w:hanging="851"/>
    </w:pPr>
  </w:style>
  <w:style w:type="paragraph" w:customStyle="1" w:styleId="Portfolio">
    <w:name w:val="Portfolio"/>
    <w:basedOn w:val="OPCParaBase"/>
    <w:rsid w:val="00152C0F"/>
    <w:pPr>
      <w:spacing w:line="240" w:lineRule="auto"/>
    </w:pPr>
    <w:rPr>
      <w:i/>
      <w:sz w:val="20"/>
    </w:rPr>
  </w:style>
  <w:style w:type="paragraph" w:customStyle="1" w:styleId="Preamble">
    <w:name w:val="Preamble"/>
    <w:basedOn w:val="OPCParaBase"/>
    <w:next w:val="Normal"/>
    <w:rsid w:val="00152C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2C0F"/>
    <w:pPr>
      <w:spacing w:line="240" w:lineRule="auto"/>
    </w:pPr>
    <w:rPr>
      <w:i/>
      <w:sz w:val="20"/>
    </w:rPr>
  </w:style>
  <w:style w:type="paragraph" w:customStyle="1" w:styleId="Session">
    <w:name w:val="Session"/>
    <w:basedOn w:val="OPCParaBase"/>
    <w:rsid w:val="00152C0F"/>
    <w:pPr>
      <w:spacing w:line="240" w:lineRule="auto"/>
    </w:pPr>
    <w:rPr>
      <w:sz w:val="28"/>
    </w:rPr>
  </w:style>
  <w:style w:type="paragraph" w:customStyle="1" w:styleId="Sponsor">
    <w:name w:val="Sponsor"/>
    <w:basedOn w:val="OPCParaBase"/>
    <w:rsid w:val="00152C0F"/>
    <w:pPr>
      <w:spacing w:line="240" w:lineRule="auto"/>
    </w:pPr>
    <w:rPr>
      <w:i/>
    </w:rPr>
  </w:style>
  <w:style w:type="paragraph" w:customStyle="1" w:styleId="Subitem">
    <w:name w:val="Subitem"/>
    <w:aliases w:val="iss"/>
    <w:basedOn w:val="OPCParaBase"/>
    <w:rsid w:val="00152C0F"/>
    <w:pPr>
      <w:spacing w:before="180" w:line="240" w:lineRule="auto"/>
      <w:ind w:left="709" w:hanging="709"/>
    </w:pPr>
  </w:style>
  <w:style w:type="paragraph" w:customStyle="1" w:styleId="SubitemHead">
    <w:name w:val="SubitemHead"/>
    <w:aliases w:val="issh"/>
    <w:basedOn w:val="OPCParaBase"/>
    <w:rsid w:val="00152C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52C0F"/>
    <w:pPr>
      <w:spacing w:before="40" w:line="240" w:lineRule="auto"/>
      <w:ind w:left="1134"/>
    </w:pPr>
  </w:style>
  <w:style w:type="paragraph" w:customStyle="1" w:styleId="SubsectionHead">
    <w:name w:val="SubsectionHead"/>
    <w:aliases w:val="ssh"/>
    <w:basedOn w:val="OPCParaBase"/>
    <w:next w:val="subsection"/>
    <w:rsid w:val="00152C0F"/>
    <w:pPr>
      <w:keepNext/>
      <w:keepLines/>
      <w:spacing w:before="240" w:line="240" w:lineRule="auto"/>
      <w:ind w:left="1134"/>
    </w:pPr>
    <w:rPr>
      <w:i/>
    </w:rPr>
  </w:style>
  <w:style w:type="paragraph" w:customStyle="1" w:styleId="Tablea">
    <w:name w:val="Table(a)"/>
    <w:aliases w:val="ta"/>
    <w:basedOn w:val="OPCParaBase"/>
    <w:rsid w:val="00152C0F"/>
    <w:pPr>
      <w:spacing w:before="60" w:line="240" w:lineRule="auto"/>
      <w:ind w:left="284" w:hanging="284"/>
    </w:pPr>
    <w:rPr>
      <w:sz w:val="20"/>
    </w:rPr>
  </w:style>
  <w:style w:type="paragraph" w:customStyle="1" w:styleId="TableAA">
    <w:name w:val="Table(AA)"/>
    <w:aliases w:val="taaa"/>
    <w:basedOn w:val="OPCParaBase"/>
    <w:rsid w:val="00152C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2C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52C0F"/>
    <w:pPr>
      <w:spacing w:before="60" w:line="240" w:lineRule="atLeast"/>
    </w:pPr>
    <w:rPr>
      <w:sz w:val="20"/>
    </w:rPr>
  </w:style>
  <w:style w:type="paragraph" w:customStyle="1" w:styleId="TLPBoxTextnote">
    <w:name w:val="TLPBoxText(note"/>
    <w:aliases w:val="right)"/>
    <w:basedOn w:val="OPCParaBase"/>
    <w:rsid w:val="00152C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2C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2C0F"/>
    <w:pPr>
      <w:spacing w:before="122" w:line="198" w:lineRule="exact"/>
      <w:ind w:left="1985" w:hanging="851"/>
      <w:jc w:val="right"/>
    </w:pPr>
    <w:rPr>
      <w:sz w:val="18"/>
    </w:rPr>
  </w:style>
  <w:style w:type="paragraph" w:customStyle="1" w:styleId="TLPTableBullet">
    <w:name w:val="TLPTableBullet"/>
    <w:aliases w:val="ttb"/>
    <w:basedOn w:val="OPCParaBase"/>
    <w:rsid w:val="00152C0F"/>
    <w:pPr>
      <w:spacing w:line="240" w:lineRule="exact"/>
      <w:ind w:left="284" w:hanging="284"/>
    </w:pPr>
    <w:rPr>
      <w:sz w:val="20"/>
    </w:rPr>
  </w:style>
  <w:style w:type="paragraph" w:styleId="TOC1">
    <w:name w:val="toc 1"/>
    <w:basedOn w:val="OPCParaBase"/>
    <w:next w:val="Normal"/>
    <w:uiPriority w:val="39"/>
    <w:semiHidden/>
    <w:unhideWhenUsed/>
    <w:rsid w:val="00152C0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2C0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52C0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2C0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52C0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52C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2C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52C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2C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2C0F"/>
    <w:pPr>
      <w:keepLines/>
      <w:spacing w:before="240" w:after="120" w:line="240" w:lineRule="auto"/>
      <w:ind w:left="794"/>
    </w:pPr>
    <w:rPr>
      <w:b/>
      <w:kern w:val="28"/>
      <w:sz w:val="20"/>
    </w:rPr>
  </w:style>
  <w:style w:type="paragraph" w:customStyle="1" w:styleId="TofSectsHeading">
    <w:name w:val="TofSects(Heading)"/>
    <w:basedOn w:val="OPCParaBase"/>
    <w:rsid w:val="00152C0F"/>
    <w:pPr>
      <w:spacing w:before="240" w:after="120" w:line="240" w:lineRule="auto"/>
    </w:pPr>
    <w:rPr>
      <w:b/>
      <w:sz w:val="24"/>
    </w:rPr>
  </w:style>
  <w:style w:type="paragraph" w:customStyle="1" w:styleId="TofSectsSection">
    <w:name w:val="TofSects(Section)"/>
    <w:basedOn w:val="OPCParaBase"/>
    <w:rsid w:val="00152C0F"/>
    <w:pPr>
      <w:keepLines/>
      <w:spacing w:before="40" w:line="240" w:lineRule="auto"/>
      <w:ind w:left="1588" w:hanging="794"/>
    </w:pPr>
    <w:rPr>
      <w:kern w:val="28"/>
      <w:sz w:val="18"/>
    </w:rPr>
  </w:style>
  <w:style w:type="paragraph" w:customStyle="1" w:styleId="TofSectsSubdiv">
    <w:name w:val="TofSects(Subdiv)"/>
    <w:basedOn w:val="OPCParaBase"/>
    <w:rsid w:val="00152C0F"/>
    <w:pPr>
      <w:keepLines/>
      <w:spacing w:before="80" w:line="240" w:lineRule="auto"/>
      <w:ind w:left="1588" w:hanging="794"/>
    </w:pPr>
    <w:rPr>
      <w:kern w:val="28"/>
    </w:rPr>
  </w:style>
  <w:style w:type="paragraph" w:customStyle="1" w:styleId="WRStyle">
    <w:name w:val="WR Style"/>
    <w:aliases w:val="WR"/>
    <w:basedOn w:val="OPCParaBase"/>
    <w:rsid w:val="00152C0F"/>
    <w:pPr>
      <w:spacing w:before="240" w:line="240" w:lineRule="auto"/>
      <w:ind w:left="284" w:hanging="284"/>
    </w:pPr>
    <w:rPr>
      <w:b/>
      <w:i/>
      <w:kern w:val="28"/>
      <w:sz w:val="24"/>
    </w:rPr>
  </w:style>
  <w:style w:type="paragraph" w:customStyle="1" w:styleId="notepara">
    <w:name w:val="note(para)"/>
    <w:aliases w:val="na"/>
    <w:basedOn w:val="OPCParaBase"/>
    <w:rsid w:val="00152C0F"/>
    <w:pPr>
      <w:spacing w:before="40" w:line="198" w:lineRule="exact"/>
      <w:ind w:left="2354" w:hanging="369"/>
    </w:pPr>
    <w:rPr>
      <w:sz w:val="18"/>
    </w:rPr>
  </w:style>
  <w:style w:type="paragraph" w:styleId="Footer">
    <w:name w:val="footer"/>
    <w:link w:val="FooterChar"/>
    <w:rsid w:val="00152C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2C0F"/>
    <w:rPr>
      <w:rFonts w:eastAsia="Times New Roman" w:cs="Times New Roman"/>
      <w:sz w:val="22"/>
      <w:szCs w:val="24"/>
      <w:lang w:eastAsia="en-AU"/>
    </w:rPr>
  </w:style>
  <w:style w:type="character" w:styleId="LineNumber">
    <w:name w:val="line number"/>
    <w:basedOn w:val="OPCCharBase"/>
    <w:uiPriority w:val="99"/>
    <w:semiHidden/>
    <w:unhideWhenUsed/>
    <w:rsid w:val="00152C0F"/>
    <w:rPr>
      <w:sz w:val="16"/>
    </w:rPr>
  </w:style>
  <w:style w:type="table" w:customStyle="1" w:styleId="CFlag">
    <w:name w:val="CFlag"/>
    <w:basedOn w:val="TableNormal"/>
    <w:uiPriority w:val="99"/>
    <w:rsid w:val="00152C0F"/>
    <w:rPr>
      <w:rFonts w:eastAsia="Times New Roman" w:cs="Times New Roman"/>
      <w:lang w:eastAsia="en-AU"/>
    </w:rPr>
    <w:tblPr/>
  </w:style>
  <w:style w:type="paragraph" w:customStyle="1" w:styleId="NotesHeading1">
    <w:name w:val="NotesHeading 1"/>
    <w:basedOn w:val="OPCParaBase"/>
    <w:next w:val="Normal"/>
    <w:rsid w:val="00152C0F"/>
    <w:rPr>
      <w:b/>
      <w:sz w:val="28"/>
      <w:szCs w:val="28"/>
    </w:rPr>
  </w:style>
  <w:style w:type="paragraph" w:customStyle="1" w:styleId="NotesHeading2">
    <w:name w:val="NotesHeading 2"/>
    <w:basedOn w:val="OPCParaBase"/>
    <w:next w:val="Normal"/>
    <w:rsid w:val="00152C0F"/>
    <w:rPr>
      <w:b/>
      <w:sz w:val="28"/>
      <w:szCs w:val="28"/>
    </w:rPr>
  </w:style>
  <w:style w:type="paragraph" w:customStyle="1" w:styleId="SignCoverPageEnd">
    <w:name w:val="SignCoverPageEnd"/>
    <w:basedOn w:val="OPCParaBase"/>
    <w:next w:val="Normal"/>
    <w:rsid w:val="00152C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2C0F"/>
    <w:pPr>
      <w:pBdr>
        <w:top w:val="single" w:sz="4" w:space="1" w:color="auto"/>
      </w:pBdr>
      <w:spacing w:before="360"/>
      <w:ind w:right="397"/>
      <w:jc w:val="both"/>
    </w:pPr>
  </w:style>
  <w:style w:type="paragraph" w:customStyle="1" w:styleId="Paragraphsub-sub-sub">
    <w:name w:val="Paragraph(sub-sub-sub)"/>
    <w:aliases w:val="aaaa"/>
    <w:basedOn w:val="OPCParaBase"/>
    <w:rsid w:val="00152C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2C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2C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2C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2C0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52C0F"/>
    <w:pPr>
      <w:spacing w:before="120"/>
    </w:pPr>
  </w:style>
  <w:style w:type="paragraph" w:customStyle="1" w:styleId="TableTextEndNotes">
    <w:name w:val="TableTextEndNotes"/>
    <w:aliases w:val="Tten"/>
    <w:basedOn w:val="Normal"/>
    <w:rsid w:val="00152C0F"/>
    <w:pPr>
      <w:spacing w:before="60" w:line="240" w:lineRule="auto"/>
    </w:pPr>
    <w:rPr>
      <w:rFonts w:cs="Arial"/>
      <w:sz w:val="20"/>
      <w:szCs w:val="22"/>
    </w:rPr>
  </w:style>
  <w:style w:type="paragraph" w:customStyle="1" w:styleId="TableHeading">
    <w:name w:val="TableHeading"/>
    <w:aliases w:val="th"/>
    <w:basedOn w:val="OPCParaBase"/>
    <w:next w:val="Tabletext"/>
    <w:rsid w:val="00152C0F"/>
    <w:pPr>
      <w:keepNext/>
      <w:spacing w:before="60" w:line="240" w:lineRule="atLeast"/>
    </w:pPr>
    <w:rPr>
      <w:b/>
      <w:sz w:val="20"/>
    </w:rPr>
  </w:style>
  <w:style w:type="paragraph" w:customStyle="1" w:styleId="NoteToSubpara">
    <w:name w:val="NoteToSubpara"/>
    <w:aliases w:val="nts"/>
    <w:basedOn w:val="OPCParaBase"/>
    <w:rsid w:val="00152C0F"/>
    <w:pPr>
      <w:spacing w:before="40" w:line="198" w:lineRule="exact"/>
      <w:ind w:left="2835" w:hanging="709"/>
    </w:pPr>
    <w:rPr>
      <w:sz w:val="18"/>
    </w:rPr>
  </w:style>
  <w:style w:type="paragraph" w:customStyle="1" w:styleId="ENoteTableHeading">
    <w:name w:val="ENoteTableHeading"/>
    <w:aliases w:val="enth"/>
    <w:basedOn w:val="OPCParaBase"/>
    <w:rsid w:val="00152C0F"/>
    <w:pPr>
      <w:keepNext/>
      <w:spacing w:before="60" w:line="240" w:lineRule="atLeast"/>
    </w:pPr>
    <w:rPr>
      <w:rFonts w:ascii="Arial" w:hAnsi="Arial"/>
      <w:b/>
      <w:sz w:val="16"/>
    </w:rPr>
  </w:style>
  <w:style w:type="paragraph" w:customStyle="1" w:styleId="ENoteTTi">
    <w:name w:val="ENoteTTi"/>
    <w:aliases w:val="entti"/>
    <w:basedOn w:val="OPCParaBase"/>
    <w:rsid w:val="00152C0F"/>
    <w:pPr>
      <w:keepNext/>
      <w:spacing w:before="60" w:line="240" w:lineRule="atLeast"/>
      <w:ind w:left="170"/>
    </w:pPr>
    <w:rPr>
      <w:sz w:val="16"/>
    </w:rPr>
  </w:style>
  <w:style w:type="paragraph" w:customStyle="1" w:styleId="ENotesHeading1">
    <w:name w:val="ENotesHeading 1"/>
    <w:aliases w:val="Enh1"/>
    <w:basedOn w:val="OPCParaBase"/>
    <w:next w:val="Normal"/>
    <w:rsid w:val="00152C0F"/>
    <w:pPr>
      <w:spacing w:before="120"/>
      <w:outlineLvl w:val="1"/>
    </w:pPr>
    <w:rPr>
      <w:b/>
      <w:sz w:val="28"/>
      <w:szCs w:val="28"/>
    </w:rPr>
  </w:style>
  <w:style w:type="paragraph" w:customStyle="1" w:styleId="ENotesHeading2">
    <w:name w:val="ENotesHeading 2"/>
    <w:aliases w:val="Enh2"/>
    <w:basedOn w:val="OPCParaBase"/>
    <w:next w:val="Normal"/>
    <w:rsid w:val="00152C0F"/>
    <w:pPr>
      <w:spacing w:before="120" w:after="120"/>
      <w:outlineLvl w:val="2"/>
    </w:pPr>
    <w:rPr>
      <w:b/>
      <w:sz w:val="24"/>
      <w:szCs w:val="28"/>
    </w:rPr>
  </w:style>
  <w:style w:type="paragraph" w:customStyle="1" w:styleId="ENoteTTIndentHeading">
    <w:name w:val="ENoteTTIndentHeading"/>
    <w:aliases w:val="enTTHi"/>
    <w:basedOn w:val="OPCParaBase"/>
    <w:rsid w:val="00152C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2C0F"/>
    <w:pPr>
      <w:spacing w:before="60" w:line="240" w:lineRule="atLeast"/>
    </w:pPr>
    <w:rPr>
      <w:sz w:val="16"/>
    </w:rPr>
  </w:style>
  <w:style w:type="paragraph" w:customStyle="1" w:styleId="MadeunderText">
    <w:name w:val="MadeunderText"/>
    <w:basedOn w:val="OPCParaBase"/>
    <w:next w:val="Normal"/>
    <w:rsid w:val="00152C0F"/>
    <w:pPr>
      <w:spacing w:before="240"/>
    </w:pPr>
    <w:rPr>
      <w:sz w:val="24"/>
      <w:szCs w:val="24"/>
    </w:rPr>
  </w:style>
  <w:style w:type="paragraph" w:customStyle="1" w:styleId="ENotesHeading3">
    <w:name w:val="ENotesHeading 3"/>
    <w:aliases w:val="Enh3"/>
    <w:basedOn w:val="OPCParaBase"/>
    <w:next w:val="Normal"/>
    <w:rsid w:val="00152C0F"/>
    <w:pPr>
      <w:keepNext/>
      <w:spacing w:before="120" w:line="240" w:lineRule="auto"/>
      <w:outlineLvl w:val="4"/>
    </w:pPr>
    <w:rPr>
      <w:b/>
      <w:szCs w:val="24"/>
    </w:rPr>
  </w:style>
  <w:style w:type="paragraph" w:customStyle="1" w:styleId="SubPartCASA">
    <w:name w:val="SubPart(CASA)"/>
    <w:aliases w:val="csp"/>
    <w:basedOn w:val="OPCParaBase"/>
    <w:next w:val="ActHead3"/>
    <w:rsid w:val="00152C0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52C0F"/>
  </w:style>
  <w:style w:type="character" w:customStyle="1" w:styleId="CharSubPartNoCASA">
    <w:name w:val="CharSubPartNo(CASA)"/>
    <w:basedOn w:val="OPCCharBase"/>
    <w:uiPriority w:val="1"/>
    <w:rsid w:val="00152C0F"/>
  </w:style>
  <w:style w:type="paragraph" w:customStyle="1" w:styleId="ENoteTTIndentHeadingSub">
    <w:name w:val="ENoteTTIndentHeadingSub"/>
    <w:aliases w:val="enTTHis"/>
    <w:basedOn w:val="OPCParaBase"/>
    <w:rsid w:val="00152C0F"/>
    <w:pPr>
      <w:keepNext/>
      <w:spacing w:before="60" w:line="240" w:lineRule="atLeast"/>
      <w:ind w:left="340"/>
    </w:pPr>
    <w:rPr>
      <w:b/>
      <w:sz w:val="16"/>
    </w:rPr>
  </w:style>
  <w:style w:type="paragraph" w:customStyle="1" w:styleId="ENoteTTiSub">
    <w:name w:val="ENoteTTiSub"/>
    <w:aliases w:val="enttis"/>
    <w:basedOn w:val="OPCParaBase"/>
    <w:rsid w:val="00152C0F"/>
    <w:pPr>
      <w:keepNext/>
      <w:spacing w:before="60" w:line="240" w:lineRule="atLeast"/>
      <w:ind w:left="340"/>
    </w:pPr>
    <w:rPr>
      <w:sz w:val="16"/>
    </w:rPr>
  </w:style>
  <w:style w:type="paragraph" w:customStyle="1" w:styleId="SubDivisionMigration">
    <w:name w:val="SubDivisionMigration"/>
    <w:aliases w:val="sdm"/>
    <w:basedOn w:val="OPCParaBase"/>
    <w:rsid w:val="00152C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2C0F"/>
    <w:pPr>
      <w:keepNext/>
      <w:keepLines/>
      <w:spacing w:before="240" w:line="240" w:lineRule="auto"/>
      <w:ind w:left="1134" w:hanging="1134"/>
    </w:pPr>
    <w:rPr>
      <w:b/>
      <w:sz w:val="28"/>
    </w:rPr>
  </w:style>
  <w:style w:type="table" w:styleId="TableGrid">
    <w:name w:val="Table Grid"/>
    <w:basedOn w:val="TableNormal"/>
    <w:uiPriority w:val="59"/>
    <w:rsid w:val="0015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52C0F"/>
    <w:pPr>
      <w:spacing w:before="122" w:line="240" w:lineRule="auto"/>
      <w:ind w:left="1985" w:hanging="851"/>
    </w:pPr>
    <w:rPr>
      <w:sz w:val="18"/>
    </w:rPr>
  </w:style>
  <w:style w:type="paragraph" w:customStyle="1" w:styleId="FreeForm">
    <w:name w:val="FreeForm"/>
    <w:rsid w:val="00152C0F"/>
    <w:rPr>
      <w:rFonts w:ascii="Arial" w:hAnsi="Arial"/>
      <w:sz w:val="22"/>
    </w:rPr>
  </w:style>
  <w:style w:type="paragraph" w:customStyle="1" w:styleId="SOText">
    <w:name w:val="SO Text"/>
    <w:aliases w:val="sot"/>
    <w:link w:val="SOTextChar"/>
    <w:rsid w:val="00152C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52C0F"/>
    <w:rPr>
      <w:sz w:val="22"/>
    </w:rPr>
  </w:style>
  <w:style w:type="paragraph" w:customStyle="1" w:styleId="SOTextNote">
    <w:name w:val="SO TextNote"/>
    <w:aliases w:val="sont"/>
    <w:basedOn w:val="SOText"/>
    <w:qFormat/>
    <w:rsid w:val="00152C0F"/>
    <w:pPr>
      <w:spacing w:before="122" w:line="198" w:lineRule="exact"/>
      <w:ind w:left="1843" w:hanging="709"/>
    </w:pPr>
    <w:rPr>
      <w:sz w:val="18"/>
    </w:rPr>
  </w:style>
  <w:style w:type="paragraph" w:customStyle="1" w:styleId="SOPara">
    <w:name w:val="SO Para"/>
    <w:aliases w:val="soa"/>
    <w:basedOn w:val="SOText"/>
    <w:link w:val="SOParaChar"/>
    <w:qFormat/>
    <w:rsid w:val="00152C0F"/>
    <w:pPr>
      <w:tabs>
        <w:tab w:val="right" w:pos="1786"/>
      </w:tabs>
      <w:spacing w:before="40"/>
      <w:ind w:left="2070" w:hanging="936"/>
    </w:pPr>
  </w:style>
  <w:style w:type="character" w:customStyle="1" w:styleId="SOParaChar">
    <w:name w:val="SO Para Char"/>
    <w:aliases w:val="soa Char"/>
    <w:basedOn w:val="DefaultParagraphFont"/>
    <w:link w:val="SOPara"/>
    <w:rsid w:val="00152C0F"/>
    <w:rPr>
      <w:sz w:val="22"/>
    </w:rPr>
  </w:style>
  <w:style w:type="paragraph" w:customStyle="1" w:styleId="FileName">
    <w:name w:val="FileName"/>
    <w:basedOn w:val="Normal"/>
    <w:rsid w:val="00152C0F"/>
  </w:style>
  <w:style w:type="paragraph" w:customStyle="1" w:styleId="SOHeadBold">
    <w:name w:val="SO HeadBold"/>
    <w:aliases w:val="sohb"/>
    <w:basedOn w:val="SOText"/>
    <w:next w:val="SOText"/>
    <w:link w:val="SOHeadBoldChar"/>
    <w:qFormat/>
    <w:rsid w:val="00152C0F"/>
    <w:rPr>
      <w:b/>
    </w:rPr>
  </w:style>
  <w:style w:type="character" w:customStyle="1" w:styleId="SOHeadBoldChar">
    <w:name w:val="SO HeadBold Char"/>
    <w:aliases w:val="sohb Char"/>
    <w:basedOn w:val="DefaultParagraphFont"/>
    <w:link w:val="SOHeadBold"/>
    <w:rsid w:val="00152C0F"/>
    <w:rPr>
      <w:b/>
      <w:sz w:val="22"/>
    </w:rPr>
  </w:style>
  <w:style w:type="paragraph" w:customStyle="1" w:styleId="SOHeadItalic">
    <w:name w:val="SO HeadItalic"/>
    <w:aliases w:val="sohi"/>
    <w:basedOn w:val="SOText"/>
    <w:next w:val="SOText"/>
    <w:link w:val="SOHeadItalicChar"/>
    <w:qFormat/>
    <w:rsid w:val="00152C0F"/>
    <w:rPr>
      <w:i/>
    </w:rPr>
  </w:style>
  <w:style w:type="character" w:customStyle="1" w:styleId="SOHeadItalicChar">
    <w:name w:val="SO HeadItalic Char"/>
    <w:aliases w:val="sohi Char"/>
    <w:basedOn w:val="DefaultParagraphFont"/>
    <w:link w:val="SOHeadItalic"/>
    <w:rsid w:val="00152C0F"/>
    <w:rPr>
      <w:i/>
      <w:sz w:val="22"/>
    </w:rPr>
  </w:style>
  <w:style w:type="paragraph" w:customStyle="1" w:styleId="SOBullet">
    <w:name w:val="SO Bullet"/>
    <w:aliases w:val="sotb"/>
    <w:basedOn w:val="SOText"/>
    <w:link w:val="SOBulletChar"/>
    <w:qFormat/>
    <w:rsid w:val="00152C0F"/>
    <w:pPr>
      <w:ind w:left="1559" w:hanging="425"/>
    </w:pPr>
  </w:style>
  <w:style w:type="character" w:customStyle="1" w:styleId="SOBulletChar">
    <w:name w:val="SO Bullet Char"/>
    <w:aliases w:val="sotb Char"/>
    <w:basedOn w:val="DefaultParagraphFont"/>
    <w:link w:val="SOBullet"/>
    <w:rsid w:val="00152C0F"/>
    <w:rPr>
      <w:sz w:val="22"/>
    </w:rPr>
  </w:style>
  <w:style w:type="paragraph" w:customStyle="1" w:styleId="SOBulletNote">
    <w:name w:val="SO BulletNote"/>
    <w:aliases w:val="sonb"/>
    <w:basedOn w:val="SOTextNote"/>
    <w:link w:val="SOBulletNoteChar"/>
    <w:qFormat/>
    <w:rsid w:val="00152C0F"/>
    <w:pPr>
      <w:tabs>
        <w:tab w:val="left" w:pos="1560"/>
      </w:tabs>
      <w:ind w:left="2268" w:hanging="1134"/>
    </w:pPr>
  </w:style>
  <w:style w:type="character" w:customStyle="1" w:styleId="SOBulletNoteChar">
    <w:name w:val="SO BulletNote Char"/>
    <w:aliases w:val="sonb Char"/>
    <w:basedOn w:val="DefaultParagraphFont"/>
    <w:link w:val="SOBulletNote"/>
    <w:rsid w:val="00152C0F"/>
    <w:rPr>
      <w:sz w:val="18"/>
    </w:rPr>
  </w:style>
  <w:style w:type="paragraph" w:customStyle="1" w:styleId="SOText2">
    <w:name w:val="SO Text2"/>
    <w:aliases w:val="sot2"/>
    <w:basedOn w:val="Normal"/>
    <w:next w:val="SOText"/>
    <w:link w:val="SOText2Char"/>
    <w:rsid w:val="00152C0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52C0F"/>
    <w:rPr>
      <w:sz w:val="22"/>
    </w:rPr>
  </w:style>
  <w:style w:type="paragraph" w:customStyle="1" w:styleId="Transitional">
    <w:name w:val="Transitional"/>
    <w:aliases w:val="tr"/>
    <w:basedOn w:val="ItemHead"/>
    <w:next w:val="Item"/>
    <w:rsid w:val="00152C0F"/>
  </w:style>
  <w:style w:type="numbering" w:styleId="111111">
    <w:name w:val="Outline List 2"/>
    <w:basedOn w:val="NoList"/>
    <w:uiPriority w:val="99"/>
    <w:semiHidden/>
    <w:unhideWhenUsed/>
    <w:rsid w:val="00152C0F"/>
    <w:pPr>
      <w:numPr>
        <w:numId w:val="13"/>
      </w:numPr>
    </w:pPr>
  </w:style>
  <w:style w:type="numbering" w:styleId="1ai">
    <w:name w:val="Outline List 1"/>
    <w:basedOn w:val="NoList"/>
    <w:uiPriority w:val="99"/>
    <w:semiHidden/>
    <w:unhideWhenUsed/>
    <w:rsid w:val="00152C0F"/>
    <w:pPr>
      <w:numPr>
        <w:numId w:val="14"/>
      </w:numPr>
    </w:pPr>
  </w:style>
  <w:style w:type="character" w:customStyle="1" w:styleId="Heading1Char">
    <w:name w:val="Heading 1 Char"/>
    <w:basedOn w:val="DefaultParagraphFont"/>
    <w:link w:val="Heading1"/>
    <w:uiPriority w:val="9"/>
    <w:rsid w:val="00152C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52C0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52C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52C0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52C0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52C0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C0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52C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2C0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52C0F"/>
    <w:pPr>
      <w:numPr>
        <w:numId w:val="15"/>
      </w:numPr>
    </w:pPr>
  </w:style>
  <w:style w:type="paragraph" w:styleId="BalloonText">
    <w:name w:val="Balloon Text"/>
    <w:basedOn w:val="Normal"/>
    <w:link w:val="BalloonTextChar"/>
    <w:uiPriority w:val="99"/>
    <w:semiHidden/>
    <w:unhideWhenUsed/>
    <w:rsid w:val="00152C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C0F"/>
    <w:rPr>
      <w:rFonts w:ascii="Segoe UI" w:hAnsi="Segoe UI" w:cs="Segoe UI"/>
      <w:sz w:val="18"/>
      <w:szCs w:val="18"/>
    </w:rPr>
  </w:style>
  <w:style w:type="paragraph" w:styleId="Bibliography">
    <w:name w:val="Bibliography"/>
    <w:basedOn w:val="Normal"/>
    <w:next w:val="Normal"/>
    <w:uiPriority w:val="37"/>
    <w:semiHidden/>
    <w:unhideWhenUsed/>
    <w:rsid w:val="00152C0F"/>
  </w:style>
  <w:style w:type="paragraph" w:styleId="BlockText">
    <w:name w:val="Block Text"/>
    <w:basedOn w:val="Normal"/>
    <w:uiPriority w:val="99"/>
    <w:semiHidden/>
    <w:unhideWhenUsed/>
    <w:rsid w:val="00152C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52C0F"/>
    <w:pPr>
      <w:spacing w:after="120"/>
    </w:pPr>
  </w:style>
  <w:style w:type="character" w:customStyle="1" w:styleId="BodyTextChar">
    <w:name w:val="Body Text Char"/>
    <w:basedOn w:val="DefaultParagraphFont"/>
    <w:link w:val="BodyText"/>
    <w:uiPriority w:val="99"/>
    <w:semiHidden/>
    <w:rsid w:val="00152C0F"/>
    <w:rPr>
      <w:sz w:val="22"/>
    </w:rPr>
  </w:style>
  <w:style w:type="paragraph" w:styleId="BodyText2">
    <w:name w:val="Body Text 2"/>
    <w:basedOn w:val="Normal"/>
    <w:link w:val="BodyText2Char"/>
    <w:uiPriority w:val="99"/>
    <w:semiHidden/>
    <w:unhideWhenUsed/>
    <w:rsid w:val="00152C0F"/>
    <w:pPr>
      <w:spacing w:after="120" w:line="480" w:lineRule="auto"/>
    </w:pPr>
  </w:style>
  <w:style w:type="character" w:customStyle="1" w:styleId="BodyText2Char">
    <w:name w:val="Body Text 2 Char"/>
    <w:basedOn w:val="DefaultParagraphFont"/>
    <w:link w:val="BodyText2"/>
    <w:uiPriority w:val="99"/>
    <w:semiHidden/>
    <w:rsid w:val="00152C0F"/>
    <w:rPr>
      <w:sz w:val="22"/>
    </w:rPr>
  </w:style>
  <w:style w:type="paragraph" w:styleId="BodyText3">
    <w:name w:val="Body Text 3"/>
    <w:basedOn w:val="Normal"/>
    <w:link w:val="BodyText3Char"/>
    <w:uiPriority w:val="99"/>
    <w:semiHidden/>
    <w:unhideWhenUsed/>
    <w:rsid w:val="00152C0F"/>
    <w:pPr>
      <w:spacing w:after="120"/>
    </w:pPr>
    <w:rPr>
      <w:sz w:val="16"/>
      <w:szCs w:val="16"/>
    </w:rPr>
  </w:style>
  <w:style w:type="character" w:customStyle="1" w:styleId="BodyText3Char">
    <w:name w:val="Body Text 3 Char"/>
    <w:basedOn w:val="DefaultParagraphFont"/>
    <w:link w:val="BodyText3"/>
    <w:uiPriority w:val="99"/>
    <w:semiHidden/>
    <w:rsid w:val="00152C0F"/>
    <w:rPr>
      <w:sz w:val="16"/>
      <w:szCs w:val="16"/>
    </w:rPr>
  </w:style>
  <w:style w:type="paragraph" w:styleId="BodyTextFirstIndent">
    <w:name w:val="Body Text First Indent"/>
    <w:basedOn w:val="BodyText"/>
    <w:link w:val="BodyTextFirstIndentChar"/>
    <w:uiPriority w:val="99"/>
    <w:semiHidden/>
    <w:unhideWhenUsed/>
    <w:rsid w:val="00152C0F"/>
    <w:pPr>
      <w:spacing w:after="0"/>
      <w:ind w:firstLine="360"/>
    </w:pPr>
  </w:style>
  <w:style w:type="character" w:customStyle="1" w:styleId="BodyTextFirstIndentChar">
    <w:name w:val="Body Text First Indent Char"/>
    <w:basedOn w:val="BodyTextChar"/>
    <w:link w:val="BodyTextFirstIndent"/>
    <w:uiPriority w:val="99"/>
    <w:semiHidden/>
    <w:rsid w:val="00152C0F"/>
    <w:rPr>
      <w:sz w:val="22"/>
    </w:rPr>
  </w:style>
  <w:style w:type="paragraph" w:styleId="BodyTextIndent">
    <w:name w:val="Body Text Indent"/>
    <w:basedOn w:val="Normal"/>
    <w:link w:val="BodyTextIndentChar"/>
    <w:uiPriority w:val="99"/>
    <w:semiHidden/>
    <w:unhideWhenUsed/>
    <w:rsid w:val="00152C0F"/>
    <w:pPr>
      <w:spacing w:after="120"/>
      <w:ind w:left="283"/>
    </w:pPr>
  </w:style>
  <w:style w:type="character" w:customStyle="1" w:styleId="BodyTextIndentChar">
    <w:name w:val="Body Text Indent Char"/>
    <w:basedOn w:val="DefaultParagraphFont"/>
    <w:link w:val="BodyTextIndent"/>
    <w:uiPriority w:val="99"/>
    <w:semiHidden/>
    <w:rsid w:val="00152C0F"/>
    <w:rPr>
      <w:sz w:val="22"/>
    </w:rPr>
  </w:style>
  <w:style w:type="paragraph" w:styleId="BodyTextFirstIndent2">
    <w:name w:val="Body Text First Indent 2"/>
    <w:basedOn w:val="BodyTextIndent"/>
    <w:link w:val="BodyTextFirstIndent2Char"/>
    <w:uiPriority w:val="99"/>
    <w:semiHidden/>
    <w:unhideWhenUsed/>
    <w:rsid w:val="00152C0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52C0F"/>
    <w:rPr>
      <w:sz w:val="22"/>
    </w:rPr>
  </w:style>
  <w:style w:type="paragraph" w:styleId="BodyTextIndent2">
    <w:name w:val="Body Text Indent 2"/>
    <w:basedOn w:val="Normal"/>
    <w:link w:val="BodyTextIndent2Char"/>
    <w:uiPriority w:val="99"/>
    <w:semiHidden/>
    <w:unhideWhenUsed/>
    <w:rsid w:val="00152C0F"/>
    <w:pPr>
      <w:spacing w:after="120" w:line="480" w:lineRule="auto"/>
      <w:ind w:left="283"/>
    </w:pPr>
  </w:style>
  <w:style w:type="character" w:customStyle="1" w:styleId="BodyTextIndent2Char">
    <w:name w:val="Body Text Indent 2 Char"/>
    <w:basedOn w:val="DefaultParagraphFont"/>
    <w:link w:val="BodyTextIndent2"/>
    <w:uiPriority w:val="99"/>
    <w:semiHidden/>
    <w:rsid w:val="00152C0F"/>
    <w:rPr>
      <w:sz w:val="22"/>
    </w:rPr>
  </w:style>
  <w:style w:type="paragraph" w:styleId="BodyTextIndent3">
    <w:name w:val="Body Text Indent 3"/>
    <w:basedOn w:val="Normal"/>
    <w:link w:val="BodyTextIndent3Char"/>
    <w:uiPriority w:val="99"/>
    <w:semiHidden/>
    <w:unhideWhenUsed/>
    <w:rsid w:val="00152C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2C0F"/>
    <w:rPr>
      <w:sz w:val="16"/>
      <w:szCs w:val="16"/>
    </w:rPr>
  </w:style>
  <w:style w:type="character" w:styleId="BookTitle">
    <w:name w:val="Book Title"/>
    <w:basedOn w:val="DefaultParagraphFont"/>
    <w:uiPriority w:val="33"/>
    <w:qFormat/>
    <w:rsid w:val="00152C0F"/>
    <w:rPr>
      <w:b/>
      <w:bCs/>
      <w:i/>
      <w:iCs/>
      <w:spacing w:val="5"/>
    </w:rPr>
  </w:style>
  <w:style w:type="paragraph" w:styleId="Caption">
    <w:name w:val="caption"/>
    <w:basedOn w:val="Normal"/>
    <w:next w:val="Normal"/>
    <w:uiPriority w:val="35"/>
    <w:semiHidden/>
    <w:unhideWhenUsed/>
    <w:qFormat/>
    <w:rsid w:val="00152C0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52C0F"/>
    <w:pPr>
      <w:spacing w:line="240" w:lineRule="auto"/>
      <w:ind w:left="4252"/>
    </w:pPr>
  </w:style>
  <w:style w:type="character" w:customStyle="1" w:styleId="ClosingChar">
    <w:name w:val="Closing Char"/>
    <w:basedOn w:val="DefaultParagraphFont"/>
    <w:link w:val="Closing"/>
    <w:uiPriority w:val="99"/>
    <w:semiHidden/>
    <w:rsid w:val="00152C0F"/>
    <w:rPr>
      <w:sz w:val="22"/>
    </w:rPr>
  </w:style>
  <w:style w:type="table" w:styleId="ColorfulGrid">
    <w:name w:val="Colorful Grid"/>
    <w:basedOn w:val="TableNormal"/>
    <w:uiPriority w:val="73"/>
    <w:semiHidden/>
    <w:unhideWhenUsed/>
    <w:rsid w:val="00152C0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2C0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52C0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52C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52C0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52C0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52C0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52C0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2C0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52C0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52C0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52C0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52C0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52C0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52C0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2C0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2C0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2C0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52C0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2C0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52C0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52C0F"/>
    <w:rPr>
      <w:sz w:val="16"/>
      <w:szCs w:val="16"/>
    </w:rPr>
  </w:style>
  <w:style w:type="paragraph" w:styleId="CommentText">
    <w:name w:val="annotation text"/>
    <w:basedOn w:val="Normal"/>
    <w:link w:val="CommentTextChar"/>
    <w:uiPriority w:val="99"/>
    <w:semiHidden/>
    <w:unhideWhenUsed/>
    <w:rsid w:val="00152C0F"/>
    <w:pPr>
      <w:spacing w:line="240" w:lineRule="auto"/>
    </w:pPr>
    <w:rPr>
      <w:sz w:val="20"/>
    </w:rPr>
  </w:style>
  <w:style w:type="character" w:customStyle="1" w:styleId="CommentTextChar">
    <w:name w:val="Comment Text Char"/>
    <w:basedOn w:val="DefaultParagraphFont"/>
    <w:link w:val="CommentText"/>
    <w:uiPriority w:val="99"/>
    <w:semiHidden/>
    <w:rsid w:val="00152C0F"/>
  </w:style>
  <w:style w:type="paragraph" w:styleId="CommentSubject">
    <w:name w:val="annotation subject"/>
    <w:basedOn w:val="CommentText"/>
    <w:next w:val="CommentText"/>
    <w:link w:val="CommentSubjectChar"/>
    <w:uiPriority w:val="99"/>
    <w:semiHidden/>
    <w:unhideWhenUsed/>
    <w:rsid w:val="00152C0F"/>
    <w:rPr>
      <w:b/>
      <w:bCs/>
    </w:rPr>
  </w:style>
  <w:style w:type="character" w:customStyle="1" w:styleId="CommentSubjectChar">
    <w:name w:val="Comment Subject Char"/>
    <w:basedOn w:val="CommentTextChar"/>
    <w:link w:val="CommentSubject"/>
    <w:uiPriority w:val="99"/>
    <w:semiHidden/>
    <w:rsid w:val="00152C0F"/>
    <w:rPr>
      <w:b/>
      <w:bCs/>
    </w:rPr>
  </w:style>
  <w:style w:type="table" w:styleId="DarkList">
    <w:name w:val="Dark List"/>
    <w:basedOn w:val="TableNormal"/>
    <w:uiPriority w:val="70"/>
    <w:semiHidden/>
    <w:unhideWhenUsed/>
    <w:rsid w:val="00152C0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2C0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52C0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52C0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52C0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52C0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52C0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52C0F"/>
  </w:style>
  <w:style w:type="character" w:customStyle="1" w:styleId="DateChar">
    <w:name w:val="Date Char"/>
    <w:basedOn w:val="DefaultParagraphFont"/>
    <w:link w:val="Date"/>
    <w:uiPriority w:val="99"/>
    <w:semiHidden/>
    <w:rsid w:val="00152C0F"/>
    <w:rPr>
      <w:sz w:val="22"/>
    </w:rPr>
  </w:style>
  <w:style w:type="paragraph" w:styleId="DocumentMap">
    <w:name w:val="Document Map"/>
    <w:basedOn w:val="Normal"/>
    <w:link w:val="DocumentMapChar"/>
    <w:uiPriority w:val="99"/>
    <w:semiHidden/>
    <w:unhideWhenUsed/>
    <w:rsid w:val="00152C0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2C0F"/>
    <w:rPr>
      <w:rFonts w:ascii="Segoe UI" w:hAnsi="Segoe UI" w:cs="Segoe UI"/>
      <w:sz w:val="16"/>
      <w:szCs w:val="16"/>
    </w:rPr>
  </w:style>
  <w:style w:type="paragraph" w:styleId="E-mailSignature">
    <w:name w:val="E-mail Signature"/>
    <w:basedOn w:val="Normal"/>
    <w:link w:val="E-mailSignatureChar"/>
    <w:uiPriority w:val="99"/>
    <w:semiHidden/>
    <w:unhideWhenUsed/>
    <w:rsid w:val="00152C0F"/>
    <w:pPr>
      <w:spacing w:line="240" w:lineRule="auto"/>
    </w:pPr>
  </w:style>
  <w:style w:type="character" w:customStyle="1" w:styleId="E-mailSignatureChar">
    <w:name w:val="E-mail Signature Char"/>
    <w:basedOn w:val="DefaultParagraphFont"/>
    <w:link w:val="E-mailSignature"/>
    <w:uiPriority w:val="99"/>
    <w:semiHidden/>
    <w:rsid w:val="00152C0F"/>
    <w:rPr>
      <w:sz w:val="22"/>
    </w:rPr>
  </w:style>
  <w:style w:type="character" w:styleId="Emphasis">
    <w:name w:val="Emphasis"/>
    <w:basedOn w:val="DefaultParagraphFont"/>
    <w:uiPriority w:val="20"/>
    <w:qFormat/>
    <w:rsid w:val="00152C0F"/>
    <w:rPr>
      <w:i/>
      <w:iCs/>
    </w:rPr>
  </w:style>
  <w:style w:type="character" w:styleId="EndnoteReference">
    <w:name w:val="endnote reference"/>
    <w:basedOn w:val="DefaultParagraphFont"/>
    <w:uiPriority w:val="99"/>
    <w:semiHidden/>
    <w:unhideWhenUsed/>
    <w:rsid w:val="00152C0F"/>
    <w:rPr>
      <w:vertAlign w:val="superscript"/>
    </w:rPr>
  </w:style>
  <w:style w:type="paragraph" w:styleId="EndnoteText">
    <w:name w:val="endnote text"/>
    <w:basedOn w:val="Normal"/>
    <w:link w:val="EndnoteTextChar"/>
    <w:uiPriority w:val="99"/>
    <w:semiHidden/>
    <w:unhideWhenUsed/>
    <w:rsid w:val="00152C0F"/>
    <w:pPr>
      <w:spacing w:line="240" w:lineRule="auto"/>
    </w:pPr>
    <w:rPr>
      <w:sz w:val="20"/>
    </w:rPr>
  </w:style>
  <w:style w:type="character" w:customStyle="1" w:styleId="EndnoteTextChar">
    <w:name w:val="Endnote Text Char"/>
    <w:basedOn w:val="DefaultParagraphFont"/>
    <w:link w:val="EndnoteText"/>
    <w:uiPriority w:val="99"/>
    <w:semiHidden/>
    <w:rsid w:val="00152C0F"/>
  </w:style>
  <w:style w:type="paragraph" w:styleId="EnvelopeAddress">
    <w:name w:val="envelope address"/>
    <w:basedOn w:val="Normal"/>
    <w:uiPriority w:val="99"/>
    <w:semiHidden/>
    <w:unhideWhenUsed/>
    <w:rsid w:val="00152C0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2C0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52C0F"/>
    <w:rPr>
      <w:color w:val="800080" w:themeColor="followedHyperlink"/>
      <w:u w:val="single"/>
    </w:rPr>
  </w:style>
  <w:style w:type="character" w:styleId="FootnoteReference">
    <w:name w:val="footnote reference"/>
    <w:basedOn w:val="DefaultParagraphFont"/>
    <w:uiPriority w:val="99"/>
    <w:semiHidden/>
    <w:unhideWhenUsed/>
    <w:rsid w:val="00152C0F"/>
    <w:rPr>
      <w:vertAlign w:val="superscript"/>
    </w:rPr>
  </w:style>
  <w:style w:type="paragraph" w:styleId="FootnoteText">
    <w:name w:val="footnote text"/>
    <w:basedOn w:val="Normal"/>
    <w:link w:val="FootnoteTextChar"/>
    <w:uiPriority w:val="99"/>
    <w:semiHidden/>
    <w:unhideWhenUsed/>
    <w:rsid w:val="00152C0F"/>
    <w:pPr>
      <w:spacing w:line="240" w:lineRule="auto"/>
    </w:pPr>
    <w:rPr>
      <w:sz w:val="20"/>
    </w:rPr>
  </w:style>
  <w:style w:type="character" w:customStyle="1" w:styleId="FootnoteTextChar">
    <w:name w:val="Footnote Text Char"/>
    <w:basedOn w:val="DefaultParagraphFont"/>
    <w:link w:val="FootnoteText"/>
    <w:uiPriority w:val="99"/>
    <w:semiHidden/>
    <w:rsid w:val="00152C0F"/>
  </w:style>
  <w:style w:type="table" w:styleId="GridTable1Light">
    <w:name w:val="Grid Table 1 Light"/>
    <w:basedOn w:val="TableNormal"/>
    <w:uiPriority w:val="46"/>
    <w:rsid w:val="00152C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2C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2C0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2C0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2C0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2C0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2C0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2C0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2C0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52C0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52C0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52C0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52C0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52C0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52C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2C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52C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52C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52C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52C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52C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52C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2C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52C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52C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52C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52C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52C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52C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2C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52C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52C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52C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52C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52C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52C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2C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52C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52C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52C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52C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52C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52C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2C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52C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52C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52C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52C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52C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52C0F"/>
    <w:rPr>
      <w:color w:val="2B579A"/>
      <w:shd w:val="clear" w:color="auto" w:fill="E1DFDD"/>
    </w:rPr>
  </w:style>
  <w:style w:type="character" w:styleId="HTMLAcronym">
    <w:name w:val="HTML Acronym"/>
    <w:basedOn w:val="DefaultParagraphFont"/>
    <w:uiPriority w:val="99"/>
    <w:semiHidden/>
    <w:unhideWhenUsed/>
    <w:rsid w:val="00152C0F"/>
  </w:style>
  <w:style w:type="paragraph" w:styleId="HTMLAddress">
    <w:name w:val="HTML Address"/>
    <w:basedOn w:val="Normal"/>
    <w:link w:val="HTMLAddressChar"/>
    <w:uiPriority w:val="99"/>
    <w:semiHidden/>
    <w:unhideWhenUsed/>
    <w:rsid w:val="00152C0F"/>
    <w:pPr>
      <w:spacing w:line="240" w:lineRule="auto"/>
    </w:pPr>
    <w:rPr>
      <w:i/>
      <w:iCs/>
    </w:rPr>
  </w:style>
  <w:style w:type="character" w:customStyle="1" w:styleId="HTMLAddressChar">
    <w:name w:val="HTML Address Char"/>
    <w:basedOn w:val="DefaultParagraphFont"/>
    <w:link w:val="HTMLAddress"/>
    <w:uiPriority w:val="99"/>
    <w:semiHidden/>
    <w:rsid w:val="00152C0F"/>
    <w:rPr>
      <w:i/>
      <w:iCs/>
      <w:sz w:val="22"/>
    </w:rPr>
  </w:style>
  <w:style w:type="character" w:styleId="HTMLCite">
    <w:name w:val="HTML Cite"/>
    <w:basedOn w:val="DefaultParagraphFont"/>
    <w:uiPriority w:val="99"/>
    <w:semiHidden/>
    <w:unhideWhenUsed/>
    <w:rsid w:val="00152C0F"/>
    <w:rPr>
      <w:i/>
      <w:iCs/>
    </w:rPr>
  </w:style>
  <w:style w:type="character" w:styleId="HTMLCode">
    <w:name w:val="HTML Code"/>
    <w:basedOn w:val="DefaultParagraphFont"/>
    <w:uiPriority w:val="99"/>
    <w:semiHidden/>
    <w:unhideWhenUsed/>
    <w:rsid w:val="00152C0F"/>
    <w:rPr>
      <w:rFonts w:ascii="Consolas" w:hAnsi="Consolas"/>
      <w:sz w:val="20"/>
      <w:szCs w:val="20"/>
    </w:rPr>
  </w:style>
  <w:style w:type="character" w:styleId="HTMLDefinition">
    <w:name w:val="HTML Definition"/>
    <w:basedOn w:val="DefaultParagraphFont"/>
    <w:uiPriority w:val="99"/>
    <w:semiHidden/>
    <w:unhideWhenUsed/>
    <w:rsid w:val="00152C0F"/>
    <w:rPr>
      <w:i/>
      <w:iCs/>
    </w:rPr>
  </w:style>
  <w:style w:type="character" w:styleId="HTMLKeyboard">
    <w:name w:val="HTML Keyboard"/>
    <w:basedOn w:val="DefaultParagraphFont"/>
    <w:uiPriority w:val="99"/>
    <w:semiHidden/>
    <w:unhideWhenUsed/>
    <w:rsid w:val="00152C0F"/>
    <w:rPr>
      <w:rFonts w:ascii="Consolas" w:hAnsi="Consolas"/>
      <w:sz w:val="20"/>
      <w:szCs w:val="20"/>
    </w:rPr>
  </w:style>
  <w:style w:type="paragraph" w:styleId="HTMLPreformatted">
    <w:name w:val="HTML Preformatted"/>
    <w:basedOn w:val="Normal"/>
    <w:link w:val="HTMLPreformattedChar"/>
    <w:uiPriority w:val="99"/>
    <w:semiHidden/>
    <w:unhideWhenUsed/>
    <w:rsid w:val="00152C0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52C0F"/>
    <w:rPr>
      <w:rFonts w:ascii="Consolas" w:hAnsi="Consolas"/>
    </w:rPr>
  </w:style>
  <w:style w:type="character" w:styleId="HTMLSample">
    <w:name w:val="HTML Sample"/>
    <w:basedOn w:val="DefaultParagraphFont"/>
    <w:uiPriority w:val="99"/>
    <w:semiHidden/>
    <w:unhideWhenUsed/>
    <w:rsid w:val="00152C0F"/>
    <w:rPr>
      <w:rFonts w:ascii="Consolas" w:hAnsi="Consolas"/>
      <w:sz w:val="24"/>
      <w:szCs w:val="24"/>
    </w:rPr>
  </w:style>
  <w:style w:type="character" w:styleId="HTMLTypewriter">
    <w:name w:val="HTML Typewriter"/>
    <w:basedOn w:val="DefaultParagraphFont"/>
    <w:uiPriority w:val="99"/>
    <w:semiHidden/>
    <w:unhideWhenUsed/>
    <w:rsid w:val="00152C0F"/>
    <w:rPr>
      <w:rFonts w:ascii="Consolas" w:hAnsi="Consolas"/>
      <w:sz w:val="20"/>
      <w:szCs w:val="20"/>
    </w:rPr>
  </w:style>
  <w:style w:type="character" w:styleId="HTMLVariable">
    <w:name w:val="HTML Variable"/>
    <w:basedOn w:val="DefaultParagraphFont"/>
    <w:uiPriority w:val="99"/>
    <w:semiHidden/>
    <w:unhideWhenUsed/>
    <w:rsid w:val="00152C0F"/>
    <w:rPr>
      <w:i/>
      <w:iCs/>
    </w:rPr>
  </w:style>
  <w:style w:type="character" w:styleId="Hyperlink">
    <w:name w:val="Hyperlink"/>
    <w:basedOn w:val="DefaultParagraphFont"/>
    <w:uiPriority w:val="99"/>
    <w:semiHidden/>
    <w:unhideWhenUsed/>
    <w:rsid w:val="00152C0F"/>
    <w:rPr>
      <w:color w:val="0000FF" w:themeColor="hyperlink"/>
      <w:u w:val="single"/>
    </w:rPr>
  </w:style>
  <w:style w:type="paragraph" w:styleId="Index1">
    <w:name w:val="index 1"/>
    <w:basedOn w:val="Normal"/>
    <w:next w:val="Normal"/>
    <w:autoRedefine/>
    <w:uiPriority w:val="99"/>
    <w:semiHidden/>
    <w:unhideWhenUsed/>
    <w:rsid w:val="00152C0F"/>
    <w:pPr>
      <w:spacing w:line="240" w:lineRule="auto"/>
      <w:ind w:left="220" w:hanging="220"/>
    </w:pPr>
  </w:style>
  <w:style w:type="paragraph" w:styleId="Index2">
    <w:name w:val="index 2"/>
    <w:basedOn w:val="Normal"/>
    <w:next w:val="Normal"/>
    <w:autoRedefine/>
    <w:uiPriority w:val="99"/>
    <w:semiHidden/>
    <w:unhideWhenUsed/>
    <w:rsid w:val="00152C0F"/>
    <w:pPr>
      <w:spacing w:line="240" w:lineRule="auto"/>
      <w:ind w:left="440" w:hanging="220"/>
    </w:pPr>
  </w:style>
  <w:style w:type="paragraph" w:styleId="Index3">
    <w:name w:val="index 3"/>
    <w:basedOn w:val="Normal"/>
    <w:next w:val="Normal"/>
    <w:autoRedefine/>
    <w:uiPriority w:val="99"/>
    <w:semiHidden/>
    <w:unhideWhenUsed/>
    <w:rsid w:val="00152C0F"/>
    <w:pPr>
      <w:spacing w:line="240" w:lineRule="auto"/>
      <w:ind w:left="660" w:hanging="220"/>
    </w:pPr>
  </w:style>
  <w:style w:type="paragraph" w:styleId="Index4">
    <w:name w:val="index 4"/>
    <w:basedOn w:val="Normal"/>
    <w:next w:val="Normal"/>
    <w:autoRedefine/>
    <w:uiPriority w:val="99"/>
    <w:semiHidden/>
    <w:unhideWhenUsed/>
    <w:rsid w:val="00152C0F"/>
    <w:pPr>
      <w:spacing w:line="240" w:lineRule="auto"/>
      <w:ind w:left="880" w:hanging="220"/>
    </w:pPr>
  </w:style>
  <w:style w:type="paragraph" w:styleId="Index5">
    <w:name w:val="index 5"/>
    <w:basedOn w:val="Normal"/>
    <w:next w:val="Normal"/>
    <w:autoRedefine/>
    <w:uiPriority w:val="99"/>
    <w:semiHidden/>
    <w:unhideWhenUsed/>
    <w:rsid w:val="00152C0F"/>
    <w:pPr>
      <w:spacing w:line="240" w:lineRule="auto"/>
      <w:ind w:left="1100" w:hanging="220"/>
    </w:pPr>
  </w:style>
  <w:style w:type="paragraph" w:styleId="Index6">
    <w:name w:val="index 6"/>
    <w:basedOn w:val="Normal"/>
    <w:next w:val="Normal"/>
    <w:autoRedefine/>
    <w:uiPriority w:val="99"/>
    <w:semiHidden/>
    <w:unhideWhenUsed/>
    <w:rsid w:val="00152C0F"/>
    <w:pPr>
      <w:spacing w:line="240" w:lineRule="auto"/>
      <w:ind w:left="1320" w:hanging="220"/>
    </w:pPr>
  </w:style>
  <w:style w:type="paragraph" w:styleId="Index7">
    <w:name w:val="index 7"/>
    <w:basedOn w:val="Normal"/>
    <w:next w:val="Normal"/>
    <w:autoRedefine/>
    <w:uiPriority w:val="99"/>
    <w:semiHidden/>
    <w:unhideWhenUsed/>
    <w:rsid w:val="00152C0F"/>
    <w:pPr>
      <w:spacing w:line="240" w:lineRule="auto"/>
      <w:ind w:left="1540" w:hanging="220"/>
    </w:pPr>
  </w:style>
  <w:style w:type="paragraph" w:styleId="Index8">
    <w:name w:val="index 8"/>
    <w:basedOn w:val="Normal"/>
    <w:next w:val="Normal"/>
    <w:autoRedefine/>
    <w:uiPriority w:val="99"/>
    <w:semiHidden/>
    <w:unhideWhenUsed/>
    <w:rsid w:val="00152C0F"/>
    <w:pPr>
      <w:spacing w:line="240" w:lineRule="auto"/>
      <w:ind w:left="1760" w:hanging="220"/>
    </w:pPr>
  </w:style>
  <w:style w:type="paragraph" w:styleId="Index9">
    <w:name w:val="index 9"/>
    <w:basedOn w:val="Normal"/>
    <w:next w:val="Normal"/>
    <w:autoRedefine/>
    <w:uiPriority w:val="99"/>
    <w:semiHidden/>
    <w:unhideWhenUsed/>
    <w:rsid w:val="00152C0F"/>
    <w:pPr>
      <w:spacing w:line="240" w:lineRule="auto"/>
      <w:ind w:left="1980" w:hanging="220"/>
    </w:pPr>
  </w:style>
  <w:style w:type="paragraph" w:styleId="IndexHeading">
    <w:name w:val="index heading"/>
    <w:basedOn w:val="Normal"/>
    <w:next w:val="Index1"/>
    <w:uiPriority w:val="99"/>
    <w:semiHidden/>
    <w:unhideWhenUsed/>
    <w:rsid w:val="00152C0F"/>
    <w:rPr>
      <w:rFonts w:asciiTheme="majorHAnsi" w:eastAsiaTheme="majorEastAsia" w:hAnsiTheme="majorHAnsi" w:cstheme="majorBidi"/>
      <w:b/>
      <w:bCs/>
    </w:rPr>
  </w:style>
  <w:style w:type="character" w:styleId="IntenseEmphasis">
    <w:name w:val="Intense Emphasis"/>
    <w:basedOn w:val="DefaultParagraphFont"/>
    <w:uiPriority w:val="21"/>
    <w:qFormat/>
    <w:rsid w:val="00152C0F"/>
    <w:rPr>
      <w:i/>
      <w:iCs/>
      <w:color w:val="4F81BD" w:themeColor="accent1"/>
    </w:rPr>
  </w:style>
  <w:style w:type="paragraph" w:styleId="IntenseQuote">
    <w:name w:val="Intense Quote"/>
    <w:basedOn w:val="Normal"/>
    <w:next w:val="Normal"/>
    <w:link w:val="IntenseQuoteChar"/>
    <w:uiPriority w:val="30"/>
    <w:qFormat/>
    <w:rsid w:val="00152C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52C0F"/>
    <w:rPr>
      <w:i/>
      <w:iCs/>
      <w:color w:val="4F81BD" w:themeColor="accent1"/>
      <w:sz w:val="22"/>
    </w:rPr>
  </w:style>
  <w:style w:type="character" w:styleId="IntenseReference">
    <w:name w:val="Intense Reference"/>
    <w:basedOn w:val="DefaultParagraphFont"/>
    <w:uiPriority w:val="32"/>
    <w:qFormat/>
    <w:rsid w:val="00152C0F"/>
    <w:rPr>
      <w:b/>
      <w:bCs/>
      <w:smallCaps/>
      <w:color w:val="4F81BD" w:themeColor="accent1"/>
      <w:spacing w:val="5"/>
    </w:rPr>
  </w:style>
  <w:style w:type="table" w:styleId="LightGrid">
    <w:name w:val="Light Grid"/>
    <w:basedOn w:val="TableNormal"/>
    <w:uiPriority w:val="62"/>
    <w:semiHidden/>
    <w:unhideWhenUsed/>
    <w:rsid w:val="00152C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52C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52C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52C0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52C0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52C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52C0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52C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2C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52C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52C0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52C0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52C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52C0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52C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2C0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52C0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52C0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52C0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52C0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52C0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52C0F"/>
    <w:pPr>
      <w:ind w:left="283" w:hanging="283"/>
      <w:contextualSpacing/>
    </w:pPr>
  </w:style>
  <w:style w:type="paragraph" w:styleId="List2">
    <w:name w:val="List 2"/>
    <w:basedOn w:val="Normal"/>
    <w:uiPriority w:val="99"/>
    <w:semiHidden/>
    <w:unhideWhenUsed/>
    <w:rsid w:val="00152C0F"/>
    <w:pPr>
      <w:ind w:left="566" w:hanging="283"/>
      <w:contextualSpacing/>
    </w:pPr>
  </w:style>
  <w:style w:type="paragraph" w:styleId="List3">
    <w:name w:val="List 3"/>
    <w:basedOn w:val="Normal"/>
    <w:uiPriority w:val="99"/>
    <w:semiHidden/>
    <w:unhideWhenUsed/>
    <w:rsid w:val="00152C0F"/>
    <w:pPr>
      <w:ind w:left="849" w:hanging="283"/>
      <w:contextualSpacing/>
    </w:pPr>
  </w:style>
  <w:style w:type="paragraph" w:styleId="List4">
    <w:name w:val="List 4"/>
    <w:basedOn w:val="Normal"/>
    <w:uiPriority w:val="99"/>
    <w:semiHidden/>
    <w:unhideWhenUsed/>
    <w:rsid w:val="00152C0F"/>
    <w:pPr>
      <w:ind w:left="1132" w:hanging="283"/>
      <w:contextualSpacing/>
    </w:pPr>
  </w:style>
  <w:style w:type="paragraph" w:styleId="List5">
    <w:name w:val="List 5"/>
    <w:basedOn w:val="Normal"/>
    <w:uiPriority w:val="99"/>
    <w:semiHidden/>
    <w:unhideWhenUsed/>
    <w:rsid w:val="00152C0F"/>
    <w:pPr>
      <w:ind w:left="1415" w:hanging="283"/>
      <w:contextualSpacing/>
    </w:pPr>
  </w:style>
  <w:style w:type="paragraph" w:styleId="ListBullet">
    <w:name w:val="List Bullet"/>
    <w:basedOn w:val="Normal"/>
    <w:uiPriority w:val="99"/>
    <w:semiHidden/>
    <w:unhideWhenUsed/>
    <w:rsid w:val="00152C0F"/>
    <w:pPr>
      <w:numPr>
        <w:numId w:val="1"/>
      </w:numPr>
      <w:contextualSpacing/>
    </w:pPr>
  </w:style>
  <w:style w:type="paragraph" w:styleId="ListBullet2">
    <w:name w:val="List Bullet 2"/>
    <w:basedOn w:val="Normal"/>
    <w:uiPriority w:val="99"/>
    <w:semiHidden/>
    <w:unhideWhenUsed/>
    <w:rsid w:val="00152C0F"/>
    <w:pPr>
      <w:numPr>
        <w:numId w:val="2"/>
      </w:numPr>
      <w:contextualSpacing/>
    </w:pPr>
  </w:style>
  <w:style w:type="paragraph" w:styleId="ListBullet3">
    <w:name w:val="List Bullet 3"/>
    <w:basedOn w:val="Normal"/>
    <w:uiPriority w:val="99"/>
    <w:semiHidden/>
    <w:unhideWhenUsed/>
    <w:rsid w:val="00152C0F"/>
    <w:pPr>
      <w:numPr>
        <w:numId w:val="3"/>
      </w:numPr>
      <w:contextualSpacing/>
    </w:pPr>
  </w:style>
  <w:style w:type="paragraph" w:styleId="ListBullet4">
    <w:name w:val="List Bullet 4"/>
    <w:basedOn w:val="Normal"/>
    <w:uiPriority w:val="99"/>
    <w:semiHidden/>
    <w:unhideWhenUsed/>
    <w:rsid w:val="00152C0F"/>
    <w:pPr>
      <w:numPr>
        <w:numId w:val="4"/>
      </w:numPr>
      <w:contextualSpacing/>
    </w:pPr>
  </w:style>
  <w:style w:type="paragraph" w:styleId="ListBullet5">
    <w:name w:val="List Bullet 5"/>
    <w:basedOn w:val="Normal"/>
    <w:uiPriority w:val="99"/>
    <w:semiHidden/>
    <w:unhideWhenUsed/>
    <w:rsid w:val="00152C0F"/>
    <w:pPr>
      <w:numPr>
        <w:numId w:val="5"/>
      </w:numPr>
      <w:contextualSpacing/>
    </w:pPr>
  </w:style>
  <w:style w:type="paragraph" w:styleId="ListContinue">
    <w:name w:val="List Continue"/>
    <w:basedOn w:val="Normal"/>
    <w:uiPriority w:val="99"/>
    <w:semiHidden/>
    <w:unhideWhenUsed/>
    <w:rsid w:val="00152C0F"/>
    <w:pPr>
      <w:spacing w:after="120"/>
      <w:ind w:left="283"/>
      <w:contextualSpacing/>
    </w:pPr>
  </w:style>
  <w:style w:type="paragraph" w:styleId="ListContinue2">
    <w:name w:val="List Continue 2"/>
    <w:basedOn w:val="Normal"/>
    <w:uiPriority w:val="99"/>
    <w:semiHidden/>
    <w:unhideWhenUsed/>
    <w:rsid w:val="00152C0F"/>
    <w:pPr>
      <w:spacing w:after="120"/>
      <w:ind w:left="566"/>
      <w:contextualSpacing/>
    </w:pPr>
  </w:style>
  <w:style w:type="paragraph" w:styleId="ListContinue3">
    <w:name w:val="List Continue 3"/>
    <w:basedOn w:val="Normal"/>
    <w:uiPriority w:val="99"/>
    <w:semiHidden/>
    <w:unhideWhenUsed/>
    <w:rsid w:val="00152C0F"/>
    <w:pPr>
      <w:spacing w:after="120"/>
      <w:ind w:left="849"/>
      <w:contextualSpacing/>
    </w:pPr>
  </w:style>
  <w:style w:type="paragraph" w:styleId="ListContinue4">
    <w:name w:val="List Continue 4"/>
    <w:basedOn w:val="Normal"/>
    <w:uiPriority w:val="99"/>
    <w:semiHidden/>
    <w:unhideWhenUsed/>
    <w:rsid w:val="00152C0F"/>
    <w:pPr>
      <w:spacing w:after="120"/>
      <w:ind w:left="1132"/>
      <w:contextualSpacing/>
    </w:pPr>
  </w:style>
  <w:style w:type="paragraph" w:styleId="ListContinue5">
    <w:name w:val="List Continue 5"/>
    <w:basedOn w:val="Normal"/>
    <w:uiPriority w:val="99"/>
    <w:semiHidden/>
    <w:unhideWhenUsed/>
    <w:rsid w:val="00152C0F"/>
    <w:pPr>
      <w:spacing w:after="120"/>
      <w:ind w:left="1415"/>
      <w:contextualSpacing/>
    </w:pPr>
  </w:style>
  <w:style w:type="paragraph" w:styleId="ListNumber">
    <w:name w:val="List Number"/>
    <w:basedOn w:val="Normal"/>
    <w:uiPriority w:val="99"/>
    <w:semiHidden/>
    <w:unhideWhenUsed/>
    <w:rsid w:val="00152C0F"/>
    <w:pPr>
      <w:numPr>
        <w:numId w:val="6"/>
      </w:numPr>
      <w:contextualSpacing/>
    </w:pPr>
  </w:style>
  <w:style w:type="paragraph" w:styleId="ListNumber2">
    <w:name w:val="List Number 2"/>
    <w:basedOn w:val="Normal"/>
    <w:uiPriority w:val="99"/>
    <w:semiHidden/>
    <w:unhideWhenUsed/>
    <w:rsid w:val="00152C0F"/>
    <w:pPr>
      <w:numPr>
        <w:numId w:val="7"/>
      </w:numPr>
      <w:contextualSpacing/>
    </w:pPr>
  </w:style>
  <w:style w:type="paragraph" w:styleId="ListNumber3">
    <w:name w:val="List Number 3"/>
    <w:basedOn w:val="Normal"/>
    <w:uiPriority w:val="99"/>
    <w:semiHidden/>
    <w:unhideWhenUsed/>
    <w:rsid w:val="00152C0F"/>
    <w:pPr>
      <w:numPr>
        <w:numId w:val="8"/>
      </w:numPr>
      <w:contextualSpacing/>
    </w:pPr>
  </w:style>
  <w:style w:type="paragraph" w:styleId="ListNumber4">
    <w:name w:val="List Number 4"/>
    <w:basedOn w:val="Normal"/>
    <w:uiPriority w:val="99"/>
    <w:semiHidden/>
    <w:unhideWhenUsed/>
    <w:rsid w:val="00152C0F"/>
    <w:pPr>
      <w:numPr>
        <w:numId w:val="9"/>
      </w:numPr>
      <w:contextualSpacing/>
    </w:pPr>
  </w:style>
  <w:style w:type="paragraph" w:styleId="ListNumber5">
    <w:name w:val="List Number 5"/>
    <w:basedOn w:val="Normal"/>
    <w:uiPriority w:val="99"/>
    <w:semiHidden/>
    <w:unhideWhenUsed/>
    <w:rsid w:val="00152C0F"/>
    <w:pPr>
      <w:numPr>
        <w:numId w:val="10"/>
      </w:numPr>
      <w:contextualSpacing/>
    </w:pPr>
  </w:style>
  <w:style w:type="paragraph" w:styleId="ListParagraph">
    <w:name w:val="List Paragraph"/>
    <w:basedOn w:val="Normal"/>
    <w:uiPriority w:val="34"/>
    <w:qFormat/>
    <w:rsid w:val="00152C0F"/>
    <w:pPr>
      <w:ind w:left="720"/>
      <w:contextualSpacing/>
    </w:pPr>
  </w:style>
  <w:style w:type="table" w:styleId="ListTable1Light">
    <w:name w:val="List Table 1 Light"/>
    <w:basedOn w:val="TableNormal"/>
    <w:uiPriority w:val="46"/>
    <w:rsid w:val="00152C0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2C0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52C0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52C0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52C0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52C0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52C0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52C0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2C0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52C0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52C0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52C0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52C0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52C0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52C0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2C0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52C0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52C0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52C0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52C0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52C0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52C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2C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52C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52C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52C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52C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52C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52C0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2C0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2C0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2C0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2C0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2C0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2C0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2C0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2C0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52C0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52C0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52C0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52C0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52C0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52C0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2C0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2C0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2C0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2C0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2C0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2C0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52C0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52C0F"/>
    <w:rPr>
      <w:rFonts w:ascii="Consolas" w:hAnsi="Consolas"/>
    </w:rPr>
  </w:style>
  <w:style w:type="table" w:styleId="MediumGrid1">
    <w:name w:val="Medium Grid 1"/>
    <w:basedOn w:val="TableNormal"/>
    <w:uiPriority w:val="67"/>
    <w:semiHidden/>
    <w:unhideWhenUsed/>
    <w:rsid w:val="00152C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2C0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52C0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52C0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52C0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52C0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52C0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2C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2C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52C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52C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52C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52C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52C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52C0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52C0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52C0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52C0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52C0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52C0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52C0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2C0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2C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52C0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2C0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2C0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2C0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2C0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2C0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5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52C0F"/>
    <w:rPr>
      <w:color w:val="2B579A"/>
      <w:shd w:val="clear" w:color="auto" w:fill="E1DFDD"/>
    </w:rPr>
  </w:style>
  <w:style w:type="paragraph" w:styleId="MessageHeader">
    <w:name w:val="Message Header"/>
    <w:basedOn w:val="Normal"/>
    <w:link w:val="MessageHeaderChar"/>
    <w:uiPriority w:val="99"/>
    <w:semiHidden/>
    <w:unhideWhenUsed/>
    <w:rsid w:val="00152C0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2C0F"/>
    <w:rPr>
      <w:rFonts w:asciiTheme="majorHAnsi" w:eastAsiaTheme="majorEastAsia" w:hAnsiTheme="majorHAnsi" w:cstheme="majorBidi"/>
      <w:sz w:val="24"/>
      <w:szCs w:val="24"/>
      <w:shd w:val="pct20" w:color="auto" w:fill="auto"/>
    </w:rPr>
  </w:style>
  <w:style w:type="paragraph" w:styleId="NoSpacing">
    <w:name w:val="No Spacing"/>
    <w:uiPriority w:val="1"/>
    <w:qFormat/>
    <w:rsid w:val="00152C0F"/>
    <w:rPr>
      <w:sz w:val="22"/>
    </w:rPr>
  </w:style>
  <w:style w:type="paragraph" w:styleId="NormalWeb">
    <w:name w:val="Normal (Web)"/>
    <w:basedOn w:val="Normal"/>
    <w:uiPriority w:val="99"/>
    <w:semiHidden/>
    <w:unhideWhenUsed/>
    <w:rsid w:val="00152C0F"/>
    <w:rPr>
      <w:rFonts w:cs="Times New Roman"/>
      <w:sz w:val="24"/>
      <w:szCs w:val="24"/>
    </w:rPr>
  </w:style>
  <w:style w:type="paragraph" w:styleId="NormalIndent">
    <w:name w:val="Normal Indent"/>
    <w:basedOn w:val="Normal"/>
    <w:uiPriority w:val="99"/>
    <w:semiHidden/>
    <w:unhideWhenUsed/>
    <w:rsid w:val="00152C0F"/>
    <w:pPr>
      <w:ind w:left="720"/>
    </w:pPr>
  </w:style>
  <w:style w:type="paragraph" w:styleId="NoteHeading">
    <w:name w:val="Note Heading"/>
    <w:basedOn w:val="Normal"/>
    <w:next w:val="Normal"/>
    <w:link w:val="NoteHeadingChar"/>
    <w:uiPriority w:val="99"/>
    <w:semiHidden/>
    <w:unhideWhenUsed/>
    <w:rsid w:val="00152C0F"/>
    <w:pPr>
      <w:spacing w:line="240" w:lineRule="auto"/>
    </w:pPr>
  </w:style>
  <w:style w:type="character" w:customStyle="1" w:styleId="NoteHeadingChar">
    <w:name w:val="Note Heading Char"/>
    <w:basedOn w:val="DefaultParagraphFont"/>
    <w:link w:val="NoteHeading"/>
    <w:uiPriority w:val="99"/>
    <w:semiHidden/>
    <w:rsid w:val="00152C0F"/>
    <w:rPr>
      <w:sz w:val="22"/>
    </w:rPr>
  </w:style>
  <w:style w:type="character" w:styleId="PageNumber">
    <w:name w:val="page number"/>
    <w:basedOn w:val="DefaultParagraphFont"/>
    <w:uiPriority w:val="99"/>
    <w:semiHidden/>
    <w:unhideWhenUsed/>
    <w:rsid w:val="00152C0F"/>
  </w:style>
  <w:style w:type="character" w:styleId="PlaceholderText">
    <w:name w:val="Placeholder Text"/>
    <w:basedOn w:val="DefaultParagraphFont"/>
    <w:uiPriority w:val="99"/>
    <w:semiHidden/>
    <w:rsid w:val="00152C0F"/>
    <w:rPr>
      <w:color w:val="808080"/>
    </w:rPr>
  </w:style>
  <w:style w:type="table" w:styleId="PlainTable1">
    <w:name w:val="Plain Table 1"/>
    <w:basedOn w:val="TableNormal"/>
    <w:uiPriority w:val="41"/>
    <w:rsid w:val="00152C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2C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2C0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2C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2C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52C0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2C0F"/>
    <w:rPr>
      <w:rFonts w:ascii="Consolas" w:hAnsi="Consolas"/>
      <w:sz w:val="21"/>
      <w:szCs w:val="21"/>
    </w:rPr>
  </w:style>
  <w:style w:type="paragraph" w:styleId="Quote">
    <w:name w:val="Quote"/>
    <w:basedOn w:val="Normal"/>
    <w:next w:val="Normal"/>
    <w:link w:val="QuoteChar"/>
    <w:uiPriority w:val="29"/>
    <w:qFormat/>
    <w:rsid w:val="00152C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2C0F"/>
    <w:rPr>
      <w:i/>
      <w:iCs/>
      <w:color w:val="404040" w:themeColor="text1" w:themeTint="BF"/>
      <w:sz w:val="22"/>
    </w:rPr>
  </w:style>
  <w:style w:type="paragraph" w:styleId="Salutation">
    <w:name w:val="Salutation"/>
    <w:basedOn w:val="Normal"/>
    <w:next w:val="Normal"/>
    <w:link w:val="SalutationChar"/>
    <w:uiPriority w:val="99"/>
    <w:semiHidden/>
    <w:unhideWhenUsed/>
    <w:rsid w:val="00152C0F"/>
  </w:style>
  <w:style w:type="character" w:customStyle="1" w:styleId="SalutationChar">
    <w:name w:val="Salutation Char"/>
    <w:basedOn w:val="DefaultParagraphFont"/>
    <w:link w:val="Salutation"/>
    <w:uiPriority w:val="99"/>
    <w:semiHidden/>
    <w:rsid w:val="00152C0F"/>
    <w:rPr>
      <w:sz w:val="22"/>
    </w:rPr>
  </w:style>
  <w:style w:type="paragraph" w:styleId="Signature">
    <w:name w:val="Signature"/>
    <w:basedOn w:val="Normal"/>
    <w:link w:val="SignatureChar"/>
    <w:uiPriority w:val="99"/>
    <w:semiHidden/>
    <w:unhideWhenUsed/>
    <w:rsid w:val="00152C0F"/>
    <w:pPr>
      <w:spacing w:line="240" w:lineRule="auto"/>
      <w:ind w:left="4252"/>
    </w:pPr>
  </w:style>
  <w:style w:type="character" w:customStyle="1" w:styleId="SignatureChar">
    <w:name w:val="Signature Char"/>
    <w:basedOn w:val="DefaultParagraphFont"/>
    <w:link w:val="Signature"/>
    <w:uiPriority w:val="99"/>
    <w:semiHidden/>
    <w:rsid w:val="00152C0F"/>
    <w:rPr>
      <w:sz w:val="22"/>
    </w:rPr>
  </w:style>
  <w:style w:type="character" w:styleId="SmartHyperlink">
    <w:name w:val="Smart Hyperlink"/>
    <w:basedOn w:val="DefaultParagraphFont"/>
    <w:uiPriority w:val="99"/>
    <w:semiHidden/>
    <w:unhideWhenUsed/>
    <w:rsid w:val="00152C0F"/>
    <w:rPr>
      <w:u w:val="dotted"/>
    </w:rPr>
  </w:style>
  <w:style w:type="character" w:styleId="Strong">
    <w:name w:val="Strong"/>
    <w:basedOn w:val="DefaultParagraphFont"/>
    <w:uiPriority w:val="22"/>
    <w:qFormat/>
    <w:rsid w:val="00152C0F"/>
    <w:rPr>
      <w:b/>
      <w:bCs/>
    </w:rPr>
  </w:style>
  <w:style w:type="paragraph" w:styleId="Subtitle">
    <w:name w:val="Subtitle"/>
    <w:basedOn w:val="Normal"/>
    <w:next w:val="Normal"/>
    <w:link w:val="SubtitleChar"/>
    <w:uiPriority w:val="11"/>
    <w:qFormat/>
    <w:rsid w:val="00152C0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52C0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52C0F"/>
    <w:rPr>
      <w:i/>
      <w:iCs/>
      <w:color w:val="404040" w:themeColor="text1" w:themeTint="BF"/>
    </w:rPr>
  </w:style>
  <w:style w:type="character" w:styleId="SubtleReference">
    <w:name w:val="Subtle Reference"/>
    <w:basedOn w:val="DefaultParagraphFont"/>
    <w:uiPriority w:val="31"/>
    <w:qFormat/>
    <w:rsid w:val="00152C0F"/>
    <w:rPr>
      <w:smallCaps/>
      <w:color w:val="5A5A5A" w:themeColor="text1" w:themeTint="A5"/>
    </w:rPr>
  </w:style>
  <w:style w:type="table" w:styleId="Table3Deffects1">
    <w:name w:val="Table 3D effects 1"/>
    <w:basedOn w:val="TableNormal"/>
    <w:uiPriority w:val="99"/>
    <w:semiHidden/>
    <w:unhideWhenUsed/>
    <w:rsid w:val="00152C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2C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2C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2C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2C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2C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2C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2C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2C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2C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2C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2C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2C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2C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2C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2C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2C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52C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2C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2C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2C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2C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2C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2C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2C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2C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52C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2C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2C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2C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2C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2C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2C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2C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52C0F"/>
    <w:pPr>
      <w:ind w:left="220" w:hanging="220"/>
    </w:pPr>
  </w:style>
  <w:style w:type="paragraph" w:styleId="TableofFigures">
    <w:name w:val="table of figures"/>
    <w:basedOn w:val="Normal"/>
    <w:next w:val="Normal"/>
    <w:uiPriority w:val="99"/>
    <w:semiHidden/>
    <w:unhideWhenUsed/>
    <w:rsid w:val="00152C0F"/>
  </w:style>
  <w:style w:type="table" w:styleId="TableProfessional">
    <w:name w:val="Table Professional"/>
    <w:basedOn w:val="TableNormal"/>
    <w:uiPriority w:val="99"/>
    <w:semiHidden/>
    <w:unhideWhenUsed/>
    <w:rsid w:val="00152C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2C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2C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2C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2C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2C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2C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2C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2C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2C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52C0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0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52C0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52C0F"/>
    <w:pPr>
      <w:numPr>
        <w:numId w:val="0"/>
      </w:numPr>
      <w:outlineLvl w:val="9"/>
    </w:pPr>
  </w:style>
  <w:style w:type="character" w:styleId="UnresolvedMention">
    <w:name w:val="Unresolved Mention"/>
    <w:basedOn w:val="DefaultParagraphFont"/>
    <w:uiPriority w:val="99"/>
    <w:semiHidden/>
    <w:unhideWhenUsed/>
    <w:rsid w:val="00152C0F"/>
    <w:rPr>
      <w:color w:val="605E5C"/>
      <w:shd w:val="clear" w:color="auto" w:fill="E1DFDD"/>
    </w:rPr>
  </w:style>
  <w:style w:type="character" w:customStyle="1" w:styleId="TabletextChar">
    <w:name w:val="Tabletext Char"/>
    <w:aliases w:val="tt Char"/>
    <w:basedOn w:val="DefaultParagraphFont"/>
    <w:link w:val="Tabletext"/>
    <w:rsid w:val="00F44E90"/>
    <w:rPr>
      <w:rFonts w:eastAsia="Times New Roman" w:cs="Times New Roman"/>
      <w:lang w:eastAsia="en-AU"/>
    </w:rPr>
  </w:style>
  <w:style w:type="character" w:customStyle="1" w:styleId="ItemHeadChar">
    <w:name w:val="ItemHead Char"/>
    <w:aliases w:val="ih Char"/>
    <w:basedOn w:val="DefaultParagraphFont"/>
    <w:link w:val="ItemHead"/>
    <w:rsid w:val="00F44E90"/>
    <w:rPr>
      <w:rFonts w:ascii="Arial" w:eastAsia="Times New Roman" w:hAnsi="Arial" w:cs="Times New Roman"/>
      <w:b/>
      <w:kern w:val="28"/>
      <w:sz w:val="24"/>
      <w:lang w:eastAsia="en-AU"/>
    </w:rPr>
  </w:style>
  <w:style w:type="character" w:customStyle="1" w:styleId="paragraphChar">
    <w:name w:val="paragraph Char"/>
    <w:aliases w:val="a Char"/>
    <w:link w:val="paragraph"/>
    <w:rsid w:val="00F44E90"/>
    <w:rPr>
      <w:rFonts w:eastAsia="Times New Roman" w:cs="Times New Roman"/>
      <w:sz w:val="22"/>
      <w:lang w:eastAsia="en-AU"/>
    </w:rPr>
  </w:style>
  <w:style w:type="character" w:customStyle="1" w:styleId="ItemChar">
    <w:name w:val="Item Char"/>
    <w:aliases w:val="i Char"/>
    <w:basedOn w:val="DefaultParagraphFont"/>
    <w:link w:val="Item"/>
    <w:rsid w:val="00F44E90"/>
    <w:rPr>
      <w:rFonts w:eastAsia="Times New Roman" w:cs="Times New Roman"/>
      <w:sz w:val="22"/>
      <w:lang w:eastAsia="en-AU"/>
    </w:rPr>
  </w:style>
  <w:style w:type="character" w:customStyle="1" w:styleId="notetextChar">
    <w:name w:val="note(text) Char"/>
    <w:aliases w:val="n Char"/>
    <w:basedOn w:val="DefaultParagraphFont"/>
    <w:link w:val="notetext"/>
    <w:rsid w:val="00F44E90"/>
    <w:rPr>
      <w:rFonts w:eastAsia="Times New Roman" w:cs="Times New Roman"/>
      <w:sz w:val="18"/>
      <w:lang w:eastAsia="en-AU"/>
    </w:rPr>
  </w:style>
  <w:style w:type="character" w:customStyle="1" w:styleId="subsectionChar">
    <w:name w:val="subsection Char"/>
    <w:aliases w:val="ss Char"/>
    <w:link w:val="subsection"/>
    <w:rsid w:val="00CE2086"/>
    <w:rPr>
      <w:rFonts w:eastAsia="Times New Roman" w:cs="Times New Roman"/>
      <w:sz w:val="22"/>
      <w:lang w:eastAsia="en-AU"/>
    </w:rPr>
  </w:style>
  <w:style w:type="character" w:customStyle="1" w:styleId="paragraphsubChar">
    <w:name w:val="paragraph(sub) Char"/>
    <w:aliases w:val="aa Char"/>
    <w:link w:val="paragraphsub"/>
    <w:rsid w:val="00CE2086"/>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5423E9"/>
    <w:rPr>
      <w:rFonts w:eastAsia="Times New Roman" w:cs="Times New Roman"/>
      <w:sz w:val="22"/>
      <w:lang w:eastAsia="en-AU"/>
    </w:rPr>
  </w:style>
  <w:style w:type="character" w:customStyle="1" w:styleId="ActHead5Char">
    <w:name w:val="ActHead 5 Char"/>
    <w:aliases w:val="s Char"/>
    <w:link w:val="ActHead5"/>
    <w:rsid w:val="005423E9"/>
    <w:rPr>
      <w:rFonts w:eastAsia="Times New Roman" w:cs="Times New Roman"/>
      <w:b/>
      <w:kern w:val="28"/>
      <w:sz w:val="24"/>
      <w:lang w:eastAsia="en-AU"/>
    </w:rPr>
  </w:style>
  <w:style w:type="paragraph" w:customStyle="1" w:styleId="ShortTP1">
    <w:name w:val="ShortTP1"/>
    <w:basedOn w:val="ShortT"/>
    <w:link w:val="ShortTP1Char"/>
    <w:rsid w:val="00814893"/>
    <w:pPr>
      <w:spacing w:before="800"/>
    </w:pPr>
  </w:style>
  <w:style w:type="character" w:customStyle="1" w:styleId="ShortTP1Char">
    <w:name w:val="ShortTP1 Char"/>
    <w:basedOn w:val="DefaultParagraphFont"/>
    <w:link w:val="ShortTP1"/>
    <w:rsid w:val="00814893"/>
    <w:rPr>
      <w:rFonts w:eastAsia="Times New Roman" w:cs="Times New Roman"/>
      <w:b/>
      <w:sz w:val="40"/>
      <w:lang w:eastAsia="en-AU"/>
    </w:rPr>
  </w:style>
  <w:style w:type="paragraph" w:customStyle="1" w:styleId="ActNoP1">
    <w:name w:val="ActNoP1"/>
    <w:basedOn w:val="Actno"/>
    <w:link w:val="ActNoP1Char"/>
    <w:rsid w:val="00814893"/>
    <w:pPr>
      <w:spacing w:before="800"/>
    </w:pPr>
    <w:rPr>
      <w:sz w:val="28"/>
    </w:rPr>
  </w:style>
  <w:style w:type="character" w:customStyle="1" w:styleId="ActNoP1Char">
    <w:name w:val="ActNoP1 Char"/>
    <w:basedOn w:val="DefaultParagraphFont"/>
    <w:link w:val="ActNoP1"/>
    <w:rsid w:val="00814893"/>
    <w:rPr>
      <w:rFonts w:eastAsia="Times New Roman" w:cs="Times New Roman"/>
      <w:b/>
      <w:sz w:val="28"/>
      <w:lang w:eastAsia="en-AU"/>
    </w:rPr>
  </w:style>
  <w:style w:type="paragraph" w:customStyle="1" w:styleId="AssentBk">
    <w:name w:val="AssentBk"/>
    <w:basedOn w:val="Normal"/>
    <w:rsid w:val="00814893"/>
    <w:pPr>
      <w:spacing w:line="240" w:lineRule="auto"/>
    </w:pPr>
    <w:rPr>
      <w:rFonts w:eastAsia="Times New Roman" w:cs="Times New Roman"/>
      <w:sz w:val="20"/>
      <w:lang w:eastAsia="en-AU"/>
    </w:rPr>
  </w:style>
  <w:style w:type="paragraph" w:customStyle="1" w:styleId="AssentDt">
    <w:name w:val="AssentDt"/>
    <w:basedOn w:val="Normal"/>
    <w:rsid w:val="00E931D8"/>
    <w:pPr>
      <w:spacing w:line="240" w:lineRule="auto"/>
    </w:pPr>
    <w:rPr>
      <w:rFonts w:eastAsia="Times New Roman" w:cs="Times New Roman"/>
      <w:sz w:val="20"/>
      <w:lang w:eastAsia="en-AU"/>
    </w:rPr>
  </w:style>
  <w:style w:type="paragraph" w:customStyle="1" w:styleId="2ndRd">
    <w:name w:val="2ndRd"/>
    <w:basedOn w:val="Normal"/>
    <w:rsid w:val="00E931D8"/>
    <w:pPr>
      <w:spacing w:line="240" w:lineRule="auto"/>
    </w:pPr>
    <w:rPr>
      <w:rFonts w:eastAsia="Times New Roman" w:cs="Times New Roman"/>
      <w:sz w:val="20"/>
      <w:lang w:eastAsia="en-AU"/>
    </w:rPr>
  </w:style>
  <w:style w:type="paragraph" w:customStyle="1" w:styleId="ScalePlusRef">
    <w:name w:val="ScalePlusRef"/>
    <w:basedOn w:val="Normal"/>
    <w:rsid w:val="00E931D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2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ling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34</Pages>
  <Words>5515</Words>
  <Characters>27796</Characters>
  <Application>Microsoft Office Word</Application>
  <DocSecurity>0</DocSecurity>
  <PresentationFormat/>
  <Lines>591</Lines>
  <Paragraphs>421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2024-11-11T03:53:00Z</cp:lastPrinted>
  <dcterms:created xsi:type="dcterms:W3CDTF">2024-12-11T22:14:00Z</dcterms:created>
  <dcterms:modified xsi:type="dcterms:W3CDTF">2024-12-12T00:11:00Z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(Fairer for Families and Farmers and Other Measures) Act 2024</vt:lpwstr>
  </property>
  <property fmtid="{D5CDD505-2E9C-101B-9397-08002B2CF9AE}" pid="3" name="ActNo">
    <vt:lpwstr>No. 136,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OPC8598</vt:lpwstr>
  </property>
  <property fmtid="{D5CDD505-2E9C-101B-9397-08002B2CF9AE}" pid="10" name="MSIP_Label_234ea0fa-41da-4eb0-b95e-07c328641c0b_Enabled">
    <vt:lpwstr>true</vt:lpwstr>
  </property>
  <property fmtid="{D5CDD505-2E9C-101B-9397-08002B2CF9AE}" pid="11" name="MSIP_Label_234ea0fa-41da-4eb0-b95e-07c328641c0b_SetDate">
    <vt:lpwstr>2024-12-03T02:36:48Z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c23bf6ce-dde5-45e0-bba2-da40b615981f</vt:lpwstr>
  </property>
  <property fmtid="{D5CDD505-2E9C-101B-9397-08002B2CF9AE}" pid="16" name="MSIP_Label_234ea0fa-41da-4eb0-b95e-07c328641c0b_ContentBits">
    <vt:lpwstr>0</vt:lpwstr>
  </property>
</Properties>
</file>