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60" w:rsidRDefault="008B1ADA">
      <w:pPr>
        <w:spacing w:before="124" w:line="20" w:lineRule="exact"/>
      </w:pPr>
      <w:r>
        <w:pict>
          <v:line id="_x0000_s1039" style="position:absolute;z-index:251651072;mso-position-horizontal-relative:page;mso-position-vertical-relative:page" from="60.5pt,28.55pt" to="545.2pt,28.55pt" strokeweight=".7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4147"/>
        <w:gridCol w:w="398"/>
        <w:gridCol w:w="3980"/>
        <w:gridCol w:w="12"/>
      </w:tblGrid>
      <w:tr w:rsidR="00FC2860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1243" w:type="dxa"/>
          </w:tcPr>
          <w:p w:rsidR="00FC2860" w:rsidRDefault="008B1ADA">
            <w:pPr>
              <w:spacing w:before="29" w:after="45"/>
              <w:ind w:left="159"/>
              <w:jc w:val="right"/>
              <w:textAlignment w:val="baseline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688340" cy="536575"/>
                  <wp:effectExtent l="0" t="0" r="0" b="0"/>
                  <wp:docPr id="1" name="Picture" title="Commonwealth Coast of Arms of Austra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FC2860" w:rsidRDefault="008B1ADA">
            <w:pPr>
              <w:spacing w:line="473" w:lineRule="exact"/>
              <w:ind w:left="216"/>
              <w:textAlignment w:val="baseline"/>
              <w:rPr>
                <w:rFonts w:ascii="Arial" w:eastAsia="Arial" w:hAnsi="Arial"/>
                <w:b/>
                <w:color w:val="000000"/>
                <w:sz w:val="43"/>
              </w:rPr>
            </w:pPr>
            <w:r>
              <w:rPr>
                <w:rFonts w:ascii="Arial" w:eastAsia="Arial" w:hAnsi="Arial"/>
                <w:b/>
                <w:color w:val="000000"/>
                <w:sz w:val="43"/>
              </w:rPr>
              <w:t>Commonwealth</w:t>
            </w:r>
          </w:p>
          <w:p w:rsidR="00FC2860" w:rsidRDefault="008B1ADA">
            <w:pPr>
              <w:spacing w:line="443" w:lineRule="exact"/>
              <w:ind w:left="216"/>
              <w:textAlignment w:val="baseline"/>
              <w:rPr>
                <w:rFonts w:ascii="Arial" w:eastAsia="Arial" w:hAnsi="Arial"/>
                <w:b/>
                <w:color w:val="000000"/>
                <w:sz w:val="43"/>
              </w:rPr>
            </w:pPr>
            <w:r>
              <w:rPr>
                <w:rFonts w:ascii="Arial" w:eastAsia="Arial" w:hAnsi="Arial"/>
                <w:b/>
                <w:color w:val="000000"/>
                <w:sz w:val="43"/>
              </w:rPr>
              <w:t>of Australia</w:t>
            </w:r>
          </w:p>
        </w:tc>
        <w:tc>
          <w:tcPr>
            <w:tcW w:w="4390" w:type="dxa"/>
            <w:gridSpan w:val="3"/>
            <w:vAlign w:val="center"/>
          </w:tcPr>
          <w:p w:rsidR="00FC2860" w:rsidRDefault="008B1ADA">
            <w:pPr>
              <w:spacing w:line="916" w:lineRule="exact"/>
              <w:ind w:right="1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00"/>
              </w:rPr>
            </w:pPr>
            <w:r>
              <w:rPr>
                <w:rFonts w:ascii="Arial" w:eastAsia="Arial" w:hAnsi="Arial"/>
                <w:b/>
                <w:color w:val="000000"/>
                <w:sz w:val="100"/>
              </w:rPr>
              <w:t>Gazette</w:t>
            </w:r>
          </w:p>
        </w:tc>
      </w:tr>
      <w:tr w:rsidR="00FC286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58"/>
        </w:trPr>
        <w:tc>
          <w:tcPr>
            <w:tcW w:w="5788" w:type="dxa"/>
            <w:gridSpan w:val="3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FC2860" w:rsidRDefault="008B1ADA">
            <w:pPr>
              <w:spacing w:before="175" w:after="9" w:line="159" w:lineRule="exact"/>
              <w:ind w:right="2860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Published by the Commonwealth of Australia</w:t>
            </w:r>
          </w:p>
        </w:tc>
        <w:tc>
          <w:tcPr>
            <w:tcW w:w="3980" w:type="dxa"/>
            <w:vMerge w:val="restart"/>
            <w:shd w:val="clear" w:color="000000" w:fill="000000"/>
            <w:vAlign w:val="center"/>
          </w:tcPr>
          <w:p w:rsidR="00FC2860" w:rsidRDefault="008B1ADA">
            <w:pPr>
              <w:spacing w:before="47" w:after="37" w:line="274" w:lineRule="exact"/>
              <w:ind w:right="120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</w:rPr>
              <w:t>GOVERNMENT NOTICES</w:t>
            </w:r>
          </w:p>
        </w:tc>
      </w:tr>
      <w:tr w:rsidR="00FC286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10"/>
        </w:trPr>
        <w:tc>
          <w:tcPr>
            <w:tcW w:w="5788" w:type="dxa"/>
            <w:gridSpan w:val="3"/>
            <w:tcBorders>
              <w:top w:val="single" w:sz="5" w:space="0" w:color="000000"/>
            </w:tcBorders>
          </w:tcPr>
          <w:p w:rsidR="00FC2860" w:rsidRDefault="00FC2860"/>
        </w:tc>
        <w:tc>
          <w:tcPr>
            <w:tcW w:w="3980" w:type="dxa"/>
            <w:vMerge/>
            <w:tcBorders>
              <w:bottom w:val="single" w:sz="5" w:space="0" w:color="000000"/>
            </w:tcBorders>
            <w:shd w:val="clear" w:color="000000" w:fill="000000"/>
            <w:vAlign w:val="center"/>
          </w:tcPr>
          <w:p w:rsidR="00FC2860" w:rsidRDefault="00FC2860"/>
        </w:tc>
      </w:tr>
    </w:tbl>
    <w:p w:rsidR="00FC2860" w:rsidRDefault="00FC2860">
      <w:pPr>
        <w:spacing w:after="561" w:line="20" w:lineRule="exact"/>
      </w:pPr>
    </w:p>
    <w:p w:rsidR="00FC2860" w:rsidRDefault="008B1ADA">
      <w:pPr>
        <w:spacing w:before="10" w:line="257" w:lineRule="exact"/>
        <w:ind w:left="4104"/>
        <w:textAlignment w:val="baseline"/>
        <w:rPr>
          <w:rFonts w:ascii="Verdana" w:eastAsia="Verdana" w:hAnsi="Verdana"/>
          <w:b/>
          <w:i/>
          <w:color w:val="000000"/>
          <w:spacing w:val="-2"/>
        </w:rPr>
      </w:pPr>
      <w:r>
        <w:rPr>
          <w:rFonts w:ascii="Verdana" w:eastAsia="Verdana" w:hAnsi="Verdana"/>
          <w:b/>
          <w:i/>
          <w:color w:val="000000"/>
          <w:spacing w:val="-2"/>
        </w:rPr>
        <w:t>Customs Act 1901</w:t>
      </w:r>
    </w:p>
    <w:p w:rsidR="00FC2860" w:rsidRDefault="008B1ADA">
      <w:pPr>
        <w:spacing w:before="127" w:line="710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z w:val="24"/>
        </w:rPr>
      </w:pPr>
      <w:r>
        <w:rPr>
          <w:rFonts w:ascii="Bookman Old Style" w:eastAsia="Bookman Old Style" w:hAnsi="Bookman Old Style"/>
          <w:b/>
          <w:color w:val="000000"/>
          <w:sz w:val="24"/>
        </w:rPr>
        <w:t xml:space="preserve">Notice under paragraph 15(2)(b) and subsection 15(3) </w:t>
      </w:r>
      <w:r>
        <w:rPr>
          <w:rFonts w:ascii="Bookman Old Style" w:eastAsia="Bookman Old Style" w:hAnsi="Bookman Old Style"/>
          <w:b/>
          <w:color w:val="000000"/>
          <w:sz w:val="24"/>
        </w:rPr>
        <w:br/>
        <w:t>Boarding Station Revocation and Appointment (No. 24/01)</w:t>
      </w:r>
    </w:p>
    <w:p w:rsidR="00FC2860" w:rsidRDefault="008B1ADA">
      <w:pPr>
        <w:spacing w:before="363" w:line="283" w:lineRule="exact"/>
        <w:ind w:right="1368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rPr>
          <w:rFonts w:ascii="Bookman Old Style" w:eastAsia="Bookman Old Style" w:hAnsi="Bookman Old Style"/>
          <w:color w:val="000000"/>
          <w:sz w:val="24"/>
        </w:rPr>
        <w:t xml:space="preserve">I, Phil Emerson, delegate of the Comptroller-General of Customs, under paragraph 15(2)(b) and subsection 15(3) of the </w:t>
      </w:r>
      <w:r>
        <w:rPr>
          <w:rFonts w:ascii="Bookman Old Style" w:eastAsia="Bookman Old Style" w:hAnsi="Bookman Old Style"/>
          <w:i/>
          <w:color w:val="000000"/>
          <w:sz w:val="24"/>
        </w:rPr>
        <w:t xml:space="preserve">Customs Act 1901 </w:t>
      </w:r>
      <w:r>
        <w:rPr>
          <w:rFonts w:ascii="Bookman Old Style" w:eastAsia="Bookman Old Style" w:hAnsi="Bookman Old Style"/>
          <w:color w:val="000000"/>
          <w:sz w:val="24"/>
        </w:rPr>
        <w:t>(</w:t>
      </w:r>
      <w:r>
        <w:rPr>
          <w:rFonts w:ascii="Verdana" w:eastAsia="Verdana" w:hAnsi="Verdana"/>
          <w:b/>
          <w:i/>
          <w:color w:val="000000"/>
        </w:rPr>
        <w:t>the Act</w:t>
      </w:r>
      <w:r>
        <w:rPr>
          <w:rFonts w:ascii="Bookman Old Style" w:eastAsia="Bookman Old Style" w:hAnsi="Bookman Old Style"/>
          <w:color w:val="000000"/>
          <w:sz w:val="24"/>
        </w:rPr>
        <w:t>):</w:t>
      </w:r>
      <w:bookmarkStart w:id="0" w:name="_GoBack"/>
      <w:bookmarkEnd w:id="0"/>
    </w:p>
    <w:p w:rsidR="00FC2860" w:rsidRDefault="008B1ADA">
      <w:pPr>
        <w:numPr>
          <w:ilvl w:val="0"/>
          <w:numId w:val="1"/>
        </w:numPr>
        <w:spacing w:before="290" w:line="271" w:lineRule="exact"/>
        <w:ind w:left="576" w:hanging="576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rPr>
          <w:rFonts w:ascii="Bookman Old Style" w:eastAsia="Bookman Old Style" w:hAnsi="Bookman Old Style"/>
          <w:color w:val="000000"/>
          <w:sz w:val="24"/>
        </w:rPr>
        <w:t>REVOKE the Boarding Station Appointment No. (2602)</w:t>
      </w:r>
    </w:p>
    <w:p w:rsidR="00FC2860" w:rsidRDefault="008B1ADA">
      <w:pPr>
        <w:spacing w:before="2" w:line="281" w:lineRule="exact"/>
        <w:ind w:left="576" w:right="648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rPr>
          <w:rFonts w:ascii="Bookman Old Style" w:eastAsia="Bookman Old Style" w:hAnsi="Bookman Old Style"/>
          <w:color w:val="000000"/>
          <w:sz w:val="24"/>
        </w:rPr>
        <w:t xml:space="preserve">(GN No.C2017G00706) published in the </w:t>
      </w:r>
      <w:r>
        <w:rPr>
          <w:rFonts w:ascii="Bookman Old Style" w:eastAsia="Bookman Old Style" w:hAnsi="Bookman Old Style"/>
          <w:i/>
          <w:color w:val="000000"/>
          <w:sz w:val="24"/>
        </w:rPr>
        <w:t>Commonwealth of Austra</w:t>
      </w:r>
      <w:r>
        <w:rPr>
          <w:rFonts w:ascii="Bookman Old Style" w:eastAsia="Bookman Old Style" w:hAnsi="Bookman Old Style"/>
          <w:i/>
          <w:color w:val="000000"/>
          <w:sz w:val="24"/>
        </w:rPr>
        <w:t xml:space="preserve">lia Gazette </w:t>
      </w:r>
      <w:r>
        <w:rPr>
          <w:rFonts w:ascii="Bookman Old Style" w:eastAsia="Bookman Old Style" w:hAnsi="Bookman Old Style"/>
          <w:color w:val="000000"/>
          <w:sz w:val="24"/>
        </w:rPr>
        <w:t>on 27</w:t>
      </w:r>
      <w:r>
        <w:rPr>
          <w:rFonts w:ascii="Bookman Old Style" w:eastAsia="Bookman Old Style" w:hAnsi="Bookman Old Style"/>
          <w:color w:val="000000"/>
          <w:sz w:val="24"/>
          <w:vertAlign w:val="superscript"/>
        </w:rPr>
        <w:t>th</w:t>
      </w:r>
      <w:r>
        <w:rPr>
          <w:rFonts w:ascii="Bookman Old Style" w:eastAsia="Bookman Old Style" w:hAnsi="Bookman Old Style"/>
          <w:color w:val="000000"/>
          <w:sz w:val="24"/>
        </w:rPr>
        <w:t xml:space="preserve"> June 2017, appointing Super Yacht Berths SY1-SY5 and adjacent gangway at South Port Yacht Club Marina within the Port of Brisbane as a boarding station and limiting the purpose in the South Port Yacht Club; and</w:t>
      </w:r>
    </w:p>
    <w:p w:rsidR="00FC2860" w:rsidRDefault="008B1ADA">
      <w:pPr>
        <w:numPr>
          <w:ilvl w:val="0"/>
          <w:numId w:val="1"/>
        </w:numPr>
        <w:spacing w:before="291" w:line="280" w:lineRule="exact"/>
        <w:ind w:left="576" w:right="720" w:hanging="576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rPr>
          <w:rFonts w:ascii="Bookman Old Style" w:eastAsia="Bookman Old Style" w:hAnsi="Bookman Old Style"/>
          <w:color w:val="000000"/>
          <w:sz w:val="24"/>
        </w:rPr>
        <w:t xml:space="preserve">APPOINT the area, within </w:t>
      </w:r>
      <w:r>
        <w:rPr>
          <w:rFonts w:ascii="Bookman Old Style" w:eastAsia="Bookman Old Style" w:hAnsi="Bookman Old Style"/>
          <w:color w:val="000000"/>
          <w:sz w:val="24"/>
        </w:rPr>
        <w:t xml:space="preserve">the red boundary line as indicated in </w:t>
      </w:r>
      <w:r>
        <w:rPr>
          <w:rFonts w:ascii="Bookman Old Style" w:eastAsia="Bookman Old Style" w:hAnsi="Bookman Old Style"/>
          <w:b/>
          <w:color w:val="000000"/>
          <w:sz w:val="24"/>
        </w:rPr>
        <w:t xml:space="preserve">Attachment A, </w:t>
      </w:r>
      <w:r>
        <w:rPr>
          <w:rFonts w:ascii="Bookman Old Style" w:eastAsia="Bookman Old Style" w:hAnsi="Bookman Old Style"/>
          <w:color w:val="000000"/>
          <w:sz w:val="24"/>
        </w:rPr>
        <w:t>of the Super Yacht Berths SY1 – SY5, gangway adjacent to SY1 – SY5, and Mega Yacht Berths MY01 to MY03, in the Port of Brisbane in the State of Queensland, as a boarding station; and</w:t>
      </w:r>
    </w:p>
    <w:p w:rsidR="00FC2860" w:rsidRDefault="008B1ADA">
      <w:pPr>
        <w:numPr>
          <w:ilvl w:val="0"/>
          <w:numId w:val="1"/>
        </w:numPr>
        <w:spacing w:before="288" w:line="283" w:lineRule="exact"/>
        <w:ind w:left="576" w:right="864" w:hanging="576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rPr>
          <w:rFonts w:ascii="Bookman Old Style" w:eastAsia="Bookman Old Style" w:hAnsi="Bookman Old Style"/>
          <w:color w:val="000000"/>
          <w:sz w:val="24"/>
        </w:rPr>
        <w:t xml:space="preserve">LIMIT the purpose of </w:t>
      </w:r>
      <w:r>
        <w:rPr>
          <w:rFonts w:ascii="Bookman Old Style" w:eastAsia="Bookman Old Style" w:hAnsi="Bookman Old Style"/>
          <w:color w:val="000000"/>
          <w:sz w:val="24"/>
        </w:rPr>
        <w:t>the boarding station covered by paragraph (b) to the clearance of a ship (within the meaning of the Act) to which both of the following apply:</w:t>
      </w:r>
    </w:p>
    <w:p w:rsidR="00FC2860" w:rsidRDefault="008B1ADA">
      <w:pPr>
        <w:numPr>
          <w:ilvl w:val="0"/>
          <w:numId w:val="2"/>
        </w:numPr>
        <w:tabs>
          <w:tab w:val="clear" w:pos="576"/>
          <w:tab w:val="left" w:pos="1152"/>
        </w:tabs>
        <w:spacing w:before="291" w:line="271" w:lineRule="exact"/>
        <w:ind w:left="576"/>
        <w:textAlignment w:val="baseline"/>
        <w:rPr>
          <w:rFonts w:ascii="Bookman Old Style" w:eastAsia="Bookman Old Style" w:hAnsi="Bookman Old Style"/>
          <w:color w:val="000000"/>
          <w:spacing w:val="-1"/>
          <w:sz w:val="24"/>
        </w:rPr>
      </w:pPr>
      <w:r>
        <w:rPr>
          <w:rFonts w:ascii="Bookman Old Style" w:eastAsia="Bookman Old Style" w:hAnsi="Bookman Old Style"/>
          <w:color w:val="000000"/>
          <w:spacing w:val="-1"/>
          <w:sz w:val="24"/>
        </w:rPr>
        <w:t>the ship is 100 metres or less in length; and</w:t>
      </w:r>
    </w:p>
    <w:p w:rsidR="00FC2860" w:rsidRDefault="008B1ADA">
      <w:pPr>
        <w:numPr>
          <w:ilvl w:val="0"/>
          <w:numId w:val="2"/>
        </w:numPr>
        <w:tabs>
          <w:tab w:val="clear" w:pos="576"/>
          <w:tab w:val="left" w:pos="1152"/>
        </w:tabs>
        <w:spacing w:before="295" w:line="271" w:lineRule="exact"/>
        <w:ind w:left="576"/>
        <w:textAlignment w:val="baseline"/>
        <w:rPr>
          <w:rFonts w:ascii="Bookman Old Style" w:eastAsia="Bookman Old Style" w:hAnsi="Bookman Old Style"/>
          <w:color w:val="000000"/>
          <w:spacing w:val="-2"/>
          <w:sz w:val="24"/>
        </w:rPr>
      </w:pPr>
      <w:r>
        <w:rPr>
          <w:rFonts w:ascii="Bookman Old Style" w:eastAsia="Bookman Old Style" w:hAnsi="Bookman Old Style"/>
          <w:color w:val="000000"/>
          <w:spacing w:val="-2"/>
          <w:sz w:val="24"/>
        </w:rPr>
        <w:t>cargo is not unloaded from or loaded on the ship.</w:t>
      </w:r>
    </w:p>
    <w:p w:rsidR="00FC2860" w:rsidRDefault="008B1ADA">
      <w:pPr>
        <w:spacing w:before="565" w:line="271" w:lineRule="exact"/>
        <w:textAlignment w:val="baseline"/>
        <w:rPr>
          <w:rFonts w:ascii="Bookman Old Style" w:eastAsia="Bookman Old Style" w:hAnsi="Bookman Old Style"/>
          <w:color w:val="000000"/>
          <w:spacing w:val="-7"/>
          <w:sz w:val="24"/>
        </w:rPr>
      </w:pPr>
      <w:r>
        <w:rPr>
          <w:rFonts w:ascii="Bookman Old Style" w:eastAsia="Bookman Old Style" w:hAnsi="Bookman Old Style"/>
          <w:color w:val="000000"/>
          <w:spacing w:val="-7"/>
          <w:sz w:val="24"/>
        </w:rPr>
        <w:t>This notice commences on 2</w:t>
      </w:r>
      <w:r>
        <w:rPr>
          <w:rFonts w:ascii="Bookman Old Style" w:eastAsia="Bookman Old Style" w:hAnsi="Bookman Old Style"/>
          <w:color w:val="000000"/>
          <w:spacing w:val="-7"/>
          <w:sz w:val="24"/>
          <w:vertAlign w:val="superscript"/>
        </w:rPr>
        <w:t>nd</w:t>
      </w:r>
      <w:r>
        <w:rPr>
          <w:rFonts w:ascii="Bookman Old Style" w:eastAsia="Bookman Old Style" w:hAnsi="Bookman Old Style"/>
          <w:color w:val="000000"/>
          <w:spacing w:val="-7"/>
          <w:sz w:val="24"/>
        </w:rPr>
        <w:t xml:space="preserve"> February 2024.</w:t>
      </w:r>
    </w:p>
    <w:p w:rsidR="00FC2860" w:rsidRDefault="008B1ADA">
      <w:pPr>
        <w:spacing w:before="569" w:line="271" w:lineRule="exact"/>
        <w:textAlignment w:val="baseline"/>
        <w:rPr>
          <w:rFonts w:ascii="Bookman Old Style" w:eastAsia="Bookman Old Style" w:hAnsi="Bookman Old Style"/>
          <w:color w:val="000000"/>
          <w:spacing w:val="-5"/>
          <w:sz w:val="24"/>
        </w:rPr>
      </w:pPr>
      <w:r>
        <w:rPr>
          <w:rFonts w:ascii="Bookman Old Style" w:eastAsia="Bookman Old Style" w:hAnsi="Bookman Old Style"/>
          <w:color w:val="000000"/>
          <w:spacing w:val="-5"/>
          <w:sz w:val="24"/>
        </w:rPr>
        <w:t>Dated the 25th day of January 2024.</w:t>
      </w:r>
    </w:p>
    <w:p w:rsidR="00FC2860" w:rsidRDefault="008B1ADA">
      <w:pPr>
        <w:spacing w:before="770" w:line="271" w:lineRule="exact"/>
        <w:textAlignment w:val="baseline"/>
        <w:rPr>
          <w:rFonts w:ascii="Bookman Old Style" w:eastAsia="Bookman Old Style" w:hAnsi="Bookman Old Style"/>
          <w:color w:val="000000"/>
          <w:spacing w:val="-5"/>
          <w:sz w:val="24"/>
        </w:rPr>
      </w:pPr>
      <w:r>
        <w:rPr>
          <w:rFonts w:ascii="Bookman Old Style" w:eastAsia="Bookman Old Style" w:hAnsi="Bookman Old Style"/>
          <w:color w:val="000000"/>
          <w:spacing w:val="-5"/>
          <w:sz w:val="24"/>
        </w:rPr>
        <w:t>Phil Emerson</w:t>
      </w:r>
    </w:p>
    <w:p w:rsidR="00FC2860" w:rsidRDefault="008B1ADA">
      <w:pPr>
        <w:spacing w:before="12" w:line="271" w:lineRule="exact"/>
        <w:textAlignment w:val="baseline"/>
        <w:rPr>
          <w:rFonts w:ascii="Bookman Old Style" w:eastAsia="Bookman Old Style" w:hAnsi="Bookman Old Style"/>
          <w:color w:val="000000"/>
          <w:spacing w:val="-4"/>
          <w:sz w:val="24"/>
        </w:rPr>
      </w:pPr>
      <w:r>
        <w:rPr>
          <w:rFonts w:ascii="Bookman Old Style" w:eastAsia="Bookman Old Style" w:hAnsi="Bookman Old Style"/>
          <w:color w:val="000000"/>
          <w:spacing w:val="-4"/>
          <w:sz w:val="24"/>
        </w:rPr>
        <w:t>Director Ports Policy</w:t>
      </w:r>
    </w:p>
    <w:p w:rsidR="00FC2860" w:rsidRDefault="008B1ADA">
      <w:pPr>
        <w:spacing w:before="13" w:line="271" w:lineRule="exact"/>
        <w:textAlignment w:val="baseline"/>
        <w:rPr>
          <w:rFonts w:ascii="Bookman Old Style" w:eastAsia="Bookman Old Style" w:hAnsi="Bookman Old Style"/>
          <w:color w:val="000000"/>
          <w:spacing w:val="-4"/>
          <w:sz w:val="24"/>
        </w:rPr>
      </w:pPr>
      <w:r>
        <w:rPr>
          <w:rFonts w:ascii="Bookman Old Style" w:eastAsia="Bookman Old Style" w:hAnsi="Bookman Old Style"/>
          <w:color w:val="000000"/>
          <w:spacing w:val="-4"/>
          <w:sz w:val="24"/>
        </w:rPr>
        <w:t>Traveller Policy and Industry Engagement</w:t>
      </w:r>
    </w:p>
    <w:p w:rsidR="00FC2860" w:rsidRDefault="008B1ADA">
      <w:pPr>
        <w:spacing w:before="7" w:line="271" w:lineRule="exact"/>
        <w:textAlignment w:val="baseline"/>
        <w:rPr>
          <w:rFonts w:ascii="Bookman Old Style" w:eastAsia="Bookman Old Style" w:hAnsi="Bookman Old Style"/>
          <w:color w:val="000000"/>
          <w:spacing w:val="-4"/>
          <w:sz w:val="24"/>
        </w:rPr>
      </w:pPr>
      <w:r>
        <w:rPr>
          <w:rFonts w:ascii="Bookman Old Style" w:eastAsia="Bookman Old Style" w:hAnsi="Bookman Old Style"/>
          <w:color w:val="000000"/>
          <w:spacing w:val="-4"/>
          <w:sz w:val="24"/>
        </w:rPr>
        <w:t>Industry and Border Systems Division</w:t>
      </w:r>
    </w:p>
    <w:p w:rsidR="00FC2860" w:rsidRDefault="008B1ADA">
      <w:pPr>
        <w:spacing w:before="12" w:line="269" w:lineRule="exact"/>
        <w:textAlignment w:val="baseline"/>
        <w:rPr>
          <w:rFonts w:ascii="Bookman Old Style" w:eastAsia="Bookman Old Style" w:hAnsi="Bookman Old Style"/>
          <w:color w:val="000000"/>
          <w:spacing w:val="-4"/>
          <w:sz w:val="24"/>
        </w:rPr>
      </w:pPr>
      <w:r>
        <w:rPr>
          <w:rFonts w:ascii="Bookman Old Style" w:eastAsia="Bookman Old Style" w:hAnsi="Bookman Old Style"/>
          <w:color w:val="000000"/>
          <w:spacing w:val="-4"/>
          <w:sz w:val="24"/>
        </w:rPr>
        <w:t>Australian Border Force</w:t>
      </w:r>
    </w:p>
    <w:p w:rsidR="00FC2860" w:rsidRDefault="00FC2860">
      <w:pPr>
        <w:sectPr w:rsidR="00FC2860">
          <w:pgSz w:w="11904" w:h="16843"/>
          <w:pgMar w:top="480" w:right="1001" w:bottom="1407" w:left="1123" w:header="720" w:footer="720" w:gutter="0"/>
          <w:cols w:space="720"/>
        </w:sectPr>
      </w:pPr>
    </w:p>
    <w:p w:rsidR="00FC2860" w:rsidRDefault="008B1ADA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0;margin-top:0;width:595.2pt;height:842.15pt;z-index:-251664384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7559040" cy="10695305"/>
                        <wp:effectExtent l="0" t="0" r="3810" b="0"/>
                        <wp:docPr id="2" name="Picture" descr="Map showing the area for a boarding station at the South Port Yacht Club Marina in the Port of Brisbane, Aueensland" title="Attachment 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040" cy="10695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36.95pt;margin-top:16.25pt;width:330.5pt;height:7.75pt;z-index:-251663360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tabs>
                      <w:tab w:val="right" w:pos="6624"/>
                    </w:tabs>
                    <w:spacing w:before="3" w:line="147" w:lineRule="exact"/>
                    <w:textAlignment w:val="baseline"/>
                    <w:rPr>
                      <w:rFonts w:ascii="Verdana" w:eastAsia="Verdana" w:hAnsi="Verdana"/>
                      <w:color w:val="020A0C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>153°25'25"E</w:t>
                  </w: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ab/>
                  </w: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>153°25'30"E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571.45pt;margin-top:86.35pt;width:13.65pt;height:19.85pt;z-index:-251662336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line="194" w:lineRule="exact"/>
                    <w:textAlignment w:val="baseline"/>
                    <w:rPr>
                      <w:rFonts w:ascii="Verdana" w:eastAsia="Verdana" w:hAnsi="Verdana"/>
                      <w:color w:val="020A0C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 xml:space="preserve">vi </w:t>
                  </w:r>
                  <w:r>
                    <w:rPr>
                      <w:rFonts w:ascii="Courier New" w:eastAsia="Courier New" w:hAnsi="Courier New"/>
                      <w:color w:val="020A0C"/>
                      <w:sz w:val="12"/>
                    </w:rPr>
                    <w:t>U-,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571.85pt;margin-top:384.15pt;width:13.1pt;height:12.55pt;z-index:-251661312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59" w:line="89" w:lineRule="exact"/>
                    <w:textAlignment w:val="baseline"/>
                    <w:rPr>
                      <w:rFonts w:ascii="Verdana" w:eastAsia="Verdana" w:hAnsi="Verdana"/>
                      <w:color w:val="020A0C"/>
                      <w:spacing w:val="35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pacing w:val="35"/>
                      <w:sz w:val="13"/>
                    </w:rPr>
                    <w:t>N co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572.8pt;margin-top:402.7pt;width:9pt;height:8.55pt;z-index:-251660288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19" w:after="19" w:line="130" w:lineRule="exact"/>
                    <w:textAlignment w:val="baseline"/>
                    <w:rPr>
                      <w:rFonts w:ascii="Courier New" w:eastAsia="Courier New" w:hAnsi="Courier New"/>
                      <w:color w:val="020A0C"/>
                      <w:spacing w:val="-15"/>
                      <w:sz w:val="11"/>
                    </w:rPr>
                  </w:pPr>
                  <w:r>
                    <w:rPr>
                      <w:rFonts w:ascii="Courier New" w:eastAsia="Courier New" w:hAnsi="Courier New"/>
                      <w:color w:val="020A0C"/>
                      <w:spacing w:val="-15"/>
                      <w:sz w:val="11"/>
                    </w:rPr>
                    <w:t xml:space="preserve">N </w:t>
                  </w:r>
                  <w:r>
                    <w:rPr>
                      <w:rFonts w:ascii="Courier New" w:eastAsia="Courier New" w:hAnsi="Courier New"/>
                      <w:color w:val="020A0C"/>
                      <w:spacing w:val="-15"/>
                      <w:sz w:val="12"/>
                    </w:rPr>
                    <w:t>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571.1pt;margin-top:665.45pt;width:15.1pt;height:37.85pt;z-index:-251659264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3" w:line="152" w:lineRule="exact"/>
                    <w:jc w:val="both"/>
                    <w:textAlignment w:val="baseline"/>
                    <w:rPr>
                      <w:rFonts w:ascii="Verdana" w:eastAsia="Verdana" w:hAnsi="Verdana"/>
                      <w:color w:val="020A0C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>(r)</w:t>
                  </w:r>
                </w:p>
                <w:p w:rsidR="00FC2860" w:rsidRDefault="008B1ADA">
                  <w:pPr>
                    <w:spacing w:before="14" w:line="102" w:lineRule="exact"/>
                    <w:jc w:val="both"/>
                    <w:textAlignment w:val="baseline"/>
                    <w:rPr>
                      <w:rFonts w:ascii="Verdana" w:eastAsia="Verdana" w:hAnsi="Verdana"/>
                      <w:color w:val="020A0C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>O co m Lri</w:t>
                  </w:r>
                </w:p>
                <w:p w:rsidR="00FC2860" w:rsidRDefault="008B1ADA">
                  <w:pPr>
                    <w:spacing w:line="122" w:lineRule="exact"/>
                    <w:jc w:val="both"/>
                    <w:textAlignment w:val="baseline"/>
                    <w:rPr>
                      <w:rFonts w:ascii="Verdana" w:eastAsia="Verdana" w:hAnsi="Verdana"/>
                      <w:color w:val="020A0C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z w:val="13"/>
                    </w:rPr>
                    <w:t>0</w:t>
                  </w:r>
                </w:p>
                <w:p w:rsidR="00FC2860" w:rsidRDefault="008B1ADA">
                  <w:pPr>
                    <w:spacing w:after="12" w:line="134" w:lineRule="exact"/>
                    <w:jc w:val="both"/>
                    <w:textAlignment w:val="baseline"/>
                    <w:rPr>
                      <w:rFonts w:ascii="Courier New" w:eastAsia="Courier New" w:hAnsi="Courier New"/>
                      <w:color w:val="020A0C"/>
                      <w:spacing w:val="-4"/>
                      <w:sz w:val="11"/>
                    </w:rPr>
                  </w:pPr>
                  <w:r>
                    <w:rPr>
                      <w:rFonts w:ascii="Courier New" w:eastAsia="Courier New" w:hAnsi="Courier New"/>
                      <w:color w:val="020A0C"/>
                      <w:spacing w:val="-4"/>
                      <w:sz w:val="11"/>
                    </w:rPr>
                    <w:t xml:space="preserve">N </w:t>
                  </w:r>
                  <w:r>
                    <w:rPr>
                      <w:rFonts w:ascii="Courier New" w:eastAsia="Courier New" w:hAnsi="Courier New"/>
                      <w:color w:val="020A0C"/>
                      <w:spacing w:val="-4"/>
                      <w:sz w:val="12"/>
                    </w:rPr>
                    <w:t>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177.35pt;margin-top:716.9pt;width:237.85pt;height:20.7pt;z-index:-251658240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5" w:line="402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20A0C"/>
                      <w:spacing w:val="2"/>
                      <w:w w:val="95"/>
                      <w:sz w:val="36"/>
                    </w:rPr>
                  </w:pPr>
                  <w:r>
                    <w:rPr>
                      <w:rFonts w:eastAsia="Times New Roman"/>
                      <w:b/>
                      <w:color w:val="020A0C"/>
                      <w:spacing w:val="2"/>
                      <w:w w:val="95"/>
                      <w:sz w:val="36"/>
                    </w:rPr>
                    <w:t>South Port Yacht Club Marina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480.7pt;margin-top:716.55pt;width:97.95pt;height:36.45pt;z-index:-251657216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1" w:line="179" w:lineRule="exact"/>
                    <w:ind w:firstLine="144"/>
                    <w:textAlignment w:val="baseline"/>
                    <w:rPr>
                      <w:rFonts w:ascii="Verdana" w:eastAsia="Verdana" w:hAnsi="Verdana"/>
                      <w:color w:val="020A0C"/>
                      <w:spacing w:val="-8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20A0C"/>
                      <w:spacing w:val="-8"/>
                      <w:sz w:val="15"/>
                    </w:rPr>
                    <w:t xml:space="preserve">Limits of the </w:t>
                  </w:r>
                  <w:r>
                    <w:rPr>
                      <w:rFonts w:ascii="Verdana" w:eastAsia="Verdana" w:hAnsi="Verdana"/>
                      <w:b/>
                      <w:color w:val="020A0C"/>
                      <w:spacing w:val="-8"/>
                      <w:sz w:val="15"/>
                    </w:rPr>
                    <w:t xml:space="preserve">Boarding — Station </w:t>
                  </w:r>
                  <w:r>
                    <w:rPr>
                      <w:rFonts w:ascii="Verdana" w:eastAsia="Verdana" w:hAnsi="Verdana"/>
                      <w:color w:val="020A0C"/>
                      <w:spacing w:val="-8"/>
                      <w:sz w:val="15"/>
                    </w:rPr>
                    <w:t xml:space="preserve">appointed under s15(2)(b) of the </w:t>
                  </w:r>
                  <w:r>
                    <w:rPr>
                      <w:rFonts w:ascii="Verdana" w:eastAsia="Verdana" w:hAnsi="Verdana"/>
                      <w:i/>
                      <w:color w:val="020A0C"/>
                      <w:spacing w:val="-8"/>
                      <w:sz w:val="15"/>
                    </w:rPr>
                    <w:t>Customs Act 1901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196.55pt;margin-top:746.15pt;width:213.35pt;height:34.9pt;z-index:-251656192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8" w:line="226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</w:pPr>
                  <w:r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  <w:t xml:space="preserve">Section 15 of the </w:t>
                  </w:r>
                  <w:r>
                    <w:rPr>
                      <w:rFonts w:eastAsia="Times New Roman"/>
                      <w:i/>
                      <w:color w:val="020A0C"/>
                      <w:spacing w:val="-1"/>
                      <w:sz w:val="21"/>
                    </w:rPr>
                    <w:t xml:space="preserve">Customs Act 1901 </w:t>
                  </w:r>
                  <w:r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  <w:t xml:space="preserve">(Cth) </w:t>
                  </w:r>
                  <w:r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  <w:br/>
                  </w:r>
                  <w:r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  <w:t xml:space="preserve">Appointment of South Port Yacht Club Marina </w:t>
                  </w:r>
                  <w:r>
                    <w:rPr>
                      <w:rFonts w:eastAsia="Times New Roman"/>
                      <w:b/>
                      <w:color w:val="020A0C"/>
                      <w:spacing w:val="-1"/>
                      <w:sz w:val="21"/>
                    </w:rPr>
                    <w:br/>
                    <w:t>in the Port of Brisbane, Queensland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462pt;margin-top:765.05pt;width:118.1pt;height:14.7pt;z-index:-251655168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3" w:line="143" w:lineRule="exact"/>
                    <w:ind w:left="288"/>
                    <w:textAlignment w:val="baseline"/>
                    <w:rPr>
                      <w:rFonts w:ascii="Verdana" w:eastAsia="Verdana" w:hAnsi="Verdana"/>
                      <w:color w:val="020A0C"/>
                      <w:spacing w:val="-1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pacing w:val="-1"/>
                      <w:sz w:val="13"/>
                    </w:rPr>
                    <w:t>Imagery Source:</w:t>
                  </w:r>
                </w:p>
                <w:p w:rsidR="00FC2860" w:rsidRDefault="008B1ADA">
                  <w:pPr>
                    <w:spacing w:line="133" w:lineRule="exact"/>
                    <w:textAlignment w:val="baseline"/>
                    <w:rPr>
                      <w:rFonts w:ascii="Verdana" w:eastAsia="Verdana" w:hAnsi="Verdana"/>
                      <w:color w:val="020A0C"/>
                      <w:spacing w:val="-4"/>
                      <w:sz w:val="13"/>
                    </w:rPr>
                  </w:pPr>
                  <w:r>
                    <w:rPr>
                      <w:rFonts w:ascii="Verdana" w:eastAsia="Verdana" w:hAnsi="Verdana"/>
                      <w:color w:val="020A0C"/>
                      <w:spacing w:val="-4"/>
                      <w:sz w:val="13"/>
                    </w:rPr>
                    <w:t>ESRI Imagery Basemap 18AUG2022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5.05pt;margin-top:780.8pt;width:73.9pt;height:29.7pt;z-index:-251654144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line="253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3961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3961"/>
                    </w:rPr>
                    <w:t>Australian</w:t>
                  </w:r>
                </w:p>
                <w:p w:rsidR="00FC2860" w:rsidRDefault="008B1ADA">
                  <w:pPr>
                    <w:spacing w:line="331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3961"/>
                      <w:spacing w:val="-33"/>
                      <w:sz w:val="27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3961"/>
                      <w:spacing w:val="-33"/>
                      <w:sz w:val="27"/>
                    </w:rPr>
                    <w:t>BORDER FORCE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254.15pt;margin-top:806.3pt;width:84.5pt;height:9.2pt;z-index:-251653120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before="4" w:line="170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20A0C"/>
                      <w:spacing w:val="-6"/>
                      <w:sz w:val="15"/>
                    </w:rPr>
                  </w:pPr>
                  <w:r>
                    <w:rPr>
                      <w:rFonts w:ascii="Verdana" w:eastAsia="Verdana" w:hAnsi="Verdana"/>
                      <w:color w:val="020A0C"/>
                      <w:spacing w:val="-6"/>
                      <w:sz w:val="15"/>
                    </w:rPr>
                    <w:t>Photo Scale = 1:1,500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481.45pt;margin-top:789.75pt;width:99.6pt;height:29.15pt;z-index:-251652096;mso-wrap-distance-left:0;mso-wrap-distance-right:0;mso-position-horizontal-relative:page;mso-position-vertical-relative:page" filled="f" stroked="f">
            <v:textbox inset="0,0,0,0">
              <w:txbxContent>
                <w:p w:rsidR="00FC2860" w:rsidRDefault="008B1ADA">
                  <w:pPr>
                    <w:spacing w:after="14" w:line="140" w:lineRule="exact"/>
                    <w:jc w:val="right"/>
                    <w:textAlignment w:val="baseline"/>
                    <w:rPr>
                      <w:rFonts w:ascii="Verdana" w:eastAsia="Verdana" w:hAnsi="Verdana"/>
                      <w:i/>
                      <w:color w:val="020A0C"/>
                      <w:spacing w:val="-1"/>
                      <w:sz w:val="11"/>
                    </w:rPr>
                  </w:pPr>
                  <w:r>
                    <w:rPr>
                      <w:rFonts w:ascii="Verdana" w:eastAsia="Verdana" w:hAnsi="Verdana"/>
                      <w:i/>
                      <w:color w:val="020A0C"/>
                      <w:spacing w:val="-1"/>
                      <w:sz w:val="11"/>
                    </w:rPr>
                    <w:t xml:space="preserve">Date produced: 25/01/2024 Map produced by Geospatial Intelligence Unit Department of Home Affairs </w:t>
                  </w:r>
                  <w:hyperlink r:id="rId9">
                    <w:r>
                      <w:rPr>
                        <w:rFonts w:ascii="Verdana" w:eastAsia="Verdana" w:hAnsi="Verdana"/>
                        <w:i/>
                        <w:color w:val="0000FF"/>
                        <w:spacing w:val="-1"/>
                        <w:sz w:val="11"/>
                        <w:u w:val="single"/>
                      </w:rPr>
                      <w:t>geospatial@homeaffairs.gov.au</w:t>
                    </w:r>
                  </w:hyperlink>
                  <w:r>
                    <w:rPr>
                      <w:rFonts w:ascii="Verdana" w:eastAsia="Verdana" w:hAnsi="Verdana"/>
                      <w:i/>
                      <w:color w:val="0000FF"/>
                      <w:spacing w:val="-1"/>
                      <w:sz w:val="11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sectPr w:rsidR="00FC2860">
      <w:pgSz w:w="11904" w:h="16843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1ADA">
      <w:r>
        <w:separator/>
      </w:r>
    </w:p>
  </w:endnote>
  <w:endnote w:type="continuationSeparator" w:id="0">
    <w:p w:rsidR="00000000" w:rsidRDefault="008B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60" w:rsidRDefault="00FC2860"/>
  </w:footnote>
  <w:footnote w:type="continuationSeparator" w:id="0">
    <w:p w:rsidR="00FC2860" w:rsidRDefault="008B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B81"/>
    <w:multiLevelType w:val="multilevel"/>
    <w:tmpl w:val="0F082756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Bookman Old Style" w:eastAsia="Bookman Old Style" w:hAnsi="Bookman Old Style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34A66"/>
    <w:multiLevelType w:val="multilevel"/>
    <w:tmpl w:val="BCEAFE2C"/>
    <w:lvl w:ilvl="0">
      <w:start w:val="1"/>
      <w:numFmt w:val="lowerRoman"/>
      <w:lvlText w:val="(%1)"/>
      <w:lvlJc w:val="left"/>
      <w:pPr>
        <w:tabs>
          <w:tab w:val="left" w:pos="576"/>
        </w:tabs>
      </w:pPr>
      <w:rPr>
        <w:rFonts w:ascii="Bookman Old Style" w:eastAsia="Bookman Old Style" w:hAnsi="Bookman Old Style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60"/>
    <w:rsid w:val="00160E39"/>
    <w:rsid w:val="008B1ADA"/>
    <w:rsid w:val="00F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BE0F22BA-4EAC-4D3F-92D8-579BB86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ospatial@homeaffair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1263</Characters>
  <Application>Microsoft Office Word</Application>
  <DocSecurity>0</DocSecurity>
  <Lines>63</Lines>
  <Paragraphs>35</Paragraphs>
  <ScaleCrop>false</ScaleCrop>
  <Company>Department of Home Affairs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2</dc:title>
  <dc:creator>JL37DN</dc:creator>
  <cp:lastModifiedBy>Melanie BLANKENBERG</cp:lastModifiedBy>
  <cp:revision>3</cp:revision>
  <dcterms:created xsi:type="dcterms:W3CDTF">2024-01-29T05:50:00Z</dcterms:created>
  <dcterms:modified xsi:type="dcterms:W3CDTF">2024-01-29T05:55:00Z</dcterms:modified>
</cp:coreProperties>
</file>