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FB21" w14:textId="1979AD7A" w:rsidR="005C7951" w:rsidRPr="005C7951" w:rsidRDefault="005C7951" w:rsidP="005C7951">
      <w:pPr>
        <w:rPr>
          <w:rFonts w:ascii="Arial" w:eastAsia="Times New Roman" w:hAnsi="Arial" w:cs="Times New Roman"/>
          <w:b/>
          <w:bCs/>
          <w:szCs w:val="24"/>
          <w:lang w:eastAsia="en-AU"/>
        </w:rPr>
      </w:pPr>
      <w:r w:rsidRPr="005C7951">
        <w:rPr>
          <w:rFonts w:ascii="Arial" w:eastAsia="Times New Roman" w:hAnsi="Arial" w:cs="Times New Roman"/>
          <w:b/>
          <w:bCs/>
          <w:szCs w:val="24"/>
          <w:lang w:eastAsia="en-AU"/>
        </w:rPr>
        <w:t xml:space="preserve">Gazette notice: Commissioner of Taxation – Notice of a rental bond data-matching program - 23 February 2024 </w:t>
      </w:r>
    </w:p>
    <w:p w14:paraId="4B74EB77" w14:textId="77777777" w:rsidR="005C7951" w:rsidRPr="005C7951" w:rsidRDefault="005C7951" w:rsidP="005C7951">
      <w:pPr>
        <w:rPr>
          <w:rFonts w:ascii="Arial" w:eastAsia="Times New Roman" w:hAnsi="Arial" w:cs="Times New Roman"/>
          <w:szCs w:val="24"/>
          <w:lang w:eastAsia="en-AU"/>
        </w:rPr>
      </w:pPr>
      <w:r w:rsidRPr="005C7951">
        <w:rPr>
          <w:rFonts w:ascii="Arial" w:eastAsia="Times New Roman" w:hAnsi="Arial" w:cs="Times New Roman"/>
          <w:szCs w:val="24"/>
          <w:lang w:eastAsia="en-AU"/>
        </w:rPr>
        <w:t>The Australian Taxation Office (ATO) will acquire rental bond data from state and territory rental bond regulators bi-annually for the 2023-24 through to the 2025-26 financial years.</w:t>
      </w:r>
    </w:p>
    <w:p w14:paraId="5F7A2333" w14:textId="77777777" w:rsidR="005C7951" w:rsidRPr="005C7951" w:rsidRDefault="005C7951" w:rsidP="005C7951">
      <w:pPr>
        <w:rPr>
          <w:rFonts w:ascii="Arial" w:eastAsia="Times New Roman" w:hAnsi="Arial" w:cs="Times New Roman"/>
          <w:szCs w:val="24"/>
          <w:lang w:eastAsia="en-AU"/>
        </w:rPr>
      </w:pPr>
      <w:r w:rsidRPr="005C7951">
        <w:rPr>
          <w:rFonts w:ascii="Arial" w:eastAsia="Times New Roman" w:hAnsi="Arial" w:cs="Times New Roman"/>
          <w:szCs w:val="24"/>
          <w:lang w:eastAsia="en-AU"/>
        </w:rPr>
        <w:t>The data items include:</w:t>
      </w:r>
    </w:p>
    <w:p w14:paraId="6BA535BD" w14:textId="77777777" w:rsidR="005C7951" w:rsidRPr="00621D0D" w:rsidRDefault="005C7951" w:rsidP="005C7951">
      <w:pPr>
        <w:pStyle w:val="Bulletedlist1"/>
      </w:pPr>
      <w:r>
        <w:t>Individual client details (names, addresses, email addresses, phone numbers, unique identifier for the landlord).</w:t>
      </w:r>
    </w:p>
    <w:p w14:paraId="3C0B882D" w14:textId="77777777" w:rsidR="005C7951" w:rsidRPr="0042529C" w:rsidRDefault="005C7951" w:rsidP="005C7951">
      <w:pPr>
        <w:pStyle w:val="Bulletedlist1"/>
      </w:pPr>
      <w:r>
        <w:t>L</w:t>
      </w:r>
      <w:r w:rsidRPr="0042529C">
        <w:t>andlord and Managing agent identification details (</w:t>
      </w:r>
      <w:r>
        <w:t xml:space="preserve">business </w:t>
      </w:r>
      <w:r w:rsidRPr="0042529C">
        <w:t xml:space="preserve">names, addresses, </w:t>
      </w:r>
      <w:r>
        <w:t xml:space="preserve">contact names, </w:t>
      </w:r>
      <w:r w:rsidRPr="0042529C">
        <w:t xml:space="preserve">email addresses, phone numbers, </w:t>
      </w:r>
      <w:r>
        <w:t>unique identifier of the managing agent).</w:t>
      </w:r>
    </w:p>
    <w:p w14:paraId="2173EB35" w14:textId="77777777" w:rsidR="005C7951" w:rsidRPr="0042529C" w:rsidRDefault="005C7951" w:rsidP="005C7951">
      <w:pPr>
        <w:pStyle w:val="Bulletedlist1"/>
      </w:pPr>
      <w:r>
        <w:t>R</w:t>
      </w:r>
      <w:r w:rsidRPr="0042529C">
        <w:t>ental bond transaction details including</w:t>
      </w:r>
      <w:r>
        <w:t>:</w:t>
      </w:r>
      <w:r w:rsidRPr="0042529C">
        <w:t> </w:t>
      </w:r>
    </w:p>
    <w:p w14:paraId="77132751" w14:textId="77777777" w:rsidR="005C7951" w:rsidRPr="0042529C" w:rsidRDefault="005C7951" w:rsidP="005C7951">
      <w:pPr>
        <w:pStyle w:val="Bulletedlist2"/>
      </w:pPr>
      <w:r w:rsidRPr="0042529C">
        <w:t>rental property address</w:t>
      </w:r>
    </w:p>
    <w:p w14:paraId="34D8512D" w14:textId="77777777" w:rsidR="005C7951" w:rsidRPr="0042529C" w:rsidRDefault="005C7951" w:rsidP="005C7951">
      <w:pPr>
        <w:pStyle w:val="Bulletedlist2"/>
      </w:pPr>
      <w:r w:rsidRPr="0042529C">
        <w:t>period of lease</w:t>
      </w:r>
    </w:p>
    <w:p w14:paraId="69AF03D6" w14:textId="77777777" w:rsidR="005C7951" w:rsidRPr="0042529C" w:rsidRDefault="005C7951" w:rsidP="005C7951">
      <w:pPr>
        <w:pStyle w:val="Bulletedlist2"/>
      </w:pPr>
      <w:r w:rsidRPr="0042529C">
        <w:t>commencement of lease</w:t>
      </w:r>
    </w:p>
    <w:p w14:paraId="7A33166F" w14:textId="77777777" w:rsidR="005C7951" w:rsidRPr="0042529C" w:rsidRDefault="005C7951" w:rsidP="005C7951">
      <w:pPr>
        <w:pStyle w:val="Bulletedlist2"/>
      </w:pPr>
      <w:r w:rsidRPr="0042529C">
        <w:t>expiration of lease</w:t>
      </w:r>
    </w:p>
    <w:p w14:paraId="14F09D88" w14:textId="77777777" w:rsidR="005C7951" w:rsidRPr="0042529C" w:rsidRDefault="005C7951" w:rsidP="005C7951">
      <w:pPr>
        <w:pStyle w:val="Bulletedlist2"/>
      </w:pPr>
      <w:r w:rsidRPr="0042529C">
        <w:t>amount of rental bond held</w:t>
      </w:r>
    </w:p>
    <w:p w14:paraId="6DD831F6" w14:textId="77777777" w:rsidR="005C7951" w:rsidRPr="0042529C" w:rsidRDefault="005C7951" w:rsidP="005C7951">
      <w:pPr>
        <w:pStyle w:val="Bulletedlist2"/>
      </w:pPr>
      <w:r w:rsidRPr="0042529C">
        <w:t>number of weeks the rental bond is for</w:t>
      </w:r>
    </w:p>
    <w:p w14:paraId="1A01961E" w14:textId="77777777" w:rsidR="005C7951" w:rsidRPr="0042529C" w:rsidRDefault="005C7951" w:rsidP="005C7951">
      <w:pPr>
        <w:pStyle w:val="Bulletedlist2"/>
      </w:pPr>
      <w:r w:rsidRPr="0042529C">
        <w:t>amount of rent payable for each period</w:t>
      </w:r>
    </w:p>
    <w:p w14:paraId="49E8B82B" w14:textId="77777777" w:rsidR="005C7951" w:rsidRPr="0042529C" w:rsidRDefault="005C7951" w:rsidP="005C7951">
      <w:pPr>
        <w:pStyle w:val="Bulletedlist2"/>
      </w:pPr>
      <w:r w:rsidRPr="0042529C">
        <w:t>period of rental payments (weekly, fortnightly, monthly)</w:t>
      </w:r>
    </w:p>
    <w:p w14:paraId="7FEE1718" w14:textId="77777777" w:rsidR="005C7951" w:rsidRPr="0042529C" w:rsidRDefault="005C7951" w:rsidP="005C7951">
      <w:pPr>
        <w:pStyle w:val="Bulletedlist2"/>
      </w:pPr>
      <w:r w:rsidRPr="0042529C">
        <w:t>type of dwelling</w:t>
      </w:r>
    </w:p>
    <w:p w14:paraId="6BF8ECE0" w14:textId="77777777" w:rsidR="005C7951" w:rsidRPr="0042529C" w:rsidRDefault="005C7951" w:rsidP="005C7951">
      <w:pPr>
        <w:pStyle w:val="Bulletedlist2"/>
      </w:pPr>
      <w:r w:rsidRPr="0042529C">
        <w:t>number of bedrooms</w:t>
      </w:r>
    </w:p>
    <w:p w14:paraId="7CDC9602" w14:textId="38BE60CA" w:rsidR="005C7951" w:rsidRDefault="005C7951" w:rsidP="00C06C21">
      <w:pPr>
        <w:pStyle w:val="Bulletedlist2"/>
      </w:pPr>
      <w:r w:rsidRPr="0042529C">
        <w:t>unique identifier of the rental property.</w:t>
      </w:r>
    </w:p>
    <w:p w14:paraId="7A93F70D" w14:textId="77777777" w:rsidR="00C06C21" w:rsidRPr="00C06C21" w:rsidRDefault="00C06C21" w:rsidP="00C06C21">
      <w:pPr>
        <w:pStyle w:val="Bulletedlist2"/>
        <w:numPr>
          <w:ilvl w:val="0"/>
          <w:numId w:val="0"/>
        </w:numPr>
        <w:ind w:left="851"/>
        <w:rPr>
          <w:sz w:val="12"/>
          <w:szCs w:val="12"/>
        </w:rPr>
      </w:pPr>
    </w:p>
    <w:p w14:paraId="039D4B66" w14:textId="77777777" w:rsidR="005C7951" w:rsidRPr="005C7951" w:rsidRDefault="005C7951" w:rsidP="005C7951">
      <w:pPr>
        <w:rPr>
          <w:rFonts w:ascii="Arial" w:eastAsia="Times New Roman" w:hAnsi="Arial" w:cs="Times New Roman"/>
          <w:szCs w:val="24"/>
          <w:lang w:eastAsia="en-AU"/>
        </w:rPr>
      </w:pPr>
      <w:r w:rsidRPr="005C7951">
        <w:rPr>
          <w:rFonts w:ascii="Arial" w:eastAsia="Times New Roman" w:hAnsi="Arial" w:cs="Times New Roman"/>
          <w:szCs w:val="24"/>
          <w:lang w:eastAsia="en-AU"/>
        </w:rPr>
        <w:t>We estimate that records relating to approximately 900,000 properties will be obtained each financial year.</w:t>
      </w:r>
    </w:p>
    <w:p w14:paraId="446235E9" w14:textId="77777777" w:rsidR="005C7951" w:rsidRPr="005C7951" w:rsidRDefault="005C7951" w:rsidP="005C7951">
      <w:pPr>
        <w:rPr>
          <w:rFonts w:ascii="Arial" w:eastAsia="Times New Roman" w:hAnsi="Arial" w:cs="Times New Roman"/>
          <w:szCs w:val="24"/>
          <w:lang w:eastAsia="en-AU"/>
        </w:rPr>
      </w:pPr>
      <w:r w:rsidRPr="005C7951">
        <w:rPr>
          <w:rFonts w:ascii="Arial" w:eastAsia="Times New Roman" w:hAnsi="Arial" w:cs="Times New Roman"/>
          <w:szCs w:val="24"/>
          <w:lang w:eastAsia="en-AU"/>
        </w:rPr>
        <w:t>The objectives of this program are to:</w:t>
      </w:r>
    </w:p>
    <w:p w14:paraId="06BB0BC8" w14:textId="77777777" w:rsidR="005C7951" w:rsidRPr="00C867D3" w:rsidRDefault="005C7951" w:rsidP="005C7951">
      <w:pPr>
        <w:pStyle w:val="Bulletedlist1"/>
      </w:pPr>
      <w:r>
        <w:t xml:space="preserve">promote voluntary compliance by communicating how we combine and use external and internal data </w:t>
      </w:r>
      <w:r w:rsidRPr="00C867D3">
        <w:t>to help taxpayers comply with their tax and superannuation obligations</w:t>
      </w:r>
    </w:p>
    <w:p w14:paraId="50BFACDB" w14:textId="77777777" w:rsidR="005C7951" w:rsidRPr="00C867D3" w:rsidRDefault="005C7951" w:rsidP="005C7951">
      <w:pPr>
        <w:pStyle w:val="Bulletedlist1"/>
      </w:pPr>
      <w:r>
        <w:t xml:space="preserve">increase community confidence in the integrity of the tax and superannuation systems and programs we administer </w:t>
      </w:r>
    </w:p>
    <w:p w14:paraId="6457260C" w14:textId="77777777" w:rsidR="005C7951" w:rsidRPr="00C867D3" w:rsidRDefault="005C7951" w:rsidP="005C7951">
      <w:pPr>
        <w:pStyle w:val="Bulletedlist1"/>
      </w:pPr>
      <w:r>
        <w:t>identify propert</w:t>
      </w:r>
      <w:r w:rsidRPr="00C867D3">
        <w:t xml:space="preserve">ies producing income and </w:t>
      </w:r>
      <w:r>
        <w:t xml:space="preserve">individuals who may be failing to meet their lodgment, correct reporting and/or payment obligations and take appropriate action (compliance and/or education and assistance) </w:t>
      </w:r>
    </w:p>
    <w:p w14:paraId="7E5B880D" w14:textId="77777777" w:rsidR="005C7951" w:rsidRPr="00C867D3" w:rsidRDefault="005C7951" w:rsidP="005C7951">
      <w:pPr>
        <w:pStyle w:val="Bulletedlist1"/>
      </w:pPr>
      <w:r>
        <w:t xml:space="preserve">improve detection of risks and understand and assess compliance trends </w:t>
      </w:r>
    </w:p>
    <w:p w14:paraId="187F57EE" w14:textId="77777777" w:rsidR="005C7951" w:rsidRPr="00C867D3" w:rsidRDefault="005C7951" w:rsidP="005C7951">
      <w:pPr>
        <w:pStyle w:val="Bulletedlist1"/>
      </w:pPr>
      <w:r>
        <w:t xml:space="preserve">work with real property intermediaries to address risks and improve voluntary compliance </w:t>
      </w:r>
    </w:p>
    <w:p w14:paraId="685D0D04" w14:textId="77777777" w:rsidR="005C7951" w:rsidRPr="005A6E4A" w:rsidRDefault="005C7951" w:rsidP="005C7951">
      <w:pPr>
        <w:pStyle w:val="Bulletedlist1"/>
        <w:rPr>
          <w:color w:val="0000FF"/>
          <w:u w:val="single"/>
        </w:rPr>
      </w:pPr>
      <w:r>
        <w:lastRenderedPageBreak/>
        <w:t xml:space="preserve">support strategies to address risks to revenue and compliance with foreign investment laws. </w:t>
      </w:r>
    </w:p>
    <w:p w14:paraId="54C93E33" w14:textId="77777777" w:rsidR="005C7951" w:rsidRPr="00621D0D" w:rsidRDefault="005C7951" w:rsidP="005C7951">
      <w:pPr>
        <w:pStyle w:val="Bulletedlist1"/>
        <w:numPr>
          <w:ilvl w:val="0"/>
          <w:numId w:val="0"/>
        </w:numPr>
        <w:rPr>
          <w:rStyle w:val="Hyperlink"/>
        </w:rPr>
      </w:pPr>
      <w:r w:rsidRPr="00277C67">
        <w:t xml:space="preserve">A document describing this program </w:t>
      </w:r>
      <w:r w:rsidRPr="00621D0D">
        <w:t xml:space="preserve">is available at </w:t>
      </w:r>
      <w:hyperlink r:id="rId8" w:history="1">
        <w:r w:rsidRPr="00621D0D">
          <w:rPr>
            <w:rStyle w:val="Link-Internal"/>
          </w:rPr>
          <w:t>ato.gov.au/</w:t>
        </w:r>
        <w:proofErr w:type="spellStart"/>
        <w:r w:rsidRPr="00621D0D">
          <w:rPr>
            <w:rStyle w:val="Link-Internal"/>
          </w:rPr>
          <w:t>d</w:t>
        </w:r>
        <w:r w:rsidRPr="00621D0D">
          <w:rPr>
            <w:rStyle w:val="Link-Internal"/>
          </w:rPr>
          <w:t>m</w:t>
        </w:r>
        <w:r w:rsidRPr="00621D0D">
          <w:rPr>
            <w:rStyle w:val="Link-Internal"/>
          </w:rPr>
          <w:t>protocols</w:t>
        </w:r>
        <w:proofErr w:type="spellEnd"/>
      </w:hyperlink>
      <w:r w:rsidRPr="00621D0D">
        <w:t>.</w:t>
      </w:r>
    </w:p>
    <w:p w14:paraId="741A480A" w14:textId="77777777" w:rsidR="00C06C21" w:rsidRDefault="005C7951" w:rsidP="005C7951">
      <w:pPr>
        <w:rPr>
          <w:rFonts w:ascii="Arial" w:hAnsi="Arial" w:cs="Arial"/>
        </w:rPr>
      </w:pPr>
      <w:r w:rsidRPr="00C06C21">
        <w:rPr>
          <w:rFonts w:ascii="Arial" w:hAnsi="Arial" w:cs="Arial"/>
        </w:rPr>
        <w:t>This program follows the Office of the Australian Information Commissioner’s</w:t>
      </w:r>
      <w:r w:rsidRPr="00901525">
        <w:t xml:space="preserve"> </w:t>
      </w:r>
      <w:r w:rsidRPr="00C06C21">
        <w:rPr>
          <w:rStyle w:val="StyleItalic"/>
          <w:rFonts w:ascii="Arial" w:hAnsi="Arial" w:cs="Arial"/>
        </w:rPr>
        <w:t>Guidelines on data matching in Australian Government administration</w:t>
      </w:r>
      <w:r w:rsidRPr="00C06C21">
        <w:rPr>
          <w:rFonts w:ascii="Arial" w:hAnsi="Arial" w:cs="Arial"/>
        </w:rPr>
        <w:t xml:space="preserve"> (2014) (the guidelines). </w:t>
      </w:r>
    </w:p>
    <w:p w14:paraId="47640C02" w14:textId="25736B17" w:rsidR="005C7951" w:rsidRPr="005C7951" w:rsidRDefault="005C7951" w:rsidP="005C7951">
      <w:pPr>
        <w:rPr>
          <w:rFonts w:ascii="Arial" w:hAnsi="Arial" w:cs="Arial"/>
        </w:rPr>
      </w:pPr>
      <w:r w:rsidRPr="005C7951">
        <w:rPr>
          <w:rFonts w:ascii="Arial" w:hAnsi="Arial" w:cs="Arial"/>
        </w:rPr>
        <w:t>The guidelines include standards for the use of data matching as an administrative tool in a way that:</w:t>
      </w:r>
    </w:p>
    <w:p w14:paraId="642D8EA1" w14:textId="77777777" w:rsidR="005C7951" w:rsidRPr="00621D0D" w:rsidRDefault="005C7951" w:rsidP="005C7951">
      <w:pPr>
        <w:pStyle w:val="Bulletedlist1"/>
      </w:pPr>
      <w:r w:rsidRPr="00065C1F">
        <w:t xml:space="preserve">complies with the Australian Privacy Principles (APPs) and the </w:t>
      </w:r>
      <w:r w:rsidRPr="00621D0D">
        <w:rPr>
          <w:rStyle w:val="StyleItalic"/>
        </w:rPr>
        <w:t xml:space="preserve">Privacy Act 1988 </w:t>
      </w:r>
      <w:r w:rsidRPr="00621D0D">
        <w:t>(Privacy Act)</w:t>
      </w:r>
    </w:p>
    <w:p w14:paraId="6D94C8BF" w14:textId="1FB10AD5" w:rsidR="00C06C21" w:rsidRDefault="005C7951" w:rsidP="00C06C21">
      <w:pPr>
        <w:pStyle w:val="Bulletedlist1"/>
      </w:pPr>
      <w:r>
        <w:t>is</w:t>
      </w:r>
      <w:r w:rsidRPr="00621D0D">
        <w:t xml:space="preserve"> consistent with good privacy practice.</w:t>
      </w:r>
    </w:p>
    <w:p w14:paraId="66233329" w14:textId="77777777" w:rsidR="00C06C21" w:rsidRPr="00C06C21" w:rsidRDefault="00C06C21" w:rsidP="005C7951">
      <w:pPr>
        <w:rPr>
          <w:rFonts w:ascii="Arial" w:hAnsi="Arial" w:cs="Arial"/>
          <w:sz w:val="12"/>
          <w:szCs w:val="12"/>
        </w:rPr>
      </w:pPr>
    </w:p>
    <w:p w14:paraId="154DCFA7" w14:textId="4DC05254" w:rsidR="004B2753" w:rsidRPr="00424B97" w:rsidRDefault="005C7951" w:rsidP="005C7951">
      <w:r w:rsidRPr="00C06C21">
        <w:rPr>
          <w:rFonts w:ascii="Arial" w:hAnsi="Arial" w:cs="Arial"/>
        </w:rPr>
        <w:t>A full copy of the ATO’s privacy policy can be accessed at</w:t>
      </w:r>
      <w:r w:rsidRPr="001C183C">
        <w:t xml:space="preserve"> </w:t>
      </w:r>
      <w:hyperlink r:id="rId9" w:history="1">
        <w:r w:rsidRPr="00C06C21">
          <w:rPr>
            <w:rStyle w:val="Link-Internal"/>
            <w:rFonts w:ascii="Arial" w:hAnsi="Arial" w:cs="Arial"/>
          </w:rPr>
          <w:t>ato.go</w:t>
        </w:r>
        <w:r w:rsidRPr="00C06C21">
          <w:rPr>
            <w:rStyle w:val="Link-Internal"/>
            <w:rFonts w:ascii="Arial" w:hAnsi="Arial" w:cs="Arial"/>
          </w:rPr>
          <w:t>v</w:t>
        </w:r>
        <w:r w:rsidRPr="00C06C21">
          <w:rPr>
            <w:rStyle w:val="Link-Internal"/>
            <w:rFonts w:ascii="Arial" w:hAnsi="Arial" w:cs="Arial"/>
          </w:rPr>
          <w:t>.au/privacy</w:t>
        </w:r>
      </w:hyperlink>
      <w:r w:rsidRPr="00C06C21">
        <w:rPr>
          <w:rFonts w:ascii="Arial" w:hAnsi="Arial" w:cs="Arial"/>
        </w:rPr>
        <w:t>.</w:t>
      </w:r>
    </w:p>
    <w:sectPr w:rsidR="004B2753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C5AB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10A863AA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0F4FA5C-85FA-4CDD-B790-08EC88FA49F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FE27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3528F51B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9CEE40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78F8534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D82DAF3" wp14:editId="20168C86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7F61667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6C62039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2AC9BA56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10EB8A9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CCEF63F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7FE3B01" w14:textId="77777777" w:rsidR="00F40885" w:rsidRPr="003A707F" w:rsidRDefault="00F40885" w:rsidP="00F40885">
    <w:pPr>
      <w:pStyle w:val="Header"/>
      <w:rPr>
        <w:sz w:val="2"/>
        <w:szCs w:val="2"/>
      </w:rPr>
    </w:pPr>
  </w:p>
  <w:p w14:paraId="0F2A4CF7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5D48"/>
    <w:multiLevelType w:val="multilevel"/>
    <w:tmpl w:val="F8F8EC02"/>
    <w:name w:val="BulletedList"/>
    <w:lvl w:ilvl="0">
      <w:start w:val="1"/>
      <w:numFmt w:val="bullet"/>
      <w:pStyle w:val="Bulletedlist1"/>
      <w:lvlText w:val="■"/>
      <w:lvlJc w:val="left"/>
      <w:pPr>
        <w:ind w:left="425" w:hanging="425"/>
      </w:pPr>
      <w:rPr>
        <w:rFonts w:ascii="Arial" w:hAnsi="Arial" w:hint="default"/>
        <w:color w:val="C0C0C0"/>
      </w:rPr>
    </w:lvl>
    <w:lvl w:ilvl="1">
      <w:start w:val="1"/>
      <w:numFmt w:val="bullet"/>
      <w:pStyle w:val="Bulletedlist2"/>
      <w:lvlText w:val="–"/>
      <w:lvlJc w:val="left"/>
      <w:pPr>
        <w:ind w:left="851" w:hanging="426"/>
      </w:pPr>
      <w:rPr>
        <w:rFonts w:ascii="Calibri" w:hAnsi="Calibri" w:hint="default"/>
      </w:rPr>
    </w:lvl>
    <w:lvl w:ilvl="2">
      <w:start w:val="1"/>
      <w:numFmt w:val="bullet"/>
      <w:pStyle w:val="Bulletedlist3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960" w:hanging="360"/>
      </w:pPr>
      <w:rPr>
        <w:rFonts w:hint="default"/>
      </w:rPr>
    </w:lvl>
  </w:abstractNum>
  <w:num w:numId="1" w16cid:durableId="76141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5C7951"/>
    <w:rsid w:val="00701C22"/>
    <w:rsid w:val="00840A06"/>
    <w:rsid w:val="008439B7"/>
    <w:rsid w:val="0087253F"/>
    <w:rsid w:val="008E4F6C"/>
    <w:rsid w:val="009539C7"/>
    <w:rsid w:val="00A00F21"/>
    <w:rsid w:val="00B84226"/>
    <w:rsid w:val="00BE7780"/>
    <w:rsid w:val="00C06C21"/>
    <w:rsid w:val="00C63C4E"/>
    <w:rsid w:val="00C72C30"/>
    <w:rsid w:val="00D229E5"/>
    <w:rsid w:val="00D77A88"/>
    <w:rsid w:val="00EE1CF3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50D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StyleBold">
    <w:name w:val="Style Bold"/>
    <w:basedOn w:val="DefaultParagraphFont"/>
    <w:rsid w:val="005C7951"/>
    <w:rPr>
      <w:b/>
      <w:bCs/>
    </w:rPr>
  </w:style>
  <w:style w:type="character" w:customStyle="1" w:styleId="StyleItalic">
    <w:name w:val="Style Italic"/>
    <w:basedOn w:val="DefaultParagraphFont"/>
    <w:rsid w:val="005C7951"/>
    <w:rPr>
      <w:i/>
      <w:iCs/>
    </w:rPr>
  </w:style>
  <w:style w:type="character" w:styleId="Hyperlink">
    <w:name w:val="Hyperlink"/>
    <w:basedOn w:val="DefaultParagraphFont"/>
    <w:unhideWhenUsed/>
    <w:rsid w:val="005C7951"/>
    <w:rPr>
      <w:color w:val="0000FF"/>
      <w:u w:val="single"/>
    </w:rPr>
  </w:style>
  <w:style w:type="character" w:customStyle="1" w:styleId="Link-Internal">
    <w:name w:val="Link - Internal"/>
    <w:basedOn w:val="DefaultParagraphFont"/>
    <w:rsid w:val="005C7951"/>
    <w:rPr>
      <w:color w:val="0000FF"/>
      <w:u w:val="single"/>
      <w:bdr w:val="none" w:sz="0" w:space="0" w:color="auto"/>
      <w:shd w:val="clear" w:color="auto" w:fill="FFCCFF"/>
    </w:rPr>
  </w:style>
  <w:style w:type="table" w:customStyle="1" w:styleId="Callout-Example">
    <w:name w:val="Callout - Example"/>
    <w:basedOn w:val="TableNormal"/>
    <w:rsid w:val="005C795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zh-TW"/>
    </w:rPr>
    <w:tblPr>
      <w:tblBorders>
        <w:top w:val="single" w:sz="18" w:space="0" w:color="808080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cPr>
      <w:shd w:val="clear" w:color="auto" w:fill="99CCFF"/>
      <w:tcMar>
        <w:top w:w="0" w:type="dxa"/>
        <w:left w:w="200" w:type="dxa"/>
        <w:bottom w:w="198" w:type="dxa"/>
        <w:right w:w="200" w:type="dxa"/>
      </w:tcMar>
    </w:tcPr>
  </w:style>
  <w:style w:type="paragraph" w:customStyle="1" w:styleId="Bulletedlist1">
    <w:name w:val="Bulleted list 1"/>
    <w:basedOn w:val="Normal"/>
    <w:qFormat/>
    <w:rsid w:val="005C7951"/>
    <w:pPr>
      <w:numPr>
        <w:numId w:val="1"/>
      </w:numPr>
      <w:spacing w:before="20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Bulletedlist2">
    <w:name w:val="Bulleted list 2"/>
    <w:basedOn w:val="Bulletedlist1"/>
    <w:qFormat/>
    <w:rsid w:val="005C7951"/>
    <w:pPr>
      <w:numPr>
        <w:ilvl w:val="1"/>
      </w:numPr>
    </w:pPr>
  </w:style>
  <w:style w:type="paragraph" w:customStyle="1" w:styleId="Bulletedlist3">
    <w:name w:val="Bulleted list 3"/>
    <w:basedOn w:val="Bulletedlist1"/>
    <w:qFormat/>
    <w:rsid w:val="005C7951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.gov.au/general/gen/data-matching-protoco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to.gov.au/privacy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2024-02-12T22:58:00Z</dcterms:created>
  <dcterms:modified xsi:type="dcterms:W3CDTF">2024-02-12T23:13:00Z</dcterms:modified>
  <cp:category/>
  <cp:contentStatus/>
  <dc:language/>
  <cp:version/>
</cp:coreProperties>
</file>