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E438" w14:textId="77777777" w:rsidR="00351609" w:rsidRDefault="00101C01">
      <w:pPr>
        <w:spacing w:before="86"/>
        <w:ind w:left="100"/>
        <w:rPr>
          <w:b/>
          <w:sz w:val="40"/>
        </w:rPr>
      </w:pPr>
      <w:r>
        <w:rPr>
          <w:b/>
          <w:sz w:val="40"/>
        </w:rPr>
        <w:t>Authority to carry on banking business 2024 – Avenue Bank Ltd</w:t>
      </w:r>
    </w:p>
    <w:p w14:paraId="3691E439" w14:textId="77777777" w:rsidR="00351609" w:rsidRDefault="00101C01">
      <w:pPr>
        <w:tabs>
          <w:tab w:val="left" w:pos="9491"/>
        </w:tabs>
        <w:spacing w:before="362"/>
        <w:ind w:left="100"/>
        <w:rPr>
          <w:i/>
          <w:sz w:val="28"/>
        </w:rPr>
      </w:pPr>
      <w:r>
        <w:rPr>
          <w:i/>
          <w:sz w:val="28"/>
          <w:u w:val="single"/>
        </w:rPr>
        <w:t>Banking Act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1959</w:t>
      </w:r>
      <w:r>
        <w:rPr>
          <w:i/>
          <w:sz w:val="28"/>
          <w:u w:val="single"/>
        </w:rPr>
        <w:tab/>
      </w:r>
    </w:p>
    <w:p w14:paraId="3691E43A" w14:textId="77777777" w:rsidR="00351609" w:rsidRDefault="00351609">
      <w:pPr>
        <w:pStyle w:val="BodyText"/>
        <w:spacing w:before="9"/>
        <w:rPr>
          <w:i/>
          <w:sz w:val="18"/>
        </w:rPr>
      </w:pPr>
    </w:p>
    <w:p w14:paraId="3691E43B" w14:textId="77777777" w:rsidR="00351609" w:rsidRDefault="00101C01">
      <w:pPr>
        <w:pStyle w:val="BodyText"/>
        <w:tabs>
          <w:tab w:val="left" w:pos="820"/>
        </w:tabs>
        <w:spacing w:before="93" w:line="480" w:lineRule="auto"/>
        <w:ind w:left="100" w:right="2960"/>
      </w:pPr>
      <w:r>
        <w:t>To:</w:t>
      </w:r>
      <w:r>
        <w:tab/>
        <w:t>Avenue Bank Ltd ABN 24 628 073 085 (the body</w:t>
      </w:r>
      <w:r>
        <w:rPr>
          <w:spacing w:val="-16"/>
        </w:rPr>
        <w:t xml:space="preserve"> </w:t>
      </w:r>
      <w:r>
        <w:t>corporate) SINCE</w:t>
      </w:r>
    </w:p>
    <w:p w14:paraId="3691E43C" w14:textId="77777777" w:rsidR="00351609" w:rsidRDefault="00101C01">
      <w:pPr>
        <w:pStyle w:val="ListParagraph"/>
        <w:numPr>
          <w:ilvl w:val="0"/>
          <w:numId w:val="3"/>
        </w:numPr>
        <w:tabs>
          <w:tab w:val="left" w:pos="525"/>
          <w:tab w:val="left" w:pos="526"/>
        </w:tabs>
        <w:spacing w:line="253" w:lineRule="exact"/>
      </w:pPr>
      <w:r>
        <w:t>On 7 September 2021</w:t>
      </w:r>
      <w:r>
        <w:rPr>
          <w:spacing w:val="-4"/>
        </w:rPr>
        <w:t xml:space="preserve"> </w:t>
      </w:r>
      <w:r>
        <w:t>APRA:</w:t>
      </w:r>
    </w:p>
    <w:p w14:paraId="3691E43D" w14:textId="77777777" w:rsidR="00351609" w:rsidRDefault="00351609">
      <w:pPr>
        <w:pStyle w:val="BodyText"/>
      </w:pPr>
    </w:p>
    <w:p w14:paraId="3691E43E" w14:textId="77777777" w:rsidR="00351609" w:rsidRDefault="00101C01">
      <w:pPr>
        <w:pStyle w:val="ListParagraph"/>
        <w:numPr>
          <w:ilvl w:val="1"/>
          <w:numId w:val="3"/>
        </w:numPr>
        <w:tabs>
          <w:tab w:val="left" w:pos="1065"/>
          <w:tab w:val="left" w:pos="1066"/>
        </w:tabs>
        <w:ind w:right="141" w:hanging="568"/>
      </w:pPr>
      <w:r>
        <w:t xml:space="preserve">under subsection 9(3) of the </w:t>
      </w:r>
      <w:r>
        <w:rPr>
          <w:i/>
        </w:rPr>
        <w:t xml:space="preserve">Banking Act 1959 </w:t>
      </w:r>
      <w:r>
        <w:t>(the Act), granted the body corporate authority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carry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banking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Australia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(the</w:t>
      </w:r>
      <w:r>
        <w:rPr>
          <w:spacing w:val="-7"/>
        </w:rPr>
        <w:t xml:space="preserve"> </w:t>
      </w:r>
      <w:r>
        <w:t>Authority);</w:t>
      </w:r>
      <w:r>
        <w:rPr>
          <w:spacing w:val="-8"/>
        </w:rPr>
        <w:t xml:space="preserve"> </w:t>
      </w:r>
      <w:r>
        <w:t>and</w:t>
      </w:r>
    </w:p>
    <w:p w14:paraId="3691E43F" w14:textId="77777777" w:rsidR="00351609" w:rsidRDefault="00101C01">
      <w:pPr>
        <w:pStyle w:val="ListParagraph"/>
        <w:numPr>
          <w:ilvl w:val="1"/>
          <w:numId w:val="3"/>
        </w:numPr>
        <w:tabs>
          <w:tab w:val="left" w:pos="1065"/>
          <w:tab w:val="left" w:pos="1066"/>
        </w:tabs>
        <w:spacing w:before="121"/>
        <w:ind w:left="1108" w:right="145" w:hanging="579"/>
      </w:pPr>
      <w:r>
        <w:t>under paragraph 9AA(1)(a) of the Act, imposed conditions on the Authority (the Authority</w:t>
      </w:r>
      <w:r>
        <w:rPr>
          <w:spacing w:val="-1"/>
        </w:rPr>
        <w:t xml:space="preserve"> </w:t>
      </w:r>
      <w:r>
        <w:t>Conditions);</w:t>
      </w:r>
    </w:p>
    <w:p w14:paraId="3691E440" w14:textId="77777777" w:rsidR="00351609" w:rsidRDefault="00351609">
      <w:pPr>
        <w:pStyle w:val="BodyText"/>
        <w:spacing w:before="11"/>
        <w:rPr>
          <w:sz w:val="21"/>
        </w:rPr>
      </w:pPr>
    </w:p>
    <w:p w14:paraId="3691E441" w14:textId="77777777" w:rsidR="00351609" w:rsidRDefault="00101C01">
      <w:pPr>
        <w:pStyle w:val="ListParagraph"/>
        <w:numPr>
          <w:ilvl w:val="0"/>
          <w:numId w:val="3"/>
        </w:numPr>
        <w:tabs>
          <w:tab w:val="left" w:pos="525"/>
          <w:tab w:val="left" w:pos="526"/>
        </w:tabs>
        <w:ind w:left="525" w:right="212"/>
      </w:pPr>
      <w:r>
        <w:t>On 14 August 2023, the Authority was varied to change the expiry date of the Authority to</w:t>
      </w:r>
      <w:r>
        <w:rPr>
          <w:spacing w:val="-24"/>
        </w:rPr>
        <w:t xml:space="preserve"> </w:t>
      </w:r>
      <w:r>
        <w:t>7 March 2024;</w:t>
      </w:r>
      <w:r>
        <w:rPr>
          <w:spacing w:val="-1"/>
        </w:rPr>
        <w:t xml:space="preserve"> </w:t>
      </w:r>
      <w:r>
        <w:t>and</w:t>
      </w:r>
    </w:p>
    <w:p w14:paraId="3691E442" w14:textId="77777777" w:rsidR="00351609" w:rsidRDefault="00351609">
      <w:pPr>
        <w:pStyle w:val="BodyText"/>
        <w:spacing w:before="11"/>
        <w:rPr>
          <w:sz w:val="21"/>
        </w:rPr>
      </w:pPr>
    </w:p>
    <w:p w14:paraId="3691E443" w14:textId="77777777" w:rsidR="00351609" w:rsidRDefault="00101C01">
      <w:pPr>
        <w:pStyle w:val="ListParagraph"/>
        <w:numPr>
          <w:ilvl w:val="0"/>
          <w:numId w:val="3"/>
        </w:numPr>
        <w:tabs>
          <w:tab w:val="left" w:pos="525"/>
          <w:tab w:val="left" w:pos="526"/>
        </w:tabs>
      </w:pPr>
      <w:r>
        <w:t>The body corporate has applied in writing to</w:t>
      </w:r>
      <w:r>
        <w:rPr>
          <w:spacing w:val="-3"/>
        </w:rPr>
        <w:t xml:space="preserve"> </w:t>
      </w:r>
      <w:r>
        <w:t>APRA:</w:t>
      </w:r>
    </w:p>
    <w:p w14:paraId="3691E444" w14:textId="77777777" w:rsidR="00351609" w:rsidRDefault="00351609">
      <w:pPr>
        <w:pStyle w:val="BodyText"/>
      </w:pPr>
    </w:p>
    <w:p w14:paraId="3691E445" w14:textId="77777777" w:rsidR="00351609" w:rsidRDefault="00101C01">
      <w:pPr>
        <w:pStyle w:val="ListParagraph"/>
        <w:numPr>
          <w:ilvl w:val="1"/>
          <w:numId w:val="3"/>
        </w:numPr>
        <w:tabs>
          <w:tab w:val="left" w:pos="1092"/>
          <w:tab w:val="left" w:pos="1093"/>
        </w:tabs>
        <w:spacing w:before="1"/>
        <w:ind w:right="709" w:hanging="568"/>
      </w:pPr>
      <w:r>
        <w:t>under subsection 9(2) of the Act, for an authority to carry on banking business</w:t>
      </w:r>
      <w:r>
        <w:rPr>
          <w:spacing w:val="-27"/>
        </w:rPr>
        <w:t xml:space="preserve"> </w:t>
      </w:r>
      <w:r>
        <w:t>in Australia that is not subject to a time limit;</w:t>
      </w:r>
      <w:r>
        <w:rPr>
          <w:spacing w:val="-7"/>
        </w:rPr>
        <w:t xml:space="preserve"> </w:t>
      </w:r>
      <w:r>
        <w:t>and</w:t>
      </w:r>
    </w:p>
    <w:p w14:paraId="3691E446" w14:textId="77777777" w:rsidR="00351609" w:rsidRDefault="00101C01">
      <w:pPr>
        <w:pStyle w:val="ListParagraph"/>
        <w:numPr>
          <w:ilvl w:val="1"/>
          <w:numId w:val="3"/>
        </w:numPr>
        <w:tabs>
          <w:tab w:val="left" w:pos="1092"/>
          <w:tab w:val="left" w:pos="1093"/>
        </w:tabs>
        <w:spacing w:before="120" w:line="480" w:lineRule="auto"/>
        <w:ind w:left="100" w:right="4396" w:firstLine="426"/>
      </w:pPr>
      <w:r>
        <w:t>for the Authority Conditions to be revoked, I, Renée Roberts, a delegate of</w:t>
      </w:r>
      <w:r>
        <w:rPr>
          <w:spacing w:val="-6"/>
        </w:rPr>
        <w:t xml:space="preserve"> </w:t>
      </w:r>
      <w:r>
        <w:t>APRA:</w:t>
      </w:r>
    </w:p>
    <w:p w14:paraId="3691E447" w14:textId="77777777" w:rsidR="00351609" w:rsidRDefault="00101C01">
      <w:pPr>
        <w:pStyle w:val="ListParagraph"/>
        <w:numPr>
          <w:ilvl w:val="0"/>
          <w:numId w:val="2"/>
        </w:numPr>
        <w:tabs>
          <w:tab w:val="left" w:pos="667"/>
          <w:tab w:val="left" w:pos="668"/>
        </w:tabs>
        <w:ind w:right="139"/>
      </w:pPr>
      <w:r>
        <w:t>under subsection 9D(6) of the Act, VARY the Authority to remove the time limit that</w:t>
      </w:r>
      <w:r>
        <w:rPr>
          <w:spacing w:val="-40"/>
        </w:rPr>
        <w:t xml:space="preserve"> </w:t>
      </w:r>
      <w:r>
        <w:t>applies to the</w:t>
      </w:r>
      <w:r>
        <w:rPr>
          <w:spacing w:val="-1"/>
        </w:rPr>
        <w:t xml:space="preserve"> </w:t>
      </w:r>
      <w:r>
        <w:t>Authority;</w:t>
      </w:r>
    </w:p>
    <w:p w14:paraId="3691E448" w14:textId="77777777" w:rsidR="00351609" w:rsidRDefault="00101C01">
      <w:pPr>
        <w:pStyle w:val="ListParagraph"/>
        <w:numPr>
          <w:ilvl w:val="0"/>
          <w:numId w:val="2"/>
        </w:numPr>
        <w:tabs>
          <w:tab w:val="left" w:pos="667"/>
          <w:tab w:val="left" w:pos="668"/>
        </w:tabs>
        <w:spacing w:before="120"/>
      </w:pPr>
      <w:r>
        <w:t>under paragraph 9AA(1)(b) of the Act, REVOKE the Authority Conditions;</w:t>
      </w:r>
      <w:r>
        <w:rPr>
          <w:spacing w:val="-12"/>
        </w:rPr>
        <w:t xml:space="preserve"> </w:t>
      </w:r>
      <w:r>
        <w:t>and</w:t>
      </w:r>
    </w:p>
    <w:p w14:paraId="3691E449" w14:textId="77777777" w:rsidR="00351609" w:rsidRDefault="00101C01">
      <w:pPr>
        <w:pStyle w:val="ListParagraph"/>
        <w:numPr>
          <w:ilvl w:val="0"/>
          <w:numId w:val="2"/>
        </w:numPr>
        <w:tabs>
          <w:tab w:val="left" w:pos="667"/>
          <w:tab w:val="left" w:pos="668"/>
        </w:tabs>
        <w:spacing w:before="119"/>
        <w:ind w:right="167"/>
      </w:pPr>
      <w:r>
        <w:t>under paragraph 9AA(1)(a) of the Act, IMPOSE on the authority the conditions specified</w:t>
      </w:r>
      <w:r>
        <w:rPr>
          <w:spacing w:val="-27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Schedule.</w:t>
      </w:r>
    </w:p>
    <w:p w14:paraId="3691E44A" w14:textId="77777777" w:rsidR="00351609" w:rsidRDefault="00351609">
      <w:pPr>
        <w:pStyle w:val="BodyText"/>
        <w:spacing w:before="1"/>
      </w:pPr>
    </w:p>
    <w:p w14:paraId="3691E44B" w14:textId="77777777" w:rsidR="00351609" w:rsidRDefault="00101C01">
      <w:pPr>
        <w:pStyle w:val="BodyText"/>
        <w:spacing w:line="720" w:lineRule="auto"/>
        <w:ind w:left="100" w:right="3968"/>
      </w:pPr>
      <w:r>
        <w:t>This instrument commences on the day it is made. Dated: 21 February 2024</w:t>
      </w:r>
    </w:p>
    <w:p w14:paraId="3691E44C" w14:textId="77777777" w:rsidR="00351609" w:rsidRDefault="00351609">
      <w:pPr>
        <w:spacing w:line="720" w:lineRule="auto"/>
        <w:sectPr w:rsidR="00351609" w:rsidSect="006E3072">
          <w:headerReference w:type="default" r:id="rId9"/>
          <w:headerReference w:type="first" r:id="rId10"/>
          <w:type w:val="continuous"/>
          <w:pgSz w:w="12240" w:h="15840"/>
          <w:pgMar w:top="1480" w:right="1300" w:bottom="280" w:left="1340" w:header="720" w:footer="720" w:gutter="0"/>
          <w:cols w:space="720"/>
          <w:titlePg/>
          <w:docGrid w:linePitch="299"/>
        </w:sectPr>
      </w:pPr>
    </w:p>
    <w:p w14:paraId="3691E44D" w14:textId="77777777" w:rsidR="00351609" w:rsidRDefault="00351609">
      <w:pPr>
        <w:pStyle w:val="BodyText"/>
        <w:rPr>
          <w:sz w:val="20"/>
        </w:rPr>
      </w:pPr>
    </w:p>
    <w:p w14:paraId="3691E44E" w14:textId="77777777" w:rsidR="00351609" w:rsidRDefault="00351609">
      <w:pPr>
        <w:pStyle w:val="BodyText"/>
        <w:spacing w:before="6"/>
      </w:pPr>
    </w:p>
    <w:p w14:paraId="3691E451" w14:textId="77777777" w:rsidR="00351609" w:rsidRDefault="00101C01">
      <w:pPr>
        <w:pStyle w:val="BodyText"/>
        <w:spacing w:before="93"/>
        <w:ind w:left="100" w:right="7694"/>
      </w:pPr>
      <w:r>
        <w:t>Renée Roberts Executive Director Banking Division</w:t>
      </w:r>
    </w:p>
    <w:p w14:paraId="3691E452" w14:textId="77777777" w:rsidR="00351609" w:rsidRDefault="00351609">
      <w:pPr>
        <w:pStyle w:val="BodyText"/>
        <w:rPr>
          <w:sz w:val="24"/>
        </w:rPr>
      </w:pPr>
    </w:p>
    <w:p w14:paraId="3691E453" w14:textId="77777777" w:rsidR="00351609" w:rsidRDefault="00101C01">
      <w:pPr>
        <w:pStyle w:val="Heading1"/>
        <w:spacing w:before="205"/>
      </w:pPr>
      <w:r>
        <w:t>Interpretation</w:t>
      </w:r>
    </w:p>
    <w:p w14:paraId="3691E454" w14:textId="77777777" w:rsidR="00351609" w:rsidRDefault="00101C01">
      <w:pPr>
        <w:pStyle w:val="BodyText"/>
        <w:spacing w:before="120"/>
        <w:ind w:left="100"/>
      </w:pPr>
      <w:r>
        <w:t>In this instrument:</w:t>
      </w:r>
    </w:p>
    <w:p w14:paraId="3691E455" w14:textId="77777777" w:rsidR="00351609" w:rsidRDefault="00101C01">
      <w:pPr>
        <w:pStyle w:val="BodyText"/>
        <w:spacing w:before="119"/>
        <w:ind w:left="10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3691E456" w14:textId="77777777" w:rsidR="00351609" w:rsidRDefault="00101C01">
      <w:pPr>
        <w:spacing w:before="120"/>
        <w:ind w:left="100"/>
      </w:pPr>
      <w:r>
        <w:rPr>
          <w:b/>
          <w:i/>
        </w:rPr>
        <w:t xml:space="preserve">banking business </w:t>
      </w:r>
      <w:r>
        <w:t>has the meaning given in subsection 5(1) of the Act.</w:t>
      </w:r>
    </w:p>
    <w:p w14:paraId="3691E457" w14:textId="77777777" w:rsidR="00351609" w:rsidRDefault="00351609">
      <w:pPr>
        <w:pStyle w:val="BodyText"/>
        <w:spacing w:before="9"/>
        <w:rPr>
          <w:sz w:val="20"/>
        </w:rPr>
      </w:pPr>
    </w:p>
    <w:p w14:paraId="3691E458" w14:textId="77777777" w:rsidR="00351609" w:rsidRDefault="00101C01">
      <w:pPr>
        <w:spacing w:before="1"/>
        <w:ind w:left="100"/>
        <w:rPr>
          <w:b/>
          <w:sz w:val="18"/>
        </w:rPr>
      </w:pPr>
      <w:r>
        <w:rPr>
          <w:b/>
          <w:sz w:val="18"/>
        </w:rPr>
        <w:t>Notes</w:t>
      </w:r>
    </w:p>
    <w:p w14:paraId="3691E459" w14:textId="77777777" w:rsidR="00351609" w:rsidRDefault="00101C01">
      <w:pPr>
        <w:spacing w:before="120"/>
        <w:ind w:left="100" w:right="165"/>
        <w:rPr>
          <w:sz w:val="18"/>
        </w:rPr>
      </w:pPr>
      <w:r>
        <w:rPr>
          <w:sz w:val="18"/>
        </w:rPr>
        <w:t xml:space="preserve">APRA is required to publish this instrument in the </w:t>
      </w:r>
      <w:r>
        <w:rPr>
          <w:i/>
          <w:sz w:val="18"/>
        </w:rPr>
        <w:t>Gazette</w:t>
      </w:r>
      <w:r>
        <w:rPr>
          <w:sz w:val="18"/>
        </w:rPr>
        <w:t>, and may also publish this instrument in any other way that APRA considers appropriate.</w:t>
      </w:r>
    </w:p>
    <w:p w14:paraId="3691E45A" w14:textId="77777777" w:rsidR="00351609" w:rsidRDefault="00351609">
      <w:pPr>
        <w:rPr>
          <w:sz w:val="18"/>
        </w:rPr>
        <w:sectPr w:rsidR="00351609">
          <w:pgSz w:w="12240" w:h="15840"/>
          <w:pgMar w:top="1500" w:right="1300" w:bottom="280" w:left="1340" w:header="720" w:footer="720" w:gutter="0"/>
          <w:cols w:space="720"/>
        </w:sectPr>
      </w:pPr>
    </w:p>
    <w:p w14:paraId="3691E45B" w14:textId="77777777" w:rsidR="00351609" w:rsidRDefault="00101C01">
      <w:pPr>
        <w:spacing w:before="80"/>
        <w:ind w:left="100"/>
        <w:rPr>
          <w:b/>
          <w:sz w:val="32"/>
        </w:rPr>
      </w:pPr>
      <w:r>
        <w:rPr>
          <w:b/>
          <w:sz w:val="32"/>
        </w:rPr>
        <w:lastRenderedPageBreak/>
        <w:t>Schedule – the conditions imposed on the Authority</w:t>
      </w:r>
    </w:p>
    <w:p w14:paraId="3691E45C" w14:textId="77777777" w:rsidR="00351609" w:rsidRDefault="00101C01">
      <w:pPr>
        <w:pStyle w:val="ListParagraph"/>
        <w:numPr>
          <w:ilvl w:val="0"/>
          <w:numId w:val="1"/>
        </w:numPr>
        <w:tabs>
          <w:tab w:val="left" w:pos="525"/>
        </w:tabs>
        <w:spacing w:before="233" w:line="288" w:lineRule="auto"/>
        <w:ind w:right="344"/>
        <w:jc w:val="both"/>
      </w:pPr>
      <w:r>
        <w:t>The body corporate must consult with, and receive written agreement from, APRA prior to offering any products other than products approved in APRA’s letter to the body</w:t>
      </w:r>
      <w:r>
        <w:rPr>
          <w:spacing w:val="-36"/>
        </w:rPr>
        <w:t xml:space="preserve"> </w:t>
      </w:r>
      <w:r>
        <w:t>corporate dated 21 February</w:t>
      </w:r>
      <w:r>
        <w:rPr>
          <w:spacing w:val="-1"/>
        </w:rPr>
        <w:t xml:space="preserve"> </w:t>
      </w:r>
      <w:r>
        <w:t>2024.</w:t>
      </w:r>
    </w:p>
    <w:p w14:paraId="3691E45D" w14:textId="77777777" w:rsidR="00351609" w:rsidRDefault="00351609">
      <w:pPr>
        <w:pStyle w:val="BodyText"/>
        <w:spacing w:before="10"/>
        <w:rPr>
          <w:sz w:val="20"/>
        </w:rPr>
      </w:pPr>
    </w:p>
    <w:p w14:paraId="3691E45E" w14:textId="77777777" w:rsidR="00351609" w:rsidRDefault="00101C01">
      <w:pPr>
        <w:pStyle w:val="ListParagraph"/>
        <w:numPr>
          <w:ilvl w:val="0"/>
          <w:numId w:val="1"/>
        </w:numPr>
        <w:tabs>
          <w:tab w:val="left" w:pos="524"/>
          <w:tab w:val="left" w:pos="525"/>
        </w:tabs>
        <w:spacing w:line="288" w:lineRule="auto"/>
        <w:ind w:right="330"/>
      </w:pPr>
      <w:r>
        <w:t>The body corporate must, prior to the issuance of Common Equity Tier 1 (CET1) Capital instruments by any member of the Level 2 group to which the body corporate belongs</w:t>
      </w:r>
      <w:r>
        <w:rPr>
          <w:spacing w:val="-16"/>
        </w:rPr>
        <w:t xml:space="preserve"> </w:t>
      </w:r>
      <w:r>
        <w:t>and as soon as</w:t>
      </w:r>
      <w:r>
        <w:rPr>
          <w:spacing w:val="-2"/>
        </w:rPr>
        <w:t xml:space="preserve"> </w:t>
      </w:r>
      <w:r>
        <w:t>practicable:</w:t>
      </w:r>
    </w:p>
    <w:p w14:paraId="3691E45F" w14:textId="77777777" w:rsidR="00351609" w:rsidRDefault="00351609">
      <w:pPr>
        <w:pStyle w:val="BodyText"/>
        <w:spacing w:before="10"/>
        <w:rPr>
          <w:sz w:val="20"/>
        </w:rPr>
      </w:pPr>
    </w:p>
    <w:p w14:paraId="3691E460" w14:textId="77777777" w:rsidR="00351609" w:rsidRDefault="00101C01">
      <w:pPr>
        <w:pStyle w:val="ListParagraph"/>
        <w:numPr>
          <w:ilvl w:val="1"/>
          <w:numId w:val="1"/>
        </w:numPr>
        <w:tabs>
          <w:tab w:val="left" w:pos="1382"/>
        </w:tabs>
        <w:spacing w:before="1"/>
      </w:pPr>
      <w:r>
        <w:t>consult with</w:t>
      </w:r>
      <w:r>
        <w:rPr>
          <w:spacing w:val="-3"/>
        </w:rPr>
        <w:t xml:space="preserve"> </w:t>
      </w:r>
      <w:r>
        <w:t>APRA;</w:t>
      </w:r>
    </w:p>
    <w:p w14:paraId="3691E461" w14:textId="77777777" w:rsidR="00351609" w:rsidRDefault="00351609">
      <w:pPr>
        <w:pStyle w:val="BodyText"/>
        <w:spacing w:before="10"/>
        <w:rPr>
          <w:sz w:val="20"/>
        </w:rPr>
      </w:pPr>
    </w:p>
    <w:p w14:paraId="3691E462" w14:textId="77777777" w:rsidR="00351609" w:rsidRDefault="00101C01">
      <w:pPr>
        <w:pStyle w:val="ListParagraph"/>
        <w:numPr>
          <w:ilvl w:val="1"/>
          <w:numId w:val="1"/>
        </w:numPr>
        <w:tabs>
          <w:tab w:val="left" w:pos="1382"/>
        </w:tabs>
        <w:ind w:right="553"/>
      </w:pPr>
      <w:r>
        <w:t>provide APRA with complete information associated with the proposed issue</w:t>
      </w:r>
      <w:r>
        <w:rPr>
          <w:spacing w:val="-23"/>
        </w:rPr>
        <w:t xml:space="preserve"> </w:t>
      </w:r>
      <w:r>
        <w:t>to allow APRA to assess the eligibility of the instruments for inclusion as CET1 Capital in the body corporate’s or NOHC’s Regulatory Capital,</w:t>
      </w:r>
      <w:r>
        <w:rPr>
          <w:spacing w:val="-16"/>
        </w:rPr>
        <w:t xml:space="preserve"> </w:t>
      </w:r>
      <w:r>
        <w:t>including:</w:t>
      </w:r>
    </w:p>
    <w:p w14:paraId="3691E463" w14:textId="77777777" w:rsidR="00351609" w:rsidRDefault="00351609">
      <w:pPr>
        <w:pStyle w:val="BodyText"/>
        <w:spacing w:before="9"/>
        <w:rPr>
          <w:sz w:val="20"/>
        </w:rPr>
      </w:pPr>
    </w:p>
    <w:p w14:paraId="3691E464" w14:textId="77777777" w:rsidR="00351609" w:rsidRDefault="00101C01">
      <w:pPr>
        <w:pStyle w:val="ListParagraph"/>
        <w:numPr>
          <w:ilvl w:val="2"/>
          <w:numId w:val="1"/>
        </w:numPr>
        <w:tabs>
          <w:tab w:val="left" w:pos="2101"/>
          <w:tab w:val="left" w:pos="2102"/>
        </w:tabs>
        <w:ind w:hanging="469"/>
        <w:jc w:val="left"/>
      </w:pPr>
      <w:r>
        <w:t>all regulatory and marketing</w:t>
      </w:r>
      <w:r>
        <w:rPr>
          <w:spacing w:val="-3"/>
        </w:rPr>
        <w:t xml:space="preserve"> </w:t>
      </w:r>
      <w:r>
        <w:t>documentation;</w:t>
      </w:r>
    </w:p>
    <w:p w14:paraId="3691E465" w14:textId="77777777" w:rsidR="00351609" w:rsidRDefault="00351609">
      <w:pPr>
        <w:pStyle w:val="BodyText"/>
        <w:spacing w:before="10"/>
        <w:rPr>
          <w:sz w:val="20"/>
        </w:rPr>
      </w:pPr>
    </w:p>
    <w:p w14:paraId="3691E466" w14:textId="77777777" w:rsidR="00351609" w:rsidRDefault="00101C01">
      <w:pPr>
        <w:pStyle w:val="ListParagraph"/>
        <w:numPr>
          <w:ilvl w:val="2"/>
          <w:numId w:val="1"/>
        </w:numPr>
        <w:tabs>
          <w:tab w:val="left" w:pos="2101"/>
          <w:tab w:val="left" w:pos="2102"/>
        </w:tabs>
        <w:spacing w:before="1"/>
        <w:ind w:right="530" w:hanging="516"/>
        <w:jc w:val="left"/>
      </w:pPr>
      <w:r>
        <w:t>any other information necessary for APRA to assess the eligibility of</w:t>
      </w:r>
      <w:r>
        <w:rPr>
          <w:spacing w:val="-21"/>
        </w:rPr>
        <w:t xml:space="preserve"> </w:t>
      </w:r>
      <w:r>
        <w:t>the instruments, including information requested by</w:t>
      </w:r>
      <w:r>
        <w:rPr>
          <w:spacing w:val="-6"/>
        </w:rPr>
        <w:t xml:space="preserve"> </w:t>
      </w:r>
      <w:r>
        <w:t>APRA;</w:t>
      </w:r>
    </w:p>
    <w:p w14:paraId="3691E467" w14:textId="77777777" w:rsidR="00351609" w:rsidRDefault="00351609">
      <w:pPr>
        <w:pStyle w:val="BodyText"/>
        <w:spacing w:before="10"/>
        <w:rPr>
          <w:sz w:val="20"/>
        </w:rPr>
      </w:pPr>
    </w:p>
    <w:p w14:paraId="3691E468" w14:textId="77777777" w:rsidR="00351609" w:rsidRDefault="00101C01">
      <w:pPr>
        <w:pStyle w:val="ListParagraph"/>
        <w:numPr>
          <w:ilvl w:val="2"/>
          <w:numId w:val="1"/>
        </w:numPr>
        <w:tabs>
          <w:tab w:val="left" w:pos="2101"/>
          <w:tab w:val="left" w:pos="2102"/>
        </w:tabs>
        <w:ind w:right="578" w:hanging="566"/>
        <w:jc w:val="left"/>
      </w:pPr>
      <w:r>
        <w:t>a statement of compliance of the capital instruments signed by a</w:t>
      </w:r>
      <w:r>
        <w:rPr>
          <w:spacing w:val="-23"/>
        </w:rPr>
        <w:t xml:space="preserve"> </w:t>
      </w:r>
      <w:r>
        <w:t>senior manager of the body corporate or NOHC issuer or, if issued by a non- APRA regulated member of the Level 2 group, a senior manager of the body corporate or NOHC with group responsibility, which</w:t>
      </w:r>
      <w:r>
        <w:rPr>
          <w:spacing w:val="-9"/>
        </w:rPr>
        <w:t xml:space="preserve"> </w:t>
      </w:r>
      <w:r>
        <w:t>must:</w:t>
      </w:r>
    </w:p>
    <w:p w14:paraId="3691E469" w14:textId="77777777" w:rsidR="00351609" w:rsidRDefault="00351609">
      <w:pPr>
        <w:pStyle w:val="BodyText"/>
        <w:spacing w:before="10"/>
        <w:rPr>
          <w:sz w:val="20"/>
        </w:rPr>
      </w:pPr>
    </w:p>
    <w:p w14:paraId="3691E46A" w14:textId="77777777" w:rsidR="00351609" w:rsidRDefault="00101C01">
      <w:pPr>
        <w:pStyle w:val="ListParagraph"/>
        <w:numPr>
          <w:ilvl w:val="3"/>
          <w:numId w:val="1"/>
        </w:numPr>
        <w:tabs>
          <w:tab w:val="left" w:pos="2726"/>
        </w:tabs>
        <w:ind w:right="551"/>
      </w:pPr>
      <w:r>
        <w:t xml:space="preserve">address how the issuer is satisfied that each required capital eligibility criterion set out in </w:t>
      </w:r>
      <w:r>
        <w:rPr>
          <w:i/>
        </w:rPr>
        <w:t xml:space="preserve">Prudential Standard APS 111 Capital Adequacy: Measurement of Capital </w:t>
      </w:r>
      <w:r>
        <w:t>is met and will continue to</w:t>
      </w:r>
      <w:r>
        <w:rPr>
          <w:spacing w:val="-16"/>
        </w:rPr>
        <w:t xml:space="preserve"> </w:t>
      </w:r>
      <w:r>
        <w:t>be met in the future;</w:t>
      </w:r>
      <w:r>
        <w:rPr>
          <w:spacing w:val="-3"/>
        </w:rPr>
        <w:t xml:space="preserve"> </w:t>
      </w:r>
      <w:r>
        <w:t>and</w:t>
      </w:r>
    </w:p>
    <w:p w14:paraId="3691E46B" w14:textId="77777777" w:rsidR="00351609" w:rsidRDefault="00351609">
      <w:pPr>
        <w:pStyle w:val="BodyText"/>
        <w:spacing w:before="10"/>
        <w:rPr>
          <w:sz w:val="20"/>
        </w:rPr>
      </w:pPr>
    </w:p>
    <w:p w14:paraId="3691E46C" w14:textId="77777777" w:rsidR="00351609" w:rsidRDefault="00101C01">
      <w:pPr>
        <w:pStyle w:val="ListParagraph"/>
        <w:numPr>
          <w:ilvl w:val="3"/>
          <w:numId w:val="1"/>
        </w:numPr>
        <w:tabs>
          <w:tab w:val="left" w:pos="2726"/>
        </w:tabs>
        <w:ind w:right="210"/>
      </w:pPr>
      <w:r>
        <w:t>clearly set out references to supporting documents and opinions</w:t>
      </w:r>
      <w:r>
        <w:rPr>
          <w:spacing w:val="-18"/>
        </w:rPr>
        <w:t xml:space="preserve"> </w:t>
      </w:r>
      <w:r>
        <w:t>that demonstrate that the criteria are</w:t>
      </w:r>
      <w:r>
        <w:rPr>
          <w:spacing w:val="-3"/>
        </w:rPr>
        <w:t xml:space="preserve"> </w:t>
      </w:r>
      <w:r>
        <w:t>met.</w:t>
      </w:r>
    </w:p>
    <w:p w14:paraId="3691E46D" w14:textId="77777777" w:rsidR="00351609" w:rsidRDefault="00351609">
      <w:pPr>
        <w:pStyle w:val="BodyText"/>
        <w:rPr>
          <w:sz w:val="24"/>
        </w:rPr>
      </w:pPr>
    </w:p>
    <w:p w14:paraId="3691E46E" w14:textId="77777777" w:rsidR="00351609" w:rsidRDefault="00101C01">
      <w:pPr>
        <w:pStyle w:val="Heading1"/>
      </w:pPr>
      <w:r>
        <w:t>Interpretation</w:t>
      </w:r>
    </w:p>
    <w:p w14:paraId="3691E46F" w14:textId="77777777" w:rsidR="00351609" w:rsidRDefault="00101C01">
      <w:pPr>
        <w:pStyle w:val="BodyText"/>
        <w:spacing w:before="120"/>
        <w:ind w:left="100"/>
      </w:pPr>
      <w:r>
        <w:t>In this schedule:</w:t>
      </w:r>
    </w:p>
    <w:p w14:paraId="3691E470" w14:textId="77777777" w:rsidR="00351609" w:rsidRDefault="00101C01">
      <w:pPr>
        <w:spacing w:before="120"/>
        <w:ind w:left="100"/>
      </w:pPr>
      <w:r>
        <w:rPr>
          <w:b/>
          <w:i/>
        </w:rPr>
        <w:t xml:space="preserve">body corporate </w:t>
      </w:r>
      <w:r>
        <w:t>means Avenue Bank Ltd ABN 24 628 073 085.</w:t>
      </w:r>
    </w:p>
    <w:p w14:paraId="3691E471" w14:textId="77777777" w:rsidR="00351609" w:rsidRDefault="00101C01">
      <w:pPr>
        <w:spacing w:before="120"/>
        <w:ind w:left="100"/>
      </w:pPr>
      <w:r>
        <w:rPr>
          <w:b/>
          <w:i/>
        </w:rPr>
        <w:t xml:space="preserve">Level 2 </w:t>
      </w:r>
      <w:r>
        <w:t xml:space="preserve">has the meaning given </w:t>
      </w:r>
      <w:r>
        <w:rPr>
          <w:i/>
        </w:rPr>
        <w:t>in Prudential Standard APS 001 Definitions</w:t>
      </w:r>
      <w:r>
        <w:t>.</w:t>
      </w:r>
    </w:p>
    <w:p w14:paraId="3691E472" w14:textId="77777777" w:rsidR="00351609" w:rsidRDefault="00101C01">
      <w:pPr>
        <w:pStyle w:val="BodyText"/>
        <w:spacing w:before="120"/>
        <w:ind w:left="100"/>
      </w:pPr>
      <w:r>
        <w:rPr>
          <w:b/>
          <w:i/>
        </w:rPr>
        <w:t xml:space="preserve">NOHC </w:t>
      </w:r>
      <w:r>
        <w:t>means Avenue Hold Limited ABN 50 628 071 198.</w:t>
      </w:r>
    </w:p>
    <w:p w14:paraId="3691E473" w14:textId="77777777" w:rsidR="00351609" w:rsidRDefault="00101C01">
      <w:pPr>
        <w:spacing w:before="120"/>
        <w:ind w:left="100"/>
      </w:pPr>
      <w:r>
        <w:rPr>
          <w:b/>
          <w:i/>
        </w:rPr>
        <w:t xml:space="preserve">senior manager </w:t>
      </w:r>
      <w:r>
        <w:t xml:space="preserve">has the meaning given </w:t>
      </w:r>
      <w:r>
        <w:rPr>
          <w:i/>
        </w:rPr>
        <w:t>in Prudential Standard APS 001 Definitions</w:t>
      </w:r>
      <w:r>
        <w:t>.</w:t>
      </w:r>
    </w:p>
    <w:p w14:paraId="3691E474" w14:textId="77777777" w:rsidR="00351609" w:rsidRDefault="00101C01">
      <w:pPr>
        <w:pStyle w:val="BodyText"/>
        <w:spacing w:before="120"/>
        <w:ind w:left="100"/>
      </w:pPr>
      <w:r>
        <w:t>Unless the contrary intention appears, a reference in this schedule to a Prudential Standard is a reference to the Prudential Standard as in force from time to time.</w:t>
      </w:r>
    </w:p>
    <w:sectPr w:rsidR="00351609">
      <w:pgSz w:w="12240" w:h="15840"/>
      <w:pgMar w:top="13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D2B7" w14:textId="77777777" w:rsidR="006E3072" w:rsidRDefault="006E3072" w:rsidP="006E3072">
      <w:r>
        <w:separator/>
      </w:r>
    </w:p>
  </w:endnote>
  <w:endnote w:type="continuationSeparator" w:id="0">
    <w:p w14:paraId="7FB7AD75" w14:textId="77777777" w:rsidR="006E3072" w:rsidRDefault="006E3072" w:rsidP="006E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68F5" w14:textId="77777777" w:rsidR="006E3072" w:rsidRDefault="006E3072" w:rsidP="006E3072">
      <w:r>
        <w:separator/>
      </w:r>
    </w:p>
  </w:footnote>
  <w:footnote w:type="continuationSeparator" w:id="0">
    <w:p w14:paraId="0B7D23CE" w14:textId="77777777" w:rsidR="006E3072" w:rsidRDefault="006E3072" w:rsidP="006E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80AF" w14:textId="40B390E6" w:rsidR="006E3072" w:rsidRDefault="006E3072">
    <w:pPr>
      <w:pStyle w:val="Header"/>
    </w:pPr>
  </w:p>
  <w:p w14:paraId="06D1C4EB" w14:textId="77777777" w:rsidR="006E3072" w:rsidRDefault="006E3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E3072" w:rsidRPr="00CE796A" w14:paraId="14B877AC" w14:textId="77777777" w:rsidTr="00152AE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51F960" w14:textId="77777777" w:rsidR="006E3072" w:rsidRPr="00CE796A" w:rsidRDefault="006E3072" w:rsidP="006E3072">
          <w:pPr>
            <w:spacing w:before="60"/>
            <w:ind w:left="-51"/>
            <w:rPr>
              <w:sz w:val="12"/>
            </w:rPr>
          </w:pPr>
          <w:r>
            <w:rPr>
              <w:noProof/>
              <w:sz w:val="12"/>
              <w:lang w:eastAsia="en-AU"/>
            </w:rPr>
            <w:drawing>
              <wp:inline distT="0" distB="0" distL="0" distR="0" wp14:anchorId="3A850744" wp14:editId="1C748DA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4D8A08D" w14:textId="77777777" w:rsidR="006E3072" w:rsidRPr="00CE796A" w:rsidRDefault="006E3072" w:rsidP="006E3072">
          <w:pPr>
            <w:spacing w:before="6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59448C5" w14:textId="77777777" w:rsidR="006E3072" w:rsidRPr="00CE796A" w:rsidRDefault="006E3072" w:rsidP="006E3072">
          <w:pPr>
            <w:spacing w:before="18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6E3072" w:rsidRPr="00CE796A" w14:paraId="2DAF560D" w14:textId="77777777" w:rsidTr="00152AE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3D3CD9E" w14:textId="77777777" w:rsidR="006E3072" w:rsidRPr="00CE796A" w:rsidRDefault="006E3072" w:rsidP="006E3072">
          <w:pPr>
            <w:ind w:left="-51"/>
            <w:rPr>
              <w:sz w:val="14"/>
              <w:szCs w:val="14"/>
            </w:rPr>
          </w:pPr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F83C87D" w14:textId="77777777" w:rsidR="006E3072" w:rsidRPr="00840A06" w:rsidRDefault="006E3072" w:rsidP="006E3072">
          <w:pPr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</w:tbl>
  <w:p w14:paraId="5E7F1F22" w14:textId="77777777" w:rsidR="006E3072" w:rsidRDefault="006E3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1A8"/>
    <w:multiLevelType w:val="hybridMultilevel"/>
    <w:tmpl w:val="679AD586"/>
    <w:lvl w:ilvl="0" w:tplc="FACC0386">
      <w:start w:val="1"/>
      <w:numFmt w:val="decimal"/>
      <w:lvlText w:val="%1."/>
      <w:lvlJc w:val="left"/>
      <w:pPr>
        <w:ind w:left="524" w:hanging="425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93CEE144">
      <w:start w:val="1"/>
      <w:numFmt w:val="lowerLetter"/>
      <w:lvlText w:val="%2)"/>
      <w:lvlJc w:val="left"/>
      <w:pPr>
        <w:ind w:left="1382" w:hanging="358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2" w:tplc="9996A6EE">
      <w:start w:val="1"/>
      <w:numFmt w:val="lowerRoman"/>
      <w:lvlText w:val="%3."/>
      <w:lvlJc w:val="left"/>
      <w:pPr>
        <w:ind w:left="2102" w:hanging="468"/>
        <w:jc w:val="right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3" w:tplc="9D4A9E94">
      <w:start w:val="1"/>
      <w:numFmt w:val="upperLetter"/>
      <w:lvlText w:val="%4."/>
      <w:lvlJc w:val="left"/>
      <w:pPr>
        <w:ind w:left="2726" w:hanging="358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  <w:lang w:val="en-US" w:eastAsia="en-US" w:bidi="en-US"/>
      </w:rPr>
    </w:lvl>
    <w:lvl w:ilvl="4" w:tplc="1C320B68">
      <w:numFmt w:val="bullet"/>
      <w:lvlText w:val="•"/>
      <w:lvlJc w:val="left"/>
      <w:pPr>
        <w:ind w:left="3702" w:hanging="358"/>
      </w:pPr>
      <w:rPr>
        <w:rFonts w:hint="default"/>
        <w:lang w:val="en-US" w:eastAsia="en-US" w:bidi="en-US"/>
      </w:rPr>
    </w:lvl>
    <w:lvl w:ilvl="5" w:tplc="EF9A83E4">
      <w:numFmt w:val="bullet"/>
      <w:lvlText w:val="•"/>
      <w:lvlJc w:val="left"/>
      <w:pPr>
        <w:ind w:left="4685" w:hanging="358"/>
      </w:pPr>
      <w:rPr>
        <w:rFonts w:hint="default"/>
        <w:lang w:val="en-US" w:eastAsia="en-US" w:bidi="en-US"/>
      </w:rPr>
    </w:lvl>
    <w:lvl w:ilvl="6" w:tplc="578AB5B2">
      <w:numFmt w:val="bullet"/>
      <w:lvlText w:val="•"/>
      <w:lvlJc w:val="left"/>
      <w:pPr>
        <w:ind w:left="5668" w:hanging="358"/>
      </w:pPr>
      <w:rPr>
        <w:rFonts w:hint="default"/>
        <w:lang w:val="en-US" w:eastAsia="en-US" w:bidi="en-US"/>
      </w:rPr>
    </w:lvl>
    <w:lvl w:ilvl="7" w:tplc="0FB4D412">
      <w:numFmt w:val="bullet"/>
      <w:lvlText w:val="•"/>
      <w:lvlJc w:val="left"/>
      <w:pPr>
        <w:ind w:left="6651" w:hanging="358"/>
      </w:pPr>
      <w:rPr>
        <w:rFonts w:hint="default"/>
        <w:lang w:val="en-US" w:eastAsia="en-US" w:bidi="en-US"/>
      </w:rPr>
    </w:lvl>
    <w:lvl w:ilvl="8" w:tplc="6AEE9A9C">
      <w:numFmt w:val="bullet"/>
      <w:lvlText w:val="•"/>
      <w:lvlJc w:val="left"/>
      <w:pPr>
        <w:ind w:left="7634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49574D05"/>
    <w:multiLevelType w:val="hybridMultilevel"/>
    <w:tmpl w:val="211A579C"/>
    <w:lvl w:ilvl="0" w:tplc="4D2871BA">
      <w:start w:val="1"/>
      <w:numFmt w:val="lowerLetter"/>
      <w:lvlText w:val="(%1)"/>
      <w:lvlJc w:val="left"/>
      <w:pPr>
        <w:ind w:left="667" w:hanging="568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59B6F59E">
      <w:numFmt w:val="bullet"/>
      <w:lvlText w:val="•"/>
      <w:lvlJc w:val="left"/>
      <w:pPr>
        <w:ind w:left="1554" w:hanging="568"/>
      </w:pPr>
      <w:rPr>
        <w:rFonts w:hint="default"/>
        <w:lang w:val="en-US" w:eastAsia="en-US" w:bidi="en-US"/>
      </w:rPr>
    </w:lvl>
    <w:lvl w:ilvl="2" w:tplc="3D4282AC">
      <w:numFmt w:val="bullet"/>
      <w:lvlText w:val="•"/>
      <w:lvlJc w:val="left"/>
      <w:pPr>
        <w:ind w:left="2448" w:hanging="568"/>
      </w:pPr>
      <w:rPr>
        <w:rFonts w:hint="default"/>
        <w:lang w:val="en-US" w:eastAsia="en-US" w:bidi="en-US"/>
      </w:rPr>
    </w:lvl>
    <w:lvl w:ilvl="3" w:tplc="7B9C7C1A">
      <w:numFmt w:val="bullet"/>
      <w:lvlText w:val="•"/>
      <w:lvlJc w:val="left"/>
      <w:pPr>
        <w:ind w:left="3342" w:hanging="568"/>
      </w:pPr>
      <w:rPr>
        <w:rFonts w:hint="default"/>
        <w:lang w:val="en-US" w:eastAsia="en-US" w:bidi="en-US"/>
      </w:rPr>
    </w:lvl>
    <w:lvl w:ilvl="4" w:tplc="7BB43694">
      <w:numFmt w:val="bullet"/>
      <w:lvlText w:val="•"/>
      <w:lvlJc w:val="left"/>
      <w:pPr>
        <w:ind w:left="4236" w:hanging="568"/>
      </w:pPr>
      <w:rPr>
        <w:rFonts w:hint="default"/>
        <w:lang w:val="en-US" w:eastAsia="en-US" w:bidi="en-US"/>
      </w:rPr>
    </w:lvl>
    <w:lvl w:ilvl="5" w:tplc="41E8B050">
      <w:numFmt w:val="bullet"/>
      <w:lvlText w:val="•"/>
      <w:lvlJc w:val="left"/>
      <w:pPr>
        <w:ind w:left="5130" w:hanging="568"/>
      </w:pPr>
      <w:rPr>
        <w:rFonts w:hint="default"/>
        <w:lang w:val="en-US" w:eastAsia="en-US" w:bidi="en-US"/>
      </w:rPr>
    </w:lvl>
    <w:lvl w:ilvl="6" w:tplc="91E4586A">
      <w:numFmt w:val="bullet"/>
      <w:lvlText w:val="•"/>
      <w:lvlJc w:val="left"/>
      <w:pPr>
        <w:ind w:left="6024" w:hanging="568"/>
      </w:pPr>
      <w:rPr>
        <w:rFonts w:hint="default"/>
        <w:lang w:val="en-US" w:eastAsia="en-US" w:bidi="en-US"/>
      </w:rPr>
    </w:lvl>
    <w:lvl w:ilvl="7" w:tplc="39524C7E">
      <w:numFmt w:val="bullet"/>
      <w:lvlText w:val="•"/>
      <w:lvlJc w:val="left"/>
      <w:pPr>
        <w:ind w:left="6918" w:hanging="568"/>
      </w:pPr>
      <w:rPr>
        <w:rFonts w:hint="default"/>
        <w:lang w:val="en-US" w:eastAsia="en-US" w:bidi="en-US"/>
      </w:rPr>
    </w:lvl>
    <w:lvl w:ilvl="8" w:tplc="F0E29192">
      <w:numFmt w:val="bullet"/>
      <w:lvlText w:val="•"/>
      <w:lvlJc w:val="left"/>
      <w:pPr>
        <w:ind w:left="7812" w:hanging="568"/>
      </w:pPr>
      <w:rPr>
        <w:rFonts w:hint="default"/>
        <w:lang w:val="en-US" w:eastAsia="en-US" w:bidi="en-US"/>
      </w:rPr>
    </w:lvl>
  </w:abstractNum>
  <w:abstractNum w:abstractNumId="2" w15:restartNumberingAfterBreak="0">
    <w:nsid w:val="68C21DC2"/>
    <w:multiLevelType w:val="hybridMultilevel"/>
    <w:tmpl w:val="A5CAB444"/>
    <w:lvl w:ilvl="0" w:tplc="43406448">
      <w:start w:val="1"/>
      <w:numFmt w:val="upperLetter"/>
      <w:lvlText w:val="%1."/>
      <w:lvlJc w:val="left"/>
      <w:pPr>
        <w:ind w:left="526" w:hanging="426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  <w:lang w:val="en-US" w:eastAsia="en-US" w:bidi="en-US"/>
      </w:rPr>
    </w:lvl>
    <w:lvl w:ilvl="1" w:tplc="A1583DE8">
      <w:start w:val="1"/>
      <w:numFmt w:val="lowerRoman"/>
      <w:lvlText w:val="(%2)"/>
      <w:lvlJc w:val="left"/>
      <w:pPr>
        <w:ind w:left="1092" w:hanging="54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2" w:tplc="43E299EE">
      <w:numFmt w:val="bullet"/>
      <w:lvlText w:val="•"/>
      <w:lvlJc w:val="left"/>
      <w:pPr>
        <w:ind w:left="2044" w:hanging="541"/>
      </w:pPr>
      <w:rPr>
        <w:rFonts w:hint="default"/>
        <w:lang w:val="en-US" w:eastAsia="en-US" w:bidi="en-US"/>
      </w:rPr>
    </w:lvl>
    <w:lvl w:ilvl="3" w:tplc="E294F92E">
      <w:numFmt w:val="bullet"/>
      <w:lvlText w:val="•"/>
      <w:lvlJc w:val="left"/>
      <w:pPr>
        <w:ind w:left="2988" w:hanging="541"/>
      </w:pPr>
      <w:rPr>
        <w:rFonts w:hint="default"/>
        <w:lang w:val="en-US" w:eastAsia="en-US" w:bidi="en-US"/>
      </w:rPr>
    </w:lvl>
    <w:lvl w:ilvl="4" w:tplc="E0604AB6">
      <w:numFmt w:val="bullet"/>
      <w:lvlText w:val="•"/>
      <w:lvlJc w:val="left"/>
      <w:pPr>
        <w:ind w:left="3933" w:hanging="541"/>
      </w:pPr>
      <w:rPr>
        <w:rFonts w:hint="default"/>
        <w:lang w:val="en-US" w:eastAsia="en-US" w:bidi="en-US"/>
      </w:rPr>
    </w:lvl>
    <w:lvl w:ilvl="5" w:tplc="9C6A05E4">
      <w:numFmt w:val="bullet"/>
      <w:lvlText w:val="•"/>
      <w:lvlJc w:val="left"/>
      <w:pPr>
        <w:ind w:left="4877" w:hanging="541"/>
      </w:pPr>
      <w:rPr>
        <w:rFonts w:hint="default"/>
        <w:lang w:val="en-US" w:eastAsia="en-US" w:bidi="en-US"/>
      </w:rPr>
    </w:lvl>
    <w:lvl w:ilvl="6" w:tplc="7E4EDAAE">
      <w:numFmt w:val="bullet"/>
      <w:lvlText w:val="•"/>
      <w:lvlJc w:val="left"/>
      <w:pPr>
        <w:ind w:left="5822" w:hanging="541"/>
      </w:pPr>
      <w:rPr>
        <w:rFonts w:hint="default"/>
        <w:lang w:val="en-US" w:eastAsia="en-US" w:bidi="en-US"/>
      </w:rPr>
    </w:lvl>
    <w:lvl w:ilvl="7" w:tplc="EDCA2158">
      <w:numFmt w:val="bullet"/>
      <w:lvlText w:val="•"/>
      <w:lvlJc w:val="left"/>
      <w:pPr>
        <w:ind w:left="6766" w:hanging="541"/>
      </w:pPr>
      <w:rPr>
        <w:rFonts w:hint="default"/>
        <w:lang w:val="en-US" w:eastAsia="en-US" w:bidi="en-US"/>
      </w:rPr>
    </w:lvl>
    <w:lvl w:ilvl="8" w:tplc="B468A9B0">
      <w:numFmt w:val="bullet"/>
      <w:lvlText w:val="•"/>
      <w:lvlJc w:val="left"/>
      <w:pPr>
        <w:ind w:left="7711" w:hanging="541"/>
      </w:pPr>
      <w:rPr>
        <w:rFonts w:hint="default"/>
        <w:lang w:val="en-US" w:eastAsia="en-US" w:bidi="en-US"/>
      </w:rPr>
    </w:lvl>
  </w:abstractNum>
  <w:num w:numId="1" w16cid:durableId="1005673603">
    <w:abstractNumId w:val="0"/>
  </w:num>
  <w:num w:numId="2" w16cid:durableId="968124464">
    <w:abstractNumId w:val="1"/>
  </w:num>
  <w:num w:numId="3" w16cid:durableId="1098524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609"/>
    <w:rsid w:val="00101C01"/>
    <w:rsid w:val="0027145A"/>
    <w:rsid w:val="00351609"/>
    <w:rsid w:val="006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1E435"/>
  <w15:docId w15:val="{336BFE49-5929-46E0-92B8-569053DF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04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67" w:hanging="5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3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07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E3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07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0a455cd4abff4ab3fc4dbda0a9687c91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af50fcd2de5446aacfa0ed2cb009c1dd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1A8ED-AF14-4224-9B61-C2D462A2C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219E7-5F03-4F94-A72E-7B9AE433E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a8a7e8-49a1-4017-acf0-0edc7cce208b"/>
    <ds:schemaRef ds:uri="f4148c6b-f494-43bd-afec-4c4bbfd3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2963</Characters>
  <Application>Microsoft Office Word</Application>
  <DocSecurity>0</DocSecurity>
  <Lines>87</Lines>
  <Paragraphs>38</Paragraphs>
  <ScaleCrop>false</ScaleCrop>
  <Company>APRA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[SEC=OFFICIAL]</cp:keywords>
  <cp:lastModifiedBy>Toni Michalis</cp:lastModifiedBy>
  <cp:revision>4</cp:revision>
  <dcterms:created xsi:type="dcterms:W3CDTF">2024-03-04T06:24:00Z</dcterms:created>
  <dcterms:modified xsi:type="dcterms:W3CDTF">2024-03-04T06:26:00Z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2024-03-04T00:00:00Z</vt:filetime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MSIP_Label_c0129afb-6481-4f92-bc9f-5a4a6346364d_Name">
    <vt:lpwstr>OFFICIAL</vt:lpwstr>
  </property>
  <property fmtid="{D5CDD505-2E9C-101B-9397-08002B2CF9AE}" pid="8" name="PM_Note">
    <vt:lpwstr/>
  </property>
  <property fmtid="{D5CDD505-2E9C-101B-9397-08002B2CF9AE}" pid="9" name="PMHMAC">
    <vt:lpwstr>v=2022.1;a=SHA256;h=67CA37E9CD2F2F5FFE851D057211367BA57348DB20F781ABF5AC26A0B05D82B6</vt:lpwstr>
  </property>
  <property fmtid="{D5CDD505-2E9C-101B-9397-08002B2CF9AE}" pid="10" name="PM_Qualifier">
    <vt:lpwstr/>
  </property>
  <property fmtid="{D5CDD505-2E9C-101B-9397-08002B2CF9AE}" pid="11" name="MSIP_Label_c0129afb-6481-4f92-bc9f-5a4a6346364d_Method">
    <vt:lpwstr>Privileged</vt:lpwstr>
  </property>
  <property fmtid="{D5CDD505-2E9C-101B-9397-08002B2CF9AE}" pid="12" name="PM_SecurityClassification">
    <vt:lpwstr>OFFICIAL</vt:lpwstr>
  </property>
  <property fmtid="{D5CDD505-2E9C-101B-9397-08002B2CF9AE}" pid="13" name="PM_ProtectiveMarkingValue_Header">
    <vt:lpwstr>OFFICIAL</vt:lpwstr>
  </property>
  <property fmtid="{D5CDD505-2E9C-101B-9397-08002B2CF9AE}" pid="14" name="PM_OriginationTimeStamp">
    <vt:lpwstr>2024-03-04T06:26:15Z</vt:lpwstr>
  </property>
  <property fmtid="{D5CDD505-2E9C-101B-9397-08002B2CF9AE}" pid="15" name="PM_Markers">
    <vt:lpwstr/>
  </property>
  <property fmtid="{D5CDD505-2E9C-101B-9397-08002B2CF9AE}" pid="16" name="MSIP_Label_c0129afb-6481-4f92-bc9f-5a4a6346364d_SiteId">
    <vt:lpwstr>c05e3ffd-b491-4431-9809-e61d4dc78816</vt:lpwstr>
  </property>
  <property fmtid="{D5CDD505-2E9C-101B-9397-08002B2CF9AE}" pid="17" name="MSIP_Label_c0129afb-6481-4f92-bc9f-5a4a6346364d_ContentBits">
    <vt:lpwstr>0</vt:lpwstr>
  </property>
  <property fmtid="{D5CDD505-2E9C-101B-9397-08002B2CF9AE}" pid="18" name="MSIP_Label_c0129afb-6481-4f92-bc9f-5a4a6346364d_Enabled">
    <vt:lpwstr>true</vt:lpwstr>
  </property>
  <property fmtid="{D5CDD505-2E9C-101B-9397-08002B2CF9AE}" pid="19" name="PM_Hash_Salt_Prev">
    <vt:lpwstr>90BA214C45F92483436E901068688994</vt:lpwstr>
  </property>
  <property fmtid="{D5CDD505-2E9C-101B-9397-08002B2CF9AE}" pid="20" name="MSIP_Label_c0129afb-6481-4f92-bc9f-5a4a6346364d_SetDate">
    <vt:lpwstr>2024-03-04T06:26:15Z</vt:lpwstr>
  </property>
  <property fmtid="{D5CDD505-2E9C-101B-9397-08002B2CF9AE}" pid="21" name="MSIP_Label_c0129afb-6481-4f92-bc9f-5a4a6346364d_ActionId">
    <vt:lpwstr>2c3dbe7dee984ac2a164e3c694f154b6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AC58EF5A57534EF4B6B0D09C8E6A908C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Files\Common Files\janusNET Shared\janusSEAL\Images\DocumentSlashBlue.png</vt:lpwstr>
  </property>
  <property fmtid="{D5CDD505-2E9C-101B-9397-08002B2CF9AE}" pid="28" name="PM_ProtectiveMarkingImage_Footer">
    <vt:lpwstr>C:\Program Files\Common Files\janusNET Shared\janusSEAL\Images\DocumentSlashBlue.png</vt:lpwstr>
  </property>
  <property fmtid="{D5CDD505-2E9C-101B-9397-08002B2CF9AE}" pid="29" name="PM_Display">
    <vt:lpwstr>OFFICIAL</vt:lpwstr>
  </property>
  <property fmtid="{D5CDD505-2E9C-101B-9397-08002B2CF9AE}" pid="30" name="PM_OriginatorUserAccountName_SHA256">
    <vt:lpwstr>6E3018F28A186D2E5FF5207C041E7A82E907C3008E071057026A53705873B72E</vt:lpwstr>
  </property>
  <property fmtid="{D5CDD505-2E9C-101B-9397-08002B2CF9AE}" pid="31" name="PM_OriginatorDomainName_SHA256">
    <vt:lpwstr>ECBDE2B44A971754412B3FB70606937A119CC0D4B6C1B658A40FBD41C30BE3EC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">
    <vt:lpwstr>C45EDDA92B54117D43F7EF94559F8B26</vt:lpwstr>
  </property>
  <property fmtid="{D5CDD505-2E9C-101B-9397-08002B2CF9AE}" pid="35" name="PM_Hash_SHA1">
    <vt:lpwstr>5FCB2B83DD4FD3DCA22991C666AEB53E65A79042</vt:lpwstr>
  </property>
</Properties>
</file>