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17382" w14:textId="77777777" w:rsidR="005C5E07" w:rsidRDefault="00ED2597" w:rsidP="00ED2597">
      <w:pPr>
        <w:tabs>
          <w:tab w:val="center" w:pos="4513"/>
          <w:tab w:val="left" w:pos="7786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4A64252A" w14:textId="75191086" w:rsidR="00ED2597" w:rsidRDefault="00ED2597" w:rsidP="005C5E07">
      <w:pPr>
        <w:tabs>
          <w:tab w:val="center" w:pos="4513"/>
          <w:tab w:val="left" w:pos="7786"/>
        </w:tabs>
        <w:jc w:val="center"/>
        <w:rPr>
          <w:b/>
          <w:bCs/>
          <w:sz w:val="24"/>
          <w:szCs w:val="24"/>
        </w:rPr>
      </w:pPr>
      <w:r w:rsidRPr="008E4F7C">
        <w:rPr>
          <w:b/>
          <w:bCs/>
          <w:sz w:val="24"/>
          <w:szCs w:val="24"/>
        </w:rPr>
        <w:t>COMPETITION AND CONSUMER ACT 2010</w:t>
      </w:r>
    </w:p>
    <w:p w14:paraId="7EF28B01" w14:textId="77777777" w:rsidR="00ED2597" w:rsidRDefault="00ED2597" w:rsidP="00ED2597">
      <w:pPr>
        <w:tabs>
          <w:tab w:val="center" w:pos="4513"/>
          <w:tab w:val="left" w:pos="7786"/>
        </w:tabs>
        <w:rPr>
          <w:b/>
          <w:bCs/>
          <w:sz w:val="24"/>
          <w:szCs w:val="24"/>
        </w:rPr>
      </w:pPr>
    </w:p>
    <w:p w14:paraId="39CBA1E5" w14:textId="5DE2F431" w:rsidR="00ED2597" w:rsidRDefault="00ED2597" w:rsidP="00ED259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Extension of the declaration expiry date under section s152ALA(4)</w:t>
      </w:r>
      <w:r w:rsidR="005C5E07">
        <w:rPr>
          <w:b/>
          <w:bCs/>
          <w:sz w:val="24"/>
          <w:szCs w:val="24"/>
        </w:rPr>
        <w:t xml:space="preserve"> – Local </w:t>
      </w:r>
      <w:r w:rsidR="00B26528">
        <w:rPr>
          <w:b/>
          <w:bCs/>
          <w:sz w:val="24"/>
          <w:szCs w:val="24"/>
        </w:rPr>
        <w:t>c</w:t>
      </w:r>
      <w:r w:rsidR="005C5E07">
        <w:rPr>
          <w:b/>
          <w:bCs/>
          <w:sz w:val="24"/>
          <w:szCs w:val="24"/>
        </w:rPr>
        <w:t xml:space="preserve">arriage </w:t>
      </w:r>
      <w:r w:rsidR="00B26528">
        <w:rPr>
          <w:b/>
          <w:bCs/>
          <w:sz w:val="24"/>
          <w:szCs w:val="24"/>
        </w:rPr>
        <w:t>s</w:t>
      </w:r>
      <w:r w:rsidR="005C5E07">
        <w:rPr>
          <w:b/>
          <w:bCs/>
          <w:sz w:val="24"/>
          <w:szCs w:val="24"/>
        </w:rPr>
        <w:t>ervice – 2024</w:t>
      </w:r>
    </w:p>
    <w:p w14:paraId="540EA3D5" w14:textId="77777777" w:rsidR="00ED2597" w:rsidRDefault="00ED2597" w:rsidP="00ED2597">
      <w:pPr>
        <w:rPr>
          <w:b/>
          <w:bCs/>
          <w:sz w:val="24"/>
          <w:szCs w:val="24"/>
        </w:rPr>
      </w:pPr>
    </w:p>
    <w:p w14:paraId="50B013D2" w14:textId="77777777" w:rsidR="00ED2597" w:rsidRDefault="00ED2597" w:rsidP="00ED2597">
      <w:pPr>
        <w:pStyle w:val="ListParagraph"/>
        <w:numPr>
          <w:ilvl w:val="0"/>
          <w:numId w:val="2"/>
        </w:numPr>
      </w:pPr>
      <w:r w:rsidRPr="00A30265">
        <w:t xml:space="preserve">Pursuant to section 152ALA(4) of the </w:t>
      </w:r>
      <w:r w:rsidRPr="00A30265">
        <w:rPr>
          <w:i/>
          <w:iCs/>
        </w:rPr>
        <w:t xml:space="preserve">Competition and Consumer Act 2010 </w:t>
      </w:r>
      <w:r w:rsidRPr="00A30265">
        <w:t>(the Act), the Australian Competition and Consumer Commission extends the expiry date for the Local Carriage Service (LCS) declaration to 30 June 2029.</w:t>
      </w:r>
    </w:p>
    <w:p w14:paraId="0DF53948" w14:textId="77777777" w:rsidR="00ED2597" w:rsidRPr="00EA2362" w:rsidRDefault="00ED2597" w:rsidP="00ED2597">
      <w:pPr>
        <w:pStyle w:val="ListParagraph"/>
        <w:numPr>
          <w:ilvl w:val="0"/>
          <w:numId w:val="0"/>
        </w:numPr>
        <w:ind w:left="720"/>
      </w:pPr>
      <w:r w:rsidRPr="00EA2362">
        <w:rPr>
          <w:sz w:val="20"/>
          <w:szCs w:val="20"/>
        </w:rPr>
        <w:t xml:space="preserve">Note: the previous expiry date was 30 June 2024. </w:t>
      </w:r>
    </w:p>
    <w:p w14:paraId="13A33868" w14:textId="77777777" w:rsidR="00ED2597" w:rsidRPr="00A30265" w:rsidRDefault="00ED2597" w:rsidP="00ED2597">
      <w:pPr>
        <w:pStyle w:val="ListParagraph"/>
        <w:numPr>
          <w:ilvl w:val="0"/>
          <w:numId w:val="0"/>
        </w:numPr>
        <w:ind w:left="720"/>
      </w:pPr>
    </w:p>
    <w:p w14:paraId="77B79890" w14:textId="77777777" w:rsidR="00ED2597" w:rsidRPr="00A30265" w:rsidRDefault="00ED2597" w:rsidP="00ED2597">
      <w:pPr>
        <w:pStyle w:val="ListParagraph"/>
        <w:numPr>
          <w:ilvl w:val="0"/>
          <w:numId w:val="2"/>
        </w:numPr>
      </w:pPr>
      <w:r w:rsidRPr="00A30265">
        <w:t>The LCS is described in Annexure 1 to this instrument.</w:t>
      </w:r>
    </w:p>
    <w:p w14:paraId="5964C1A6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0965E888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25965A1D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140BC090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21E7065E" w14:textId="77777777" w:rsidR="00ED2597" w:rsidRPr="00915CDB" w:rsidRDefault="00ED2597" w:rsidP="00ED259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15CDB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 wp14:anchorId="58B1C91A" wp14:editId="2BD0F577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2568317" cy="1606550"/>
            <wp:effectExtent l="0" t="0" r="3810" b="0"/>
            <wp:wrapNone/>
            <wp:docPr id="2" name="Picture 2" descr="Signature of ACCC Commissioner Anna Bra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gnature of ACCC Commissioner Anna Brak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7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0483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1775F08E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229A3EB2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1263F49B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1FAB8BCB" w14:textId="77777777" w:rsidR="00ED2597" w:rsidRPr="00111644" w:rsidRDefault="00ED2597" w:rsidP="00ED2597">
      <w:pPr>
        <w:pStyle w:val="BodyText"/>
        <w:spacing w:before="47"/>
        <w:ind w:firstLine="142"/>
        <w:rPr>
          <w:color w:val="000000" w:themeColor="text1"/>
        </w:rPr>
      </w:pPr>
      <w:r w:rsidRPr="00111644">
        <w:rPr>
          <w:color w:val="000000" w:themeColor="text1"/>
        </w:rPr>
        <w:t>………………………………………….</w:t>
      </w:r>
    </w:p>
    <w:p w14:paraId="131EA80A" w14:textId="77777777" w:rsidR="00ED2597" w:rsidRPr="00111644" w:rsidRDefault="00ED2597" w:rsidP="00ED2597">
      <w:pPr>
        <w:pStyle w:val="BodyText"/>
        <w:spacing w:before="47"/>
        <w:ind w:firstLine="142"/>
        <w:rPr>
          <w:color w:val="000000" w:themeColor="text1"/>
        </w:rPr>
      </w:pPr>
    </w:p>
    <w:p w14:paraId="1A215171" w14:textId="77777777" w:rsidR="00ED2597" w:rsidRPr="00111644" w:rsidRDefault="00ED2597" w:rsidP="00ED2597">
      <w:pPr>
        <w:pStyle w:val="BodyText"/>
        <w:spacing w:line="487" w:lineRule="auto"/>
        <w:ind w:left="560" w:right="5692" w:hanging="3"/>
        <w:rPr>
          <w:rFonts w:asciiTheme="minorHAnsi" w:hAnsiTheme="minorHAnsi"/>
          <w:color w:val="000000" w:themeColor="text1"/>
          <w:w w:val="105"/>
          <w:sz w:val="22"/>
          <w:szCs w:val="22"/>
        </w:rPr>
      </w:pPr>
      <w:r>
        <w:rPr>
          <w:rFonts w:asciiTheme="minorHAnsi" w:hAnsiTheme="minorHAnsi"/>
          <w:color w:val="000000" w:themeColor="text1"/>
          <w:w w:val="105"/>
          <w:sz w:val="22"/>
          <w:szCs w:val="22"/>
        </w:rPr>
        <w:t>Anna Brakey</w:t>
      </w:r>
    </w:p>
    <w:p w14:paraId="0B3E0C4F" w14:textId="77777777" w:rsidR="00ED2597" w:rsidRPr="00111644" w:rsidRDefault="00ED2597" w:rsidP="00ED2597">
      <w:pPr>
        <w:pStyle w:val="BodyText"/>
        <w:spacing w:line="487" w:lineRule="auto"/>
        <w:ind w:left="560" w:right="6636" w:hanging="3"/>
        <w:rPr>
          <w:rFonts w:asciiTheme="minorHAnsi" w:hAnsiTheme="minorHAnsi"/>
          <w:color w:val="000000" w:themeColor="text1"/>
          <w:sz w:val="22"/>
          <w:szCs w:val="22"/>
        </w:rPr>
      </w:pPr>
      <w:r w:rsidRPr="00111644">
        <w:rPr>
          <w:rFonts w:asciiTheme="minorHAnsi" w:hAnsiTheme="minorHAnsi"/>
          <w:color w:val="000000" w:themeColor="text1"/>
          <w:w w:val="105"/>
          <w:sz w:val="22"/>
          <w:szCs w:val="22"/>
        </w:rPr>
        <w:t>C</w:t>
      </w:r>
      <w:r>
        <w:rPr>
          <w:rFonts w:asciiTheme="minorHAnsi" w:hAnsiTheme="minorHAnsi"/>
          <w:color w:val="000000" w:themeColor="text1"/>
          <w:w w:val="105"/>
          <w:sz w:val="22"/>
          <w:szCs w:val="22"/>
        </w:rPr>
        <w:t>ommission</w:t>
      </w:r>
    </w:p>
    <w:p w14:paraId="666AE546" w14:textId="77777777" w:rsidR="00ED2597" w:rsidRPr="00111644" w:rsidRDefault="00ED2597" w:rsidP="00ED2597">
      <w:pPr>
        <w:pStyle w:val="BodyText"/>
        <w:spacing w:before="5" w:line="357" w:lineRule="auto"/>
        <w:ind w:left="557" w:right="3214" w:firstLine="2"/>
        <w:rPr>
          <w:rFonts w:asciiTheme="minorHAnsi" w:hAnsiTheme="minorHAnsi"/>
          <w:color w:val="000000" w:themeColor="text1"/>
          <w:sz w:val="22"/>
          <w:szCs w:val="22"/>
        </w:rPr>
      </w:pPr>
      <w:r w:rsidRPr="00111644">
        <w:rPr>
          <w:rFonts w:asciiTheme="minorHAnsi" w:hAnsiTheme="minorHAnsi"/>
          <w:color w:val="000000" w:themeColor="text1"/>
          <w:sz w:val="22"/>
          <w:szCs w:val="22"/>
        </w:rPr>
        <w:t>Australian Competition and Consumer Commission</w:t>
      </w:r>
    </w:p>
    <w:p w14:paraId="2DEA9F93" w14:textId="77777777" w:rsidR="00ED2597" w:rsidRPr="00111644" w:rsidRDefault="00ED2597" w:rsidP="00ED2597">
      <w:pPr>
        <w:pStyle w:val="BodyText"/>
        <w:spacing w:before="5" w:line="357" w:lineRule="auto"/>
        <w:ind w:left="557" w:right="3600" w:firstLine="2"/>
        <w:rPr>
          <w:rFonts w:asciiTheme="minorHAnsi" w:hAnsiTheme="minorHAnsi"/>
          <w:color w:val="000000" w:themeColor="text1"/>
          <w:sz w:val="22"/>
          <w:szCs w:val="22"/>
        </w:rPr>
      </w:pPr>
      <w:r w:rsidRPr="0011164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1CF88885" w14:textId="5D9BDDC3" w:rsidR="00ED2597" w:rsidRPr="00111644" w:rsidRDefault="00ED2597" w:rsidP="00ED2597">
      <w:pPr>
        <w:pStyle w:val="BodyText"/>
        <w:spacing w:before="5" w:line="357" w:lineRule="auto"/>
        <w:ind w:left="557" w:right="3600" w:firstLine="2"/>
        <w:rPr>
          <w:rFonts w:asciiTheme="minorHAnsi" w:hAnsiTheme="minorHAnsi"/>
          <w:color w:val="000000" w:themeColor="text1"/>
          <w:sz w:val="22"/>
          <w:szCs w:val="22"/>
        </w:rPr>
      </w:pPr>
      <w:r w:rsidRPr="00111644">
        <w:rPr>
          <w:rFonts w:asciiTheme="minorHAnsi" w:hAnsiTheme="minorHAnsi"/>
          <w:color w:val="000000" w:themeColor="text1"/>
          <w:sz w:val="22"/>
          <w:szCs w:val="22"/>
        </w:rPr>
        <w:t>Dated:</w:t>
      </w:r>
      <w:r w:rsidRPr="00111644">
        <w:rPr>
          <w:rFonts w:asciiTheme="minorHAnsi" w:hAnsiTheme="minorHAnsi"/>
          <w:color w:val="000000" w:themeColor="text1"/>
          <w:spacing w:val="-16"/>
          <w:sz w:val="22"/>
          <w:szCs w:val="22"/>
        </w:rPr>
        <w:t xml:space="preserve"> </w:t>
      </w:r>
      <w:r>
        <w:rPr>
          <w:rFonts w:asciiTheme="minorHAnsi" w:hAnsiTheme="minorHAnsi"/>
          <w:color w:val="000000" w:themeColor="text1"/>
          <w:spacing w:val="-16"/>
          <w:sz w:val="22"/>
          <w:szCs w:val="22"/>
        </w:rPr>
        <w:t xml:space="preserve">26 </w:t>
      </w:r>
      <w:r w:rsidR="005C5E07">
        <w:rPr>
          <w:rFonts w:asciiTheme="minorHAnsi" w:hAnsiTheme="minorHAnsi"/>
          <w:color w:val="000000" w:themeColor="text1"/>
          <w:spacing w:val="-16"/>
          <w:sz w:val="22"/>
          <w:szCs w:val="22"/>
        </w:rPr>
        <w:t xml:space="preserve"> </w:t>
      </w:r>
      <w:r w:rsidRPr="00111644">
        <w:rPr>
          <w:rFonts w:asciiTheme="minorHAnsi" w:hAnsiTheme="minorHAnsi"/>
          <w:color w:val="000000" w:themeColor="text1"/>
          <w:sz w:val="22"/>
          <w:szCs w:val="22"/>
        </w:rPr>
        <w:t>March 2024</w:t>
      </w:r>
    </w:p>
    <w:p w14:paraId="059A200D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04CC3C03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2A26F5CA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33B010CA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0480D706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5DC5B926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055CDAF3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56483E38" w14:textId="77777777" w:rsidR="00ED2597" w:rsidRDefault="00ED2597" w:rsidP="00ED2597">
      <w:pPr>
        <w:pStyle w:val="ListParagraph"/>
        <w:numPr>
          <w:ilvl w:val="0"/>
          <w:numId w:val="0"/>
        </w:numPr>
        <w:ind w:left="340"/>
        <w:rPr>
          <w:sz w:val="24"/>
          <w:szCs w:val="24"/>
        </w:rPr>
      </w:pPr>
    </w:p>
    <w:p w14:paraId="2C87CF0D" w14:textId="77777777" w:rsidR="00ED2597" w:rsidRPr="00465831" w:rsidRDefault="00ED2597" w:rsidP="00ED2597">
      <w:pPr>
        <w:rPr>
          <w:b/>
          <w:bCs/>
          <w:sz w:val="24"/>
          <w:szCs w:val="24"/>
        </w:rPr>
      </w:pPr>
      <w:r w:rsidRPr="00465831">
        <w:rPr>
          <w:b/>
          <w:bCs/>
          <w:sz w:val="24"/>
          <w:szCs w:val="24"/>
        </w:rPr>
        <w:t>Annexure 1:</w:t>
      </w:r>
      <w:r>
        <w:rPr>
          <w:b/>
          <w:bCs/>
          <w:sz w:val="24"/>
          <w:szCs w:val="24"/>
        </w:rPr>
        <w:t xml:space="preserve"> Service description for the LCS</w:t>
      </w:r>
    </w:p>
    <w:p w14:paraId="711EDDFE" w14:textId="77777777" w:rsidR="00ED2597" w:rsidRPr="00A30265" w:rsidRDefault="00ED2597" w:rsidP="00ED2597">
      <w:r w:rsidRPr="00A30265">
        <w:t>The Local Carriage Service is a service for the carriage of telephone calls from customer equipment at an end-user’s premises to separately located customer equipment of an end-user in the same standard zone, however, the local carriage service does not include services where the connectivity between the end-user and the carrier or carriage service provider’s network is provided in whole or in part by means of a Layer 2 bitstream service that is supplied by an NBN corporation.</w:t>
      </w:r>
    </w:p>
    <w:p w14:paraId="483742EC" w14:textId="77777777" w:rsidR="00ED2597" w:rsidRPr="00A30265" w:rsidRDefault="00ED2597" w:rsidP="00ED2597">
      <w:pPr>
        <w:rPr>
          <w:b/>
        </w:rPr>
      </w:pPr>
      <w:r w:rsidRPr="00A30265">
        <w:rPr>
          <w:b/>
        </w:rPr>
        <w:t>Definitions</w:t>
      </w:r>
    </w:p>
    <w:p w14:paraId="0B0F3613" w14:textId="77777777" w:rsidR="00ED2597" w:rsidRPr="00A30265" w:rsidRDefault="00ED2597" w:rsidP="00ED2597">
      <w:r w:rsidRPr="00A30265">
        <w:t>Where words or phrases used in this declaration are defined in the Act or the Telecommunications Act 1997, they have the same meaning given in the relevant Act.</w:t>
      </w:r>
    </w:p>
    <w:p w14:paraId="619A1E50" w14:textId="77777777" w:rsidR="00ED2597" w:rsidRPr="00A30265" w:rsidRDefault="00ED2597" w:rsidP="00ED2597">
      <w:r w:rsidRPr="00A30265">
        <w:t>In this Appendix:</w:t>
      </w:r>
    </w:p>
    <w:p w14:paraId="7089D1BB" w14:textId="77777777" w:rsidR="00ED2597" w:rsidRPr="00A30265" w:rsidRDefault="00ED2597" w:rsidP="00ED2597">
      <w:r w:rsidRPr="00A30265">
        <w:rPr>
          <w:b/>
        </w:rPr>
        <w:t>Layer 2 bitstream service</w:t>
      </w:r>
      <w:r w:rsidRPr="00A30265">
        <w:t xml:space="preserve"> has the same meaning as in the Telecommunications Act 1997;</w:t>
      </w:r>
    </w:p>
    <w:p w14:paraId="723FD7A2" w14:textId="77777777" w:rsidR="00ED2597" w:rsidRPr="00A30265" w:rsidRDefault="00ED2597" w:rsidP="00ED2597">
      <w:r w:rsidRPr="00A30265">
        <w:rPr>
          <w:b/>
        </w:rPr>
        <w:t>NBN corporation</w:t>
      </w:r>
      <w:r w:rsidRPr="00A30265">
        <w:t xml:space="preserve"> has the same meaning as in the National Broadband Network Companies Act 2011;</w:t>
      </w:r>
    </w:p>
    <w:p w14:paraId="164066DA" w14:textId="77777777" w:rsidR="00ED2597" w:rsidRPr="00A30265" w:rsidRDefault="00ED2597" w:rsidP="00ED2597">
      <w:r w:rsidRPr="00A30265">
        <w:rPr>
          <w:b/>
        </w:rPr>
        <w:t>public switched telephone network</w:t>
      </w:r>
      <w:r w:rsidRPr="00A30265">
        <w:t xml:space="preserve"> is a telephone network accessible by the public providing switching and transmission facilities utilising analogue and digital technologies;</w:t>
      </w:r>
    </w:p>
    <w:p w14:paraId="3FB67C8E" w14:textId="77777777" w:rsidR="00ED2597" w:rsidRPr="00A30265" w:rsidRDefault="00ED2597" w:rsidP="00ED2597">
      <w:r w:rsidRPr="00A30265">
        <w:rPr>
          <w:b/>
        </w:rPr>
        <w:t>standard zone</w:t>
      </w:r>
      <w:r w:rsidRPr="00A30265">
        <w:t xml:space="preserve"> has the same meaning as in Part 4 of the Telecommunications (Consumer Protection and Service Standards) Act 1999;</w:t>
      </w:r>
    </w:p>
    <w:p w14:paraId="56D538BD" w14:textId="77777777" w:rsidR="00ED2597" w:rsidRPr="00A30265" w:rsidRDefault="00ED2597" w:rsidP="00ED2597">
      <w:r w:rsidRPr="00A30265">
        <w:rPr>
          <w:b/>
        </w:rPr>
        <w:t>telephone calls</w:t>
      </w:r>
      <w:r w:rsidRPr="00A30265">
        <w:t xml:space="preserve"> are calls for the carriage of communications at 3.1kHz bandwidth solely by means of a public switched telephone network.</w:t>
      </w:r>
    </w:p>
    <w:p w14:paraId="4CEE8CBE" w14:textId="77777777" w:rsidR="00ED2597" w:rsidRDefault="00ED2597" w:rsidP="00ED2597"/>
    <w:p w14:paraId="769A25F1" w14:textId="77777777" w:rsidR="00ED2597" w:rsidRDefault="00ED2597" w:rsidP="00ED2597">
      <w:pPr>
        <w:rPr>
          <w:sz w:val="24"/>
          <w:szCs w:val="24"/>
        </w:rPr>
      </w:pPr>
    </w:p>
    <w:p w14:paraId="12AE955A" w14:textId="77777777" w:rsidR="00ED2597" w:rsidRDefault="00ED2597" w:rsidP="00ED2597">
      <w:pPr>
        <w:rPr>
          <w:sz w:val="24"/>
          <w:szCs w:val="24"/>
        </w:rPr>
      </w:pPr>
    </w:p>
    <w:p w14:paraId="4EA4487B" w14:textId="77777777" w:rsidR="00ED2597" w:rsidRPr="00934E9B" w:rsidRDefault="00ED2597" w:rsidP="00ED2597">
      <w:pPr>
        <w:rPr>
          <w:sz w:val="24"/>
          <w:szCs w:val="24"/>
        </w:rPr>
      </w:pPr>
    </w:p>
    <w:p w14:paraId="0F7D65A9" w14:textId="77777777" w:rsidR="00ED2597" w:rsidRPr="00EB3A1C" w:rsidRDefault="00ED2597" w:rsidP="00ED2597"/>
    <w:p w14:paraId="7C6B81AC" w14:textId="77777777" w:rsidR="004B2753" w:rsidRPr="00424B97" w:rsidRDefault="004B2753" w:rsidP="00424B97"/>
    <w:sectPr w:rsidR="004B275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F790A" w14:textId="77777777" w:rsidR="006B1158" w:rsidRDefault="006B1158" w:rsidP="003A707F">
      <w:pPr>
        <w:spacing w:after="0" w:line="240" w:lineRule="auto"/>
      </w:pPr>
      <w:r>
        <w:separator/>
      </w:r>
    </w:p>
  </w:endnote>
  <w:endnote w:type="continuationSeparator" w:id="0">
    <w:p w14:paraId="6E63B660" w14:textId="77777777" w:rsidR="006B1158" w:rsidRDefault="006B1158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35EF50-44CF-4E17-B89D-A5435DCF6CF2}"/>
    <w:embedBold r:id="rId2" w:fontKey="{0BA1F0ED-47EA-400B-B03D-0DA50AB18009}"/>
    <w:embedItalic r:id="rId3" w:fontKey="{5ED8AE9C-68E3-49BB-B48C-67DBFDE9EC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2E0B6139-784C-4129-B8F3-1A9DDF326D8F}"/>
    <w:embedItalic r:id="rId5" w:fontKey="{25F82743-6595-435D-8EA6-FE60648A5D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C169F" w14:textId="77777777" w:rsidR="006B1158" w:rsidRDefault="006B1158" w:rsidP="003A707F">
      <w:pPr>
        <w:spacing w:after="0" w:line="240" w:lineRule="auto"/>
      </w:pPr>
      <w:r>
        <w:separator/>
      </w:r>
    </w:p>
  </w:footnote>
  <w:footnote w:type="continuationSeparator" w:id="0">
    <w:p w14:paraId="05CDCCA4" w14:textId="77777777" w:rsidR="006B1158" w:rsidRDefault="006B1158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D0DCE1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7A89F4D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DCECF18" wp14:editId="71EBA49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AF410F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03A70F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AA052E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5A90274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FD006C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398A59C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2160EAA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2542B"/>
    <w:multiLevelType w:val="hybridMultilevel"/>
    <w:tmpl w:val="7C60E1FC"/>
    <w:lvl w:ilvl="0" w:tplc="021E8868">
      <w:start w:val="1"/>
      <w:numFmt w:val="decimal"/>
      <w:pStyle w:val="ListParagraph"/>
      <w:lvlText w:val="%1."/>
      <w:lvlJc w:val="left"/>
      <w:pPr>
        <w:ind w:left="340" w:hanging="3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306086"/>
    <w:multiLevelType w:val="hybridMultilevel"/>
    <w:tmpl w:val="70BE92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964392">
    <w:abstractNumId w:val="0"/>
  </w:num>
  <w:num w:numId="2" w16cid:durableId="1380327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5512F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5C5E07"/>
    <w:rsid w:val="006B1158"/>
    <w:rsid w:val="00840A06"/>
    <w:rsid w:val="008439B7"/>
    <w:rsid w:val="0087253F"/>
    <w:rsid w:val="008E4F6C"/>
    <w:rsid w:val="009539C7"/>
    <w:rsid w:val="00A00F21"/>
    <w:rsid w:val="00B26528"/>
    <w:rsid w:val="00B84226"/>
    <w:rsid w:val="00BE7780"/>
    <w:rsid w:val="00C63C4E"/>
    <w:rsid w:val="00C72C30"/>
    <w:rsid w:val="00D229E5"/>
    <w:rsid w:val="00D77A88"/>
    <w:rsid w:val="00E8371E"/>
    <w:rsid w:val="00ED259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1BC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link w:val="ListParagraphChar"/>
    <w:uiPriority w:val="34"/>
    <w:qFormat/>
    <w:rsid w:val="00ED2597"/>
    <w:pPr>
      <w:numPr>
        <w:numId w:val="1"/>
      </w:numPr>
      <w:tabs>
        <w:tab w:val="left" w:pos="340"/>
      </w:tabs>
      <w:spacing w:before="120" w:after="0" w:line="240" w:lineRule="auto"/>
    </w:pPr>
    <w:rPr>
      <w:rFonts w:ascii="Roboto" w:hAnsi="Roboto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D2597"/>
    <w:rPr>
      <w:rFonts w:ascii="Roboto" w:hAnsi="Roboto"/>
    </w:rPr>
  </w:style>
  <w:style w:type="paragraph" w:styleId="BodyText">
    <w:name w:val="Body Text"/>
    <w:basedOn w:val="Normal"/>
    <w:link w:val="BodyTextChar"/>
    <w:uiPriority w:val="1"/>
    <w:qFormat/>
    <w:rsid w:val="00ED25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D2597"/>
    <w:rPr>
      <w:rFonts w:ascii="Arial" w:eastAsia="Arial" w:hAnsi="Arial" w:cs="Arial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1639</Characters>
  <Application>Microsoft Office Word</Application>
  <DocSecurity>0</DocSecurity>
  <PresentationFormat/>
  <Lines>58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2024-04-02T05:12:00Z</dcterms:created>
  <dcterms:modified xsi:type="dcterms:W3CDTF">2024-04-02T05:14:00Z</dcterms:modified>
  <cp:category/>
  <cp:contentStatus/>
  <dc:language/>
  <cp:version/>
</cp:coreProperties>
</file>