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3135E" w14:textId="77777777" w:rsidR="006770C5" w:rsidRPr="006428E9" w:rsidRDefault="006770C5" w:rsidP="006770C5">
      <w:pPr>
        <w:jc w:val="both"/>
        <w:rPr>
          <w:b/>
          <w:bCs/>
          <w:sz w:val="28"/>
          <w:szCs w:val="28"/>
        </w:rPr>
      </w:pPr>
      <w:r w:rsidRPr="006428E9">
        <w:rPr>
          <w:b/>
          <w:bCs/>
          <w:sz w:val="28"/>
          <w:szCs w:val="28"/>
        </w:rPr>
        <w:t>HEAVY VEHICLE NATIONAL LAW</w:t>
      </w:r>
    </w:p>
    <w:p w14:paraId="7F3ADB41" w14:textId="77777777" w:rsidR="006770C5" w:rsidRPr="006428E9" w:rsidRDefault="006770C5" w:rsidP="006770C5">
      <w:pPr>
        <w:jc w:val="both"/>
        <w:rPr>
          <w:b/>
          <w:bCs/>
          <w:sz w:val="28"/>
          <w:szCs w:val="28"/>
        </w:rPr>
      </w:pPr>
      <w:r w:rsidRPr="006428E9">
        <w:rPr>
          <w:b/>
          <w:bCs/>
          <w:sz w:val="28"/>
          <w:szCs w:val="28"/>
        </w:rPr>
        <w:t xml:space="preserve">National Heavy Vehicle </w:t>
      </w:r>
      <w:r>
        <w:rPr>
          <w:b/>
          <w:bCs/>
          <w:sz w:val="28"/>
          <w:szCs w:val="28"/>
        </w:rPr>
        <w:t>Queensland</w:t>
      </w:r>
      <w:r w:rsidRPr="006428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Electricity Entity</w:t>
      </w:r>
      <w:r w:rsidRPr="006428E9">
        <w:rPr>
          <w:b/>
          <w:bCs/>
          <w:sz w:val="28"/>
          <w:szCs w:val="28"/>
        </w:rPr>
        <w:t xml:space="preserve"> Work </w:t>
      </w:r>
      <w:r>
        <w:rPr>
          <w:b/>
          <w:bCs/>
          <w:sz w:val="28"/>
          <w:szCs w:val="28"/>
        </w:rPr>
        <w:t>Diary</w:t>
      </w:r>
      <w:r w:rsidRPr="006428E9">
        <w:rPr>
          <w:b/>
          <w:bCs/>
          <w:sz w:val="28"/>
          <w:szCs w:val="28"/>
        </w:rPr>
        <w:t xml:space="preserve"> Exemption </w:t>
      </w:r>
      <w:r>
        <w:rPr>
          <w:b/>
          <w:bCs/>
          <w:sz w:val="28"/>
          <w:szCs w:val="28"/>
        </w:rPr>
        <w:t>Notice</w:t>
      </w:r>
      <w:r w:rsidRPr="006428E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2024 (No.1)</w:t>
      </w:r>
    </w:p>
    <w:p w14:paraId="0FFA5237" w14:textId="77777777" w:rsidR="006770C5" w:rsidRPr="00FD3464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FD3464">
        <w:rPr>
          <w:rFonts w:cs="Arial"/>
          <w:sz w:val="20"/>
          <w:szCs w:val="20"/>
        </w:rPr>
        <w:t>Purpose</w:t>
      </w:r>
    </w:p>
    <w:p w14:paraId="1130B65D" w14:textId="77777777" w:rsidR="006770C5" w:rsidRDefault="006770C5" w:rsidP="006E764A">
      <w:pPr>
        <w:pStyle w:val="OutlineNumberedLevel1"/>
        <w:numPr>
          <w:ilvl w:val="0"/>
          <w:numId w:val="3"/>
        </w:numPr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This</w:t>
      </w:r>
      <w:r w:rsidRPr="004977CE">
        <w:rPr>
          <w:rFonts w:asciiTheme="minorHAnsi" w:hAnsiTheme="minorHAnsi" w:cs="Arial"/>
          <w:b w:val="0"/>
          <w:sz w:val="20"/>
          <w:szCs w:val="20"/>
        </w:rPr>
        <w:t xml:space="preserve"> Notice </w:t>
      </w:r>
      <w:r>
        <w:rPr>
          <w:rFonts w:asciiTheme="minorHAnsi" w:hAnsiTheme="minorHAnsi" w:cs="Arial"/>
          <w:b w:val="0"/>
          <w:sz w:val="20"/>
          <w:szCs w:val="20"/>
        </w:rPr>
        <w:t xml:space="preserve">exempts </w:t>
      </w:r>
      <w:r w:rsidRPr="004977CE">
        <w:rPr>
          <w:rFonts w:asciiTheme="minorHAnsi" w:hAnsiTheme="minorHAnsi" w:cs="Arial"/>
          <w:b w:val="0"/>
          <w:sz w:val="20"/>
          <w:szCs w:val="20"/>
        </w:rPr>
        <w:t xml:space="preserve">drivers of fatigue-regulated heavy vehicles carrying out activities on the works of an Electricity Entity </w:t>
      </w:r>
      <w:r>
        <w:rPr>
          <w:rFonts w:asciiTheme="minorHAnsi" w:hAnsiTheme="minorHAnsi" w:cs="Arial"/>
          <w:b w:val="0"/>
          <w:sz w:val="20"/>
          <w:szCs w:val="20"/>
        </w:rPr>
        <w:t xml:space="preserve">in Queensland </w:t>
      </w:r>
      <w:r w:rsidRPr="004977CE">
        <w:rPr>
          <w:rFonts w:asciiTheme="minorHAnsi" w:hAnsiTheme="minorHAnsi" w:cs="Arial"/>
          <w:b w:val="0"/>
          <w:sz w:val="20"/>
          <w:szCs w:val="20"/>
        </w:rPr>
        <w:t>from the requirement</w:t>
      </w:r>
      <w:r>
        <w:rPr>
          <w:rFonts w:asciiTheme="minorHAnsi" w:hAnsiTheme="minorHAnsi" w:cs="Arial"/>
          <w:b w:val="0"/>
          <w:sz w:val="20"/>
          <w:szCs w:val="20"/>
        </w:rPr>
        <w:t>s of Part 6.4 Division 2 o</w:t>
      </w:r>
      <w:r w:rsidRPr="004977CE">
        <w:rPr>
          <w:rFonts w:asciiTheme="minorHAnsi" w:hAnsiTheme="minorHAnsi" w:cs="Arial"/>
          <w:b w:val="0"/>
          <w:sz w:val="20"/>
          <w:szCs w:val="20"/>
        </w:rPr>
        <w:t xml:space="preserve">f the </w:t>
      </w:r>
      <w:r w:rsidRPr="00BD2899">
        <w:rPr>
          <w:rFonts w:asciiTheme="minorHAnsi" w:hAnsiTheme="minorHAnsi" w:cs="Arial"/>
          <w:b w:val="0"/>
          <w:i/>
          <w:iCs/>
          <w:sz w:val="20"/>
          <w:szCs w:val="20"/>
        </w:rPr>
        <w:t>Heavy Vehicle National Law (</w:t>
      </w:r>
      <w:r w:rsidRPr="007D082A">
        <w:rPr>
          <w:rFonts w:asciiTheme="minorHAnsi" w:hAnsiTheme="minorHAnsi" w:cs="Arial"/>
          <w:b w:val="0"/>
          <w:sz w:val="20"/>
          <w:szCs w:val="20"/>
        </w:rPr>
        <w:t>HVNL</w:t>
      </w:r>
      <w:r w:rsidRPr="00BD2899">
        <w:rPr>
          <w:rFonts w:asciiTheme="minorHAnsi" w:hAnsiTheme="minorHAnsi" w:cs="Arial"/>
          <w:b w:val="0"/>
          <w:i/>
          <w:iCs/>
          <w:sz w:val="20"/>
          <w:szCs w:val="20"/>
        </w:rPr>
        <w:t>)</w:t>
      </w:r>
      <w:r w:rsidRPr="004977CE">
        <w:rPr>
          <w:rFonts w:asciiTheme="minorHAnsi" w:hAnsiTheme="minorHAnsi" w:cs="Arial"/>
          <w:b w:val="0"/>
          <w:sz w:val="20"/>
          <w:szCs w:val="20"/>
        </w:rPr>
        <w:t xml:space="preserve"> to </w:t>
      </w:r>
      <w:r>
        <w:rPr>
          <w:rFonts w:asciiTheme="minorHAnsi" w:hAnsiTheme="minorHAnsi" w:cs="Arial"/>
          <w:b w:val="0"/>
          <w:sz w:val="20"/>
          <w:szCs w:val="20"/>
        </w:rPr>
        <w:t>complete and carry</w:t>
      </w:r>
      <w:r w:rsidRPr="004977CE">
        <w:rPr>
          <w:rFonts w:asciiTheme="minorHAnsi" w:hAnsiTheme="minorHAnsi" w:cs="Arial"/>
          <w:b w:val="0"/>
          <w:sz w:val="20"/>
          <w:szCs w:val="20"/>
        </w:rPr>
        <w:t xml:space="preserve"> a National Driver Work Diary.</w:t>
      </w:r>
    </w:p>
    <w:p w14:paraId="14D0D1F9" w14:textId="77777777" w:rsidR="006770C5" w:rsidRDefault="006770C5" w:rsidP="006770C5">
      <w:pPr>
        <w:pStyle w:val="OutlineNumberedLevel1"/>
        <w:ind w:left="360"/>
        <w:contextualSpacing/>
        <w:rPr>
          <w:rFonts w:asciiTheme="minorHAnsi" w:hAnsiTheme="minorHAnsi" w:cs="Arial"/>
          <w:b w:val="0"/>
          <w:sz w:val="20"/>
          <w:szCs w:val="20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7173"/>
      </w:tblGrid>
      <w:tr w:rsidR="006770C5" w14:paraId="747FA6AE" w14:textId="77777777" w:rsidTr="000E7DEA">
        <w:tc>
          <w:tcPr>
            <w:tcW w:w="1123" w:type="dxa"/>
            <w:vMerge w:val="restart"/>
          </w:tcPr>
          <w:p w14:paraId="2A13FC2C" w14:textId="77777777" w:rsidR="006770C5" w:rsidRPr="0071049C" w:rsidRDefault="006770C5" w:rsidP="000E7DEA">
            <w:pPr>
              <w:pStyle w:val="OutlineNumberedLevel1"/>
              <w:contextualSpacing/>
              <w:rPr>
                <w:rFonts w:asciiTheme="minorHAnsi" w:hAnsiTheme="minorHAnsi" w:cs="Arial"/>
                <w:b w:val="0"/>
                <w:i/>
                <w:iCs/>
                <w:sz w:val="20"/>
                <w:szCs w:val="20"/>
              </w:rPr>
            </w:pPr>
            <w:r w:rsidRPr="0071049C">
              <w:rPr>
                <w:rFonts w:asciiTheme="minorHAnsi" w:hAnsiTheme="minorHAnsi" w:cs="Arial"/>
                <w:b w:val="0"/>
                <w:i/>
                <w:iCs/>
                <w:sz w:val="20"/>
                <w:szCs w:val="20"/>
              </w:rPr>
              <w:t xml:space="preserve">Note: </w:t>
            </w:r>
          </w:p>
        </w:tc>
        <w:tc>
          <w:tcPr>
            <w:tcW w:w="7173" w:type="dxa"/>
          </w:tcPr>
          <w:p w14:paraId="5BBDFF19" w14:textId="77777777" w:rsidR="006770C5" w:rsidRDefault="006770C5" w:rsidP="000E7DEA">
            <w:pPr>
              <w:contextualSpacing/>
              <w:rPr>
                <w:rFonts w:eastAsiaTheme="minorEastAsia" w:cs="Arial"/>
                <w:i/>
                <w:iCs/>
                <w:sz w:val="20"/>
                <w:szCs w:val="20"/>
              </w:rPr>
            </w:pPr>
            <w:r w:rsidRPr="0071049C">
              <w:rPr>
                <w:rFonts w:eastAsiaTheme="minorEastAsia" w:cs="Arial"/>
                <w:i/>
                <w:iCs/>
                <w:sz w:val="20"/>
                <w:szCs w:val="20"/>
              </w:rPr>
              <w:t xml:space="preserve">Nothing in this exemption relieves the driver of a fatigue regulated heavy vehicle from the duty to avoid driving while fatigued, pursuant to section 228 of the </w:t>
            </w:r>
            <w:r>
              <w:rPr>
                <w:rFonts w:eastAsiaTheme="minorEastAsia" w:cs="Arial"/>
                <w:i/>
                <w:iCs/>
                <w:sz w:val="20"/>
                <w:szCs w:val="20"/>
              </w:rPr>
              <w:t>HVNL.</w:t>
            </w:r>
          </w:p>
          <w:p w14:paraId="22F03721" w14:textId="77777777" w:rsidR="006770C5" w:rsidRDefault="006770C5" w:rsidP="000E7DEA">
            <w:pPr>
              <w:contextualSpacing/>
              <w:rPr>
                <w:rFonts w:cs="Arial"/>
                <w:b/>
                <w:sz w:val="20"/>
                <w:szCs w:val="20"/>
              </w:rPr>
            </w:pPr>
          </w:p>
        </w:tc>
      </w:tr>
      <w:tr w:rsidR="006770C5" w14:paraId="39DE36A0" w14:textId="77777777" w:rsidTr="000E7DEA">
        <w:tc>
          <w:tcPr>
            <w:tcW w:w="1123" w:type="dxa"/>
            <w:vMerge/>
          </w:tcPr>
          <w:p w14:paraId="602A5C2B" w14:textId="77777777" w:rsidR="006770C5" w:rsidRDefault="006770C5" w:rsidP="000E7DEA">
            <w:pPr>
              <w:pStyle w:val="OutlineNumberedLevel1"/>
              <w:contextualSpacing/>
              <w:rPr>
                <w:rFonts w:asciiTheme="minorHAnsi" w:hAnsiTheme="minorHAnsi" w:cs="Arial"/>
                <w:b w:val="0"/>
                <w:sz w:val="20"/>
                <w:szCs w:val="20"/>
              </w:rPr>
            </w:pPr>
          </w:p>
        </w:tc>
        <w:tc>
          <w:tcPr>
            <w:tcW w:w="7173" w:type="dxa"/>
          </w:tcPr>
          <w:p w14:paraId="541EBA4E" w14:textId="77777777" w:rsidR="006770C5" w:rsidRPr="0071049C" w:rsidRDefault="006770C5" w:rsidP="000E7DEA">
            <w:pPr>
              <w:contextualSpacing/>
              <w:rPr>
                <w:rFonts w:eastAsiaTheme="minorEastAsia" w:cs="Arial"/>
                <w:i/>
                <w:iCs/>
                <w:sz w:val="20"/>
                <w:szCs w:val="20"/>
              </w:rPr>
            </w:pPr>
            <w:r w:rsidRPr="0071049C">
              <w:rPr>
                <w:rFonts w:eastAsiaTheme="minorEastAsia" w:cs="Arial"/>
                <w:i/>
                <w:iCs/>
                <w:sz w:val="20"/>
                <w:szCs w:val="20"/>
              </w:rPr>
              <w:t>This Notice does not provide an exemption from any safety duty that may apply under Chapter 1A of the HVNL.</w:t>
            </w:r>
          </w:p>
        </w:tc>
      </w:tr>
    </w:tbl>
    <w:p w14:paraId="1CE26E5F" w14:textId="77777777" w:rsidR="006770C5" w:rsidRPr="00066758" w:rsidRDefault="006770C5" w:rsidP="006770C5">
      <w:pPr>
        <w:pStyle w:val="Sectionheading"/>
        <w:jc w:val="both"/>
        <w:rPr>
          <w:rFonts w:cs="Arial"/>
          <w:b w:val="0"/>
          <w:bCs/>
          <w:sz w:val="20"/>
          <w:szCs w:val="20"/>
        </w:rPr>
      </w:pPr>
    </w:p>
    <w:p w14:paraId="35B0E89C" w14:textId="77777777" w:rsidR="006770C5" w:rsidRPr="000059B7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0059B7">
        <w:rPr>
          <w:rFonts w:cs="Arial"/>
          <w:sz w:val="20"/>
          <w:szCs w:val="20"/>
        </w:rPr>
        <w:t>Authorising Provision(s)</w:t>
      </w:r>
    </w:p>
    <w:p w14:paraId="5ED8880E" w14:textId="77777777" w:rsidR="006770C5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2A0832">
        <w:rPr>
          <w:rFonts w:asciiTheme="minorHAnsi" w:hAnsiTheme="minorHAnsi" w:cs="Arial"/>
          <w:b w:val="0"/>
          <w:sz w:val="20"/>
          <w:szCs w:val="20"/>
        </w:rPr>
        <w:t>This Notice is made under</w:t>
      </w:r>
      <w:r>
        <w:rPr>
          <w:rFonts w:asciiTheme="minorHAnsi" w:hAnsiTheme="minorHAnsi" w:cs="Arial"/>
          <w:b w:val="0"/>
          <w:sz w:val="20"/>
          <w:szCs w:val="20"/>
        </w:rPr>
        <w:t xml:space="preserve"> S</w:t>
      </w:r>
      <w:r w:rsidRPr="002A0832">
        <w:rPr>
          <w:rFonts w:asciiTheme="minorHAnsi" w:hAnsiTheme="minorHAnsi" w:cs="Arial"/>
          <w:b w:val="0"/>
          <w:sz w:val="20"/>
          <w:szCs w:val="20"/>
        </w:rPr>
        <w:t>ection 357</w:t>
      </w:r>
      <w:r>
        <w:rPr>
          <w:rFonts w:asciiTheme="minorHAnsi" w:hAnsiTheme="minorHAnsi" w:cs="Arial"/>
          <w:b w:val="0"/>
          <w:sz w:val="20"/>
          <w:szCs w:val="20"/>
        </w:rPr>
        <w:t xml:space="preserve"> of the </w:t>
      </w:r>
      <w:r w:rsidRPr="00650A5E">
        <w:rPr>
          <w:rFonts w:asciiTheme="minorHAnsi" w:hAnsiTheme="minorHAnsi" w:cs="Arial"/>
          <w:b w:val="0"/>
          <w:i/>
          <w:iCs/>
          <w:sz w:val="20"/>
          <w:szCs w:val="20"/>
        </w:rPr>
        <w:t>Heavy Vehicle National Law</w:t>
      </w:r>
      <w:r>
        <w:rPr>
          <w:rFonts w:asciiTheme="minorHAnsi" w:hAnsiTheme="minorHAnsi" w:cs="Arial"/>
          <w:b w:val="0"/>
          <w:sz w:val="20"/>
          <w:szCs w:val="20"/>
        </w:rPr>
        <w:t xml:space="preserve"> as in force in Queensland.</w:t>
      </w:r>
    </w:p>
    <w:p w14:paraId="33E863B1" w14:textId="77777777" w:rsidR="006770C5" w:rsidRPr="002A0832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754558A3" w14:textId="77777777" w:rsidR="006770C5" w:rsidRPr="007D7B38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7D7B38">
        <w:rPr>
          <w:rFonts w:cs="Arial"/>
          <w:sz w:val="20"/>
          <w:szCs w:val="20"/>
        </w:rPr>
        <w:t>Title</w:t>
      </w:r>
    </w:p>
    <w:p w14:paraId="00664F2B" w14:textId="77777777" w:rsidR="006770C5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7D7B38">
        <w:rPr>
          <w:rFonts w:asciiTheme="minorHAnsi" w:hAnsiTheme="minorHAnsi" w:cs="Arial"/>
          <w:b w:val="0"/>
          <w:sz w:val="20"/>
          <w:szCs w:val="20"/>
        </w:rPr>
        <w:t xml:space="preserve">This Notice may be cited as the </w:t>
      </w:r>
      <w:r w:rsidRPr="008412A5">
        <w:rPr>
          <w:rFonts w:asciiTheme="minorHAnsi" w:hAnsiTheme="minorHAnsi" w:cs="Arial"/>
          <w:b w:val="0"/>
          <w:i/>
          <w:iCs/>
          <w:sz w:val="20"/>
          <w:szCs w:val="20"/>
        </w:rPr>
        <w:t>National Heavy Vehicle Queensland Electricity Entity Work Diary Exemption Notice 2024 (No.1)</w:t>
      </w:r>
      <w:r w:rsidRPr="007D7B38">
        <w:rPr>
          <w:rFonts w:asciiTheme="minorHAnsi" w:hAnsiTheme="minorHAnsi" w:cs="Arial"/>
          <w:b w:val="0"/>
          <w:sz w:val="20"/>
          <w:szCs w:val="20"/>
        </w:rPr>
        <w:t>.</w:t>
      </w:r>
    </w:p>
    <w:p w14:paraId="6FF7D21A" w14:textId="77777777" w:rsidR="006770C5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1144131B" w14:textId="77777777" w:rsidR="006770C5" w:rsidRPr="00CA71F7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7D7B38">
        <w:rPr>
          <w:rFonts w:cs="Arial"/>
          <w:sz w:val="20"/>
          <w:szCs w:val="20"/>
        </w:rPr>
        <w:t>Commencement</w:t>
      </w:r>
    </w:p>
    <w:p w14:paraId="7B9DA4A2" w14:textId="77777777" w:rsidR="006770C5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CA71F7">
        <w:rPr>
          <w:rFonts w:asciiTheme="minorHAnsi" w:hAnsiTheme="minorHAnsi" w:cs="Arial"/>
          <w:b w:val="0"/>
          <w:sz w:val="20"/>
          <w:szCs w:val="20"/>
        </w:rPr>
        <w:t xml:space="preserve">This Notice commences on </w:t>
      </w:r>
      <w:r>
        <w:rPr>
          <w:rFonts w:asciiTheme="minorHAnsi" w:hAnsiTheme="minorHAnsi" w:cs="Arial"/>
          <w:b w:val="0"/>
          <w:sz w:val="20"/>
          <w:szCs w:val="20"/>
        </w:rPr>
        <w:t>16</w:t>
      </w:r>
      <w:r w:rsidRPr="00CA71F7">
        <w:rPr>
          <w:rFonts w:asciiTheme="minorHAnsi" w:hAnsiTheme="minorHAnsi" w:cs="Arial"/>
          <w:b w:val="0"/>
          <w:sz w:val="20"/>
          <w:szCs w:val="20"/>
        </w:rPr>
        <w:t xml:space="preserve"> July 2024.</w:t>
      </w:r>
    </w:p>
    <w:p w14:paraId="69C1D309" w14:textId="77777777" w:rsidR="006770C5" w:rsidRPr="00CA71F7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4BC9E798" w14:textId="77777777" w:rsidR="006770C5" w:rsidRPr="00CA71F7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CA71F7">
        <w:rPr>
          <w:rFonts w:cs="Arial"/>
          <w:sz w:val="20"/>
          <w:szCs w:val="20"/>
        </w:rPr>
        <w:t>Expiry</w:t>
      </w:r>
    </w:p>
    <w:p w14:paraId="1BC69E91" w14:textId="77777777" w:rsidR="006770C5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CA71F7">
        <w:rPr>
          <w:rFonts w:asciiTheme="minorHAnsi" w:hAnsiTheme="minorHAnsi" w:cs="Arial"/>
          <w:b w:val="0"/>
          <w:sz w:val="20"/>
          <w:szCs w:val="20"/>
        </w:rPr>
        <w:t xml:space="preserve">This Notice expires on </w:t>
      </w:r>
      <w:r>
        <w:rPr>
          <w:rFonts w:asciiTheme="minorHAnsi" w:hAnsiTheme="minorHAnsi" w:cs="Arial"/>
          <w:b w:val="0"/>
          <w:sz w:val="20"/>
          <w:szCs w:val="20"/>
        </w:rPr>
        <w:t>15</w:t>
      </w:r>
      <w:r w:rsidRPr="00CA71F7">
        <w:rPr>
          <w:rFonts w:asciiTheme="minorHAnsi" w:hAnsiTheme="minorHAnsi" w:cs="Arial"/>
          <w:b w:val="0"/>
          <w:sz w:val="20"/>
          <w:szCs w:val="20"/>
        </w:rPr>
        <w:t xml:space="preserve"> July 2027.</w:t>
      </w:r>
    </w:p>
    <w:p w14:paraId="2DBDED2E" w14:textId="77777777" w:rsidR="006770C5" w:rsidRPr="00CA71F7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6A40C2A5" w14:textId="77777777" w:rsidR="006770C5" w:rsidRPr="00B61DDE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A71A24">
        <w:rPr>
          <w:rFonts w:cs="Arial"/>
          <w:sz w:val="20"/>
          <w:szCs w:val="20"/>
        </w:rPr>
        <w:t>Definitions</w:t>
      </w:r>
    </w:p>
    <w:p w14:paraId="517811FA" w14:textId="77777777" w:rsidR="006770C5" w:rsidRPr="00B61DDE" w:rsidRDefault="006770C5" w:rsidP="006E764A">
      <w:pPr>
        <w:pStyle w:val="OutlineNumberedLevel1"/>
        <w:numPr>
          <w:ilvl w:val="0"/>
          <w:numId w:val="7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856813">
        <w:rPr>
          <w:rFonts w:asciiTheme="minorHAnsi" w:hAnsiTheme="minorHAnsi" w:cs="Arial"/>
          <w:b w:val="0"/>
          <w:sz w:val="20"/>
          <w:szCs w:val="20"/>
        </w:rPr>
        <w:t xml:space="preserve">Unless otherwise stated, words and expressions used in this Notice have the same meaning as those defined in the </w:t>
      </w:r>
      <w:r w:rsidRPr="00753E4C">
        <w:rPr>
          <w:rFonts w:asciiTheme="minorHAnsi" w:hAnsiTheme="minorHAnsi" w:cs="Arial"/>
          <w:b w:val="0"/>
          <w:sz w:val="20"/>
          <w:szCs w:val="20"/>
        </w:rPr>
        <w:t>HVNL</w:t>
      </w:r>
      <w:r w:rsidRPr="001466BD">
        <w:rPr>
          <w:rFonts w:asciiTheme="minorHAnsi" w:hAnsiTheme="minorHAnsi" w:cs="Arial"/>
          <w:b w:val="0"/>
          <w:i/>
          <w:iCs/>
          <w:sz w:val="20"/>
          <w:szCs w:val="20"/>
        </w:rPr>
        <w:t>.</w:t>
      </w:r>
    </w:p>
    <w:p w14:paraId="06567C17" w14:textId="77777777" w:rsidR="006770C5" w:rsidRPr="00856813" w:rsidRDefault="006770C5" w:rsidP="006E764A">
      <w:pPr>
        <w:pStyle w:val="OutlineNumberedLevel1"/>
        <w:numPr>
          <w:ilvl w:val="0"/>
          <w:numId w:val="7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856813">
        <w:rPr>
          <w:rFonts w:asciiTheme="minorHAnsi" w:hAnsiTheme="minorHAnsi" w:cs="Arial"/>
          <w:b w:val="0"/>
          <w:sz w:val="20"/>
          <w:szCs w:val="20"/>
        </w:rPr>
        <w:t>In this Notice:</w:t>
      </w:r>
    </w:p>
    <w:p w14:paraId="3EE330C8" w14:textId="77777777" w:rsidR="006770C5" w:rsidRPr="005D006B" w:rsidRDefault="006770C5" w:rsidP="006770C5">
      <w:pPr>
        <w:pStyle w:val="OutlineNumberedLevel1"/>
        <w:ind w:left="108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5D006B">
        <w:rPr>
          <w:rFonts w:asciiTheme="minorHAnsi" w:hAnsiTheme="minorHAnsi" w:cs="Arial"/>
          <w:bCs/>
          <w:i/>
          <w:iCs/>
          <w:sz w:val="20"/>
          <w:szCs w:val="20"/>
        </w:rPr>
        <w:t>Distribution Authority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 means a current distribution authority that is issued to Electricity </w:t>
      </w:r>
      <w:r>
        <w:rPr>
          <w:rFonts w:asciiTheme="minorHAnsi" w:hAnsiTheme="minorHAnsi" w:cs="Arial"/>
          <w:b w:val="0"/>
          <w:sz w:val="20"/>
          <w:szCs w:val="20"/>
        </w:rPr>
        <w:t>E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ntities, pursuant to </w:t>
      </w:r>
      <w:r>
        <w:rPr>
          <w:rFonts w:asciiTheme="minorHAnsi" w:hAnsiTheme="minorHAnsi" w:cs="Arial"/>
          <w:b w:val="0"/>
          <w:sz w:val="20"/>
          <w:szCs w:val="20"/>
        </w:rPr>
        <w:t xml:space="preserve">Chapter 2, </w:t>
      </w:r>
      <w:r w:rsidRPr="005D006B">
        <w:rPr>
          <w:rFonts w:asciiTheme="minorHAnsi" w:hAnsiTheme="minorHAnsi" w:cs="Arial"/>
          <w:b w:val="0"/>
          <w:sz w:val="20"/>
          <w:szCs w:val="20"/>
        </w:rPr>
        <w:t>Part 5 of the Electricity Act 1994 (Qld).</w:t>
      </w:r>
    </w:p>
    <w:p w14:paraId="2CD34BDD" w14:textId="77777777" w:rsidR="006770C5" w:rsidRPr="005D006B" w:rsidRDefault="006770C5" w:rsidP="006770C5">
      <w:pPr>
        <w:pStyle w:val="OutlineNumberedLevel1"/>
        <w:ind w:left="108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5D006B">
        <w:rPr>
          <w:rFonts w:asciiTheme="minorHAnsi" w:hAnsiTheme="minorHAnsi" w:cs="Arial"/>
          <w:bCs/>
          <w:i/>
          <w:iCs/>
          <w:sz w:val="20"/>
          <w:szCs w:val="20"/>
        </w:rPr>
        <w:t>Electricity Entity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 as defined in the Electrical Safety Act 2002 (Qld).</w:t>
      </w:r>
    </w:p>
    <w:p w14:paraId="411223A5" w14:textId="77777777" w:rsidR="006770C5" w:rsidRPr="005D006B" w:rsidRDefault="006770C5" w:rsidP="006770C5">
      <w:pPr>
        <w:pStyle w:val="OutlineNumberedLevel1"/>
        <w:ind w:left="108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5D006B">
        <w:rPr>
          <w:rFonts w:asciiTheme="minorHAnsi" w:hAnsiTheme="minorHAnsi" w:cs="Arial"/>
          <w:bCs/>
          <w:i/>
          <w:iCs/>
          <w:sz w:val="20"/>
          <w:szCs w:val="20"/>
        </w:rPr>
        <w:t>Fatigue Management System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 means the auditable system of records, policies, standards and procedures maintained by an Electricity Entity for the purpose of fatigue management </w:t>
      </w:r>
      <w:proofErr w:type="gramStart"/>
      <w:r w:rsidRPr="005D006B">
        <w:rPr>
          <w:rFonts w:asciiTheme="minorHAnsi" w:hAnsiTheme="minorHAnsi" w:cs="Arial"/>
          <w:b w:val="0"/>
          <w:sz w:val="20"/>
          <w:szCs w:val="20"/>
        </w:rPr>
        <w:t>in the course of</w:t>
      </w:r>
      <w:proofErr w:type="gramEnd"/>
      <w:r w:rsidRPr="005D006B">
        <w:rPr>
          <w:rFonts w:asciiTheme="minorHAnsi" w:hAnsiTheme="minorHAnsi" w:cs="Arial"/>
          <w:b w:val="0"/>
          <w:sz w:val="20"/>
          <w:szCs w:val="20"/>
        </w:rPr>
        <w:t xml:space="preserve"> their operations.</w:t>
      </w:r>
    </w:p>
    <w:p w14:paraId="6FEE39EB" w14:textId="77777777" w:rsidR="006770C5" w:rsidRDefault="006770C5" w:rsidP="006770C5">
      <w:pPr>
        <w:pStyle w:val="OutlineNumberedLevel1"/>
        <w:ind w:left="1080"/>
        <w:contextualSpacing/>
        <w:jc w:val="left"/>
        <w:rPr>
          <w:rFonts w:asciiTheme="minorHAnsi" w:hAnsiTheme="minorHAnsi" w:cs="Arial"/>
          <w:b w:val="0"/>
          <w:sz w:val="20"/>
          <w:szCs w:val="20"/>
        </w:rPr>
      </w:pPr>
      <w:r w:rsidRPr="005D006B">
        <w:rPr>
          <w:rFonts w:asciiTheme="minorHAnsi" w:hAnsiTheme="minorHAnsi" w:cs="Arial"/>
          <w:bCs/>
          <w:i/>
          <w:iCs/>
          <w:sz w:val="20"/>
          <w:szCs w:val="20"/>
        </w:rPr>
        <w:lastRenderedPageBreak/>
        <w:t>Works of an Electricity Entity</w:t>
      </w:r>
      <w:r w:rsidRPr="005D006B">
        <w:rPr>
          <w:rFonts w:asciiTheme="minorHAnsi" w:hAnsiTheme="minorHAnsi" w:cs="Arial"/>
          <w:b w:val="0"/>
          <w:sz w:val="20"/>
          <w:szCs w:val="20"/>
        </w:rPr>
        <w:t xml:space="preserve"> as defined in the Electrical Safety Act 2002 (Qld).</w:t>
      </w:r>
    </w:p>
    <w:p w14:paraId="2130E96E" w14:textId="77777777" w:rsidR="006770C5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6C77DA94" w14:textId="77777777" w:rsidR="006770C5" w:rsidRPr="006216FE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6216FE">
        <w:rPr>
          <w:rFonts w:cs="Arial"/>
          <w:sz w:val="20"/>
          <w:szCs w:val="20"/>
        </w:rPr>
        <w:t>Application</w:t>
      </w:r>
    </w:p>
    <w:p w14:paraId="4D0953C1" w14:textId="77777777" w:rsidR="006770C5" w:rsidRDefault="006770C5" w:rsidP="006E764A">
      <w:pPr>
        <w:pStyle w:val="OutlineNumberedLevel1"/>
        <w:numPr>
          <w:ilvl w:val="0"/>
          <w:numId w:val="6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6216FE">
        <w:rPr>
          <w:rFonts w:asciiTheme="minorHAnsi" w:hAnsiTheme="minorHAnsi" w:cs="Arial"/>
          <w:b w:val="0"/>
          <w:sz w:val="20"/>
          <w:szCs w:val="20"/>
        </w:rPr>
        <w:t>This Notice applies to</w:t>
      </w:r>
      <w:r>
        <w:rPr>
          <w:rFonts w:asciiTheme="minorHAnsi" w:hAnsiTheme="minorHAnsi" w:cs="Arial"/>
          <w:b w:val="0"/>
          <w:sz w:val="20"/>
          <w:szCs w:val="20"/>
        </w:rPr>
        <w:t>:</w:t>
      </w:r>
    </w:p>
    <w:p w14:paraId="79DEF3D8" w14:textId="77777777" w:rsidR="006770C5" w:rsidRDefault="006770C5" w:rsidP="006E764A">
      <w:pPr>
        <w:pStyle w:val="OutlineNumberedLevel1"/>
        <w:numPr>
          <w:ilvl w:val="0"/>
          <w:numId w:val="4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Drivers of fatigue-regulated heavy vehicles employed by an Electricity Entity listed in Schedule 1.</w:t>
      </w:r>
    </w:p>
    <w:p w14:paraId="793D9269" w14:textId="77777777" w:rsidR="006770C5" w:rsidRDefault="006770C5" w:rsidP="006E764A">
      <w:pPr>
        <w:pStyle w:val="OutlineNumberedLevel1"/>
        <w:numPr>
          <w:ilvl w:val="0"/>
          <w:numId w:val="4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Carrying out activities on the works of the Electricity Entity.</w:t>
      </w:r>
    </w:p>
    <w:p w14:paraId="4A26CA8B" w14:textId="77777777" w:rsidR="006770C5" w:rsidRDefault="006770C5" w:rsidP="006E764A">
      <w:pPr>
        <w:pStyle w:val="OutlineNumberedLevel1"/>
        <w:numPr>
          <w:ilvl w:val="0"/>
          <w:numId w:val="6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A driver to whom this section applies and who complies with all the conditions of this notice is an eligible driver.</w:t>
      </w:r>
    </w:p>
    <w:p w14:paraId="4D350ED6" w14:textId="77777777" w:rsidR="006770C5" w:rsidRPr="00FF0369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6216FE">
        <w:rPr>
          <w:rFonts w:cs="Arial"/>
          <w:sz w:val="20"/>
          <w:szCs w:val="20"/>
        </w:rPr>
        <w:t>Exemption</w:t>
      </w:r>
    </w:p>
    <w:p w14:paraId="07870781" w14:textId="77777777" w:rsidR="006770C5" w:rsidRPr="00FF0369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 w:rsidRPr="00FF0369">
        <w:rPr>
          <w:rFonts w:asciiTheme="minorHAnsi" w:hAnsiTheme="minorHAnsi" w:cs="Arial"/>
          <w:b w:val="0"/>
          <w:sz w:val="20"/>
          <w:szCs w:val="20"/>
        </w:rPr>
        <w:t>This Notice provides an exemption from the requirement</w:t>
      </w:r>
      <w:r>
        <w:rPr>
          <w:rFonts w:asciiTheme="minorHAnsi" w:hAnsiTheme="minorHAnsi" w:cs="Arial"/>
          <w:b w:val="0"/>
          <w:sz w:val="20"/>
          <w:szCs w:val="20"/>
        </w:rPr>
        <w:t>s</w:t>
      </w:r>
      <w:r w:rsidRPr="00FF0369">
        <w:rPr>
          <w:rFonts w:asciiTheme="minorHAnsi" w:hAnsiTheme="minorHAnsi" w:cs="Arial"/>
          <w:b w:val="0"/>
          <w:sz w:val="20"/>
          <w:szCs w:val="20"/>
        </w:rPr>
        <w:t xml:space="preserve"> under </w:t>
      </w:r>
      <w:r>
        <w:rPr>
          <w:rFonts w:asciiTheme="minorHAnsi" w:hAnsiTheme="minorHAnsi" w:cs="Arial"/>
          <w:b w:val="0"/>
          <w:sz w:val="20"/>
          <w:szCs w:val="20"/>
        </w:rPr>
        <w:t xml:space="preserve">Part 6.4 </w:t>
      </w:r>
      <w:r w:rsidRPr="00FF0369">
        <w:rPr>
          <w:rFonts w:asciiTheme="minorHAnsi" w:hAnsiTheme="minorHAnsi" w:cs="Arial"/>
          <w:b w:val="0"/>
          <w:sz w:val="20"/>
          <w:szCs w:val="20"/>
        </w:rPr>
        <w:t xml:space="preserve">Division 2 </w:t>
      </w:r>
      <w:r>
        <w:rPr>
          <w:rFonts w:asciiTheme="minorHAnsi" w:hAnsiTheme="minorHAnsi" w:cs="Arial"/>
          <w:b w:val="0"/>
          <w:sz w:val="20"/>
          <w:szCs w:val="20"/>
        </w:rPr>
        <w:t xml:space="preserve">Work Diary Requirements </w:t>
      </w:r>
      <w:r w:rsidRPr="00FF0369">
        <w:rPr>
          <w:rFonts w:asciiTheme="minorHAnsi" w:hAnsiTheme="minorHAnsi" w:cs="Arial"/>
          <w:b w:val="0"/>
          <w:sz w:val="20"/>
          <w:szCs w:val="20"/>
        </w:rPr>
        <w:t xml:space="preserve">of the </w:t>
      </w:r>
      <w:r w:rsidRPr="00A57526">
        <w:rPr>
          <w:rFonts w:asciiTheme="minorHAnsi" w:hAnsiTheme="minorHAnsi" w:cs="Arial"/>
          <w:b w:val="0"/>
          <w:sz w:val="20"/>
          <w:szCs w:val="20"/>
        </w:rPr>
        <w:t>HVNL</w:t>
      </w:r>
      <w:r w:rsidRPr="00FF0369">
        <w:rPr>
          <w:rFonts w:asciiTheme="minorHAnsi" w:hAnsiTheme="minorHAnsi" w:cs="Arial"/>
          <w:b w:val="0"/>
          <w:sz w:val="20"/>
          <w:szCs w:val="20"/>
        </w:rPr>
        <w:t>.</w:t>
      </w:r>
    </w:p>
    <w:p w14:paraId="62379895" w14:textId="77777777" w:rsidR="006770C5" w:rsidRPr="00A0308D" w:rsidRDefault="006770C5" w:rsidP="006E764A">
      <w:pPr>
        <w:pStyle w:val="Sectionheading"/>
        <w:numPr>
          <w:ilvl w:val="0"/>
          <w:numId w:val="2"/>
        </w:numPr>
        <w:ind w:left="360"/>
        <w:jc w:val="both"/>
        <w:rPr>
          <w:rFonts w:cs="Arial"/>
          <w:sz w:val="20"/>
          <w:szCs w:val="20"/>
        </w:rPr>
      </w:pPr>
      <w:r w:rsidRPr="006216FE">
        <w:rPr>
          <w:rFonts w:cs="Arial"/>
          <w:sz w:val="20"/>
          <w:szCs w:val="20"/>
        </w:rPr>
        <w:t>Conditions</w:t>
      </w:r>
    </w:p>
    <w:p w14:paraId="09E5793A" w14:textId="77777777" w:rsidR="006770C5" w:rsidRDefault="006770C5" w:rsidP="006E764A">
      <w:pPr>
        <w:pStyle w:val="OutlineNumberedLevel1"/>
        <w:numPr>
          <w:ilvl w:val="0"/>
          <w:numId w:val="5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A0308D">
        <w:rPr>
          <w:rFonts w:asciiTheme="minorHAnsi" w:hAnsiTheme="minorHAnsi" w:cs="Arial"/>
          <w:b w:val="0"/>
          <w:sz w:val="20"/>
          <w:szCs w:val="20"/>
        </w:rPr>
        <w:t>A</w:t>
      </w:r>
      <w:r>
        <w:rPr>
          <w:rFonts w:asciiTheme="minorHAnsi" w:hAnsiTheme="minorHAnsi" w:cs="Arial"/>
          <w:b w:val="0"/>
          <w:sz w:val="20"/>
          <w:szCs w:val="20"/>
        </w:rPr>
        <w:t>n eligible d</w:t>
      </w:r>
      <w:r w:rsidRPr="00A0308D">
        <w:rPr>
          <w:rFonts w:asciiTheme="minorHAnsi" w:hAnsiTheme="minorHAnsi" w:cs="Arial"/>
          <w:b w:val="0"/>
          <w:sz w:val="20"/>
          <w:szCs w:val="20"/>
        </w:rPr>
        <w:t>river must be employed by an Electricity Entity</w:t>
      </w:r>
      <w:r>
        <w:rPr>
          <w:rFonts w:asciiTheme="minorHAnsi" w:hAnsiTheme="minorHAnsi" w:cs="Arial"/>
          <w:b w:val="0"/>
          <w:sz w:val="20"/>
          <w:szCs w:val="20"/>
        </w:rPr>
        <w:t xml:space="preserve"> listed in Schedule 1.</w:t>
      </w:r>
    </w:p>
    <w:p w14:paraId="43686B87" w14:textId="77777777" w:rsidR="006770C5" w:rsidRPr="008E371F" w:rsidRDefault="006770C5" w:rsidP="006E764A">
      <w:pPr>
        <w:pStyle w:val="OutlineNumberedLevel1"/>
        <w:numPr>
          <w:ilvl w:val="0"/>
          <w:numId w:val="5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8E371F">
        <w:rPr>
          <w:rFonts w:asciiTheme="minorHAnsi" w:hAnsiTheme="minorHAnsi" w:cs="Arial"/>
          <w:b w:val="0"/>
          <w:sz w:val="20"/>
          <w:szCs w:val="20"/>
        </w:rPr>
        <w:t>A</w:t>
      </w:r>
      <w:r>
        <w:rPr>
          <w:rFonts w:asciiTheme="minorHAnsi" w:hAnsiTheme="minorHAnsi" w:cs="Arial"/>
          <w:b w:val="0"/>
          <w:sz w:val="20"/>
          <w:szCs w:val="20"/>
        </w:rPr>
        <w:t>n eligible driver m</w:t>
      </w:r>
      <w:r w:rsidRPr="008E371F">
        <w:rPr>
          <w:rFonts w:asciiTheme="minorHAnsi" w:hAnsiTheme="minorHAnsi" w:cs="Arial"/>
          <w:b w:val="0"/>
          <w:sz w:val="20"/>
          <w:szCs w:val="20"/>
        </w:rPr>
        <w:t>ust keep a copy of this Notice in their possession.</w:t>
      </w:r>
    </w:p>
    <w:p w14:paraId="17F2027F" w14:textId="77777777" w:rsidR="006770C5" w:rsidRPr="008E371F" w:rsidRDefault="006770C5" w:rsidP="006E764A">
      <w:pPr>
        <w:pStyle w:val="OutlineNumberedLevel1"/>
        <w:numPr>
          <w:ilvl w:val="0"/>
          <w:numId w:val="5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8E371F">
        <w:rPr>
          <w:rFonts w:asciiTheme="minorHAnsi" w:hAnsiTheme="minorHAnsi" w:cs="Arial"/>
          <w:b w:val="0"/>
          <w:sz w:val="20"/>
          <w:szCs w:val="20"/>
        </w:rPr>
        <w:t>A</w:t>
      </w:r>
      <w:r>
        <w:rPr>
          <w:rFonts w:asciiTheme="minorHAnsi" w:hAnsiTheme="minorHAnsi" w:cs="Arial"/>
          <w:b w:val="0"/>
          <w:sz w:val="20"/>
          <w:szCs w:val="20"/>
        </w:rPr>
        <w:t xml:space="preserve">n eligible </w:t>
      </w:r>
      <w:r w:rsidRPr="008E371F">
        <w:rPr>
          <w:rFonts w:asciiTheme="minorHAnsi" w:hAnsiTheme="minorHAnsi" w:cs="Arial"/>
          <w:b w:val="0"/>
          <w:sz w:val="20"/>
          <w:szCs w:val="20"/>
        </w:rPr>
        <w:t>driver must comply with the Electricity Entity’s Fatigue Management System.</w:t>
      </w:r>
    </w:p>
    <w:p w14:paraId="3A567D8E" w14:textId="77777777" w:rsidR="006770C5" w:rsidRDefault="006770C5" w:rsidP="006E764A">
      <w:pPr>
        <w:pStyle w:val="OutlineNumberedLevel1"/>
        <w:numPr>
          <w:ilvl w:val="0"/>
          <w:numId w:val="5"/>
        </w:numPr>
        <w:contextualSpacing/>
        <w:rPr>
          <w:rFonts w:asciiTheme="minorHAnsi" w:hAnsiTheme="minorHAnsi" w:cs="Arial"/>
          <w:b w:val="0"/>
          <w:sz w:val="20"/>
          <w:szCs w:val="20"/>
        </w:rPr>
      </w:pPr>
      <w:r w:rsidRPr="008E371F">
        <w:rPr>
          <w:rFonts w:asciiTheme="minorHAnsi" w:hAnsiTheme="minorHAnsi" w:cs="Arial"/>
          <w:b w:val="0"/>
          <w:sz w:val="20"/>
          <w:szCs w:val="20"/>
        </w:rPr>
        <w:t>When requested by an authorised officer, a</w:t>
      </w:r>
      <w:r>
        <w:rPr>
          <w:rFonts w:asciiTheme="minorHAnsi" w:hAnsiTheme="minorHAnsi" w:cs="Arial"/>
          <w:b w:val="0"/>
          <w:sz w:val="20"/>
          <w:szCs w:val="20"/>
        </w:rPr>
        <w:t xml:space="preserve">n eligible </w:t>
      </w:r>
      <w:r w:rsidRPr="008E371F">
        <w:rPr>
          <w:rFonts w:asciiTheme="minorHAnsi" w:hAnsiTheme="minorHAnsi" w:cs="Arial"/>
          <w:b w:val="0"/>
          <w:sz w:val="20"/>
          <w:szCs w:val="20"/>
        </w:rPr>
        <w:t>driver must nominate the Electricity Entity they are carrying out activities on the works for.</w:t>
      </w:r>
    </w:p>
    <w:p w14:paraId="231B8C00" w14:textId="77777777" w:rsidR="006770C5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278978BC" w14:textId="77777777" w:rsidR="006770C5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5FE9978A" w14:textId="77777777" w:rsidR="006770C5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1F6781C5" w14:textId="77777777" w:rsidR="006770C5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60EA26F9" w14:textId="77777777" w:rsidR="006770C5" w:rsidRDefault="006770C5" w:rsidP="006770C5">
      <w:pPr>
        <w:pStyle w:val="OutlineNumberedLevel1"/>
        <w:contextualSpacing/>
        <w:rPr>
          <w:rFonts w:asciiTheme="minorHAnsi" w:hAnsiTheme="minorHAnsi" w:cs="Arial"/>
          <w:b w:val="0"/>
          <w:sz w:val="20"/>
          <w:szCs w:val="20"/>
        </w:rPr>
      </w:pPr>
    </w:p>
    <w:p w14:paraId="11E61872" w14:textId="77777777" w:rsidR="006770C5" w:rsidRPr="00555FA5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 w:val="0"/>
          <w:sz w:val="20"/>
          <w:szCs w:val="20"/>
        </w:rPr>
      </w:pPr>
      <w:r>
        <w:rPr>
          <w:rFonts w:asciiTheme="minorHAnsi" w:hAnsiTheme="minorHAnsi" w:cs="Arial"/>
          <w:b w:val="0"/>
          <w:sz w:val="20"/>
          <w:szCs w:val="20"/>
        </w:rPr>
        <w:t>David Hourigan</w:t>
      </w:r>
    </w:p>
    <w:p w14:paraId="434475CD" w14:textId="77777777" w:rsidR="006770C5" w:rsidRPr="00A75EB6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 w:val="0"/>
          <w:i/>
          <w:iCs/>
          <w:sz w:val="20"/>
          <w:szCs w:val="20"/>
        </w:rPr>
      </w:pPr>
      <w:r w:rsidRPr="00A75EB6">
        <w:rPr>
          <w:rFonts w:asciiTheme="minorHAnsi" w:hAnsiTheme="minorHAnsi" w:cs="Arial"/>
          <w:b w:val="0"/>
          <w:i/>
          <w:iCs/>
          <w:sz w:val="20"/>
          <w:szCs w:val="20"/>
        </w:rPr>
        <w:t>Chief Safety and Productivity</w:t>
      </w:r>
    </w:p>
    <w:p w14:paraId="34680FA4" w14:textId="77777777" w:rsidR="006770C5" w:rsidRPr="00E366F0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Cs/>
          <w:sz w:val="20"/>
          <w:szCs w:val="20"/>
        </w:rPr>
      </w:pPr>
      <w:r w:rsidRPr="00E366F0">
        <w:rPr>
          <w:rFonts w:asciiTheme="minorHAnsi" w:hAnsiTheme="minorHAnsi" w:cs="Arial"/>
          <w:bCs/>
          <w:sz w:val="20"/>
          <w:szCs w:val="20"/>
        </w:rPr>
        <w:t>National Heavy Vehicle Regulator</w:t>
      </w:r>
    </w:p>
    <w:p w14:paraId="172CDC13" w14:textId="77777777" w:rsidR="006770C5" w:rsidRPr="00265323" w:rsidRDefault="006770C5" w:rsidP="00265323">
      <w:pPr>
        <w:spacing w:after="0"/>
        <w:rPr>
          <w:rFonts w:cstheme="minorHAnsi"/>
          <w:sz w:val="20"/>
          <w:szCs w:val="20"/>
        </w:rPr>
      </w:pPr>
    </w:p>
    <w:p w14:paraId="4BCAD3C1" w14:textId="77777777" w:rsidR="00265323" w:rsidRDefault="00265323" w:rsidP="00265323">
      <w:pPr>
        <w:spacing w:after="0"/>
        <w:rPr>
          <w:rFonts w:cstheme="minorHAnsi"/>
          <w:sz w:val="20"/>
          <w:szCs w:val="20"/>
        </w:rPr>
      </w:pPr>
    </w:p>
    <w:p w14:paraId="5CB08699" w14:textId="77777777" w:rsidR="00265323" w:rsidRPr="00265323" w:rsidRDefault="00265323" w:rsidP="00265323">
      <w:pPr>
        <w:spacing w:after="0"/>
        <w:rPr>
          <w:rFonts w:cstheme="minorHAnsi"/>
          <w:sz w:val="20"/>
          <w:szCs w:val="20"/>
        </w:rPr>
      </w:pPr>
    </w:p>
    <w:p w14:paraId="57A1AEBE" w14:textId="77777777" w:rsidR="006770C5" w:rsidRPr="00265323" w:rsidRDefault="006770C5" w:rsidP="00265323">
      <w:pPr>
        <w:spacing w:after="0"/>
        <w:rPr>
          <w:rFonts w:cstheme="minorHAnsi"/>
          <w:sz w:val="20"/>
          <w:szCs w:val="20"/>
        </w:rPr>
      </w:pPr>
    </w:p>
    <w:p w14:paraId="64B1C7A6" w14:textId="77777777" w:rsidR="006770C5" w:rsidRPr="00265323" w:rsidRDefault="006770C5" w:rsidP="00265323">
      <w:pPr>
        <w:spacing w:after="0"/>
        <w:rPr>
          <w:rFonts w:cstheme="minorHAnsi"/>
          <w:sz w:val="20"/>
          <w:szCs w:val="20"/>
        </w:rPr>
      </w:pPr>
    </w:p>
    <w:p w14:paraId="5E6F59BC" w14:textId="77777777" w:rsidR="006770C5" w:rsidRPr="00E366F0" w:rsidRDefault="006770C5" w:rsidP="006770C5">
      <w:pPr>
        <w:pStyle w:val="OutlineNumberedLevel1"/>
        <w:ind w:left="720"/>
        <w:contextualSpacing/>
        <w:rPr>
          <w:rFonts w:asciiTheme="minorHAnsi" w:hAnsiTheme="minorHAnsi" w:cs="Arial"/>
          <w:bCs/>
          <w:sz w:val="20"/>
          <w:szCs w:val="20"/>
        </w:rPr>
      </w:pPr>
      <w:r w:rsidRPr="00E366F0">
        <w:rPr>
          <w:rFonts w:asciiTheme="minorHAnsi" w:hAnsiTheme="minorHAnsi" w:cs="Arial"/>
          <w:bCs/>
          <w:sz w:val="20"/>
          <w:szCs w:val="20"/>
        </w:rPr>
        <w:t>Schedule 1</w:t>
      </w:r>
      <w:r>
        <w:rPr>
          <w:rFonts w:asciiTheme="minorHAnsi" w:hAnsiTheme="minorHAnsi" w:cs="Arial"/>
          <w:bCs/>
          <w:sz w:val="20"/>
          <w:szCs w:val="20"/>
        </w:rPr>
        <w:t xml:space="preserve"> - </w:t>
      </w:r>
      <w:r w:rsidRPr="00E366F0">
        <w:rPr>
          <w:rFonts w:asciiTheme="minorHAnsi" w:hAnsiTheme="minorHAnsi" w:cs="Arial"/>
          <w:bCs/>
          <w:sz w:val="20"/>
          <w:szCs w:val="20"/>
        </w:rPr>
        <w:t xml:space="preserve">Table </w:t>
      </w:r>
      <w:r>
        <w:rPr>
          <w:rFonts w:asciiTheme="minorHAnsi" w:hAnsiTheme="minorHAnsi" w:cs="Arial"/>
          <w:bCs/>
          <w:sz w:val="20"/>
          <w:szCs w:val="20"/>
        </w:rPr>
        <w:t>o</w:t>
      </w:r>
      <w:r w:rsidRPr="00E366F0">
        <w:rPr>
          <w:rFonts w:asciiTheme="minorHAnsi" w:hAnsiTheme="minorHAnsi" w:cs="Arial"/>
          <w:bCs/>
          <w:sz w:val="20"/>
          <w:szCs w:val="20"/>
        </w:rPr>
        <w:t>f Electricity Entities</w:t>
      </w:r>
    </w:p>
    <w:tbl>
      <w:tblPr>
        <w:tblStyle w:val="TableGrid"/>
        <w:tblW w:w="8642" w:type="dxa"/>
        <w:jc w:val="center"/>
        <w:tblLook w:val="04A0" w:firstRow="1" w:lastRow="0" w:firstColumn="1" w:lastColumn="0" w:noHBand="0" w:noVBand="1"/>
        <w:tblCaption w:val="Schedule 1 Table of Electrical Entities"/>
        <w:tblDescription w:val="Table of Electrical Entities to which this notice applies"/>
      </w:tblPr>
      <w:tblGrid>
        <w:gridCol w:w="4252"/>
        <w:gridCol w:w="4390"/>
      </w:tblGrid>
      <w:tr w:rsidR="006770C5" w:rsidRPr="0076193C" w14:paraId="7012014D" w14:textId="77777777" w:rsidTr="000E7DEA">
        <w:trPr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26DA4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5469B5">
              <w:rPr>
                <w:rFonts w:eastAsiaTheme="minorEastAsia" w:cs="Arial"/>
                <w:b/>
                <w:bCs/>
                <w:sz w:val="20"/>
                <w:szCs w:val="20"/>
              </w:rPr>
              <w:t>Electricity Entity</w:t>
            </w:r>
          </w:p>
          <w:p w14:paraId="53C51F71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i/>
                <w:iCs/>
                <w:sz w:val="20"/>
                <w:szCs w:val="20"/>
              </w:rPr>
            </w:pPr>
            <w:r w:rsidRPr="005469B5">
              <w:rPr>
                <w:rFonts w:eastAsiaTheme="minorEastAsia" w:cs="Arial"/>
                <w:i/>
                <w:iCs/>
                <w:sz w:val="20"/>
                <w:szCs w:val="20"/>
              </w:rPr>
              <w:t>s38 Electricity Act 1994 (Qld)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41D6C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b/>
                <w:bCs/>
                <w:sz w:val="20"/>
                <w:szCs w:val="20"/>
              </w:rPr>
            </w:pPr>
            <w:r w:rsidRPr="005469B5">
              <w:rPr>
                <w:rFonts w:eastAsiaTheme="minorEastAsia" w:cs="Arial"/>
                <w:b/>
                <w:bCs/>
                <w:sz w:val="20"/>
                <w:szCs w:val="20"/>
              </w:rPr>
              <w:t>Distribution Authority</w:t>
            </w:r>
          </w:p>
          <w:p w14:paraId="51F99D3D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i/>
                <w:iCs/>
                <w:sz w:val="20"/>
                <w:szCs w:val="20"/>
              </w:rPr>
            </w:pPr>
            <w:r w:rsidRPr="005469B5">
              <w:rPr>
                <w:rFonts w:eastAsiaTheme="minorEastAsia" w:cs="Arial"/>
                <w:i/>
                <w:iCs/>
                <w:sz w:val="20"/>
                <w:szCs w:val="20"/>
              </w:rPr>
              <w:t>s38 Electricity Act 1994 (Qld)</w:t>
            </w:r>
          </w:p>
        </w:tc>
      </w:tr>
      <w:tr w:rsidR="006770C5" w:rsidRPr="0076193C" w14:paraId="665D4F01" w14:textId="77777777" w:rsidTr="000E7DEA">
        <w:trPr>
          <w:trHeight w:val="401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E67F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Ergon Energy Corporation Limited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C56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D01/99</w:t>
            </w:r>
          </w:p>
        </w:tc>
      </w:tr>
      <w:tr w:rsidR="006770C5" w:rsidRPr="0076193C" w14:paraId="6CAAAA72" w14:textId="77777777" w:rsidTr="000E7DEA">
        <w:trPr>
          <w:trHeight w:val="408"/>
          <w:jc w:val="center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CC94F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Energex Limited</w:t>
            </w:r>
          </w:p>
        </w:tc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39D6A" w14:textId="77777777" w:rsidR="006770C5" w:rsidRPr="005469B5" w:rsidRDefault="006770C5" w:rsidP="000E7DEA">
            <w:pPr>
              <w:keepNext/>
              <w:keepLines/>
              <w:contextualSpacing/>
              <w:rPr>
                <w:rFonts w:eastAsiaTheme="minorEastAsia" w:cs="Arial"/>
                <w:sz w:val="20"/>
                <w:szCs w:val="20"/>
              </w:rPr>
            </w:pPr>
            <w:r w:rsidRPr="005469B5">
              <w:rPr>
                <w:rFonts w:eastAsiaTheme="minorEastAsia" w:cs="Arial"/>
                <w:sz w:val="20"/>
                <w:szCs w:val="20"/>
              </w:rPr>
              <w:t>D07/98</w:t>
            </w:r>
          </w:p>
        </w:tc>
      </w:tr>
    </w:tbl>
    <w:p w14:paraId="004220E9" w14:textId="77777777" w:rsidR="009B68B6" w:rsidRPr="006770C5" w:rsidRDefault="009B68B6" w:rsidP="00265323"/>
    <w:sectPr w:rsidR="009B68B6" w:rsidRPr="006770C5" w:rsidSect="005976A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A7B77" w14:textId="77777777" w:rsidR="00257380" w:rsidRDefault="00257380">
      <w:pPr>
        <w:spacing w:after="0" w:line="240" w:lineRule="auto"/>
      </w:pPr>
      <w:r>
        <w:separator/>
      </w:r>
    </w:p>
  </w:endnote>
  <w:endnote w:type="continuationSeparator" w:id="0">
    <w:p w14:paraId="67B2E451" w14:textId="77777777" w:rsidR="00257380" w:rsidRDefault="00257380">
      <w:pPr>
        <w:spacing w:after="0" w:line="240" w:lineRule="auto"/>
      </w:pPr>
      <w:r>
        <w:continuationSeparator/>
      </w:r>
    </w:p>
  </w:endnote>
  <w:endnote w:type="continuationNotice" w:id="1">
    <w:p w14:paraId="4575ED5D" w14:textId="77777777" w:rsidR="00257380" w:rsidRDefault="0025738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08C55" w14:textId="77777777" w:rsidR="006E764A" w:rsidRDefault="006E76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20F0" w14:textId="77777777" w:rsidR="00015CEB" w:rsidRDefault="00015CEB" w:rsidP="00C2499E">
    <w:pPr>
      <w:pStyle w:val="Footer"/>
      <w:jc w:val="right"/>
      <w:rPr>
        <w:sz w:val="20"/>
        <w:szCs w:val="20"/>
      </w:rPr>
    </w:pPr>
  </w:p>
  <w:p w14:paraId="004220F1" w14:textId="407F74B0" w:rsidR="002D2B89" w:rsidRDefault="002D2B89" w:rsidP="00C2499E">
    <w:pPr>
      <w:pStyle w:val="Footer"/>
      <w:jc w:val="right"/>
      <w:rPr>
        <w:sz w:val="20"/>
        <w:szCs w:val="20"/>
      </w:rPr>
    </w:pPr>
    <w:r w:rsidRPr="002D2B89">
      <w:rPr>
        <w:sz w:val="20"/>
        <w:szCs w:val="20"/>
      </w:rPr>
      <w:t xml:space="preserve">National Heavy Vehicle Queensland Electricity Entity </w:t>
    </w:r>
    <w:r w:rsidR="006770C5">
      <w:rPr>
        <w:sz w:val="20"/>
        <w:szCs w:val="20"/>
      </w:rPr>
      <w:t>Work Diary</w:t>
    </w:r>
    <w:r w:rsidR="003B5744">
      <w:rPr>
        <w:sz w:val="20"/>
        <w:szCs w:val="20"/>
      </w:rPr>
      <w:t xml:space="preserve"> Exemption Notice 20</w:t>
    </w:r>
    <w:r w:rsidR="00771081">
      <w:rPr>
        <w:sz w:val="20"/>
        <w:szCs w:val="20"/>
      </w:rPr>
      <w:t>2</w:t>
    </w:r>
    <w:r w:rsidR="006770C5">
      <w:rPr>
        <w:sz w:val="20"/>
        <w:szCs w:val="20"/>
      </w:rPr>
      <w:t>4</w:t>
    </w:r>
    <w:r w:rsidR="001E3165">
      <w:rPr>
        <w:sz w:val="20"/>
        <w:szCs w:val="20"/>
      </w:rPr>
      <w:t xml:space="preserve"> (No1)</w:t>
    </w:r>
  </w:p>
  <w:p w14:paraId="004220F2" w14:textId="77777777" w:rsidR="00015CEB" w:rsidRDefault="009B68B6" w:rsidP="00C2499E">
    <w:pPr>
      <w:pStyle w:val="Footer"/>
      <w:jc w:val="right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  <w:lang w:val="en-US"/>
      </w:rPr>
      <w:t xml:space="preserve">Page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PAGE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2</w:t>
    </w:r>
    <w:r>
      <w:rPr>
        <w:rFonts w:ascii="Calibri" w:hAnsi="Calibri"/>
        <w:sz w:val="20"/>
        <w:szCs w:val="20"/>
        <w:lang w:val="en-US"/>
      </w:rPr>
      <w:fldChar w:fldCharType="end"/>
    </w:r>
    <w:r>
      <w:rPr>
        <w:rFonts w:ascii="Calibri" w:hAnsi="Calibri"/>
        <w:sz w:val="20"/>
        <w:szCs w:val="20"/>
        <w:lang w:val="en-US"/>
      </w:rPr>
      <w:t xml:space="preserve"> of </w:t>
    </w:r>
    <w:r>
      <w:rPr>
        <w:rFonts w:ascii="Calibri" w:hAnsi="Calibri"/>
        <w:sz w:val="20"/>
        <w:szCs w:val="20"/>
        <w:lang w:val="en-US"/>
      </w:rPr>
      <w:fldChar w:fldCharType="begin"/>
    </w:r>
    <w:r>
      <w:rPr>
        <w:rFonts w:ascii="Calibri" w:hAnsi="Calibri"/>
        <w:sz w:val="20"/>
        <w:szCs w:val="20"/>
        <w:lang w:val="en-US"/>
      </w:rPr>
      <w:instrText xml:space="preserve"> NUMPAGES </w:instrText>
    </w:r>
    <w:r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4</w:t>
    </w:r>
    <w:r>
      <w:rPr>
        <w:rFonts w:ascii="Calibri" w:hAnsi="Calibri"/>
        <w:sz w:val="20"/>
        <w:szCs w:val="20"/>
        <w:lang w:val="en-US"/>
      </w:rPr>
      <w:fldChar w:fldCharType="end"/>
    </w:r>
  </w:p>
  <w:p w14:paraId="004220F3" w14:textId="77777777" w:rsidR="00015CEB" w:rsidRDefault="00015C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220FE" w14:textId="77777777" w:rsidR="00015CEB" w:rsidRDefault="00015CEB" w:rsidP="00B01648">
    <w:pPr>
      <w:pStyle w:val="Footer"/>
      <w:jc w:val="right"/>
      <w:rPr>
        <w:sz w:val="20"/>
        <w:szCs w:val="20"/>
      </w:rPr>
    </w:pPr>
  </w:p>
  <w:p w14:paraId="004220FF" w14:textId="3023091E" w:rsidR="002D2B89" w:rsidRDefault="002D2B89" w:rsidP="005714BA">
    <w:pPr>
      <w:pStyle w:val="Footer"/>
      <w:jc w:val="right"/>
      <w:rPr>
        <w:sz w:val="20"/>
        <w:szCs w:val="20"/>
      </w:rPr>
    </w:pPr>
    <w:r w:rsidRPr="002D2B89">
      <w:rPr>
        <w:sz w:val="20"/>
        <w:szCs w:val="20"/>
      </w:rPr>
      <w:t xml:space="preserve">National Heavy Vehicle Queensland Electricity Entity </w:t>
    </w:r>
    <w:r w:rsidR="006770C5">
      <w:rPr>
        <w:sz w:val="20"/>
        <w:szCs w:val="20"/>
      </w:rPr>
      <w:t>Work Diary</w:t>
    </w:r>
    <w:r w:rsidR="003B5744">
      <w:rPr>
        <w:sz w:val="20"/>
        <w:szCs w:val="20"/>
      </w:rPr>
      <w:t xml:space="preserve"> Exemption Notice 20</w:t>
    </w:r>
    <w:r w:rsidR="00994455">
      <w:rPr>
        <w:sz w:val="20"/>
        <w:szCs w:val="20"/>
      </w:rPr>
      <w:t>2</w:t>
    </w:r>
    <w:r w:rsidR="006770C5">
      <w:rPr>
        <w:sz w:val="20"/>
        <w:szCs w:val="20"/>
      </w:rPr>
      <w:t>4</w:t>
    </w:r>
    <w:r w:rsidR="001E3165">
      <w:rPr>
        <w:sz w:val="20"/>
        <w:szCs w:val="20"/>
      </w:rPr>
      <w:t xml:space="preserve"> (No1)</w:t>
    </w:r>
  </w:p>
  <w:p w14:paraId="00422100" w14:textId="77777777" w:rsidR="00015CEB" w:rsidRPr="00CA1786" w:rsidRDefault="009B68B6" w:rsidP="005714BA">
    <w:pPr>
      <w:pStyle w:val="Footer"/>
      <w:jc w:val="right"/>
      <w:rPr>
        <w:rFonts w:ascii="Calibri" w:hAnsi="Calibri"/>
        <w:sz w:val="20"/>
        <w:szCs w:val="20"/>
      </w:rPr>
    </w:pPr>
    <w:r w:rsidRPr="00136DD2">
      <w:rPr>
        <w:rFonts w:ascii="Calibri" w:hAnsi="Calibri"/>
        <w:sz w:val="20"/>
        <w:szCs w:val="20"/>
        <w:lang w:val="en-US"/>
      </w:rPr>
      <w:t xml:space="preserve">Page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PAGE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1</w:t>
    </w:r>
    <w:r w:rsidRPr="00136DD2">
      <w:rPr>
        <w:rFonts w:ascii="Calibri" w:hAnsi="Calibri"/>
        <w:sz w:val="20"/>
        <w:szCs w:val="20"/>
        <w:lang w:val="en-US"/>
      </w:rPr>
      <w:fldChar w:fldCharType="end"/>
    </w:r>
    <w:r w:rsidRPr="00136DD2">
      <w:rPr>
        <w:rFonts w:ascii="Calibri" w:hAnsi="Calibri"/>
        <w:sz w:val="20"/>
        <w:szCs w:val="20"/>
        <w:lang w:val="en-US"/>
      </w:rPr>
      <w:t xml:space="preserve"> of </w:t>
    </w:r>
    <w:r w:rsidRPr="00136DD2">
      <w:rPr>
        <w:rFonts w:ascii="Calibri" w:hAnsi="Calibri"/>
        <w:sz w:val="20"/>
        <w:szCs w:val="20"/>
        <w:lang w:val="en-US"/>
      </w:rPr>
      <w:fldChar w:fldCharType="begin"/>
    </w:r>
    <w:r w:rsidRPr="00136DD2">
      <w:rPr>
        <w:rFonts w:ascii="Calibri" w:hAnsi="Calibri"/>
        <w:sz w:val="20"/>
        <w:szCs w:val="20"/>
        <w:lang w:val="en-US"/>
      </w:rPr>
      <w:instrText xml:space="preserve"> NUMPAGES </w:instrText>
    </w:r>
    <w:r w:rsidRPr="00136DD2">
      <w:rPr>
        <w:rFonts w:ascii="Calibri" w:hAnsi="Calibri"/>
        <w:sz w:val="20"/>
        <w:szCs w:val="20"/>
        <w:lang w:val="en-US"/>
      </w:rPr>
      <w:fldChar w:fldCharType="separate"/>
    </w:r>
    <w:r w:rsidR="008A06AB">
      <w:rPr>
        <w:rFonts w:ascii="Calibri" w:hAnsi="Calibri"/>
        <w:noProof/>
        <w:sz w:val="20"/>
        <w:szCs w:val="20"/>
        <w:lang w:val="en-US"/>
      </w:rPr>
      <w:t>4</w:t>
    </w:r>
    <w:r w:rsidRPr="00136DD2">
      <w:rPr>
        <w:rFonts w:ascii="Calibri" w:hAnsi="Calibri"/>
        <w:sz w:val="20"/>
        <w:szCs w:val="20"/>
        <w:lang w:val="en-US"/>
      </w:rPr>
      <w:fldChar w:fldCharType="end"/>
    </w:r>
  </w:p>
  <w:p w14:paraId="00422101" w14:textId="77777777" w:rsidR="00015CEB" w:rsidRDefault="00015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D76EBB" w14:textId="77777777" w:rsidR="00257380" w:rsidRDefault="00257380">
      <w:pPr>
        <w:spacing w:after="0" w:line="240" w:lineRule="auto"/>
      </w:pPr>
      <w:r>
        <w:separator/>
      </w:r>
    </w:p>
  </w:footnote>
  <w:footnote w:type="continuationSeparator" w:id="0">
    <w:p w14:paraId="6BCCBD61" w14:textId="77777777" w:rsidR="00257380" w:rsidRDefault="00257380">
      <w:pPr>
        <w:spacing w:after="0" w:line="240" w:lineRule="auto"/>
      </w:pPr>
      <w:r>
        <w:continuationSeparator/>
      </w:r>
    </w:p>
  </w:footnote>
  <w:footnote w:type="continuationNotice" w:id="1">
    <w:p w14:paraId="562E8848" w14:textId="77777777" w:rsidR="00257380" w:rsidRDefault="0025738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D3DEA" w14:textId="77777777" w:rsidR="006E764A" w:rsidRDefault="006E76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67889" w14:textId="77777777" w:rsidR="006E764A" w:rsidRDefault="006E76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75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4"/>
      <w:gridCol w:w="3978"/>
    </w:tblGrid>
    <w:tr w:rsidR="00606D8F" w14:paraId="004220F7" w14:textId="77777777" w:rsidTr="00C7660B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04220F4" w14:textId="77777777" w:rsidR="00606D8F" w:rsidRDefault="00606D8F" w:rsidP="00C7660B">
          <w:pPr>
            <w:spacing w:before="60"/>
            <w:ind w:left="-51"/>
            <w:rPr>
              <w:rFonts w:ascii="Arial" w:hAnsi="Arial"/>
              <w:sz w:val="12"/>
            </w:rPr>
          </w:pPr>
          <w:bookmarkStart w:id="0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0422102" wp14:editId="00422103">
                <wp:extent cx="707390" cy="540385"/>
                <wp:effectExtent l="0" t="0" r="0" b="0"/>
                <wp:docPr id="2" name="Picture 2" title="Commonwealth Coat of Arms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title="Commonwealth Coat of Arms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04220F5" w14:textId="77777777" w:rsidR="00606D8F" w:rsidRDefault="00606D8F" w:rsidP="00C7660B">
          <w:pPr>
            <w:spacing w:before="6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hideMark/>
        </w:tcPr>
        <w:p w14:paraId="004220F6" w14:textId="77777777" w:rsidR="00606D8F" w:rsidRDefault="00606D8F" w:rsidP="00C7660B">
          <w:pPr>
            <w:spacing w:before="18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606D8F" w14:paraId="004220FA" w14:textId="77777777" w:rsidTr="00C7660B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  <w:hideMark/>
        </w:tcPr>
        <w:p w14:paraId="004220F8" w14:textId="77777777" w:rsidR="00606D8F" w:rsidRDefault="00606D8F" w:rsidP="00C7660B">
          <w:pPr>
            <w:ind w:left="-51"/>
            <w:rPr>
              <w:rFonts w:ascii="Arial" w:hAnsi="Arial" w:cs="Arial"/>
              <w:sz w:val="14"/>
              <w:szCs w:val="14"/>
            </w:rPr>
          </w:pPr>
          <w:bookmarkStart w:id="1" w:name="GazNo"/>
          <w:bookmarkEnd w:id="1"/>
          <w:r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  <w:hideMark/>
        </w:tcPr>
        <w:p w14:paraId="004220F9" w14:textId="77777777" w:rsidR="00606D8F" w:rsidRDefault="00606D8F" w:rsidP="00C7660B">
          <w:pPr>
            <w:jc w:val="right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GOVERNMENT NOTICES</w:t>
          </w:r>
        </w:p>
      </w:tc>
    </w:tr>
    <w:bookmarkEnd w:id="0"/>
  </w:tbl>
  <w:p w14:paraId="004220FB" w14:textId="77777777" w:rsidR="00606D8F" w:rsidRDefault="00606D8F" w:rsidP="00606D8F">
    <w:pPr>
      <w:pStyle w:val="Header"/>
      <w:rPr>
        <w:sz w:val="2"/>
        <w:szCs w:val="2"/>
      </w:rPr>
    </w:pPr>
  </w:p>
  <w:p w14:paraId="004220FC" w14:textId="77777777" w:rsidR="00606D8F" w:rsidRDefault="00606D8F" w:rsidP="00606D8F">
    <w:pPr>
      <w:pStyle w:val="Header"/>
      <w:rPr>
        <w:sz w:val="2"/>
        <w:szCs w:val="2"/>
      </w:rPr>
    </w:pPr>
  </w:p>
  <w:p w14:paraId="004220FD" w14:textId="77777777" w:rsidR="00015CEB" w:rsidRPr="00F40885" w:rsidRDefault="00015CEB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6980"/>
    <w:multiLevelType w:val="hybridMultilevel"/>
    <w:tmpl w:val="1D58114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80AF5"/>
    <w:multiLevelType w:val="hybridMultilevel"/>
    <w:tmpl w:val="21A897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35692"/>
    <w:multiLevelType w:val="hybridMultilevel"/>
    <w:tmpl w:val="EC087FA4"/>
    <w:lvl w:ilvl="0" w:tplc="36BC1B3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EF94447"/>
    <w:multiLevelType w:val="hybridMultilevel"/>
    <w:tmpl w:val="30325F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C031E0"/>
    <w:multiLevelType w:val="hybridMultilevel"/>
    <w:tmpl w:val="1B803DCA"/>
    <w:lvl w:ilvl="0" w:tplc="D1649948">
      <w:start w:val="1"/>
      <w:numFmt w:val="bullet"/>
      <w:pStyle w:val="AANormal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ED5965"/>
    <w:multiLevelType w:val="hybridMultilevel"/>
    <w:tmpl w:val="30325FA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15B0C"/>
    <w:multiLevelType w:val="hybridMultilevel"/>
    <w:tmpl w:val="30325FA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66526309">
    <w:abstractNumId w:val="4"/>
  </w:num>
  <w:num w:numId="2" w16cid:durableId="1812406150">
    <w:abstractNumId w:val="1"/>
  </w:num>
  <w:num w:numId="3" w16cid:durableId="1447196509">
    <w:abstractNumId w:val="6"/>
  </w:num>
  <w:num w:numId="4" w16cid:durableId="296379715">
    <w:abstractNumId w:val="2"/>
  </w:num>
  <w:num w:numId="5" w16cid:durableId="715154507">
    <w:abstractNumId w:val="3"/>
  </w:num>
  <w:num w:numId="6" w16cid:durableId="1278561532">
    <w:abstractNumId w:val="5"/>
  </w:num>
  <w:num w:numId="7" w16cid:durableId="60380762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68B6"/>
    <w:rsid w:val="00005696"/>
    <w:rsid w:val="00015CEB"/>
    <w:rsid w:val="00033C17"/>
    <w:rsid w:val="00056BBC"/>
    <w:rsid w:val="00075C97"/>
    <w:rsid w:val="000766E6"/>
    <w:rsid w:val="000B60AD"/>
    <w:rsid w:val="000C3423"/>
    <w:rsid w:val="001225FB"/>
    <w:rsid w:val="00135E1B"/>
    <w:rsid w:val="00151A81"/>
    <w:rsid w:val="00193195"/>
    <w:rsid w:val="0019396B"/>
    <w:rsid w:val="001E3165"/>
    <w:rsid w:val="002368F4"/>
    <w:rsid w:val="00257380"/>
    <w:rsid w:val="00261960"/>
    <w:rsid w:val="00265323"/>
    <w:rsid w:val="00275AEB"/>
    <w:rsid w:val="00277F7E"/>
    <w:rsid w:val="00297AD0"/>
    <w:rsid w:val="002D2B89"/>
    <w:rsid w:val="002F73BC"/>
    <w:rsid w:val="00306821"/>
    <w:rsid w:val="00331073"/>
    <w:rsid w:val="003415E5"/>
    <w:rsid w:val="0035124C"/>
    <w:rsid w:val="00355A76"/>
    <w:rsid w:val="00365F16"/>
    <w:rsid w:val="003B5744"/>
    <w:rsid w:val="003F4980"/>
    <w:rsid w:val="00405D52"/>
    <w:rsid w:val="00432DA6"/>
    <w:rsid w:val="00456563"/>
    <w:rsid w:val="0046484D"/>
    <w:rsid w:val="0047277A"/>
    <w:rsid w:val="004908E9"/>
    <w:rsid w:val="004A62C9"/>
    <w:rsid w:val="004C13FF"/>
    <w:rsid w:val="004E14E1"/>
    <w:rsid w:val="005023D2"/>
    <w:rsid w:val="00520D2A"/>
    <w:rsid w:val="00530934"/>
    <w:rsid w:val="00532DE8"/>
    <w:rsid w:val="005634A2"/>
    <w:rsid w:val="0056352A"/>
    <w:rsid w:val="005A0FAC"/>
    <w:rsid w:val="005A17AF"/>
    <w:rsid w:val="005B0F9C"/>
    <w:rsid w:val="005D66E7"/>
    <w:rsid w:val="005E6315"/>
    <w:rsid w:val="005E64A8"/>
    <w:rsid w:val="005F3635"/>
    <w:rsid w:val="0060641D"/>
    <w:rsid w:val="00606D8F"/>
    <w:rsid w:val="00612E6E"/>
    <w:rsid w:val="00637058"/>
    <w:rsid w:val="006770C5"/>
    <w:rsid w:val="00692DAA"/>
    <w:rsid w:val="00694B01"/>
    <w:rsid w:val="006B612F"/>
    <w:rsid w:val="006E7301"/>
    <w:rsid w:val="006E764A"/>
    <w:rsid w:val="00722750"/>
    <w:rsid w:val="00764CA6"/>
    <w:rsid w:val="00771081"/>
    <w:rsid w:val="007932F1"/>
    <w:rsid w:val="0079766F"/>
    <w:rsid w:val="007D4D85"/>
    <w:rsid w:val="007E7C2F"/>
    <w:rsid w:val="00820CE5"/>
    <w:rsid w:val="00882859"/>
    <w:rsid w:val="00885603"/>
    <w:rsid w:val="008A06AB"/>
    <w:rsid w:val="008A38A9"/>
    <w:rsid w:val="008C3AD0"/>
    <w:rsid w:val="008C6A80"/>
    <w:rsid w:val="0090719D"/>
    <w:rsid w:val="00931FEF"/>
    <w:rsid w:val="00951553"/>
    <w:rsid w:val="00952500"/>
    <w:rsid w:val="0095553D"/>
    <w:rsid w:val="00971ECF"/>
    <w:rsid w:val="00982846"/>
    <w:rsid w:val="00994455"/>
    <w:rsid w:val="009B68B6"/>
    <w:rsid w:val="009C0106"/>
    <w:rsid w:val="009C1003"/>
    <w:rsid w:val="009C2095"/>
    <w:rsid w:val="009D460A"/>
    <w:rsid w:val="009E76D6"/>
    <w:rsid w:val="009F24CE"/>
    <w:rsid w:val="00A2056F"/>
    <w:rsid w:val="00A251E6"/>
    <w:rsid w:val="00A32C13"/>
    <w:rsid w:val="00A35DE0"/>
    <w:rsid w:val="00A935D2"/>
    <w:rsid w:val="00AA692D"/>
    <w:rsid w:val="00AC50DF"/>
    <w:rsid w:val="00AD4045"/>
    <w:rsid w:val="00B309CA"/>
    <w:rsid w:val="00B36505"/>
    <w:rsid w:val="00B40274"/>
    <w:rsid w:val="00B57EEC"/>
    <w:rsid w:val="00B86B06"/>
    <w:rsid w:val="00B913DE"/>
    <w:rsid w:val="00B9558B"/>
    <w:rsid w:val="00C76ACC"/>
    <w:rsid w:val="00CA130D"/>
    <w:rsid w:val="00CC2794"/>
    <w:rsid w:val="00D071BA"/>
    <w:rsid w:val="00DD6086"/>
    <w:rsid w:val="00DE0CDB"/>
    <w:rsid w:val="00DE4224"/>
    <w:rsid w:val="00E076A2"/>
    <w:rsid w:val="00E278BC"/>
    <w:rsid w:val="00E40C43"/>
    <w:rsid w:val="00E458AF"/>
    <w:rsid w:val="00E64B08"/>
    <w:rsid w:val="00E726D4"/>
    <w:rsid w:val="00E750B7"/>
    <w:rsid w:val="00E945C8"/>
    <w:rsid w:val="00EB2190"/>
    <w:rsid w:val="00EB2DF8"/>
    <w:rsid w:val="00EC7DF6"/>
    <w:rsid w:val="00EE603A"/>
    <w:rsid w:val="00EE715A"/>
    <w:rsid w:val="00EF7F28"/>
    <w:rsid w:val="00F26D46"/>
    <w:rsid w:val="00F4233F"/>
    <w:rsid w:val="00F53C53"/>
    <w:rsid w:val="00F549A7"/>
    <w:rsid w:val="00F67FC1"/>
    <w:rsid w:val="00F73E2D"/>
    <w:rsid w:val="00F87FC9"/>
    <w:rsid w:val="00FE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220AB"/>
  <w15:docId w15:val="{E3B4AC94-7C10-47DC-A323-C124AD78D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9B68B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9B68B6"/>
    <w:pPr>
      <w:tabs>
        <w:tab w:val="center" w:pos="4513"/>
        <w:tab w:val="right" w:pos="9026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9B68B6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9B68B6"/>
    <w:pPr>
      <w:jc w:val="both"/>
    </w:pPr>
    <w:rPr>
      <w:rFonts w:ascii="Calibri" w:eastAsiaTheme="minorEastAsia" w:hAnsi="Calibri"/>
      <w:b/>
    </w:rPr>
  </w:style>
  <w:style w:type="character" w:customStyle="1" w:styleId="TitleChar">
    <w:name w:val="Title Char"/>
    <w:basedOn w:val="DefaultParagraphFont"/>
    <w:link w:val="Title"/>
    <w:uiPriority w:val="10"/>
    <w:rsid w:val="009B68B6"/>
    <w:rPr>
      <w:rFonts w:ascii="Calibri" w:eastAsiaTheme="minorEastAsia" w:hAnsi="Calibri"/>
      <w:b/>
    </w:rPr>
  </w:style>
  <w:style w:type="paragraph" w:customStyle="1" w:styleId="OutlineNumberedLevel1">
    <w:name w:val="Outline Numbered Level 1"/>
    <w:basedOn w:val="Title"/>
    <w:link w:val="OutlineNumberedLevel1Char"/>
    <w:qFormat/>
    <w:rsid w:val="009B68B6"/>
  </w:style>
  <w:style w:type="paragraph" w:customStyle="1" w:styleId="OutlineNumberedLevel2">
    <w:name w:val="Outline Numbered Level 2"/>
    <w:basedOn w:val="OutlineNumberedLevel1"/>
    <w:qFormat/>
    <w:rsid w:val="009B68B6"/>
    <w:pPr>
      <w:numPr>
        <w:ilvl w:val="1"/>
      </w:numPr>
    </w:pPr>
    <w:rPr>
      <w:b w:val="0"/>
    </w:rPr>
  </w:style>
  <w:style w:type="character" w:customStyle="1" w:styleId="OutlineNumberedLevel1Char">
    <w:name w:val="Outline Numbered Level 1 Char"/>
    <w:basedOn w:val="TitleChar"/>
    <w:link w:val="OutlineNumberedLevel1"/>
    <w:rsid w:val="009B68B6"/>
    <w:rPr>
      <w:rFonts w:ascii="Calibri" w:eastAsiaTheme="minorEastAsia" w:hAnsi="Calibri"/>
      <w:b/>
    </w:rPr>
  </w:style>
  <w:style w:type="paragraph" w:customStyle="1" w:styleId="OUtlineLevel4">
    <w:name w:val="OUtline Level 4"/>
    <w:basedOn w:val="Normal"/>
    <w:qFormat/>
    <w:rsid w:val="009B68B6"/>
    <w:pPr>
      <w:jc w:val="both"/>
    </w:pPr>
    <w:rPr>
      <w:rFonts w:ascii="Calibri" w:eastAsiaTheme="minorEastAsia" w:hAnsi="Calibri"/>
    </w:rPr>
  </w:style>
  <w:style w:type="paragraph" w:customStyle="1" w:styleId="Sectionheading">
    <w:name w:val="Section heading"/>
    <w:basedOn w:val="ListParagraph"/>
    <w:link w:val="SectionheadingChar"/>
    <w:qFormat/>
    <w:rsid w:val="009B68B6"/>
    <w:pPr>
      <w:ind w:left="0"/>
    </w:pPr>
    <w:rPr>
      <w:rFonts w:eastAsiaTheme="minorEastAsia"/>
      <w:b/>
    </w:rPr>
  </w:style>
  <w:style w:type="character" w:customStyle="1" w:styleId="SectionheadingChar">
    <w:name w:val="Section heading Char"/>
    <w:basedOn w:val="DefaultParagraphFont"/>
    <w:link w:val="Sectionheading"/>
    <w:rsid w:val="009B68B6"/>
    <w:rPr>
      <w:rFonts w:eastAsiaTheme="minorEastAsia"/>
      <w:b/>
    </w:rPr>
  </w:style>
  <w:style w:type="paragraph" w:customStyle="1" w:styleId="OutlineLevel2-Unbolded">
    <w:name w:val="Outline Level 2 - Unbolded"/>
    <w:basedOn w:val="Normal"/>
    <w:link w:val="OutlineLevel2-UnboldedChar"/>
    <w:qFormat/>
    <w:rsid w:val="009B68B6"/>
    <w:pPr>
      <w:ind w:left="426"/>
    </w:pPr>
    <w:rPr>
      <w:rFonts w:eastAsiaTheme="minorEastAsia"/>
    </w:rPr>
  </w:style>
  <w:style w:type="character" w:customStyle="1" w:styleId="OutlineLevel2-UnboldedChar">
    <w:name w:val="Outline Level 2 - Unbolded Char"/>
    <w:basedOn w:val="DefaultParagraphFont"/>
    <w:link w:val="OutlineLevel2-Unbolded"/>
    <w:rsid w:val="009B68B6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9B6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68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68B6"/>
    <w:rPr>
      <w:sz w:val="20"/>
      <w:szCs w:val="20"/>
    </w:rPr>
  </w:style>
  <w:style w:type="paragraph" w:customStyle="1" w:styleId="Default">
    <w:name w:val="Default"/>
    <w:basedOn w:val="Normal"/>
    <w:uiPriority w:val="99"/>
    <w:rsid w:val="009B68B6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9B6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8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2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095"/>
    <w:rPr>
      <w:rFonts w:ascii="Tahoma" w:hAnsi="Tahoma" w:cs="Tahoma"/>
      <w:sz w:val="16"/>
      <w:szCs w:val="16"/>
    </w:rPr>
  </w:style>
  <w:style w:type="paragraph" w:customStyle="1" w:styleId="aanormal">
    <w:name w:val="aanormal"/>
    <w:basedOn w:val="Normal"/>
    <w:uiPriority w:val="99"/>
    <w:rsid w:val="002368F4"/>
    <w:pPr>
      <w:spacing w:before="120" w:after="120" w:line="240" w:lineRule="auto"/>
      <w:jc w:val="both"/>
    </w:pPr>
    <w:rPr>
      <w:rFonts w:ascii="Calibri" w:hAnsi="Calibri" w:cs="Calibri"/>
      <w:color w:val="00000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51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51E6"/>
    <w:rPr>
      <w:b/>
      <w:bCs/>
      <w:sz w:val="20"/>
      <w:szCs w:val="20"/>
    </w:rPr>
  </w:style>
  <w:style w:type="paragraph" w:customStyle="1" w:styleId="AANormal0">
    <w:name w:val="AA Normal"/>
    <w:basedOn w:val="Normal"/>
    <w:qFormat/>
    <w:rsid w:val="00E076A2"/>
    <w:pPr>
      <w:spacing w:before="120" w:after="120" w:line="240" w:lineRule="auto"/>
      <w:jc w:val="both"/>
    </w:pPr>
    <w:rPr>
      <w:rFonts w:eastAsia="Times New Roman" w:cstheme="minorHAnsi"/>
      <w:bCs/>
      <w:color w:val="000000"/>
      <w:lang w:eastAsia="en-AU"/>
    </w:rPr>
  </w:style>
  <w:style w:type="paragraph" w:customStyle="1" w:styleId="AANormalBullet1">
    <w:name w:val="AA Normal Bullet 1"/>
    <w:basedOn w:val="AANormal0"/>
    <w:qFormat/>
    <w:rsid w:val="00E076A2"/>
    <w:pPr>
      <w:numPr>
        <w:numId w:val="1"/>
      </w:numPr>
      <w:contextualSpacing/>
    </w:pPr>
  </w:style>
  <w:style w:type="paragraph" w:styleId="Revision">
    <w:name w:val="Revision"/>
    <w:hidden/>
    <w:uiPriority w:val="99"/>
    <w:semiHidden/>
    <w:rsid w:val="00532D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9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41BB070DE61E4E850136900E739217" ma:contentTypeVersion="19" ma:contentTypeDescription="Create a new document." ma:contentTypeScope="" ma:versionID="b1bc576d01b9c18d88cb73b953cad12d">
  <xsd:schema xmlns:xsd="http://www.w3.org/2001/XMLSchema" xmlns:xs="http://www.w3.org/2001/XMLSchema" xmlns:p="http://schemas.microsoft.com/office/2006/metadata/properties" xmlns:ns2="8e9d9878-77a7-4c83-84d4-7107d580c42f" xmlns:ns3="1404b384-2208-42d0-9dc5-7f2ae408182b" targetNamespace="http://schemas.microsoft.com/office/2006/metadata/properties" ma:root="true" ma:fieldsID="b1779de78afe4f28657fa8edd1a8d2c2" ns2:_="" ns3:_="">
    <xsd:import namespace="8e9d9878-77a7-4c83-84d4-7107d580c42f"/>
    <xsd:import namespace="1404b384-2208-42d0-9dc5-7f2ae40818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Search_x0020_term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9d9878-77a7-4c83-84d4-7107d580c4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882f032-dad1-41cf-a60f-97869fdaaf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4b384-2208-42d0-9dc5-7f2ae408182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92ddbd2-4cba-4a32-8574-73083da6b27f}" ma:internalName="TaxCatchAll" ma:showField="CatchAllData" ma:web="1404b384-2208-42d0-9dc5-7f2ae40818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arch_x0020_terms xmlns="8e9d9878-77a7-4c83-84d4-7107d580c42f" xsi:nil="true"/>
    <TaxCatchAll xmlns="1404b384-2208-42d0-9dc5-7f2ae408182b" xsi:nil="true"/>
    <lcf76f155ced4ddcb4097134ff3c332f xmlns="8e9d9878-77a7-4c83-84d4-7107d580c42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��< ? x m l   v e r s i o n = " 1 . 0 "   e n c o d i n g = " u t f - 1 6 " ? > < K a p i s h F i l e n a m e T o U r i M a p p i n g s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4A9D9A-C5A8-4F14-ABC0-FC3B21ADB2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74BE36-F5B3-4B16-9BE4-7380D0D971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9d9878-77a7-4c83-84d4-7107d580c42f"/>
    <ds:schemaRef ds:uri="1404b384-2208-42d0-9dc5-7f2ae4081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FD1D00-9292-4FE3-BF44-2AC475796856}">
  <ds:schemaRefs>
    <ds:schemaRef ds:uri="http://schemas.microsoft.com/office/2006/metadata/properties"/>
    <ds:schemaRef ds:uri="http://schemas.microsoft.com/office/infopath/2007/PartnerControls"/>
    <ds:schemaRef ds:uri="8e9d9878-77a7-4c83-84d4-7107d580c42f"/>
    <ds:schemaRef ds:uri="1404b384-2208-42d0-9dc5-7f2ae408182b"/>
  </ds:schemaRefs>
</ds:datastoreItem>
</file>

<file path=customXml/itemProps4.xml><?xml version="1.0" encoding="utf-8"?>
<ds:datastoreItem xmlns:ds="http://schemas.openxmlformats.org/officeDocument/2006/customXml" ds:itemID="{18F37158-2BF5-4A5A-9F12-096B398B0FC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C740D7-7FC3-42B5-AC5F-A8B87BD6ABE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2422</Characters>
  <Application>Microsoft Office Word</Application>
  <DocSecurity>0</DocSecurity>
  <Lines>78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Heavy Vehicle Regulator</Company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Raymond Hassall</dc:creator>
  <cp:lastModifiedBy>Zachary Stewart</cp:lastModifiedBy>
  <cp:revision>7</cp:revision>
  <cp:lastPrinted>2015-07-08T23:41:00Z</cp:lastPrinted>
  <dcterms:created xsi:type="dcterms:W3CDTF">2024-07-09T03:29:00Z</dcterms:created>
  <dcterms:modified xsi:type="dcterms:W3CDTF">2024-07-09T23:43:00Z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0x0101003D41BB070DE61E4E850136900E739217</vt:lpwstr>
  </property>
  <property fmtid="{D5CDD505-2E9C-101B-9397-08002B2CF9AE}" pid="3" name="MediaServiceImageTags">
    <vt:lpwstr/>
  </property>
</Properties>
</file>