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13B0325A" w:rsidR="00DD1752" w:rsidRDefault="00A2701E" w:rsidP="00F945ED">
      <w:pPr>
        <w:contextualSpacing/>
        <w:jc w:val="both"/>
        <w:rPr>
          <w:b/>
          <w:bCs/>
          <w:sz w:val="28"/>
          <w:szCs w:val="28"/>
        </w:rPr>
      </w:pPr>
      <w:r w:rsidRPr="00A2701E">
        <w:rPr>
          <w:b/>
          <w:bCs/>
          <w:sz w:val="28"/>
          <w:szCs w:val="28"/>
        </w:rPr>
        <w:t>New South Wales Class 1 Special Purpose Vehicle and Combination Exemption Notice 202</w:t>
      </w:r>
      <w:r w:rsidR="004F33D0">
        <w:rPr>
          <w:b/>
          <w:bCs/>
          <w:sz w:val="28"/>
          <w:szCs w:val="28"/>
        </w:rPr>
        <w:t>4</w:t>
      </w:r>
      <w:r w:rsidRPr="00A2701E">
        <w:rPr>
          <w:b/>
          <w:bCs/>
          <w:sz w:val="28"/>
          <w:szCs w:val="28"/>
        </w:rPr>
        <w:t xml:space="preserve"> (No.</w:t>
      </w:r>
      <w:r w:rsidR="000D1A1F">
        <w:rPr>
          <w:b/>
          <w:bCs/>
          <w:sz w:val="28"/>
          <w:szCs w:val="28"/>
        </w:rPr>
        <w:t>2</w:t>
      </w:r>
      <w:r w:rsidRPr="00A2701E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 </w:t>
      </w:r>
    </w:p>
    <w:p w14:paraId="62E238DF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Purpose</w:t>
      </w:r>
    </w:p>
    <w:p w14:paraId="1BACBA26" w14:textId="77777777" w:rsidR="004212EC" w:rsidRDefault="004212EC" w:rsidP="004212EC">
      <w:pPr>
        <w:pStyle w:val="ListParagraph"/>
        <w:ind w:left="1080"/>
      </w:pPr>
    </w:p>
    <w:p w14:paraId="4C6E164D" w14:textId="77777777" w:rsidR="004212EC" w:rsidRDefault="004212EC" w:rsidP="004212EC">
      <w:pPr>
        <w:pStyle w:val="ListParagraph"/>
        <w:numPr>
          <w:ilvl w:val="0"/>
          <w:numId w:val="30"/>
        </w:numPr>
        <w:spacing w:line="256" w:lineRule="auto"/>
        <w:jc w:val="both"/>
      </w:pPr>
      <w:r>
        <w:t>This notice grants exemptions from mass and dimension requirements for a class 1 heavy vehicle that is a special purpose vehicle (SPV) or a SPV combination.</w:t>
      </w:r>
    </w:p>
    <w:p w14:paraId="365A614A" w14:textId="77777777" w:rsidR="004212EC" w:rsidRDefault="004212EC" w:rsidP="004212EC">
      <w:pPr>
        <w:pStyle w:val="ListParagraph"/>
        <w:ind w:left="1080"/>
      </w:pPr>
    </w:p>
    <w:p w14:paraId="44531B24" w14:textId="77777777" w:rsidR="004212EC" w:rsidRDefault="004212EC" w:rsidP="004212EC">
      <w:pPr>
        <w:pStyle w:val="ListParagraph"/>
        <w:numPr>
          <w:ilvl w:val="0"/>
          <w:numId w:val="30"/>
        </w:numPr>
        <w:spacing w:line="256" w:lineRule="auto"/>
        <w:jc w:val="both"/>
      </w:pPr>
      <w:r>
        <w:t xml:space="preserve">This notice revokes and replaces the </w:t>
      </w:r>
      <w:r w:rsidRPr="006C7A39">
        <w:rPr>
          <w:i/>
          <w:iCs/>
        </w:rPr>
        <w:t>New South Wales Class 1 Special Purpose Vehicle and Combination Exemption Notice 2024 (No.1)</w:t>
      </w:r>
      <w:r>
        <w:t>.</w:t>
      </w:r>
    </w:p>
    <w:p w14:paraId="434503F4" w14:textId="77777777" w:rsidR="004212EC" w:rsidRDefault="004212EC" w:rsidP="004212EC">
      <w:pPr>
        <w:pStyle w:val="ListParagraph"/>
        <w:ind w:left="1080"/>
      </w:pPr>
    </w:p>
    <w:p w14:paraId="49B5733E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Authorising provision</w:t>
      </w:r>
    </w:p>
    <w:p w14:paraId="5112F5ED" w14:textId="77777777" w:rsidR="004212EC" w:rsidRDefault="004212EC" w:rsidP="004212EC">
      <w:pPr>
        <w:pStyle w:val="ListParagraph"/>
        <w:rPr>
          <w:b/>
          <w:bCs/>
        </w:rPr>
      </w:pPr>
    </w:p>
    <w:p w14:paraId="5F716E38" w14:textId="77777777" w:rsidR="004212EC" w:rsidRDefault="004212EC" w:rsidP="004212EC">
      <w:pPr>
        <w:pStyle w:val="ListParagraph"/>
        <w:numPr>
          <w:ilvl w:val="0"/>
          <w:numId w:val="31"/>
        </w:numPr>
        <w:spacing w:line="256" w:lineRule="auto"/>
        <w:jc w:val="both"/>
      </w:pPr>
      <w:r>
        <w:t>This notice is made under the following provision of the HVNL:</w:t>
      </w:r>
    </w:p>
    <w:p w14:paraId="1D9E547B" w14:textId="77777777" w:rsidR="004212EC" w:rsidRDefault="004212EC" w:rsidP="004212EC">
      <w:pPr>
        <w:pStyle w:val="ListParagraph"/>
        <w:ind w:left="1080"/>
      </w:pPr>
    </w:p>
    <w:p w14:paraId="5E1BA901" w14:textId="77777777" w:rsidR="004212EC" w:rsidRPr="009D2639" w:rsidRDefault="004212EC" w:rsidP="004212EC">
      <w:pPr>
        <w:pStyle w:val="ListParagraph"/>
        <w:numPr>
          <w:ilvl w:val="0"/>
          <w:numId w:val="32"/>
        </w:numPr>
        <w:spacing w:line="256" w:lineRule="auto"/>
        <w:jc w:val="both"/>
      </w:pPr>
      <w:r w:rsidRPr="009D2639">
        <w:t>section 117 – Regulator’s power to exempt category of class 1 or 3 heavy vehicles from compliance with mass or dimension requirement.</w:t>
      </w:r>
    </w:p>
    <w:p w14:paraId="662F7FA6" w14:textId="77777777" w:rsidR="004212EC" w:rsidRPr="009D2639" w:rsidRDefault="004212EC" w:rsidP="004212EC">
      <w:pPr>
        <w:pStyle w:val="ListParagraph"/>
        <w:numPr>
          <w:ilvl w:val="0"/>
          <w:numId w:val="32"/>
        </w:numPr>
        <w:spacing w:line="256" w:lineRule="auto"/>
        <w:jc w:val="both"/>
      </w:pPr>
      <w:r w:rsidRPr="009D2639">
        <w:t>section 23 of Schedule 1 – Regulator’s power to amend or repeal instrument.</w:t>
      </w:r>
    </w:p>
    <w:p w14:paraId="4740FFE9" w14:textId="77777777" w:rsidR="004212EC" w:rsidRDefault="004212EC" w:rsidP="004212EC">
      <w:pPr>
        <w:pStyle w:val="ListParagraph"/>
        <w:ind w:left="1440"/>
        <w:rPr>
          <w:i/>
          <w:iCs/>
        </w:rPr>
      </w:pPr>
    </w:p>
    <w:p w14:paraId="23A66A1C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Title</w:t>
      </w:r>
    </w:p>
    <w:p w14:paraId="42416D31" w14:textId="77777777" w:rsidR="004212EC" w:rsidRDefault="004212EC" w:rsidP="004212EC">
      <w:pPr>
        <w:pStyle w:val="ListParagraph"/>
        <w:ind w:left="1080"/>
      </w:pPr>
    </w:p>
    <w:p w14:paraId="6306D368" w14:textId="7BADB24F" w:rsidR="004212EC" w:rsidRDefault="004212EC" w:rsidP="004212EC">
      <w:pPr>
        <w:pStyle w:val="ListParagraph"/>
        <w:ind w:left="1080"/>
      </w:pPr>
      <w:r>
        <w:t xml:space="preserve">This notice may be cited as the </w:t>
      </w:r>
      <w:r w:rsidRPr="00014705">
        <w:rPr>
          <w:i/>
          <w:iCs/>
        </w:rPr>
        <w:t>New South Wales Class 1 Special Purpose Vehicle and Combination Exemption Notice 2024 (No.2)</w:t>
      </w:r>
      <w:r w:rsidRPr="009D2639">
        <w:t>.</w:t>
      </w:r>
    </w:p>
    <w:p w14:paraId="17E9181F" w14:textId="77777777" w:rsidR="004212EC" w:rsidRDefault="004212EC" w:rsidP="004212EC">
      <w:pPr>
        <w:pStyle w:val="ListParagraph"/>
        <w:ind w:left="1440"/>
      </w:pPr>
    </w:p>
    <w:p w14:paraId="644F20D8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Commencement date</w:t>
      </w:r>
    </w:p>
    <w:p w14:paraId="4AABF887" w14:textId="77777777" w:rsidR="004212EC" w:rsidRDefault="004212EC" w:rsidP="004212EC">
      <w:pPr>
        <w:pStyle w:val="ListParagraph"/>
        <w:rPr>
          <w:b/>
          <w:bCs/>
        </w:rPr>
      </w:pPr>
    </w:p>
    <w:p w14:paraId="426A28C3" w14:textId="77777777" w:rsidR="004212EC" w:rsidRDefault="004212EC" w:rsidP="004212EC">
      <w:pPr>
        <w:pStyle w:val="ListParagraph"/>
        <w:ind w:left="1080"/>
      </w:pPr>
      <w:r>
        <w:t>This notice commences on 20 July 2024.</w:t>
      </w:r>
    </w:p>
    <w:p w14:paraId="7DAA92E2" w14:textId="77777777" w:rsidR="004212EC" w:rsidRDefault="004212EC" w:rsidP="004212EC">
      <w:pPr>
        <w:pStyle w:val="ListParagraph"/>
        <w:ind w:left="1080"/>
      </w:pPr>
    </w:p>
    <w:p w14:paraId="13D1E456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Expiry date</w:t>
      </w:r>
    </w:p>
    <w:p w14:paraId="76317102" w14:textId="77777777" w:rsidR="004212EC" w:rsidRDefault="004212EC" w:rsidP="004212EC">
      <w:pPr>
        <w:pStyle w:val="ListParagraph"/>
        <w:rPr>
          <w:b/>
          <w:bCs/>
        </w:rPr>
      </w:pPr>
    </w:p>
    <w:p w14:paraId="61C95BA7" w14:textId="77777777" w:rsidR="004212EC" w:rsidRDefault="004212EC" w:rsidP="004212EC">
      <w:pPr>
        <w:pStyle w:val="ListParagraph"/>
        <w:ind w:left="1080"/>
      </w:pPr>
      <w:r>
        <w:t>This notice expires on 9 February 2029.</w:t>
      </w:r>
    </w:p>
    <w:p w14:paraId="6499C4C8" w14:textId="77777777" w:rsidR="00565E16" w:rsidRDefault="00565E16" w:rsidP="00565E16">
      <w:pPr>
        <w:pStyle w:val="ListParagraph"/>
        <w:spacing w:line="256" w:lineRule="auto"/>
        <w:jc w:val="both"/>
        <w:rPr>
          <w:b/>
          <w:bCs/>
        </w:rPr>
      </w:pPr>
    </w:p>
    <w:p w14:paraId="7CEFF5B1" w14:textId="35143DF6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Definitions</w:t>
      </w:r>
    </w:p>
    <w:p w14:paraId="1CB175F9" w14:textId="77777777" w:rsidR="004212EC" w:rsidRDefault="004212EC" w:rsidP="004212EC">
      <w:pPr>
        <w:pStyle w:val="ListParagraph"/>
        <w:ind w:left="1080"/>
      </w:pPr>
    </w:p>
    <w:p w14:paraId="5F078FDF" w14:textId="77777777" w:rsidR="004212EC" w:rsidRDefault="004212EC" w:rsidP="004212EC">
      <w:pPr>
        <w:pStyle w:val="ListParagraph"/>
        <w:numPr>
          <w:ilvl w:val="0"/>
          <w:numId w:val="33"/>
        </w:numPr>
        <w:spacing w:line="256" w:lineRule="auto"/>
        <w:jc w:val="both"/>
      </w:pPr>
      <w:r>
        <w:t>Unless otherwise stated, words and expressions used in this notice have the same meanings as those in the HVNL and its regulations.</w:t>
      </w:r>
    </w:p>
    <w:p w14:paraId="4027439D" w14:textId="77777777" w:rsidR="004212EC" w:rsidRDefault="004212EC" w:rsidP="004212EC">
      <w:pPr>
        <w:pStyle w:val="ListParagraph"/>
        <w:ind w:left="1080"/>
      </w:pPr>
    </w:p>
    <w:p w14:paraId="3D59C390" w14:textId="77777777" w:rsidR="004212EC" w:rsidRDefault="004212EC" w:rsidP="004212EC">
      <w:pPr>
        <w:pStyle w:val="ListParagraph"/>
        <w:numPr>
          <w:ilvl w:val="0"/>
          <w:numId w:val="33"/>
        </w:numPr>
        <w:spacing w:line="256" w:lineRule="auto"/>
        <w:jc w:val="both"/>
      </w:pPr>
      <w:r>
        <w:t>In this notice:</w:t>
      </w:r>
    </w:p>
    <w:p w14:paraId="37B049DF" w14:textId="77777777" w:rsidR="004212EC" w:rsidRPr="009D2639" w:rsidRDefault="004212EC" w:rsidP="004212EC">
      <w:pPr>
        <w:ind w:left="1440"/>
        <w:jc w:val="both"/>
      </w:pPr>
      <w:r w:rsidRPr="009D2639">
        <w:rPr>
          <w:b/>
          <w:bCs/>
        </w:rPr>
        <w:t>Special purpose vehicle combination</w:t>
      </w:r>
      <w:r w:rsidRPr="009D2639">
        <w:t xml:space="preserve"> means a combination consisting of:</w:t>
      </w:r>
    </w:p>
    <w:p w14:paraId="010ED2B2" w14:textId="5EB201E8" w:rsidR="004212EC" w:rsidRPr="009D2639" w:rsidRDefault="00F968DA" w:rsidP="006C7A39">
      <w:pPr>
        <w:pStyle w:val="ListParagraph"/>
        <w:numPr>
          <w:ilvl w:val="0"/>
          <w:numId w:val="49"/>
        </w:numPr>
        <w:jc w:val="both"/>
      </w:pPr>
      <w:r>
        <w:t>a</w:t>
      </w:r>
      <w:r w:rsidR="004212EC" w:rsidRPr="009D2639">
        <w:t xml:space="preserve"> special purpose vehicle towing a trailer; or</w:t>
      </w:r>
    </w:p>
    <w:p w14:paraId="30B5B29C" w14:textId="118AF7D7" w:rsidR="004212EC" w:rsidRPr="009D2639" w:rsidRDefault="00F968DA" w:rsidP="006C7A39">
      <w:pPr>
        <w:pStyle w:val="ListParagraph"/>
        <w:numPr>
          <w:ilvl w:val="0"/>
          <w:numId w:val="49"/>
        </w:numPr>
        <w:jc w:val="both"/>
      </w:pPr>
      <w:r>
        <w:t>a</w:t>
      </w:r>
      <w:r w:rsidR="004212EC" w:rsidRPr="009D2639">
        <w:t xml:space="preserve"> prime mover towing a special purpose trailer; or</w:t>
      </w:r>
    </w:p>
    <w:p w14:paraId="4591CA23" w14:textId="4E6B612D" w:rsidR="004212EC" w:rsidRPr="009D2639" w:rsidRDefault="00F968DA" w:rsidP="006C7A39">
      <w:pPr>
        <w:pStyle w:val="ListParagraph"/>
        <w:numPr>
          <w:ilvl w:val="0"/>
          <w:numId w:val="49"/>
        </w:numPr>
        <w:jc w:val="both"/>
      </w:pPr>
      <w:r>
        <w:lastRenderedPageBreak/>
        <w:t>a</w:t>
      </w:r>
      <w:r w:rsidR="004212EC" w:rsidRPr="009D2639">
        <w:t xml:space="preserve"> special purpose vehicle towing a special purpose trailer.</w:t>
      </w:r>
    </w:p>
    <w:p w14:paraId="18BA5154" w14:textId="77777777" w:rsidR="004212EC" w:rsidRPr="009D2639" w:rsidRDefault="004212EC" w:rsidP="004212EC">
      <w:pPr>
        <w:ind w:left="1440"/>
        <w:jc w:val="both"/>
      </w:pPr>
      <w:r w:rsidRPr="009D2639">
        <w:rPr>
          <w:b/>
          <w:bCs/>
        </w:rPr>
        <w:t>Mobile crane</w:t>
      </w:r>
      <w:r w:rsidRPr="009D2639">
        <w:t xml:space="preserve"> means a heavy motor vehicle that is:</w:t>
      </w:r>
    </w:p>
    <w:p w14:paraId="3ECED111" w14:textId="5AE0633C" w:rsidR="004212EC" w:rsidRPr="009D2639" w:rsidRDefault="004212EC" w:rsidP="006C7A39">
      <w:pPr>
        <w:pStyle w:val="ListParagraph"/>
        <w:numPr>
          <w:ilvl w:val="0"/>
          <w:numId w:val="50"/>
        </w:numPr>
        <w:jc w:val="both"/>
      </w:pPr>
      <w:r w:rsidRPr="009D2639">
        <w:t>equipped with a crane or other lifting device; and</w:t>
      </w:r>
    </w:p>
    <w:p w14:paraId="1F3752F1" w14:textId="3EEF0604" w:rsidR="004212EC" w:rsidRPr="009D2639" w:rsidRDefault="004212EC" w:rsidP="006C7A39">
      <w:pPr>
        <w:pStyle w:val="ListParagraph"/>
        <w:numPr>
          <w:ilvl w:val="0"/>
          <w:numId w:val="50"/>
        </w:numPr>
        <w:jc w:val="both"/>
      </w:pPr>
      <w:r w:rsidRPr="009D2639">
        <w:t>designed primarily for raising, moving and lowering a freely suspended load.</w:t>
      </w:r>
    </w:p>
    <w:p w14:paraId="46444520" w14:textId="77777777" w:rsidR="004212EC" w:rsidRDefault="004212EC" w:rsidP="004212EC">
      <w:pPr>
        <w:ind w:left="1440"/>
        <w:jc w:val="both"/>
      </w:pPr>
      <w:r w:rsidRPr="009D2639">
        <w:rPr>
          <w:b/>
          <w:bCs/>
        </w:rPr>
        <w:t>Truck mounted SPV</w:t>
      </w:r>
      <w:r w:rsidRPr="009D2639">
        <w:t xml:space="preserve"> means an SPV built using an ADR compliant heavy vehicle cab chassis.</w:t>
      </w:r>
    </w:p>
    <w:p w14:paraId="1AC4D999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Application</w:t>
      </w:r>
    </w:p>
    <w:p w14:paraId="0CDC7CCE" w14:textId="77777777" w:rsidR="004212EC" w:rsidRDefault="004212EC" w:rsidP="004212EC">
      <w:pPr>
        <w:pStyle w:val="ListParagraph"/>
        <w:rPr>
          <w:b/>
          <w:bCs/>
        </w:rPr>
      </w:pPr>
    </w:p>
    <w:p w14:paraId="01ACA37C" w14:textId="2FD1AC21" w:rsidR="004212EC" w:rsidRDefault="004212EC" w:rsidP="004212EC">
      <w:pPr>
        <w:pStyle w:val="ListParagraph"/>
        <w:numPr>
          <w:ilvl w:val="0"/>
          <w:numId w:val="34"/>
        </w:numPr>
        <w:spacing w:line="256" w:lineRule="auto"/>
        <w:jc w:val="both"/>
      </w:pPr>
      <w:r>
        <w:t>This notice applies to a class 1 heavy vehicle that meets all the requirements in this section.</w:t>
      </w:r>
    </w:p>
    <w:p w14:paraId="57088BCF" w14:textId="77777777" w:rsidR="004212EC" w:rsidRDefault="004212EC" w:rsidP="004212EC">
      <w:pPr>
        <w:pStyle w:val="ListParagraph"/>
        <w:ind w:left="1080"/>
      </w:pPr>
    </w:p>
    <w:p w14:paraId="7DE87424" w14:textId="19C52FB4" w:rsidR="004212EC" w:rsidRDefault="004212EC" w:rsidP="004212EC">
      <w:pPr>
        <w:pStyle w:val="ListParagraph"/>
        <w:numPr>
          <w:ilvl w:val="0"/>
          <w:numId w:val="34"/>
        </w:numPr>
        <w:spacing w:line="256" w:lineRule="auto"/>
        <w:jc w:val="both"/>
      </w:pPr>
      <w:r>
        <w:t>This notice applies to a heavy vehicle that is a special purpose vehicle or a special purpose vehicle combination that does not exceed 40t in GVM.</w:t>
      </w:r>
    </w:p>
    <w:p w14:paraId="59BC8828" w14:textId="77777777" w:rsidR="004212EC" w:rsidRDefault="004212EC" w:rsidP="004212EC">
      <w:pPr>
        <w:pStyle w:val="ListParagraph"/>
        <w:ind w:left="1080"/>
      </w:pPr>
    </w:p>
    <w:p w14:paraId="30C042C5" w14:textId="77777777" w:rsidR="004212EC" w:rsidRDefault="004212EC" w:rsidP="004212EC">
      <w:pPr>
        <w:pStyle w:val="ListParagraph"/>
        <w:numPr>
          <w:ilvl w:val="0"/>
          <w:numId w:val="34"/>
        </w:numPr>
        <w:spacing w:line="256" w:lineRule="auto"/>
        <w:jc w:val="both"/>
      </w:pPr>
      <w:r>
        <w:t>This notice does not apply to a SPV equipped with a triaxle drive group, or SPV trailers with non-drive tri-axle groups.</w:t>
      </w:r>
    </w:p>
    <w:p w14:paraId="5ACE4A0B" w14:textId="77777777" w:rsidR="004212EC" w:rsidRDefault="004212EC" w:rsidP="004212EC">
      <w:pPr>
        <w:pStyle w:val="ListParagraph"/>
        <w:ind w:left="1080"/>
      </w:pPr>
    </w:p>
    <w:p w14:paraId="36FB76F7" w14:textId="77777777" w:rsidR="004212EC" w:rsidRDefault="004212EC" w:rsidP="004212EC">
      <w:pPr>
        <w:pStyle w:val="ListParagraph"/>
        <w:numPr>
          <w:ilvl w:val="0"/>
          <w:numId w:val="34"/>
        </w:numPr>
        <w:spacing w:line="256" w:lineRule="auto"/>
        <w:jc w:val="both"/>
      </w:pPr>
      <w:r>
        <w:t>This notice applies in New South Wales.</w:t>
      </w:r>
    </w:p>
    <w:p w14:paraId="680FBBF1" w14:textId="77777777" w:rsidR="004212EC" w:rsidRDefault="004212EC" w:rsidP="004212EC">
      <w:pPr>
        <w:pStyle w:val="ListParagraph"/>
        <w:ind w:left="1080"/>
      </w:pPr>
    </w:p>
    <w:p w14:paraId="3EAA0111" w14:textId="77777777" w:rsidR="004212EC" w:rsidRDefault="004212EC" w:rsidP="004212EC">
      <w:pPr>
        <w:pStyle w:val="ListParagraph"/>
        <w:numPr>
          <w:ilvl w:val="0"/>
          <w:numId w:val="34"/>
        </w:numPr>
        <w:spacing w:line="256" w:lineRule="auto"/>
        <w:jc w:val="both"/>
      </w:pPr>
      <w:r>
        <w:t>A heavy vehicle to which this section applies and that complies with the conditions of this notice is an eligible vehicle.</w:t>
      </w:r>
    </w:p>
    <w:p w14:paraId="1B322096" w14:textId="77777777" w:rsidR="00BF21AF" w:rsidRDefault="00BF21AF" w:rsidP="00BF21AF">
      <w:pPr>
        <w:pStyle w:val="ListParagraph"/>
        <w:spacing w:line="256" w:lineRule="auto"/>
        <w:jc w:val="both"/>
        <w:rPr>
          <w:b/>
          <w:bCs/>
        </w:rPr>
      </w:pPr>
    </w:p>
    <w:p w14:paraId="760863BC" w14:textId="57EC3174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3AE721B4" w14:textId="77777777" w:rsidR="004212EC" w:rsidRDefault="004212EC" w:rsidP="004212EC">
      <w:pPr>
        <w:pStyle w:val="ListParagraph"/>
        <w:ind w:left="1080"/>
      </w:pPr>
    </w:p>
    <w:p w14:paraId="5004BA5A" w14:textId="77777777" w:rsidR="004212EC" w:rsidRDefault="004212EC" w:rsidP="004212EC">
      <w:pPr>
        <w:pStyle w:val="ListParagraph"/>
        <w:numPr>
          <w:ilvl w:val="0"/>
          <w:numId w:val="35"/>
        </w:numPr>
        <w:spacing w:line="256" w:lineRule="auto"/>
        <w:jc w:val="both"/>
      </w:pPr>
      <w:r>
        <w:t xml:space="preserve">An eligible vehicle is exempt from the following mass requirements under Schedule 1 of the </w:t>
      </w:r>
      <w:r w:rsidRPr="00CE3746">
        <w:rPr>
          <w:i/>
          <w:iCs/>
        </w:rPr>
        <w:t>Heavy Vehicle (Mass Dimension and Loading) National Regulation</w:t>
      </w:r>
      <w:r w:rsidRPr="003B61F2">
        <w:t xml:space="preserve"> (</w:t>
      </w:r>
      <w:r>
        <w:t>MDL Regulation):</w:t>
      </w:r>
    </w:p>
    <w:p w14:paraId="606DDEDE" w14:textId="77777777" w:rsidR="004212EC" w:rsidRDefault="004212EC" w:rsidP="004212EC">
      <w:pPr>
        <w:pStyle w:val="ListParagraph"/>
        <w:ind w:left="1080"/>
      </w:pPr>
    </w:p>
    <w:p w14:paraId="720BD21F" w14:textId="437751F3" w:rsidR="004212EC" w:rsidRDefault="004212EC" w:rsidP="004212EC">
      <w:pPr>
        <w:pStyle w:val="ListParagraph"/>
        <w:numPr>
          <w:ilvl w:val="0"/>
          <w:numId w:val="36"/>
        </w:numPr>
        <w:spacing w:line="256" w:lineRule="auto"/>
        <w:jc w:val="both"/>
      </w:pPr>
      <w:r>
        <w:t>section 2 – Mass limits for a single vehicle or combination</w:t>
      </w:r>
      <w:r w:rsidR="008A1D17">
        <w:t>,</w:t>
      </w:r>
      <w:r>
        <w:t xml:space="preserve"> </w:t>
      </w:r>
    </w:p>
    <w:p w14:paraId="4A88E98B" w14:textId="4B063802" w:rsidR="004212EC" w:rsidRDefault="004212EC" w:rsidP="004212EC">
      <w:pPr>
        <w:pStyle w:val="ListParagraph"/>
        <w:numPr>
          <w:ilvl w:val="0"/>
          <w:numId w:val="36"/>
        </w:numPr>
        <w:spacing w:line="256" w:lineRule="auto"/>
        <w:jc w:val="both"/>
      </w:pPr>
      <w:r>
        <w:t>section 4 – Mass limits for a single axle or axle group</w:t>
      </w:r>
      <w:r w:rsidR="008A1D17">
        <w:t>,</w:t>
      </w:r>
    </w:p>
    <w:p w14:paraId="01746420" w14:textId="4F2C4784" w:rsidR="004212EC" w:rsidRDefault="004212EC" w:rsidP="004212EC">
      <w:pPr>
        <w:pStyle w:val="ListParagraph"/>
        <w:numPr>
          <w:ilvl w:val="0"/>
          <w:numId w:val="36"/>
        </w:numPr>
        <w:spacing w:line="256" w:lineRule="auto"/>
        <w:jc w:val="both"/>
      </w:pPr>
      <w:r>
        <w:t>section 5 – Mass limits relating to axle spacing generally</w:t>
      </w:r>
      <w:r w:rsidR="0020145F">
        <w:t>.</w:t>
      </w:r>
    </w:p>
    <w:p w14:paraId="6931BEF1" w14:textId="77777777" w:rsidR="004212EC" w:rsidRDefault="004212EC" w:rsidP="004212EC">
      <w:pPr>
        <w:pStyle w:val="ListParagraph"/>
        <w:ind w:left="1440"/>
      </w:pPr>
    </w:p>
    <w:p w14:paraId="347720E8" w14:textId="515BE2E4" w:rsidR="004212EC" w:rsidRDefault="004212EC" w:rsidP="004212EC">
      <w:pPr>
        <w:pStyle w:val="ListParagraph"/>
        <w:numPr>
          <w:ilvl w:val="0"/>
          <w:numId w:val="35"/>
        </w:numPr>
        <w:spacing w:line="256" w:lineRule="auto"/>
        <w:jc w:val="both"/>
      </w:pPr>
      <w:r>
        <w:t xml:space="preserve">An exemption in </w:t>
      </w:r>
      <w:r w:rsidR="009B7EB2">
        <w:t>(</w:t>
      </w:r>
      <w:r>
        <w:t>1) only applies to an eligible vehicle to the extent that specific conditional mass limits are provided in sections 9, 10 and 11 of this notice.</w:t>
      </w:r>
    </w:p>
    <w:p w14:paraId="5936452A" w14:textId="77777777" w:rsidR="004212EC" w:rsidRDefault="004212EC" w:rsidP="004212EC">
      <w:pPr>
        <w:pStyle w:val="ListParagraph"/>
        <w:ind w:left="1080"/>
      </w:pPr>
    </w:p>
    <w:p w14:paraId="120830C8" w14:textId="77777777" w:rsidR="004212EC" w:rsidRDefault="004212EC" w:rsidP="004212EC">
      <w:pPr>
        <w:pStyle w:val="ListParagraph"/>
        <w:numPr>
          <w:ilvl w:val="0"/>
          <w:numId w:val="35"/>
        </w:numPr>
        <w:spacing w:line="256" w:lineRule="auto"/>
        <w:jc w:val="both"/>
      </w:pPr>
      <w:r>
        <w:t>In relation to a particular vehicle or component, if this notice provides for more than one mass limit to apply in the same circumstances, the more restrictive dimension limit applies.</w:t>
      </w:r>
    </w:p>
    <w:p w14:paraId="5F4417EF" w14:textId="77777777" w:rsidR="004212EC" w:rsidRDefault="004212EC" w:rsidP="004212EC">
      <w:pPr>
        <w:pStyle w:val="ListParagraph"/>
        <w:ind w:left="1080"/>
      </w:pPr>
    </w:p>
    <w:p w14:paraId="52571D44" w14:textId="77777777" w:rsidR="004212EC" w:rsidRDefault="004212EC" w:rsidP="004212EC">
      <w:pPr>
        <w:pStyle w:val="ListParagraph"/>
        <w:numPr>
          <w:ilvl w:val="0"/>
          <w:numId w:val="35"/>
        </w:numPr>
        <w:spacing w:line="256" w:lineRule="auto"/>
        <w:jc w:val="both"/>
      </w:pPr>
      <w:r>
        <w:t xml:space="preserve">In any case, any additional or conditional mass allowed under this notice may not exceed manufacturer’s mass limits pursuant to section 8 of the MDL Regulation. </w:t>
      </w:r>
    </w:p>
    <w:p w14:paraId="730A93B0" w14:textId="77777777" w:rsidR="004212EC" w:rsidRDefault="004212EC" w:rsidP="004212EC">
      <w:pPr>
        <w:pStyle w:val="ListParagraph"/>
        <w:ind w:left="1080"/>
      </w:pPr>
    </w:p>
    <w:p w14:paraId="77D0CCE8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Conditions – Mass (total mass of an eligible vehicle)</w:t>
      </w:r>
    </w:p>
    <w:p w14:paraId="2051D7CB" w14:textId="77777777" w:rsidR="004212EC" w:rsidRDefault="004212EC" w:rsidP="004212EC">
      <w:pPr>
        <w:pStyle w:val="ListParagraph"/>
        <w:ind w:left="1080"/>
        <w:rPr>
          <w:lang w:val="en-US"/>
        </w:rPr>
      </w:pPr>
    </w:p>
    <w:p w14:paraId="7ED055CB" w14:textId="77777777" w:rsidR="004212EC" w:rsidRDefault="004212EC" w:rsidP="004212EC">
      <w:pPr>
        <w:pStyle w:val="ListParagraph"/>
        <w:ind w:left="1080"/>
        <w:rPr>
          <w:lang w:val="en-US"/>
        </w:rPr>
      </w:pPr>
      <w:r>
        <w:rPr>
          <w:lang w:val="en-US"/>
        </w:rPr>
        <w:t>An eligible vehicle must not exceed a GVM of 40t.</w:t>
      </w:r>
    </w:p>
    <w:p w14:paraId="19783ECA" w14:textId="77777777" w:rsidR="004212EC" w:rsidRDefault="004212EC" w:rsidP="004212EC">
      <w:pPr>
        <w:pStyle w:val="ListParagraph"/>
        <w:ind w:left="1080"/>
        <w:rPr>
          <w:lang w:val="en-US"/>
        </w:rPr>
      </w:pPr>
    </w:p>
    <w:p w14:paraId="64778A44" w14:textId="77777777" w:rsidR="00565E16" w:rsidRDefault="00565E16" w:rsidP="004212EC">
      <w:pPr>
        <w:pStyle w:val="ListParagraph"/>
        <w:ind w:left="1080"/>
        <w:rPr>
          <w:lang w:val="en-US"/>
        </w:rPr>
      </w:pPr>
    </w:p>
    <w:p w14:paraId="350D908B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lastRenderedPageBreak/>
        <w:t>Conditions – Mass (Mass limits for types of axle groups)</w:t>
      </w:r>
    </w:p>
    <w:p w14:paraId="646EF112" w14:textId="77777777" w:rsidR="004212EC" w:rsidRDefault="004212EC" w:rsidP="004212EC">
      <w:pPr>
        <w:pStyle w:val="ListParagraph"/>
        <w:ind w:left="1080"/>
      </w:pPr>
    </w:p>
    <w:p w14:paraId="0F2331CF" w14:textId="77777777" w:rsidR="004212EC" w:rsidRDefault="004212EC" w:rsidP="004212EC">
      <w:pPr>
        <w:pStyle w:val="ListParagraph"/>
        <w:numPr>
          <w:ilvl w:val="0"/>
          <w:numId w:val="37"/>
        </w:numPr>
        <w:spacing w:line="256" w:lineRule="auto"/>
        <w:jc w:val="both"/>
      </w:pPr>
      <w:r>
        <w:t>For an eligible vehicle, an axle group described in Column 1 of Table 1 must not exceed the mass listed in Column 2.</w:t>
      </w:r>
    </w:p>
    <w:p w14:paraId="543A85C0" w14:textId="77777777" w:rsidR="004212EC" w:rsidRDefault="004212EC" w:rsidP="004212EC">
      <w:pPr>
        <w:pStyle w:val="ListParagraph"/>
        <w:ind w:left="1080"/>
      </w:pPr>
    </w:p>
    <w:p w14:paraId="6429EF63" w14:textId="77777777" w:rsidR="004212EC" w:rsidRDefault="004212EC" w:rsidP="004212EC">
      <w:pPr>
        <w:pStyle w:val="ListParagraph"/>
        <w:spacing w:after="200" w:line="276" w:lineRule="auto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>Table 1: Maximum masses for axle groups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1: Maximum masses for axle groups"/>
        <w:tblDescription w:val="A table of conditional maximum masses for eligible vehicles operating under this notice."/>
      </w:tblPr>
      <w:tblGrid>
        <w:gridCol w:w="4820"/>
        <w:gridCol w:w="2551"/>
      </w:tblGrid>
      <w:tr w:rsidR="004212EC" w14:paraId="3AA4E34E" w14:textId="77777777" w:rsidTr="00683E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A499" w14:textId="77777777" w:rsidR="004212EC" w:rsidRDefault="004212EC" w:rsidP="00BF21AF">
            <w:pPr>
              <w:pStyle w:val="ListParagraph"/>
              <w:ind w:left="1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5030" w14:textId="77777777" w:rsidR="004212EC" w:rsidRDefault="004212EC" w:rsidP="00BF21AF">
            <w:pPr>
              <w:pStyle w:val="ListParagraph"/>
              <w:ind w:left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2</w:t>
            </w:r>
          </w:p>
        </w:tc>
      </w:tr>
      <w:tr w:rsidR="004212EC" w14:paraId="2A4500BC" w14:textId="77777777" w:rsidTr="00683E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0512" w14:textId="77777777" w:rsidR="004212EC" w:rsidRDefault="004212EC" w:rsidP="00BF21AF">
            <w:pPr>
              <w:pStyle w:val="ListParagraph"/>
              <w:ind w:left="17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Axle Group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71C2" w14:textId="77777777" w:rsidR="004212EC" w:rsidRDefault="004212EC" w:rsidP="00BF21AF">
            <w:pPr>
              <w:pStyle w:val="ListParagraph"/>
              <w:ind w:left="3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Maximum mass (t)</w:t>
            </w:r>
          </w:p>
        </w:tc>
      </w:tr>
      <w:tr w:rsidR="004212EC" w14:paraId="1C936642" w14:textId="77777777" w:rsidTr="00683E7E">
        <w:trPr>
          <w:trHeight w:val="2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FD4C" w14:textId="77777777" w:rsidR="004212EC" w:rsidRDefault="004212EC" w:rsidP="00BF21AF">
            <w:pPr>
              <w:pStyle w:val="ListParagraph"/>
              <w:ind w:left="173"/>
              <w:jc w:val="center"/>
            </w:pPr>
            <w:r>
              <w:t>Single axle or single axle group fitted with: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A6" w14:textId="77777777" w:rsidR="004212EC" w:rsidRDefault="004212EC" w:rsidP="00BF21AF">
            <w:pPr>
              <w:pStyle w:val="ListParagraph"/>
              <w:ind w:left="37"/>
              <w:jc w:val="center"/>
            </w:pPr>
          </w:p>
        </w:tc>
      </w:tr>
      <w:tr w:rsidR="004212EC" w14:paraId="033C8073" w14:textId="77777777" w:rsidTr="00683E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A5B" w14:textId="77777777" w:rsidR="004212EC" w:rsidRDefault="004212EC" w:rsidP="00BF21AF">
            <w:pPr>
              <w:pStyle w:val="ListParagraph"/>
              <w:ind w:left="173"/>
              <w:jc w:val="center"/>
            </w:pPr>
            <w:r>
              <w:t>- single tyres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20BB" w14:textId="77777777" w:rsidR="004212EC" w:rsidRDefault="004212EC" w:rsidP="00BF21AF">
            <w:pPr>
              <w:pStyle w:val="ListParagraph"/>
              <w:ind w:left="37"/>
              <w:jc w:val="center"/>
            </w:pPr>
            <w:r>
              <w:t>7.0</w:t>
            </w:r>
          </w:p>
        </w:tc>
      </w:tr>
      <w:tr w:rsidR="004212EC" w14:paraId="600F534B" w14:textId="77777777" w:rsidTr="00683E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7F70" w14:textId="77777777" w:rsidR="004212EC" w:rsidRDefault="004212EC" w:rsidP="00BF21AF">
            <w:pPr>
              <w:pStyle w:val="ListParagraph"/>
              <w:ind w:left="173"/>
              <w:jc w:val="center"/>
            </w:pPr>
            <w:r>
              <w:t>- dual tyres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C65B" w14:textId="77777777" w:rsidR="004212EC" w:rsidRDefault="004212EC" w:rsidP="00BF21AF">
            <w:pPr>
              <w:pStyle w:val="ListParagraph"/>
              <w:ind w:left="37"/>
              <w:jc w:val="center"/>
            </w:pPr>
            <w:r>
              <w:t>10.0</w:t>
            </w:r>
          </w:p>
        </w:tc>
      </w:tr>
      <w:tr w:rsidR="004212EC" w14:paraId="16A95239" w14:textId="77777777" w:rsidTr="00683E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53F7" w14:textId="77777777" w:rsidR="004212EC" w:rsidRDefault="004212EC" w:rsidP="00BF21AF">
            <w:pPr>
              <w:pStyle w:val="ListParagraph"/>
              <w:ind w:left="173"/>
              <w:jc w:val="center"/>
            </w:pPr>
            <w:r>
              <w:t>Twinsteer axle group: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FDE7" w14:textId="77777777" w:rsidR="004212EC" w:rsidRDefault="004212EC" w:rsidP="00BF21AF">
            <w:pPr>
              <w:pStyle w:val="ListParagraph"/>
              <w:ind w:left="37"/>
              <w:jc w:val="center"/>
            </w:pPr>
          </w:p>
        </w:tc>
      </w:tr>
      <w:tr w:rsidR="004212EC" w14:paraId="7324E820" w14:textId="77777777" w:rsidTr="00683E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1D3C" w14:textId="77777777" w:rsidR="004212EC" w:rsidRDefault="004212EC" w:rsidP="00BF21AF">
            <w:pPr>
              <w:pStyle w:val="ListParagraph"/>
              <w:ind w:left="173"/>
              <w:jc w:val="center"/>
            </w:pPr>
            <w:r>
              <w:t>- without a load-sharing suspension system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8069" w14:textId="77777777" w:rsidR="004212EC" w:rsidRDefault="004212EC" w:rsidP="00BF21AF">
            <w:pPr>
              <w:pStyle w:val="ListParagraph"/>
              <w:ind w:left="37"/>
              <w:jc w:val="center"/>
            </w:pPr>
            <w:r>
              <w:t>10.0</w:t>
            </w:r>
          </w:p>
        </w:tc>
      </w:tr>
      <w:tr w:rsidR="004212EC" w14:paraId="1B5D8D2C" w14:textId="77777777" w:rsidTr="00683E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055D" w14:textId="77777777" w:rsidR="004212EC" w:rsidRDefault="004212EC" w:rsidP="00BF21AF">
            <w:pPr>
              <w:pStyle w:val="ListParagraph"/>
              <w:ind w:left="173"/>
              <w:jc w:val="center"/>
            </w:pPr>
            <w:r>
              <w:t>- with a load-sharing suspension system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B6CC" w14:textId="77777777" w:rsidR="004212EC" w:rsidRDefault="004212EC" w:rsidP="00BF21AF">
            <w:pPr>
              <w:pStyle w:val="ListParagraph"/>
              <w:ind w:left="37"/>
              <w:jc w:val="center"/>
            </w:pPr>
            <w:r>
              <w:t>16.0</w:t>
            </w:r>
          </w:p>
        </w:tc>
      </w:tr>
      <w:tr w:rsidR="004212EC" w14:paraId="17E13E11" w14:textId="77777777" w:rsidTr="00683E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B63" w14:textId="77777777" w:rsidR="004212EC" w:rsidRDefault="004212EC" w:rsidP="00BF21AF">
            <w:pPr>
              <w:pStyle w:val="ListParagraph"/>
              <w:ind w:left="173"/>
              <w:jc w:val="center"/>
            </w:pPr>
            <w:r>
              <w:t>Tandem axle group fitted with single tyres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0CF8" w14:textId="77777777" w:rsidR="004212EC" w:rsidRDefault="004212EC" w:rsidP="00BF21AF">
            <w:pPr>
              <w:pStyle w:val="ListParagraph"/>
              <w:ind w:left="37"/>
              <w:jc w:val="center"/>
            </w:pPr>
            <w:r>
              <w:t>14.0</w:t>
            </w:r>
          </w:p>
        </w:tc>
      </w:tr>
      <w:tr w:rsidR="004212EC" w14:paraId="53C6379E" w14:textId="77777777" w:rsidTr="00683E7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DFF4" w14:textId="77777777" w:rsidR="004212EC" w:rsidRDefault="004212EC" w:rsidP="00BF21AF">
            <w:pPr>
              <w:pStyle w:val="ListParagraph"/>
              <w:ind w:left="173"/>
              <w:jc w:val="center"/>
            </w:pPr>
            <w:r>
              <w:t>Tri-axle group fitted with single tyres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5BF3" w14:textId="77777777" w:rsidR="004212EC" w:rsidRDefault="004212EC" w:rsidP="00BF21AF">
            <w:pPr>
              <w:pStyle w:val="ListParagraph"/>
              <w:ind w:left="37"/>
              <w:jc w:val="center"/>
            </w:pPr>
            <w:r>
              <w:t>18.0</w:t>
            </w:r>
          </w:p>
        </w:tc>
      </w:tr>
    </w:tbl>
    <w:p w14:paraId="76508708" w14:textId="77777777" w:rsidR="004212EC" w:rsidRDefault="004212EC" w:rsidP="004212EC">
      <w:pPr>
        <w:contextualSpacing/>
        <w:jc w:val="both"/>
      </w:pPr>
    </w:p>
    <w:p w14:paraId="0A59278F" w14:textId="77777777" w:rsidR="004212EC" w:rsidRDefault="004212EC" w:rsidP="004212EC">
      <w:pPr>
        <w:pStyle w:val="ListParagraph"/>
        <w:numPr>
          <w:ilvl w:val="0"/>
          <w:numId w:val="37"/>
        </w:numPr>
        <w:spacing w:line="256" w:lineRule="auto"/>
        <w:jc w:val="both"/>
      </w:pPr>
      <w:r>
        <w:t xml:space="preserve">The mass on a tandem axle group fitted with dual tyres, where the </w:t>
      </w:r>
      <w:proofErr w:type="gramStart"/>
      <w:r>
        <w:t>centre-lines</w:t>
      </w:r>
      <w:proofErr w:type="gramEnd"/>
      <w:r>
        <w:t xml:space="preserve"> of the axles are less than 1.35m apart, must not exceed 20.0t: </w:t>
      </w:r>
    </w:p>
    <w:p w14:paraId="194F50EC" w14:textId="77777777" w:rsidR="004212EC" w:rsidRDefault="004212EC" w:rsidP="004212EC">
      <w:pPr>
        <w:pStyle w:val="ListParagraph"/>
        <w:ind w:left="1080"/>
      </w:pPr>
    </w:p>
    <w:p w14:paraId="12E03B83" w14:textId="77777777" w:rsidR="004212EC" w:rsidRDefault="004212EC" w:rsidP="004212EC">
      <w:pPr>
        <w:pStyle w:val="ListParagraph"/>
        <w:numPr>
          <w:ilvl w:val="0"/>
          <w:numId w:val="38"/>
        </w:numPr>
        <w:spacing w:line="256" w:lineRule="auto"/>
        <w:jc w:val="both"/>
      </w:pPr>
      <w:r>
        <w:t>decreased by 1.0t for each 100mm by which the axle group’s GCW is less than 2.4m, or</w:t>
      </w:r>
    </w:p>
    <w:p w14:paraId="3F57D8E5" w14:textId="77777777" w:rsidR="004212EC" w:rsidRDefault="004212EC" w:rsidP="004212EC">
      <w:pPr>
        <w:pStyle w:val="ListParagraph"/>
        <w:numPr>
          <w:ilvl w:val="0"/>
          <w:numId w:val="38"/>
        </w:numPr>
        <w:spacing w:line="256" w:lineRule="auto"/>
        <w:jc w:val="both"/>
      </w:pPr>
      <w:r>
        <w:t>increased by 1.0t for each 100mm by which the axle group’s GCW exceeds 2.5m, but not increased to more than 27.0t.</w:t>
      </w:r>
    </w:p>
    <w:p w14:paraId="2828ADE6" w14:textId="77777777" w:rsidR="004212EC" w:rsidRDefault="004212EC" w:rsidP="004212EC">
      <w:pPr>
        <w:pStyle w:val="ListParagraph"/>
        <w:ind w:left="1440"/>
      </w:pPr>
    </w:p>
    <w:p w14:paraId="3BA408D4" w14:textId="77777777" w:rsidR="004212EC" w:rsidRDefault="004212EC" w:rsidP="004212EC">
      <w:pPr>
        <w:pStyle w:val="ListParagraph"/>
        <w:numPr>
          <w:ilvl w:val="0"/>
          <w:numId w:val="37"/>
        </w:numPr>
        <w:spacing w:line="256" w:lineRule="auto"/>
        <w:jc w:val="both"/>
      </w:pPr>
      <w:r>
        <w:t xml:space="preserve">The mass on a tandem axle group fitted with dual tyres, where the </w:t>
      </w:r>
      <w:proofErr w:type="gramStart"/>
      <w:r>
        <w:t>centre-lines</w:t>
      </w:r>
      <w:proofErr w:type="gramEnd"/>
      <w:r>
        <w:t xml:space="preserve"> of the axles are at least 1.35m apart, must not exceed 23.0t: </w:t>
      </w:r>
    </w:p>
    <w:p w14:paraId="50D080DF" w14:textId="77777777" w:rsidR="00DF77C8" w:rsidRDefault="00DF77C8" w:rsidP="00DF77C8">
      <w:pPr>
        <w:pStyle w:val="ListParagraph"/>
        <w:spacing w:line="256" w:lineRule="auto"/>
        <w:ind w:left="1080"/>
        <w:jc w:val="both"/>
      </w:pPr>
    </w:p>
    <w:p w14:paraId="1EF3704E" w14:textId="77777777" w:rsidR="004212EC" w:rsidRDefault="004212EC" w:rsidP="004212EC">
      <w:pPr>
        <w:pStyle w:val="ListParagraph"/>
        <w:numPr>
          <w:ilvl w:val="0"/>
          <w:numId w:val="39"/>
        </w:numPr>
        <w:spacing w:line="256" w:lineRule="auto"/>
        <w:jc w:val="both"/>
      </w:pPr>
      <w:r>
        <w:t>decreased by 1.0t for each 100mm by which the axle group’s GCW is less than 2.4m, or</w:t>
      </w:r>
    </w:p>
    <w:p w14:paraId="7C281827" w14:textId="77777777" w:rsidR="004212EC" w:rsidRDefault="004212EC" w:rsidP="004212EC">
      <w:pPr>
        <w:pStyle w:val="ListParagraph"/>
        <w:numPr>
          <w:ilvl w:val="0"/>
          <w:numId w:val="39"/>
        </w:numPr>
        <w:spacing w:line="256" w:lineRule="auto"/>
        <w:jc w:val="both"/>
      </w:pPr>
      <w:r>
        <w:t>increased by 1.0t for each 100mm by which the axle group’s GCW exceeds 2.5m, but not increased to more than 27.0t.</w:t>
      </w:r>
    </w:p>
    <w:p w14:paraId="29339CBC" w14:textId="77777777" w:rsidR="004212EC" w:rsidRDefault="004212EC" w:rsidP="004212EC">
      <w:pPr>
        <w:pStyle w:val="ListParagraph"/>
        <w:ind w:left="1440"/>
      </w:pPr>
    </w:p>
    <w:p w14:paraId="3C10A8D8" w14:textId="77777777" w:rsidR="004212EC" w:rsidRDefault="004212EC" w:rsidP="004212EC">
      <w:pPr>
        <w:pStyle w:val="ListParagraph"/>
        <w:numPr>
          <w:ilvl w:val="0"/>
          <w:numId w:val="37"/>
        </w:numPr>
        <w:spacing w:line="256" w:lineRule="auto"/>
        <w:jc w:val="both"/>
      </w:pPr>
      <w:r>
        <w:t xml:space="preserve">The mass on a tri-axle group fitted with dual tyres, where the centre- lines of the axles are less than 1.35m apart, must not exceed 25.0t, decreased by 1.0t for each 100mm by which the axle group’s GCW is less than 2.4m. </w:t>
      </w:r>
    </w:p>
    <w:p w14:paraId="662A4A6C" w14:textId="77777777" w:rsidR="004212EC" w:rsidRDefault="004212EC" w:rsidP="004212EC">
      <w:pPr>
        <w:pStyle w:val="ListParagraph"/>
        <w:ind w:left="1080"/>
      </w:pPr>
    </w:p>
    <w:p w14:paraId="7F75F6E9" w14:textId="77777777" w:rsidR="004212EC" w:rsidRDefault="004212EC" w:rsidP="004212EC">
      <w:pPr>
        <w:pStyle w:val="ListParagraph"/>
        <w:numPr>
          <w:ilvl w:val="0"/>
          <w:numId w:val="37"/>
        </w:numPr>
        <w:spacing w:line="256" w:lineRule="auto"/>
        <w:jc w:val="both"/>
      </w:pPr>
      <w:r>
        <w:t xml:space="preserve">The mass on a tri-axle group fitted with dual tyres, where the </w:t>
      </w:r>
      <w:proofErr w:type="gramStart"/>
      <w:r>
        <w:t>centre-lines</w:t>
      </w:r>
      <w:proofErr w:type="gramEnd"/>
      <w:r>
        <w:t xml:space="preserve"> of the axles are at least 1.35m apart, must not exceed 27.0t, decreased by 1.0t for each 100mm by which the axle group’s GCW is less than 2.4m.</w:t>
      </w:r>
    </w:p>
    <w:p w14:paraId="6B8E3523" w14:textId="77777777" w:rsidR="004212EC" w:rsidRDefault="004212EC" w:rsidP="004212EC">
      <w:pPr>
        <w:pStyle w:val="ListParagraph"/>
      </w:pPr>
    </w:p>
    <w:p w14:paraId="49998084" w14:textId="77777777" w:rsidR="004212EC" w:rsidRDefault="004212EC" w:rsidP="004212EC">
      <w:pPr>
        <w:pStyle w:val="ListParagraph"/>
        <w:numPr>
          <w:ilvl w:val="0"/>
          <w:numId w:val="37"/>
        </w:numPr>
        <w:spacing w:line="256" w:lineRule="auto"/>
        <w:jc w:val="both"/>
      </w:pPr>
      <w:r>
        <w:t xml:space="preserve">An axle group that has dual tyres and is described in Table 2 must not exceed the mass listed in columns 2 to 5 for a given GCW listed in column 1. </w:t>
      </w:r>
    </w:p>
    <w:p w14:paraId="20E42B16" w14:textId="77777777" w:rsidR="004212EC" w:rsidRDefault="004212EC" w:rsidP="004212EC">
      <w:pPr>
        <w:pStyle w:val="ListParagraph"/>
        <w:spacing w:after="200" w:line="276" w:lineRule="auto"/>
        <w:ind w:left="1080"/>
        <w:rPr>
          <w:b/>
          <w:bCs/>
          <w:lang w:val="en-US"/>
        </w:rPr>
      </w:pPr>
    </w:p>
    <w:p w14:paraId="783DB0B5" w14:textId="77777777" w:rsidR="00565E16" w:rsidRDefault="00565E1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C55AA61" w14:textId="590036A8" w:rsidR="004212EC" w:rsidRDefault="004212EC" w:rsidP="004212EC">
      <w:pPr>
        <w:pStyle w:val="ListParagraph"/>
        <w:spacing w:after="200" w:line="276" w:lineRule="auto"/>
        <w:ind w:left="108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Table 2: Mass limits for tandem and triaxle axle groups fitted with dual tyres</w:t>
      </w: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  <w:tblCaption w:val="Table 2: Mass limits for tandem and triaxle axle groups fitted with dual tyres"/>
        <w:tblDescription w:val="Conditional mass limits for tandem and triaxle groups, based on axle spacing."/>
      </w:tblPr>
      <w:tblGrid>
        <w:gridCol w:w="1373"/>
        <w:gridCol w:w="1790"/>
        <w:gridCol w:w="1928"/>
        <w:gridCol w:w="1790"/>
        <w:gridCol w:w="2066"/>
      </w:tblGrid>
      <w:tr w:rsidR="004212EC" w14:paraId="3DCD31E4" w14:textId="77777777" w:rsidTr="00D3370A">
        <w:trPr>
          <w:trHeight w:val="24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3EB4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55C9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C40F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243A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A86D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Column 5</w:t>
            </w:r>
          </w:p>
        </w:tc>
      </w:tr>
      <w:tr w:rsidR="004212EC" w14:paraId="06DDAB59" w14:textId="77777777" w:rsidTr="00D3370A">
        <w:trPr>
          <w:trHeight w:val="143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DEEF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GCW of axle (m)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27E8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for tandem axle group</w:t>
            </w:r>
          </w:p>
          <w:p w14:paraId="5BBFA1C8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 axle spacing of less than 1.35m</w:t>
            </w:r>
          </w:p>
          <w:p w14:paraId="61AE5FD4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F309D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for tandem axle group</w:t>
            </w:r>
          </w:p>
          <w:p w14:paraId="6B18E6C0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 axle spacing of at least 1.35m</w:t>
            </w:r>
          </w:p>
          <w:p w14:paraId="35594D5C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94C5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for tri-axle group</w:t>
            </w:r>
          </w:p>
          <w:p w14:paraId="2ACD14F2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 axle spacing of less than 1.35m</w:t>
            </w:r>
          </w:p>
          <w:p w14:paraId="18A9576A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4CA2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for tri-axle group</w:t>
            </w:r>
          </w:p>
          <w:p w14:paraId="0207B580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with axle spacing of at least 1.35m</w:t>
            </w:r>
          </w:p>
          <w:p w14:paraId="7CCAB062" w14:textId="77777777" w:rsidR="004212EC" w:rsidRDefault="004212EC" w:rsidP="00D3370A">
            <w:pPr>
              <w:pStyle w:val="ListParagraph"/>
              <w:ind w:left="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(t)</w:t>
            </w:r>
          </w:p>
        </w:tc>
      </w:tr>
      <w:tr w:rsidR="004212EC" w14:paraId="3914F47B" w14:textId="77777777" w:rsidTr="00D3370A">
        <w:trPr>
          <w:trHeight w:val="27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3699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4713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16.0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8649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19.0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57092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21.0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408B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23.0</w:t>
            </w:r>
          </w:p>
        </w:tc>
      </w:tr>
      <w:tr w:rsidR="004212EC" w14:paraId="796A7566" w14:textId="77777777" w:rsidTr="00D3370A">
        <w:trPr>
          <w:trHeight w:val="28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E04E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176E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17.0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C3FB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20.0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591D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22.0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7AB7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24.0</w:t>
            </w:r>
          </w:p>
        </w:tc>
      </w:tr>
      <w:tr w:rsidR="004212EC" w14:paraId="11D2C048" w14:textId="77777777" w:rsidTr="00D3370A">
        <w:trPr>
          <w:trHeight w:val="27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CFBB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EE35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18.0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46B6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21.0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9DB0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23.0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6685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</w:tr>
      <w:tr w:rsidR="004212EC" w14:paraId="7687450C" w14:textId="77777777" w:rsidTr="00D3370A">
        <w:trPr>
          <w:trHeight w:val="28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33F7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7235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19.0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2F2D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22.0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959C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24.0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475B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26.0</w:t>
            </w:r>
          </w:p>
        </w:tc>
      </w:tr>
      <w:tr w:rsidR="004212EC" w14:paraId="06DD67D7" w14:textId="77777777" w:rsidTr="00D3370A">
        <w:trPr>
          <w:trHeight w:val="28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D924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2.40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169E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20.0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6B63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23.0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9373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7E7D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  <w:tr w:rsidR="004212EC" w14:paraId="2E71EEC2" w14:textId="77777777" w:rsidTr="00D3370A">
        <w:trPr>
          <w:trHeight w:val="27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6244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2.50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CFA0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20.0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0FF5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23.0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F3E2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02AF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  <w:tr w:rsidR="004212EC" w14:paraId="4EFA3C54" w14:textId="77777777" w:rsidTr="00D3370A">
        <w:trPr>
          <w:trHeight w:val="28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53A1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2.60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2872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21.0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78E7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24.0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0771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4581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  <w:tr w:rsidR="004212EC" w14:paraId="1BE3B9E0" w14:textId="77777777" w:rsidTr="00D3370A">
        <w:trPr>
          <w:trHeight w:val="27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53E1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2.70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D81F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22.0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00FE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E10C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F5BDC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  <w:tr w:rsidR="004212EC" w14:paraId="2DEFDB20" w14:textId="77777777" w:rsidTr="00D3370A">
        <w:trPr>
          <w:trHeight w:val="28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8DA3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2.80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4FB9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23.0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5E2D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26.0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A263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A9918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  <w:tr w:rsidR="004212EC" w14:paraId="74A1D9B0" w14:textId="77777777" w:rsidTr="00D3370A">
        <w:trPr>
          <w:trHeight w:val="27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374F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2.90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C5FE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24.0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5128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21A0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FCDF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  <w:tr w:rsidR="004212EC" w14:paraId="32F38AC5" w14:textId="77777777" w:rsidTr="00D3370A">
        <w:trPr>
          <w:trHeight w:val="28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3D9C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3.00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4923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97C9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A99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F4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  <w:tr w:rsidR="004212EC" w14:paraId="0F906B97" w14:textId="77777777" w:rsidTr="00D3370A">
        <w:trPr>
          <w:trHeight w:val="285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7125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3.10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8085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26.0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2D42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06A3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3D88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  <w:tr w:rsidR="004212EC" w14:paraId="3172D471" w14:textId="77777777" w:rsidTr="00D3370A">
        <w:trPr>
          <w:trHeight w:val="5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49F6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3.20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2E7E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8698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4180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7B88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  <w:tr w:rsidR="004212EC" w14:paraId="5C83AB74" w14:textId="77777777" w:rsidTr="00D3370A">
        <w:trPr>
          <w:trHeight w:val="27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CA32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&gt; 3.20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9D28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DBD3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14C2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25.0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078D" w14:textId="77777777" w:rsidR="004212EC" w:rsidRDefault="004212EC" w:rsidP="00D3370A">
            <w:pPr>
              <w:pStyle w:val="ListParagraph"/>
              <w:ind w:left="22"/>
              <w:jc w:val="center"/>
            </w:pPr>
            <w:r>
              <w:t>27.0</w:t>
            </w:r>
          </w:p>
        </w:tc>
      </w:tr>
    </w:tbl>
    <w:p w14:paraId="14C59BE6" w14:textId="77777777" w:rsidR="00BF21AF" w:rsidRPr="00BF21AF" w:rsidRDefault="00BF21AF" w:rsidP="00BF21AF">
      <w:pPr>
        <w:pStyle w:val="ListParagraph"/>
        <w:spacing w:line="256" w:lineRule="auto"/>
        <w:jc w:val="both"/>
        <w:rPr>
          <w:b/>
          <w:lang w:val="en-US"/>
        </w:rPr>
      </w:pPr>
    </w:p>
    <w:p w14:paraId="3FF97D57" w14:textId="4548CBF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lang w:val="en-US"/>
        </w:rPr>
      </w:pPr>
      <w:r>
        <w:rPr>
          <w:b/>
          <w:bCs/>
        </w:rPr>
        <w:t>Conditional - Tyre mass limits and axle group mass limits</w:t>
      </w:r>
    </w:p>
    <w:p w14:paraId="614A59C8" w14:textId="77777777" w:rsidR="004212EC" w:rsidRDefault="004212EC" w:rsidP="004212EC">
      <w:pPr>
        <w:pStyle w:val="ListParagraph"/>
        <w:ind w:left="1080"/>
      </w:pPr>
    </w:p>
    <w:p w14:paraId="7C632C10" w14:textId="77777777" w:rsidR="004212EC" w:rsidRDefault="004212EC" w:rsidP="004212EC">
      <w:pPr>
        <w:pStyle w:val="ListParagraph"/>
        <w:numPr>
          <w:ilvl w:val="0"/>
          <w:numId w:val="40"/>
        </w:numPr>
        <w:spacing w:line="256" w:lineRule="auto"/>
        <w:jc w:val="both"/>
      </w:pPr>
      <w:proofErr w:type="gramStart"/>
      <w:r>
        <w:t>In order to</w:t>
      </w:r>
      <w:proofErr w:type="gramEnd"/>
      <w:r>
        <w:t xml:space="preserve"> travel at the mass limits identified in Table 1 in section 10, the tyre width limits in Table 3 must be met.</w:t>
      </w:r>
    </w:p>
    <w:p w14:paraId="039E5CEC" w14:textId="77777777" w:rsidR="004212EC" w:rsidRDefault="004212EC" w:rsidP="004212EC">
      <w:pPr>
        <w:pStyle w:val="ListParagraph"/>
        <w:ind w:left="1080"/>
      </w:pPr>
    </w:p>
    <w:p w14:paraId="6D5F8DFE" w14:textId="77777777" w:rsidR="004212EC" w:rsidRDefault="004212EC" w:rsidP="004212EC">
      <w:pPr>
        <w:pStyle w:val="ListParagraph"/>
        <w:numPr>
          <w:ilvl w:val="0"/>
          <w:numId w:val="40"/>
        </w:numPr>
        <w:spacing w:after="0" w:line="256" w:lineRule="auto"/>
        <w:jc w:val="both"/>
      </w:pPr>
      <w:r>
        <w:t>The mass on an axle fitted with tyres of a number and width described in Table 3 must not exceed the mass limit specified in the Table for that axle in relation to the narrowest tyre on the axle.</w:t>
      </w:r>
    </w:p>
    <w:p w14:paraId="3DAD15EB" w14:textId="77777777" w:rsidR="00565E16" w:rsidRDefault="00565E16" w:rsidP="00565E16">
      <w:pPr>
        <w:spacing w:after="0" w:line="256" w:lineRule="auto"/>
        <w:jc w:val="both"/>
      </w:pPr>
    </w:p>
    <w:p w14:paraId="2C2561EF" w14:textId="7BFA7FDF" w:rsidR="004212EC" w:rsidRDefault="004212EC" w:rsidP="004212EC">
      <w:pPr>
        <w:pStyle w:val="ListParagraph"/>
        <w:spacing w:after="200" w:line="276" w:lineRule="auto"/>
        <w:ind w:left="1080"/>
        <w:rPr>
          <w:b/>
          <w:bCs/>
          <w:lang w:val="en-US"/>
        </w:rPr>
      </w:pPr>
      <w:r>
        <w:rPr>
          <w:b/>
          <w:bCs/>
          <w:lang w:val="en-US"/>
        </w:rPr>
        <w:t xml:space="preserve">Table 3: Mass limits relating to </w:t>
      </w:r>
      <w:proofErr w:type="spellStart"/>
      <w:r>
        <w:rPr>
          <w:b/>
          <w:bCs/>
          <w:lang w:val="en-US"/>
        </w:rPr>
        <w:t>tyre</w:t>
      </w:r>
      <w:proofErr w:type="spellEnd"/>
      <w:r>
        <w:rPr>
          <w:b/>
          <w:bCs/>
          <w:lang w:val="en-US"/>
        </w:rPr>
        <w:t xml:space="preserve"> width</w:t>
      </w: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  <w:tblCaption w:val="Table 3: Mass limits relating to tyre width"/>
        <w:tblDescription w:val="A table of conditional masses relating to tyre width."/>
      </w:tblPr>
      <w:tblGrid>
        <w:gridCol w:w="1985"/>
        <w:gridCol w:w="1817"/>
        <w:gridCol w:w="2255"/>
        <w:gridCol w:w="2255"/>
      </w:tblGrid>
      <w:tr w:rsidR="004212EC" w14:paraId="6F7DB371" w14:textId="77777777" w:rsidTr="00683E7E"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CAD1" w14:textId="77777777" w:rsidR="004212EC" w:rsidRDefault="004212EC" w:rsidP="0068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Tyre tread section width of the narrowest tyre on the axle (mm)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38838" w14:textId="77777777" w:rsidR="004212EC" w:rsidRDefault="004212EC" w:rsidP="0068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Mass limit (tonnes) if the axle has</w:t>
            </w:r>
          </w:p>
        </w:tc>
      </w:tr>
      <w:tr w:rsidR="004212EC" w14:paraId="4FABE529" w14:textId="77777777" w:rsidTr="00683E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F3DB" w14:textId="77777777" w:rsidR="004212EC" w:rsidRDefault="004212EC" w:rsidP="00683E7E">
            <w:pPr>
              <w:jc w:val="center"/>
            </w:pPr>
            <w:r>
              <w:t>At least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F180" w14:textId="77777777" w:rsidR="004212EC" w:rsidRDefault="004212EC" w:rsidP="00683E7E">
            <w:pPr>
              <w:jc w:val="center"/>
            </w:pPr>
            <w:r>
              <w:t>But less than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8648" w14:textId="77777777" w:rsidR="004212EC" w:rsidRDefault="004212EC" w:rsidP="00683E7E">
            <w:pPr>
              <w:jc w:val="center"/>
            </w:pPr>
            <w:r>
              <w:t>Two (2) tyres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3645" w14:textId="77777777" w:rsidR="004212EC" w:rsidRDefault="004212EC" w:rsidP="00683E7E">
            <w:pPr>
              <w:jc w:val="center"/>
            </w:pPr>
            <w:r>
              <w:t>Four (4) tyres</w:t>
            </w:r>
          </w:p>
        </w:tc>
      </w:tr>
      <w:tr w:rsidR="004212EC" w14:paraId="53B080FF" w14:textId="77777777" w:rsidTr="00683E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258C" w14:textId="77777777" w:rsidR="004212EC" w:rsidRDefault="004212EC" w:rsidP="00683E7E">
            <w:pPr>
              <w:jc w:val="center"/>
            </w:pPr>
            <w:r>
              <w:t>190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228F" w14:textId="77777777" w:rsidR="004212EC" w:rsidRDefault="004212EC" w:rsidP="00683E7E">
            <w:pPr>
              <w:jc w:val="center"/>
            </w:pPr>
            <w:r>
              <w:t>228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925A" w14:textId="77777777" w:rsidR="004212EC" w:rsidRDefault="004212EC" w:rsidP="00683E7E">
            <w:pPr>
              <w:jc w:val="center"/>
            </w:pPr>
            <w:r>
              <w:t>4.5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6EB3" w14:textId="77777777" w:rsidR="004212EC" w:rsidRDefault="004212EC" w:rsidP="00683E7E">
            <w:pPr>
              <w:jc w:val="center"/>
            </w:pPr>
            <w:r>
              <w:t>9.0</w:t>
            </w:r>
          </w:p>
        </w:tc>
      </w:tr>
      <w:tr w:rsidR="004212EC" w14:paraId="4BD3A2D1" w14:textId="77777777" w:rsidTr="00683E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AAC7" w14:textId="77777777" w:rsidR="004212EC" w:rsidRDefault="004212EC" w:rsidP="00683E7E">
            <w:pPr>
              <w:jc w:val="center"/>
            </w:pPr>
            <w:r>
              <w:t>228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5C9A" w14:textId="77777777" w:rsidR="004212EC" w:rsidRDefault="004212EC" w:rsidP="00683E7E">
            <w:pPr>
              <w:jc w:val="center"/>
            </w:pPr>
            <w:r>
              <w:t>254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3E49" w14:textId="77777777" w:rsidR="004212EC" w:rsidRDefault="004212EC" w:rsidP="00683E7E">
            <w:pPr>
              <w:jc w:val="center"/>
            </w:pPr>
            <w:r>
              <w:t>5.0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5527" w14:textId="77777777" w:rsidR="004212EC" w:rsidRDefault="004212EC" w:rsidP="00683E7E">
            <w:pPr>
              <w:jc w:val="center"/>
            </w:pPr>
            <w:r>
              <w:t>9.5</w:t>
            </w:r>
          </w:p>
        </w:tc>
      </w:tr>
      <w:tr w:rsidR="004212EC" w14:paraId="171759DB" w14:textId="77777777" w:rsidTr="00683E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0A44" w14:textId="77777777" w:rsidR="004212EC" w:rsidRDefault="004212EC" w:rsidP="00683E7E">
            <w:pPr>
              <w:jc w:val="center"/>
            </w:pPr>
            <w:r>
              <w:t>254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7A1E" w14:textId="77777777" w:rsidR="004212EC" w:rsidRDefault="004212EC" w:rsidP="00683E7E">
            <w:pPr>
              <w:jc w:val="center"/>
            </w:pPr>
            <w:r>
              <w:t>279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9934" w14:textId="77777777" w:rsidR="004212EC" w:rsidRDefault="004212EC" w:rsidP="00683E7E">
            <w:pPr>
              <w:jc w:val="center"/>
            </w:pPr>
            <w:r>
              <w:t>6.0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4498" w14:textId="77777777" w:rsidR="004212EC" w:rsidRDefault="004212EC" w:rsidP="00683E7E">
            <w:pPr>
              <w:jc w:val="center"/>
            </w:pPr>
            <w:r>
              <w:t>10.0</w:t>
            </w:r>
          </w:p>
        </w:tc>
      </w:tr>
      <w:tr w:rsidR="004212EC" w14:paraId="0775DBCC" w14:textId="77777777" w:rsidTr="00683E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EE9D7" w14:textId="77777777" w:rsidR="004212EC" w:rsidRDefault="004212EC" w:rsidP="00683E7E">
            <w:pPr>
              <w:jc w:val="center"/>
            </w:pPr>
            <w:r>
              <w:t>279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E1A8" w14:textId="77777777" w:rsidR="004212EC" w:rsidRDefault="004212EC" w:rsidP="00683E7E">
            <w:pPr>
              <w:jc w:val="center"/>
            </w:pPr>
            <w:r>
              <w:t>305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A9F2" w14:textId="77777777" w:rsidR="004212EC" w:rsidRDefault="004212EC" w:rsidP="00683E7E">
            <w:pPr>
              <w:jc w:val="center"/>
            </w:pPr>
            <w:r>
              <w:t>6.5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806F" w14:textId="77777777" w:rsidR="004212EC" w:rsidRDefault="004212EC" w:rsidP="00683E7E">
            <w:pPr>
              <w:jc w:val="center"/>
            </w:pPr>
            <w:r>
              <w:t>11.0</w:t>
            </w:r>
          </w:p>
        </w:tc>
      </w:tr>
      <w:tr w:rsidR="004212EC" w14:paraId="4CC0584E" w14:textId="77777777" w:rsidTr="00683E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E0CC" w14:textId="77777777" w:rsidR="004212EC" w:rsidRDefault="004212EC" w:rsidP="00683E7E">
            <w:pPr>
              <w:jc w:val="center"/>
            </w:pPr>
            <w:r>
              <w:t>305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DB16" w14:textId="77777777" w:rsidR="004212EC" w:rsidRDefault="004212EC" w:rsidP="00683E7E">
            <w:pPr>
              <w:jc w:val="center"/>
            </w:pPr>
            <w:r>
              <w:t>330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A0D3" w14:textId="77777777" w:rsidR="004212EC" w:rsidRDefault="004212EC" w:rsidP="00683E7E">
            <w:pPr>
              <w:jc w:val="center"/>
            </w:pPr>
            <w:r>
              <w:t>7.0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A396" w14:textId="77777777" w:rsidR="004212EC" w:rsidRDefault="004212EC" w:rsidP="00683E7E">
            <w:pPr>
              <w:jc w:val="center"/>
            </w:pPr>
            <w:r>
              <w:t>12.0</w:t>
            </w:r>
          </w:p>
        </w:tc>
      </w:tr>
      <w:tr w:rsidR="004212EC" w14:paraId="02AD636A" w14:textId="77777777" w:rsidTr="00683E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85A0" w14:textId="77777777" w:rsidR="004212EC" w:rsidRDefault="004212EC" w:rsidP="00683E7E">
            <w:pPr>
              <w:jc w:val="center"/>
            </w:pPr>
            <w:r>
              <w:t>330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0413" w14:textId="77777777" w:rsidR="004212EC" w:rsidRDefault="004212EC" w:rsidP="00683E7E">
            <w:pPr>
              <w:jc w:val="center"/>
            </w:pPr>
            <w:r>
              <w:t>356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022D" w14:textId="77777777" w:rsidR="004212EC" w:rsidRDefault="004212EC" w:rsidP="00683E7E">
            <w:pPr>
              <w:jc w:val="center"/>
            </w:pPr>
            <w:r>
              <w:t>7.5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57CF" w14:textId="77777777" w:rsidR="004212EC" w:rsidRDefault="004212EC" w:rsidP="00683E7E">
            <w:pPr>
              <w:jc w:val="center"/>
            </w:pPr>
            <w:r>
              <w:t>13.0</w:t>
            </w:r>
          </w:p>
        </w:tc>
      </w:tr>
      <w:tr w:rsidR="004212EC" w14:paraId="102F56F4" w14:textId="77777777" w:rsidTr="00683E7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8A5C" w14:textId="77777777" w:rsidR="004212EC" w:rsidRDefault="004212EC" w:rsidP="00683E7E">
            <w:pPr>
              <w:jc w:val="center"/>
            </w:pPr>
            <w:r>
              <w:t>356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D5C0" w14:textId="77777777" w:rsidR="004212EC" w:rsidRDefault="004212EC" w:rsidP="00683E7E">
            <w:pPr>
              <w:jc w:val="center"/>
            </w:pPr>
            <w:r>
              <w:t>381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E791" w14:textId="77777777" w:rsidR="004212EC" w:rsidRDefault="004212EC" w:rsidP="00683E7E">
            <w:pPr>
              <w:jc w:val="center"/>
            </w:pPr>
            <w:r>
              <w:t>8.0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5DBA" w14:textId="77777777" w:rsidR="004212EC" w:rsidRDefault="004212EC" w:rsidP="00683E7E">
            <w:pPr>
              <w:jc w:val="center"/>
            </w:pPr>
            <w:r>
              <w:t>14.0</w:t>
            </w:r>
          </w:p>
        </w:tc>
      </w:tr>
    </w:tbl>
    <w:p w14:paraId="032792D4" w14:textId="77777777" w:rsidR="004212EC" w:rsidRDefault="004212EC" w:rsidP="004212EC">
      <w:pPr>
        <w:rPr>
          <w:b/>
          <w:bCs/>
        </w:rPr>
      </w:pPr>
    </w:p>
    <w:p w14:paraId="0ACE1DF6" w14:textId="77777777" w:rsidR="00565E16" w:rsidRDefault="00565E16">
      <w:pPr>
        <w:rPr>
          <w:b/>
          <w:bCs/>
        </w:rPr>
      </w:pPr>
      <w:r>
        <w:rPr>
          <w:b/>
          <w:bCs/>
        </w:rPr>
        <w:br w:type="page"/>
      </w:r>
    </w:p>
    <w:p w14:paraId="20388DBC" w14:textId="5CE65169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lastRenderedPageBreak/>
        <w:t>Exemption – Prescribed dimension requirements</w:t>
      </w:r>
    </w:p>
    <w:p w14:paraId="34A21A0D" w14:textId="77777777" w:rsidR="004212EC" w:rsidRDefault="004212EC" w:rsidP="004212EC">
      <w:pPr>
        <w:pStyle w:val="ListParagraph"/>
        <w:ind w:left="1080"/>
      </w:pPr>
    </w:p>
    <w:p w14:paraId="49CE2A68" w14:textId="77777777" w:rsidR="004212EC" w:rsidRDefault="004212EC" w:rsidP="004212EC">
      <w:pPr>
        <w:pStyle w:val="ListParagraph"/>
        <w:numPr>
          <w:ilvl w:val="0"/>
          <w:numId w:val="41"/>
        </w:numPr>
        <w:spacing w:line="256" w:lineRule="auto"/>
        <w:jc w:val="both"/>
      </w:pPr>
      <w:r>
        <w:t>An eligible vehicle is exempt from the following dimension requirements under Schedule 6 of the MDL Regulation:</w:t>
      </w:r>
    </w:p>
    <w:p w14:paraId="053DAEC7" w14:textId="77777777" w:rsidR="004212EC" w:rsidRDefault="004212EC" w:rsidP="004212EC">
      <w:pPr>
        <w:pStyle w:val="ListParagraph"/>
        <w:ind w:left="1080"/>
      </w:pPr>
    </w:p>
    <w:p w14:paraId="2A66B759" w14:textId="30AAC7EE" w:rsidR="004212EC" w:rsidRDefault="004212EC" w:rsidP="004212EC">
      <w:pPr>
        <w:pStyle w:val="ListParagraph"/>
        <w:numPr>
          <w:ilvl w:val="0"/>
          <w:numId w:val="42"/>
        </w:numPr>
        <w:spacing w:line="256" w:lineRule="auto"/>
        <w:jc w:val="both"/>
      </w:pPr>
      <w:r>
        <w:t>section 3 – Length (combination or single vehicle)</w:t>
      </w:r>
      <w:r w:rsidR="00892CE2">
        <w:t>,</w:t>
      </w:r>
      <w:r>
        <w:t xml:space="preserve"> </w:t>
      </w:r>
    </w:p>
    <w:p w14:paraId="4194ADDE" w14:textId="22C4CBC8" w:rsidR="004212EC" w:rsidRDefault="004212EC" w:rsidP="004212EC">
      <w:pPr>
        <w:pStyle w:val="ListParagraph"/>
        <w:numPr>
          <w:ilvl w:val="0"/>
          <w:numId w:val="42"/>
        </w:numPr>
        <w:spacing w:line="256" w:lineRule="auto"/>
        <w:jc w:val="both"/>
      </w:pPr>
      <w:r>
        <w:t>section 4 – Length (trailers)</w:t>
      </w:r>
      <w:r w:rsidR="00892CE2">
        <w:t>,</w:t>
      </w:r>
    </w:p>
    <w:p w14:paraId="7FDF03FF" w14:textId="72CA74B8" w:rsidR="004212EC" w:rsidRDefault="004212EC" w:rsidP="004212EC">
      <w:pPr>
        <w:pStyle w:val="ListParagraph"/>
        <w:numPr>
          <w:ilvl w:val="0"/>
          <w:numId w:val="42"/>
        </w:numPr>
        <w:spacing w:line="256" w:lineRule="auto"/>
        <w:jc w:val="both"/>
      </w:pPr>
      <w:r>
        <w:t>section 5 – Length (rear overhang)</w:t>
      </w:r>
      <w:r w:rsidR="00892CE2">
        <w:t>,</w:t>
      </w:r>
    </w:p>
    <w:p w14:paraId="29A9527C" w14:textId="5BECB878" w:rsidR="004212EC" w:rsidRDefault="004212EC" w:rsidP="004212EC">
      <w:pPr>
        <w:pStyle w:val="ListParagraph"/>
        <w:numPr>
          <w:ilvl w:val="0"/>
          <w:numId w:val="42"/>
        </w:numPr>
        <w:spacing w:line="256" w:lineRule="auto"/>
        <w:jc w:val="both"/>
      </w:pPr>
      <w:r>
        <w:t>section 7 – Width</w:t>
      </w:r>
      <w:r w:rsidR="00892CE2">
        <w:t>,</w:t>
      </w:r>
    </w:p>
    <w:p w14:paraId="5FCE3AD5" w14:textId="236DB6BA" w:rsidR="004212EC" w:rsidRDefault="004212EC" w:rsidP="004212EC">
      <w:pPr>
        <w:pStyle w:val="ListParagraph"/>
        <w:numPr>
          <w:ilvl w:val="0"/>
          <w:numId w:val="42"/>
        </w:numPr>
        <w:spacing w:line="256" w:lineRule="auto"/>
        <w:jc w:val="both"/>
      </w:pPr>
      <w:r>
        <w:t>section 8 – Height</w:t>
      </w:r>
      <w:r w:rsidR="00892CE2">
        <w:t>,</w:t>
      </w:r>
    </w:p>
    <w:p w14:paraId="05B3EAC7" w14:textId="4307BCF6" w:rsidR="004212EC" w:rsidRDefault="004212EC" w:rsidP="004212EC">
      <w:pPr>
        <w:pStyle w:val="ListParagraph"/>
        <w:numPr>
          <w:ilvl w:val="0"/>
          <w:numId w:val="42"/>
        </w:numPr>
        <w:spacing w:line="256" w:lineRule="auto"/>
        <w:jc w:val="both"/>
      </w:pPr>
      <w:r>
        <w:t>section 13 – Front and side projection of load</w:t>
      </w:r>
      <w:r w:rsidR="00892CE2">
        <w:t>.</w:t>
      </w:r>
    </w:p>
    <w:p w14:paraId="62428F43" w14:textId="77777777" w:rsidR="004212EC" w:rsidRDefault="004212EC" w:rsidP="004212EC">
      <w:pPr>
        <w:pStyle w:val="ListParagraph"/>
        <w:ind w:left="1440"/>
      </w:pPr>
    </w:p>
    <w:p w14:paraId="2E7ED54F" w14:textId="4D1C1F91" w:rsidR="004212EC" w:rsidRDefault="004212EC" w:rsidP="004212EC">
      <w:pPr>
        <w:pStyle w:val="ListParagraph"/>
        <w:numPr>
          <w:ilvl w:val="0"/>
          <w:numId w:val="41"/>
        </w:numPr>
        <w:spacing w:line="256" w:lineRule="auto"/>
        <w:jc w:val="both"/>
      </w:pPr>
      <w:r>
        <w:t xml:space="preserve">An exemption in </w:t>
      </w:r>
      <w:r w:rsidR="009B7EB2">
        <w:t>(</w:t>
      </w:r>
      <w:r>
        <w:t>1) only applies to the extent that specific conditional dimension limits are provided in section 13.</w:t>
      </w:r>
    </w:p>
    <w:p w14:paraId="52C9F49D" w14:textId="77777777" w:rsidR="004212EC" w:rsidRDefault="004212EC" w:rsidP="004212EC">
      <w:pPr>
        <w:pStyle w:val="ListParagraph"/>
        <w:ind w:left="1080"/>
      </w:pPr>
    </w:p>
    <w:p w14:paraId="28BA1EBA" w14:textId="77777777" w:rsidR="004212EC" w:rsidRDefault="004212EC" w:rsidP="004212EC">
      <w:pPr>
        <w:pStyle w:val="ListParagraph"/>
        <w:numPr>
          <w:ilvl w:val="0"/>
          <w:numId w:val="41"/>
        </w:numPr>
        <w:spacing w:line="256" w:lineRule="auto"/>
        <w:jc w:val="both"/>
      </w:pPr>
      <w:r>
        <w:t>In relation to a particular vehicle or component, if this notice provides for more than one dimension limit to apply in the same circumstances, the more restrictive dimension limit applies.</w:t>
      </w:r>
    </w:p>
    <w:p w14:paraId="37CD5C78" w14:textId="77777777" w:rsidR="00565E16" w:rsidRDefault="00565E16" w:rsidP="00565E16">
      <w:pPr>
        <w:pStyle w:val="ListParagraph"/>
        <w:spacing w:line="256" w:lineRule="auto"/>
        <w:jc w:val="both"/>
        <w:rPr>
          <w:b/>
          <w:bCs/>
        </w:rPr>
      </w:pPr>
    </w:p>
    <w:p w14:paraId="6C1669ED" w14:textId="0E784A76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Condition – Dimension limits</w:t>
      </w:r>
    </w:p>
    <w:p w14:paraId="32EAA7E1" w14:textId="77777777" w:rsidR="004212EC" w:rsidRDefault="004212EC" w:rsidP="004212EC">
      <w:pPr>
        <w:pStyle w:val="ListParagraph"/>
        <w:rPr>
          <w:b/>
          <w:bCs/>
        </w:rPr>
      </w:pPr>
    </w:p>
    <w:p w14:paraId="6F372319" w14:textId="77777777" w:rsidR="004212EC" w:rsidRDefault="004212EC" w:rsidP="004212EC">
      <w:pPr>
        <w:pStyle w:val="ListParagraph"/>
        <w:numPr>
          <w:ilvl w:val="0"/>
          <w:numId w:val="43"/>
        </w:numPr>
        <w:spacing w:line="256" w:lineRule="auto"/>
        <w:jc w:val="both"/>
      </w:pPr>
      <w:r>
        <w:t>An eligible vehicle operating under this notice must not exceed the dimension limits set out in Table 4 of this notice.</w:t>
      </w:r>
    </w:p>
    <w:p w14:paraId="314A7769" w14:textId="77777777" w:rsidR="004212EC" w:rsidRDefault="004212EC" w:rsidP="00805DAB">
      <w:pPr>
        <w:spacing w:after="200" w:line="276" w:lineRule="auto"/>
        <w:ind w:firstLine="720"/>
        <w:jc w:val="both"/>
        <w:rPr>
          <w:rFonts w:eastAsia="Calibri"/>
          <w:b/>
        </w:rPr>
      </w:pPr>
      <w:r>
        <w:rPr>
          <w:rFonts w:eastAsia="Calibri"/>
          <w:b/>
        </w:rPr>
        <w:t>Table 4: Conditional dimension limits</w:t>
      </w:r>
    </w:p>
    <w:tbl>
      <w:tblPr>
        <w:tblStyle w:val="TableGrid2"/>
        <w:tblW w:w="0" w:type="auto"/>
        <w:tblLook w:val="04A0" w:firstRow="1" w:lastRow="0" w:firstColumn="1" w:lastColumn="0" w:noHBand="0" w:noVBand="1"/>
        <w:tblCaption w:val="Table 4: Conditional dimension limits"/>
        <w:tblDescription w:val="A table of conditional dimension limits for vehicles operating under this Notice"/>
      </w:tblPr>
      <w:tblGrid>
        <w:gridCol w:w="2170"/>
        <w:gridCol w:w="891"/>
        <w:gridCol w:w="890"/>
        <w:gridCol w:w="894"/>
        <w:gridCol w:w="2085"/>
        <w:gridCol w:w="2086"/>
      </w:tblGrid>
      <w:tr w:rsidR="004212EC" w14:paraId="11210A8E" w14:textId="77777777" w:rsidTr="00683E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BE68" w14:textId="77777777" w:rsidR="004212EC" w:rsidRDefault="004212EC" w:rsidP="0068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Vehicle Type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454B" w14:textId="77777777" w:rsidR="004212EC" w:rsidRDefault="004212EC" w:rsidP="0068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Height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19D9" w14:textId="77777777" w:rsidR="004212EC" w:rsidRDefault="004212EC" w:rsidP="0068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Width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7E3D" w14:textId="77777777" w:rsidR="004212EC" w:rsidRDefault="004212EC" w:rsidP="0068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ACEB" w14:textId="77777777" w:rsidR="004212EC" w:rsidRDefault="004212EC" w:rsidP="0068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Projection in front of centre of steering wheel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AD81" w14:textId="77777777" w:rsidR="004212EC" w:rsidRDefault="004212EC" w:rsidP="00683E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Distance from the rear overhang line to rear of the vehicle (ROH)</w:t>
            </w:r>
          </w:p>
        </w:tc>
      </w:tr>
      <w:tr w:rsidR="004212EC" w14:paraId="455A0640" w14:textId="77777777" w:rsidTr="00683E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9126" w14:textId="77777777" w:rsidR="004212EC" w:rsidRDefault="004212EC" w:rsidP="00683E7E">
            <w:pPr>
              <w:jc w:val="center"/>
            </w:pPr>
            <w:r>
              <w:t>Truck mounted SPV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350C" w14:textId="77777777" w:rsidR="004212EC" w:rsidRDefault="004212EC" w:rsidP="00683E7E">
            <w:pPr>
              <w:jc w:val="center"/>
            </w:pPr>
            <w:r>
              <w:t>4.6m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E9D2" w14:textId="77777777" w:rsidR="004212EC" w:rsidRDefault="004212EC" w:rsidP="00683E7E">
            <w:pPr>
              <w:jc w:val="center"/>
            </w:pPr>
            <w:r>
              <w:t>2.5m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FCAD" w14:textId="77777777" w:rsidR="004212EC" w:rsidRDefault="004212EC" w:rsidP="00683E7E">
            <w:pPr>
              <w:jc w:val="center"/>
            </w:pPr>
            <w:r>
              <w:t>14.5m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3517" w14:textId="77777777" w:rsidR="004212EC" w:rsidRDefault="004212EC" w:rsidP="00683E7E">
            <w:pPr>
              <w:jc w:val="center"/>
            </w:pPr>
            <w:r>
              <w:t>3.5m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8EB1" w14:textId="77777777" w:rsidR="004212EC" w:rsidRDefault="004212EC" w:rsidP="00683E7E">
            <w:pPr>
              <w:jc w:val="center"/>
            </w:pPr>
            <w:r>
              <w:t xml:space="preserve">Lesser of 4m or 90% of </w:t>
            </w:r>
            <w:proofErr w:type="gramStart"/>
            <w:r>
              <w:t>wheel base</w:t>
            </w:r>
            <w:proofErr w:type="gramEnd"/>
          </w:p>
        </w:tc>
      </w:tr>
      <w:tr w:rsidR="004212EC" w14:paraId="2D70B4D4" w14:textId="77777777" w:rsidTr="00683E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98F2" w14:textId="77777777" w:rsidR="004212EC" w:rsidRDefault="004212EC" w:rsidP="00683E7E">
            <w:pPr>
              <w:jc w:val="center"/>
            </w:pPr>
            <w:r>
              <w:t>Mobile crane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51A2" w14:textId="77777777" w:rsidR="004212EC" w:rsidRDefault="004212EC" w:rsidP="00683E7E">
            <w:pPr>
              <w:jc w:val="center"/>
            </w:pPr>
            <w:r>
              <w:t>4.6m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E85E6" w14:textId="77777777" w:rsidR="004212EC" w:rsidRDefault="004212EC" w:rsidP="00683E7E">
            <w:pPr>
              <w:jc w:val="center"/>
            </w:pPr>
            <w:r>
              <w:t>3.5m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9E6C" w14:textId="77777777" w:rsidR="004212EC" w:rsidRDefault="004212EC" w:rsidP="00683E7E">
            <w:pPr>
              <w:jc w:val="center"/>
            </w:pPr>
            <w:r>
              <w:t>14.5m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7537" w14:textId="77777777" w:rsidR="004212EC" w:rsidRDefault="004212EC" w:rsidP="00683E7E">
            <w:pPr>
              <w:jc w:val="center"/>
            </w:pPr>
            <w:r>
              <w:t>3.5m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B2F7" w14:textId="77777777" w:rsidR="004212EC" w:rsidRDefault="004212EC" w:rsidP="00683E7E">
            <w:pPr>
              <w:jc w:val="center"/>
            </w:pPr>
            <w:r>
              <w:t xml:space="preserve">Lesser of 4m or 90% of </w:t>
            </w:r>
            <w:proofErr w:type="gramStart"/>
            <w:r>
              <w:t>wheel base</w:t>
            </w:r>
            <w:proofErr w:type="gramEnd"/>
          </w:p>
        </w:tc>
      </w:tr>
      <w:tr w:rsidR="004212EC" w14:paraId="0D121818" w14:textId="77777777" w:rsidTr="00683E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EFAC" w14:textId="77777777" w:rsidR="004212EC" w:rsidRDefault="004212EC" w:rsidP="00683E7E">
            <w:pPr>
              <w:jc w:val="center"/>
            </w:pPr>
            <w:r>
              <w:t>Towed Special Purpose Vehicle trailer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7E56" w14:textId="77777777" w:rsidR="004212EC" w:rsidRDefault="004212EC" w:rsidP="00683E7E">
            <w:pPr>
              <w:jc w:val="center"/>
            </w:pPr>
            <w:r>
              <w:t>4.6m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95D0" w14:textId="77777777" w:rsidR="004212EC" w:rsidRDefault="004212EC" w:rsidP="00683E7E">
            <w:pPr>
              <w:jc w:val="center"/>
            </w:pPr>
            <w:r>
              <w:t>3.5m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2DF9" w14:textId="77777777" w:rsidR="004212EC" w:rsidRDefault="004212EC" w:rsidP="00683E7E">
            <w:pPr>
              <w:jc w:val="center"/>
            </w:pPr>
            <w:r>
              <w:t>14.5m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6208" w14:textId="77777777" w:rsidR="004212EC" w:rsidRDefault="004212EC" w:rsidP="00683E7E">
            <w:pPr>
              <w:jc w:val="center"/>
            </w:pPr>
            <w: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85B3" w14:textId="77777777" w:rsidR="004212EC" w:rsidRDefault="004212EC" w:rsidP="00683E7E">
            <w:pPr>
              <w:jc w:val="center"/>
            </w:pPr>
            <w:r>
              <w:t xml:space="preserve">Lesser of 4m or 90% of </w:t>
            </w:r>
            <w:proofErr w:type="gramStart"/>
            <w:r>
              <w:t>wheel base</w:t>
            </w:r>
            <w:proofErr w:type="gramEnd"/>
          </w:p>
        </w:tc>
      </w:tr>
      <w:tr w:rsidR="004212EC" w14:paraId="1144ADDC" w14:textId="77777777" w:rsidTr="00683E7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1222" w14:textId="77777777" w:rsidR="004212EC" w:rsidRDefault="004212EC" w:rsidP="00683E7E">
            <w:pPr>
              <w:jc w:val="center"/>
            </w:pPr>
            <w:r>
              <w:t>Towed Special Purpose trailer combination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6BC8" w14:textId="77777777" w:rsidR="004212EC" w:rsidRDefault="004212EC" w:rsidP="00683E7E">
            <w:pPr>
              <w:jc w:val="center"/>
            </w:pPr>
            <w:r>
              <w:t>4.6m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B1CC" w14:textId="77777777" w:rsidR="004212EC" w:rsidRDefault="004212EC" w:rsidP="00683E7E">
            <w:pPr>
              <w:jc w:val="center"/>
            </w:pPr>
            <w:r>
              <w:t>3.5m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A64B" w14:textId="77777777" w:rsidR="004212EC" w:rsidRDefault="004212EC" w:rsidP="00683E7E">
            <w:pPr>
              <w:jc w:val="center"/>
            </w:pPr>
            <w:r>
              <w:t>25m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5427" w14:textId="77777777" w:rsidR="004212EC" w:rsidRDefault="004212EC" w:rsidP="00683E7E">
            <w:pPr>
              <w:jc w:val="center"/>
            </w:pPr>
            <w:r>
              <w:t>-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2BE4" w14:textId="77777777" w:rsidR="004212EC" w:rsidRDefault="004212EC" w:rsidP="00683E7E">
            <w:pPr>
              <w:jc w:val="center"/>
            </w:pPr>
            <w:r>
              <w:t>Lesser of 4m or 90% of wheelbase</w:t>
            </w:r>
          </w:p>
        </w:tc>
      </w:tr>
    </w:tbl>
    <w:p w14:paraId="12CE9748" w14:textId="77777777" w:rsidR="004212EC" w:rsidRDefault="004212EC" w:rsidP="004212EC">
      <w:pPr>
        <w:jc w:val="both"/>
      </w:pPr>
    </w:p>
    <w:p w14:paraId="1A8E6E24" w14:textId="77777777" w:rsidR="004212EC" w:rsidRDefault="004212EC" w:rsidP="004212EC">
      <w:pPr>
        <w:pStyle w:val="ListParagraph"/>
        <w:numPr>
          <w:ilvl w:val="0"/>
          <w:numId w:val="43"/>
        </w:numPr>
        <w:spacing w:line="256" w:lineRule="auto"/>
        <w:jc w:val="both"/>
        <w:rPr>
          <w:lang w:val="en-US"/>
        </w:rPr>
      </w:pPr>
      <w:r>
        <w:rPr>
          <w:lang w:val="en-US"/>
        </w:rPr>
        <w:t xml:space="preserve">For this section, the width of a heavy vehicle must be measured in the same manner as in section 8 of the </w:t>
      </w:r>
      <w:r>
        <w:rPr>
          <w:i/>
          <w:iCs/>
          <w:lang w:val="en-US"/>
        </w:rPr>
        <w:t>Heavy Vehicle (Vehicle Standards) National Regulation</w:t>
      </w:r>
      <w:r>
        <w:rPr>
          <w:lang w:val="en-US"/>
        </w:rPr>
        <w:t>.</w:t>
      </w:r>
    </w:p>
    <w:p w14:paraId="65240B68" w14:textId="77777777" w:rsidR="004212EC" w:rsidRDefault="004212EC" w:rsidP="004212EC">
      <w:pPr>
        <w:pStyle w:val="ListParagraph"/>
        <w:ind w:left="1440"/>
      </w:pPr>
    </w:p>
    <w:p w14:paraId="32D674B1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Conditions – Intelligent access program conditions (IAP conditions) for certain cranes</w:t>
      </w:r>
    </w:p>
    <w:p w14:paraId="684770F5" w14:textId="77777777" w:rsidR="004212EC" w:rsidRDefault="004212EC" w:rsidP="004212EC">
      <w:pPr>
        <w:pStyle w:val="ListParagraph"/>
        <w:ind w:left="1080"/>
        <w:rPr>
          <w:lang w:val="en-US"/>
        </w:rPr>
      </w:pPr>
    </w:p>
    <w:p w14:paraId="17C54BDC" w14:textId="77777777" w:rsidR="004212EC" w:rsidRDefault="004212EC" w:rsidP="004212EC">
      <w:pPr>
        <w:pStyle w:val="ListParagraph"/>
        <w:numPr>
          <w:ilvl w:val="0"/>
          <w:numId w:val="47"/>
        </w:numPr>
        <w:spacing w:line="256" w:lineRule="auto"/>
        <w:jc w:val="both"/>
      </w:pPr>
      <w:r>
        <w:t xml:space="preserve">An eligible vehicle that is a crane exceeding 2.5m in width must be enrolled in and comply with </w:t>
      </w:r>
      <w:r w:rsidRPr="003B61F2">
        <w:t>Intelligent Access Program (IAP) or Telematics Monitoring Application (TMA)</w:t>
      </w:r>
      <w:r>
        <w:t xml:space="preserve"> as applied in New South Wales and as approved by Transport Certification Australia.</w:t>
      </w:r>
    </w:p>
    <w:p w14:paraId="06FBFD22" w14:textId="77777777" w:rsidR="004212EC" w:rsidRDefault="004212EC" w:rsidP="004212EC">
      <w:pPr>
        <w:pStyle w:val="ListParagraph"/>
        <w:ind w:left="1080"/>
        <w:rPr>
          <w:lang w:val="en-US"/>
        </w:rPr>
      </w:pPr>
    </w:p>
    <w:p w14:paraId="0C2ABC66" w14:textId="28670AEA" w:rsidR="004212EC" w:rsidRDefault="004212EC" w:rsidP="004212EC">
      <w:pPr>
        <w:pStyle w:val="ListParagraph"/>
        <w:numPr>
          <w:ilvl w:val="0"/>
          <w:numId w:val="47"/>
        </w:numPr>
        <w:spacing w:line="256" w:lineRule="auto"/>
        <w:jc w:val="both"/>
        <w:rPr>
          <w:lang w:val="en-US"/>
        </w:rPr>
      </w:pPr>
      <w:r>
        <w:rPr>
          <w:lang w:val="en-US"/>
        </w:rPr>
        <w:t>Pursuant to s</w:t>
      </w:r>
      <w:r w:rsidR="009B7EB2">
        <w:rPr>
          <w:lang w:val="en-US"/>
        </w:rPr>
        <w:t xml:space="preserve">ection </w:t>
      </w:r>
      <w:r>
        <w:rPr>
          <w:lang w:val="en-US"/>
        </w:rPr>
        <w:t>402(1)(a) and (b) of Chapter 7 of the HVNL, the following conditions of this notice are intelligent access program conditions:</w:t>
      </w:r>
    </w:p>
    <w:p w14:paraId="5E8A4DA0" w14:textId="77777777" w:rsidR="004212EC" w:rsidRDefault="004212EC" w:rsidP="004212EC">
      <w:pPr>
        <w:pStyle w:val="ListParagraph"/>
        <w:ind w:left="1080"/>
        <w:rPr>
          <w:lang w:val="en-US"/>
        </w:rPr>
      </w:pPr>
    </w:p>
    <w:p w14:paraId="7AD0D248" w14:textId="77777777" w:rsidR="004212EC" w:rsidRDefault="004212EC" w:rsidP="004212EC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any condition relating to mass or dimensions; and</w:t>
      </w:r>
    </w:p>
    <w:p w14:paraId="38200839" w14:textId="77777777" w:rsidR="004212EC" w:rsidRDefault="004212EC" w:rsidP="004212EC">
      <w:pPr>
        <w:pStyle w:val="ListParagraph"/>
        <w:numPr>
          <w:ilvl w:val="0"/>
          <w:numId w:val="48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any condition relating to stated areas or routes to which the authority applies, including any relating to speed or time of travel.</w:t>
      </w:r>
    </w:p>
    <w:p w14:paraId="3FE8341F" w14:textId="77777777" w:rsidR="004212EC" w:rsidRDefault="004212EC" w:rsidP="004212EC">
      <w:pPr>
        <w:pStyle w:val="ListParagraph"/>
        <w:spacing w:after="200" w:line="276" w:lineRule="auto"/>
        <w:ind w:left="1440"/>
        <w:rPr>
          <w:lang w:val="en-US"/>
        </w:rPr>
      </w:pPr>
    </w:p>
    <w:p w14:paraId="4A2452B1" w14:textId="2A31B660" w:rsidR="004212EC" w:rsidRDefault="004212EC" w:rsidP="004212EC">
      <w:pPr>
        <w:pStyle w:val="ListParagraph"/>
        <w:numPr>
          <w:ilvl w:val="0"/>
          <w:numId w:val="47"/>
        </w:numPr>
        <w:spacing w:line="256" w:lineRule="auto"/>
        <w:jc w:val="both"/>
        <w:rPr>
          <w:lang w:val="en-US"/>
        </w:rPr>
      </w:pPr>
      <w:r>
        <w:rPr>
          <w:lang w:val="en-US"/>
        </w:rPr>
        <w:t>Pursuant to s</w:t>
      </w:r>
      <w:r w:rsidR="009B7EB2">
        <w:rPr>
          <w:lang w:val="en-US"/>
        </w:rPr>
        <w:t xml:space="preserve">ection </w:t>
      </w:r>
      <w:r>
        <w:rPr>
          <w:lang w:val="en-US"/>
        </w:rPr>
        <w:t>402(1)(c) of Chapter 7 of the HVNL, an eligible vehicle must be enrolled in and comply with an approved intelligent transport system specified in this section.</w:t>
      </w:r>
    </w:p>
    <w:p w14:paraId="6E852A70" w14:textId="77777777" w:rsidR="004212EC" w:rsidRDefault="004212EC" w:rsidP="004212EC">
      <w:pPr>
        <w:pStyle w:val="ListParagraph"/>
        <w:ind w:left="1080"/>
        <w:rPr>
          <w:lang w:val="en-US"/>
        </w:rPr>
      </w:pPr>
    </w:p>
    <w:p w14:paraId="05B9F83D" w14:textId="77777777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Disapplication of Schedule 8 of the MDL Regulation</w:t>
      </w:r>
    </w:p>
    <w:p w14:paraId="4A74DEDA" w14:textId="77777777" w:rsidR="004212EC" w:rsidRDefault="004212EC" w:rsidP="004212EC">
      <w:pPr>
        <w:pStyle w:val="ListParagraph"/>
        <w:ind w:left="1080"/>
        <w:rPr>
          <w:lang w:val="en-US"/>
        </w:rPr>
      </w:pPr>
    </w:p>
    <w:p w14:paraId="00962EDC" w14:textId="77777777" w:rsidR="004212EC" w:rsidRDefault="004212EC" w:rsidP="004212EC">
      <w:pPr>
        <w:pStyle w:val="ListParagraph"/>
        <w:numPr>
          <w:ilvl w:val="0"/>
          <w:numId w:val="44"/>
        </w:numPr>
        <w:spacing w:line="256" w:lineRule="auto"/>
        <w:jc w:val="both"/>
        <w:rPr>
          <w:lang w:val="en-US"/>
        </w:rPr>
      </w:pPr>
      <w:r>
        <w:rPr>
          <w:lang w:val="en-US"/>
        </w:rPr>
        <w:t xml:space="preserve">Pursuant to section 39(5) of the MDL Regulation, under this notice the conditions in Schedule 8 of the MDL Regulation relating to class 1 vehicles are disapplied and amended to the extent indicated in this section. </w:t>
      </w:r>
    </w:p>
    <w:p w14:paraId="1C906359" w14:textId="77777777" w:rsidR="004212EC" w:rsidRDefault="004212EC" w:rsidP="004212EC">
      <w:pPr>
        <w:pStyle w:val="ListParagraph"/>
        <w:ind w:left="1080"/>
        <w:rPr>
          <w:lang w:val="en-US"/>
        </w:rPr>
      </w:pPr>
    </w:p>
    <w:p w14:paraId="6A40145D" w14:textId="5B55ABE1" w:rsidR="004212EC" w:rsidRDefault="006E78DB" w:rsidP="004212EC">
      <w:pPr>
        <w:pStyle w:val="ListParagraph"/>
        <w:numPr>
          <w:ilvl w:val="0"/>
          <w:numId w:val="45"/>
        </w:numPr>
        <w:spacing w:after="200" w:line="276" w:lineRule="auto"/>
        <w:ind w:left="1800"/>
        <w:jc w:val="both"/>
        <w:rPr>
          <w:lang w:val="en-US"/>
        </w:rPr>
      </w:pPr>
      <w:r>
        <w:rPr>
          <w:lang w:val="en-US"/>
        </w:rPr>
        <w:t>s</w:t>
      </w:r>
      <w:r w:rsidR="004212EC">
        <w:rPr>
          <w:lang w:val="en-US"/>
        </w:rPr>
        <w:t xml:space="preserve">ection 7 – Travel restrictions at night </w:t>
      </w:r>
      <w:proofErr w:type="gramStart"/>
      <w:r w:rsidR="004212EC">
        <w:rPr>
          <w:lang w:val="en-US"/>
        </w:rPr>
        <w:t>is</w:t>
      </w:r>
      <w:proofErr w:type="gramEnd"/>
      <w:r w:rsidR="004212EC">
        <w:rPr>
          <w:lang w:val="en-US"/>
        </w:rPr>
        <w:t xml:space="preserve"> disapplied. </w:t>
      </w:r>
    </w:p>
    <w:p w14:paraId="6519329C" w14:textId="77777777" w:rsidR="00565E16" w:rsidRDefault="00565E16" w:rsidP="00565E16">
      <w:pPr>
        <w:pStyle w:val="ListParagraph"/>
        <w:spacing w:line="256" w:lineRule="auto"/>
        <w:jc w:val="both"/>
        <w:rPr>
          <w:b/>
          <w:bCs/>
        </w:rPr>
      </w:pPr>
    </w:p>
    <w:p w14:paraId="375A209F" w14:textId="1BAD5EC3" w:rsidR="004212EC" w:rsidRDefault="004212EC" w:rsidP="004212EC">
      <w:pPr>
        <w:pStyle w:val="ListParagraph"/>
        <w:numPr>
          <w:ilvl w:val="0"/>
          <w:numId w:val="29"/>
        </w:numPr>
        <w:spacing w:line="256" w:lineRule="auto"/>
        <w:jc w:val="both"/>
        <w:rPr>
          <w:b/>
          <w:bCs/>
        </w:rPr>
      </w:pPr>
      <w:r>
        <w:rPr>
          <w:b/>
          <w:bCs/>
        </w:rPr>
        <w:t>Condition – Stated areas or routes</w:t>
      </w:r>
    </w:p>
    <w:p w14:paraId="17A2340E" w14:textId="77777777" w:rsidR="004212EC" w:rsidRDefault="004212EC" w:rsidP="004212EC">
      <w:pPr>
        <w:pStyle w:val="ListParagraph"/>
        <w:rPr>
          <w:b/>
          <w:bCs/>
        </w:rPr>
      </w:pPr>
    </w:p>
    <w:p w14:paraId="44B3AAB8" w14:textId="77777777" w:rsidR="004212EC" w:rsidRDefault="004212EC" w:rsidP="004212EC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 xml:space="preserve">An eligible vehicle may operate on routes and areas specified in the </w:t>
      </w:r>
      <w:r w:rsidRPr="003B61F2">
        <w:rPr>
          <w:lang w:val="en-US"/>
        </w:rPr>
        <w:t>New South Wales Class 1 Special Purpose Vehicle and Combination Vehicle Operator’s Guide,</w:t>
      </w:r>
      <w:r>
        <w:rPr>
          <w:lang w:val="en-US"/>
        </w:rPr>
        <w:t xml:space="preserve"> as amended from time to time.</w:t>
      </w:r>
    </w:p>
    <w:p w14:paraId="3BA92013" w14:textId="77777777" w:rsidR="004212EC" w:rsidRDefault="004212EC" w:rsidP="004212EC">
      <w:pPr>
        <w:pStyle w:val="ListParagraph"/>
        <w:ind w:left="1080"/>
      </w:pPr>
    </w:p>
    <w:p w14:paraId="62403A76" w14:textId="77777777" w:rsidR="004212EC" w:rsidRDefault="004212EC" w:rsidP="004212EC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For the purposes of section 119(1)(a) of the HVNL, an area or route specified in this section is a stated area or route to which this notice applies.</w:t>
      </w:r>
    </w:p>
    <w:p w14:paraId="550FBE99" w14:textId="77777777" w:rsidR="004212EC" w:rsidRDefault="004212EC" w:rsidP="004212EC">
      <w:pPr>
        <w:pStyle w:val="ListParagraph"/>
        <w:spacing w:after="200" w:line="276" w:lineRule="auto"/>
        <w:ind w:left="1080"/>
        <w:rPr>
          <w:lang w:val="en-US"/>
        </w:rPr>
      </w:pPr>
    </w:p>
    <w:p w14:paraId="580FC57A" w14:textId="77777777" w:rsidR="004212EC" w:rsidRDefault="004212EC" w:rsidP="004212EC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lang w:val="en-US"/>
        </w:rPr>
      </w:pPr>
      <w:r>
        <w:rPr>
          <w:lang w:val="en-US"/>
        </w:rPr>
        <w:t>An eligible vehicle operating on an area or route specified in this section must comply with the following conditions as specified for that route or area:</w:t>
      </w:r>
    </w:p>
    <w:p w14:paraId="7017C79D" w14:textId="77777777" w:rsidR="004212EC" w:rsidRDefault="004212EC" w:rsidP="004212EC">
      <w:pPr>
        <w:pStyle w:val="ListParagraph"/>
        <w:ind w:left="1080"/>
      </w:pPr>
    </w:p>
    <w:p w14:paraId="5B51BA42" w14:textId="0FFCBBDD" w:rsidR="004212EC" w:rsidRDefault="0088311E" w:rsidP="004212EC">
      <w:pPr>
        <w:pStyle w:val="ListParagraph"/>
        <w:numPr>
          <w:ilvl w:val="0"/>
          <w:numId w:val="46"/>
        </w:numPr>
        <w:spacing w:line="256" w:lineRule="auto"/>
        <w:ind w:left="1800"/>
        <w:jc w:val="both"/>
      </w:pPr>
      <w:r>
        <w:t>r</w:t>
      </w:r>
      <w:r w:rsidR="004212EC">
        <w:t>oad conditions pursuant to section 160 of the HVNL; and</w:t>
      </w:r>
    </w:p>
    <w:p w14:paraId="6963694A" w14:textId="72F36C3F" w:rsidR="004212EC" w:rsidRDefault="0088311E" w:rsidP="004212EC">
      <w:pPr>
        <w:pStyle w:val="ListParagraph"/>
        <w:numPr>
          <w:ilvl w:val="0"/>
          <w:numId w:val="46"/>
        </w:numPr>
        <w:spacing w:line="256" w:lineRule="auto"/>
        <w:ind w:left="1800"/>
        <w:jc w:val="both"/>
      </w:pPr>
      <w:r>
        <w:t>t</w:t>
      </w:r>
      <w:r w:rsidR="004212EC">
        <w:t>ravel conditions pursuant to section 161 of the HVNL; and</w:t>
      </w:r>
    </w:p>
    <w:p w14:paraId="25CB2AA1" w14:textId="51FEA6EE" w:rsidR="004212EC" w:rsidRDefault="0088311E" w:rsidP="004212EC">
      <w:pPr>
        <w:pStyle w:val="ListParagraph"/>
        <w:numPr>
          <w:ilvl w:val="0"/>
          <w:numId w:val="46"/>
        </w:numPr>
        <w:spacing w:line="256" w:lineRule="auto"/>
        <w:ind w:left="1800"/>
        <w:jc w:val="both"/>
      </w:pPr>
      <w:r>
        <w:t>v</w:t>
      </w:r>
      <w:r w:rsidR="004212EC">
        <w:t>ehicle conditions pursuant to section 162 of the HVNL.</w:t>
      </w:r>
    </w:p>
    <w:p w14:paraId="7E2F27CB" w14:textId="77777777" w:rsidR="004212EC" w:rsidRDefault="004212EC" w:rsidP="004212EC">
      <w:pPr>
        <w:rPr>
          <w:b/>
          <w:bCs/>
          <w:sz w:val="28"/>
          <w:szCs w:val="28"/>
          <w:lang w:val="en-US"/>
        </w:rPr>
      </w:pPr>
    </w:p>
    <w:p w14:paraId="7216979F" w14:textId="77777777" w:rsidR="004212EC" w:rsidRDefault="004212EC" w:rsidP="004212EC">
      <w:pPr>
        <w:contextualSpacing/>
        <w:jc w:val="both"/>
      </w:pPr>
      <w:r>
        <w:t>Peter Austin</w:t>
      </w:r>
    </w:p>
    <w:p w14:paraId="67C398C8" w14:textId="77777777" w:rsidR="004212EC" w:rsidRDefault="004212EC" w:rsidP="004212EC">
      <w:pPr>
        <w:contextualSpacing/>
        <w:jc w:val="both"/>
      </w:pPr>
      <w:r>
        <w:t>Director, Policy Implementation</w:t>
      </w:r>
    </w:p>
    <w:p w14:paraId="1D0F3DFF" w14:textId="473E0AAB" w:rsidR="00DE448B" w:rsidRPr="00565E16" w:rsidRDefault="004212EC" w:rsidP="004212EC">
      <w:pPr>
        <w:contextualSpacing/>
        <w:jc w:val="both"/>
        <w:rPr>
          <w:b/>
          <w:bCs/>
        </w:rPr>
      </w:pPr>
      <w:r>
        <w:rPr>
          <w:b/>
          <w:bCs/>
        </w:rPr>
        <w:t>National Heavy Vehicle Regulator</w:t>
      </w:r>
    </w:p>
    <w:sectPr w:rsidR="00DE448B" w:rsidRPr="00565E16" w:rsidSect="00BB37B4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4B43" w14:textId="77777777" w:rsidR="00857B03" w:rsidRDefault="00857B03" w:rsidP="00FF165E">
      <w:pPr>
        <w:spacing w:after="0" w:line="240" w:lineRule="auto"/>
      </w:pPr>
      <w:r>
        <w:separator/>
      </w:r>
    </w:p>
  </w:endnote>
  <w:endnote w:type="continuationSeparator" w:id="0">
    <w:p w14:paraId="5A4299ED" w14:textId="77777777" w:rsidR="00857B03" w:rsidRDefault="00857B03" w:rsidP="00FF165E">
      <w:pPr>
        <w:spacing w:after="0" w:line="240" w:lineRule="auto"/>
      </w:pPr>
      <w:r>
        <w:continuationSeparator/>
      </w:r>
    </w:p>
  </w:endnote>
  <w:endnote w:type="continuationNotice" w:id="1">
    <w:p w14:paraId="5C2877D4" w14:textId="77777777" w:rsidR="00857B03" w:rsidRDefault="00857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0ABEB" w14:textId="0D13D81A" w:rsidR="001E53A4" w:rsidRDefault="001E53A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5617E4" wp14:editId="542315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11337" w14:textId="005B106F" w:rsidR="001E53A4" w:rsidRPr="001E53A4" w:rsidRDefault="001E53A4" w:rsidP="001E53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E53A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617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B511337" w14:textId="005B106F" w:rsidR="001E53A4" w:rsidRPr="001E53A4" w:rsidRDefault="001E53A4" w:rsidP="001E53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E53A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92B3" w14:textId="1D415706" w:rsidR="00FF165E" w:rsidRDefault="001E53A4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B44297" wp14:editId="4B547566">
              <wp:simplePos x="914400" y="97269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FC898" w14:textId="377065EB" w:rsidR="001E53A4" w:rsidRPr="001E53A4" w:rsidRDefault="001E53A4" w:rsidP="001E53A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4429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4BFC898" w14:textId="377065EB" w:rsidR="001E53A4" w:rsidRPr="001E53A4" w:rsidRDefault="001E53A4" w:rsidP="001E53A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4797CB" w14:textId="7F6E59EC" w:rsidR="00FF165E" w:rsidRDefault="00467031" w:rsidP="00FF165E">
    <w:pPr>
      <w:pStyle w:val="Footer"/>
      <w:jc w:val="right"/>
    </w:pPr>
    <w:r w:rsidRPr="00467031">
      <w:t>New South Wales Class 1 Special Purpose Vehicle and Combination Exemption Notice 202</w:t>
    </w:r>
    <w:r w:rsidR="009F031E">
      <w:t>4</w:t>
    </w:r>
    <w:r w:rsidRPr="00467031">
      <w:t xml:space="preserve"> (No.</w:t>
    </w:r>
    <w:r w:rsidR="00400298">
      <w:t>2</w:t>
    </w:r>
    <w:r w:rsidRPr="00467031">
      <w:t xml:space="preserve">) </w:t>
    </w:r>
    <w:sdt>
      <w:sdtPr>
        <w:id w:val="-45618070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CEF4C" w14:textId="460275B8" w:rsidR="005A78C9" w:rsidRDefault="005A78C9" w:rsidP="005A78C9">
    <w:pPr>
      <w:pStyle w:val="Footer"/>
      <w:jc w:val="right"/>
    </w:pPr>
  </w:p>
  <w:p w14:paraId="0B5C5838" w14:textId="477CAD04" w:rsidR="005A78C9" w:rsidRDefault="005A78C9" w:rsidP="005A78C9">
    <w:pPr>
      <w:pStyle w:val="Footer"/>
      <w:jc w:val="right"/>
    </w:pPr>
    <w:r w:rsidRPr="00467031">
      <w:t>New South Wales Class 1 Special Purpose Vehicle and Combination Exemption Notice 202</w:t>
    </w:r>
    <w:r>
      <w:t>4</w:t>
    </w:r>
    <w:r w:rsidRPr="00467031">
      <w:t xml:space="preserve"> (No.</w:t>
    </w:r>
    <w:r w:rsidR="00E15D04">
      <w:t>2</w:t>
    </w:r>
    <w:r w:rsidRPr="00467031">
      <w:t xml:space="preserve">) </w:t>
    </w:r>
    <w:sdt>
      <w:sdtPr>
        <w:id w:val="-1332297643"/>
        <w:docPartObj>
          <w:docPartGallery w:val="Page Numbers (Bottom of Page)"/>
          <w:docPartUnique/>
        </w:docPartObj>
      </w:sdtPr>
      <w:sdtContent>
        <w:sdt>
          <w:sdtPr>
            <w:id w:val="-516226688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A605" w14:textId="77777777" w:rsidR="00857B03" w:rsidRDefault="00857B03" w:rsidP="00FF165E">
      <w:pPr>
        <w:spacing w:after="0" w:line="240" w:lineRule="auto"/>
      </w:pPr>
      <w:r>
        <w:separator/>
      </w:r>
    </w:p>
  </w:footnote>
  <w:footnote w:type="continuationSeparator" w:id="0">
    <w:p w14:paraId="0DBE58A3" w14:textId="77777777" w:rsidR="00857B03" w:rsidRDefault="00857B03" w:rsidP="00FF165E">
      <w:pPr>
        <w:spacing w:after="0" w:line="240" w:lineRule="auto"/>
      </w:pPr>
      <w:r>
        <w:continuationSeparator/>
      </w:r>
    </w:p>
  </w:footnote>
  <w:footnote w:type="continuationNotice" w:id="1">
    <w:p w14:paraId="72B55CA5" w14:textId="77777777" w:rsidR="00857B03" w:rsidRDefault="00857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7" w:type="dxa"/>
      <w:jc w:val="center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14705" w:rsidRPr="00CE796A" w14:paraId="39E9AE3E" w14:textId="77777777" w:rsidTr="00683E7E">
      <w:trPr>
        <w:trHeight w:val="984"/>
        <w:jc w:val="center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D8A6532" w14:textId="77777777" w:rsidR="00014705" w:rsidRPr="00CE796A" w:rsidRDefault="00014705" w:rsidP="00014705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0F612F88" wp14:editId="1E692663">
                <wp:extent cx="702945" cy="544195"/>
                <wp:effectExtent l="0" t="0" r="0" b="8255"/>
                <wp:docPr id="145178085" name="Picture 145178085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1591392" w14:textId="77777777" w:rsidR="00014705" w:rsidRPr="00CE796A" w:rsidRDefault="00014705" w:rsidP="00014705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508ACC" w14:textId="77777777" w:rsidR="00014705" w:rsidRPr="00CE796A" w:rsidRDefault="00014705" w:rsidP="00014705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14705" w:rsidRPr="00840A06" w14:paraId="3BF3B485" w14:textId="77777777" w:rsidTr="00683E7E">
      <w:trPr>
        <w:trHeight w:val="340"/>
        <w:jc w:val="center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54CE5D5C" w14:textId="77777777" w:rsidR="00014705" w:rsidRPr="00CE796A" w:rsidRDefault="00014705" w:rsidP="00014705">
          <w:pPr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BE06E4A" w14:textId="77777777" w:rsidR="00014705" w:rsidRPr="00840A06" w:rsidRDefault="00014705" w:rsidP="00014705">
          <w:pPr>
            <w:jc w:val="right"/>
            <w:rPr>
              <w:rFonts w:ascii="Arial" w:hAnsi="Arial" w:cs="Arial"/>
              <w:b/>
            </w:rPr>
          </w:pPr>
          <w:r w:rsidRPr="00840A06">
            <w:rPr>
              <w:rFonts w:ascii="Arial" w:hAnsi="Arial" w:cs="Arial"/>
              <w:b/>
            </w:rPr>
            <w:t>GOVERNMENT NOTICES</w:t>
          </w:r>
        </w:p>
      </w:tc>
    </w:tr>
  </w:tbl>
  <w:p w14:paraId="56643677" w14:textId="77777777" w:rsidR="00014705" w:rsidRDefault="00014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D68"/>
    <w:multiLevelType w:val="hybridMultilevel"/>
    <w:tmpl w:val="1476706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BC5066"/>
    <w:multiLevelType w:val="hybridMultilevel"/>
    <w:tmpl w:val="D6F4D9B2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F5F0D"/>
    <w:multiLevelType w:val="hybridMultilevel"/>
    <w:tmpl w:val="16F41422"/>
    <w:lvl w:ilvl="0" w:tplc="0C090011">
      <w:start w:val="1"/>
      <w:numFmt w:val="decimal"/>
      <w:lvlText w:val="%1)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7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26A19"/>
    <w:multiLevelType w:val="hybridMultilevel"/>
    <w:tmpl w:val="1EB6AFB4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A64E14"/>
    <w:multiLevelType w:val="hybridMultilevel"/>
    <w:tmpl w:val="A7F26890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7134E"/>
    <w:multiLevelType w:val="hybridMultilevel"/>
    <w:tmpl w:val="93E67A3C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E70B7C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393DBC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201A11"/>
    <w:multiLevelType w:val="hybridMultilevel"/>
    <w:tmpl w:val="B944F1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82B9B"/>
    <w:multiLevelType w:val="hybridMultilevel"/>
    <w:tmpl w:val="33C2E510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1B4660"/>
    <w:multiLevelType w:val="hybridMultilevel"/>
    <w:tmpl w:val="09CE8694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4495F"/>
    <w:multiLevelType w:val="hybridMultilevel"/>
    <w:tmpl w:val="1EB2D660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C35A29"/>
    <w:multiLevelType w:val="hybridMultilevel"/>
    <w:tmpl w:val="836E786E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51AA2"/>
    <w:multiLevelType w:val="hybridMultilevel"/>
    <w:tmpl w:val="B2805B7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A0313"/>
    <w:multiLevelType w:val="hybridMultilevel"/>
    <w:tmpl w:val="3B14B7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0C214A"/>
    <w:multiLevelType w:val="hybridMultilevel"/>
    <w:tmpl w:val="92AE9CB8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8C1427"/>
    <w:multiLevelType w:val="hybridMultilevel"/>
    <w:tmpl w:val="B0D09DD4"/>
    <w:lvl w:ilvl="0" w:tplc="5440738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7152AB3"/>
    <w:multiLevelType w:val="hybridMultilevel"/>
    <w:tmpl w:val="7F460DF0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C6CEF"/>
    <w:multiLevelType w:val="hybridMultilevel"/>
    <w:tmpl w:val="5934A84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3D7302"/>
    <w:multiLevelType w:val="hybridMultilevel"/>
    <w:tmpl w:val="EB2A37B4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85F75"/>
    <w:multiLevelType w:val="hybridMultilevel"/>
    <w:tmpl w:val="5A48F632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B60D95"/>
    <w:multiLevelType w:val="hybridMultilevel"/>
    <w:tmpl w:val="E9B44B18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0E3B50"/>
    <w:multiLevelType w:val="hybridMultilevel"/>
    <w:tmpl w:val="6C8EE5A2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2F5386"/>
    <w:multiLevelType w:val="hybridMultilevel"/>
    <w:tmpl w:val="FE98D9A4"/>
    <w:lvl w:ilvl="0" w:tplc="5440738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797464"/>
    <w:multiLevelType w:val="hybridMultilevel"/>
    <w:tmpl w:val="BE6E0D9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1C44DC"/>
    <w:multiLevelType w:val="hybridMultilevel"/>
    <w:tmpl w:val="EF0C508A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A049E3"/>
    <w:multiLevelType w:val="hybridMultilevel"/>
    <w:tmpl w:val="345E7FA6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E32020"/>
    <w:multiLevelType w:val="hybridMultilevel"/>
    <w:tmpl w:val="00A4E232"/>
    <w:lvl w:ilvl="0" w:tplc="54407384">
      <w:start w:val="1"/>
      <w:numFmt w:val="lowerLetter"/>
      <w:lvlText w:val="(%1)"/>
      <w:lvlJc w:val="left"/>
      <w:pPr>
        <w:ind w:left="144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A8546E"/>
    <w:multiLevelType w:val="hybridMultilevel"/>
    <w:tmpl w:val="4B8E04AA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590809"/>
    <w:multiLevelType w:val="hybridMultilevel"/>
    <w:tmpl w:val="B9D0DE86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1E17F6"/>
    <w:multiLevelType w:val="hybridMultilevel"/>
    <w:tmpl w:val="3BC6876A"/>
    <w:lvl w:ilvl="0" w:tplc="B5E805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204589">
    <w:abstractNumId w:val="8"/>
  </w:num>
  <w:num w:numId="2" w16cid:durableId="1434589450">
    <w:abstractNumId w:val="10"/>
  </w:num>
  <w:num w:numId="3" w16cid:durableId="1871453980">
    <w:abstractNumId w:val="28"/>
  </w:num>
  <w:num w:numId="4" w16cid:durableId="1585459406">
    <w:abstractNumId w:val="18"/>
  </w:num>
  <w:num w:numId="5" w16cid:durableId="1524435663">
    <w:abstractNumId w:val="27"/>
  </w:num>
  <w:num w:numId="6" w16cid:durableId="2013291540">
    <w:abstractNumId w:val="14"/>
  </w:num>
  <w:num w:numId="7" w16cid:durableId="1030178461">
    <w:abstractNumId w:val="13"/>
  </w:num>
  <w:num w:numId="8" w16cid:durableId="1090588513">
    <w:abstractNumId w:val="11"/>
  </w:num>
  <w:num w:numId="9" w16cid:durableId="1995450305">
    <w:abstractNumId w:val="9"/>
  </w:num>
  <w:num w:numId="10" w16cid:durableId="370112129">
    <w:abstractNumId w:val="6"/>
  </w:num>
  <w:num w:numId="11" w16cid:durableId="2062711188">
    <w:abstractNumId w:val="19"/>
  </w:num>
  <w:num w:numId="12" w16cid:durableId="568225652">
    <w:abstractNumId w:val="2"/>
  </w:num>
  <w:num w:numId="13" w16cid:durableId="1215846270">
    <w:abstractNumId w:val="7"/>
  </w:num>
  <w:num w:numId="14" w16cid:durableId="1981496748">
    <w:abstractNumId w:val="15"/>
  </w:num>
  <w:num w:numId="15" w16cid:durableId="286592575">
    <w:abstractNumId w:val="20"/>
  </w:num>
  <w:num w:numId="16" w16cid:durableId="1194198498">
    <w:abstractNumId w:val="12"/>
  </w:num>
  <w:num w:numId="17" w16cid:durableId="1028680200">
    <w:abstractNumId w:val="0"/>
  </w:num>
  <w:num w:numId="18" w16cid:durableId="17197302">
    <w:abstractNumId w:val="5"/>
  </w:num>
  <w:num w:numId="19" w16cid:durableId="2020038769">
    <w:abstractNumId w:val="4"/>
  </w:num>
  <w:num w:numId="20" w16cid:durableId="1904945097">
    <w:abstractNumId w:val="31"/>
  </w:num>
  <w:num w:numId="21" w16cid:durableId="1756393189">
    <w:abstractNumId w:val="23"/>
  </w:num>
  <w:num w:numId="22" w16cid:durableId="503981585">
    <w:abstractNumId w:val="16"/>
  </w:num>
  <w:num w:numId="23" w16cid:durableId="289898438">
    <w:abstractNumId w:val="30"/>
  </w:num>
  <w:num w:numId="24" w16cid:durableId="771975880">
    <w:abstractNumId w:val="21"/>
  </w:num>
  <w:num w:numId="25" w16cid:durableId="502624039">
    <w:abstractNumId w:val="3"/>
  </w:num>
  <w:num w:numId="26" w16cid:durableId="389575451">
    <w:abstractNumId w:val="1"/>
  </w:num>
  <w:num w:numId="27" w16cid:durableId="1323653922">
    <w:abstractNumId w:val="26"/>
  </w:num>
  <w:num w:numId="28" w16cid:durableId="1822773018">
    <w:abstractNumId w:val="25"/>
  </w:num>
  <w:num w:numId="29" w16cid:durableId="601497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9145697">
    <w:abstractNumId w:val="10"/>
  </w:num>
  <w:num w:numId="31" w16cid:durableId="662509012">
    <w:abstractNumId w:val="12"/>
  </w:num>
  <w:num w:numId="32" w16cid:durableId="841621487">
    <w:abstractNumId w:val="28"/>
  </w:num>
  <w:num w:numId="33" w16cid:durableId="181479205">
    <w:abstractNumId w:val="18"/>
  </w:num>
  <w:num w:numId="34" w16cid:durableId="76563720">
    <w:abstractNumId w:val="27"/>
  </w:num>
  <w:num w:numId="35" w16cid:durableId="1653094833">
    <w:abstractNumId w:val="5"/>
  </w:num>
  <w:num w:numId="36" w16cid:durableId="2010399066">
    <w:abstractNumId w:val="4"/>
  </w:num>
  <w:num w:numId="37" w16cid:durableId="1939675912">
    <w:abstractNumId w:val="31"/>
  </w:num>
  <w:num w:numId="38" w16cid:durableId="1690835306">
    <w:abstractNumId w:val="23"/>
  </w:num>
  <w:num w:numId="39" w16cid:durableId="1521048958">
    <w:abstractNumId w:val="16"/>
  </w:num>
  <w:num w:numId="40" w16cid:durableId="1976059217">
    <w:abstractNumId w:val="30"/>
  </w:num>
  <w:num w:numId="41" w16cid:durableId="1186022869">
    <w:abstractNumId w:val="1"/>
  </w:num>
  <w:num w:numId="42" w16cid:durableId="859003086">
    <w:abstractNumId w:val="9"/>
  </w:num>
  <w:num w:numId="43" w16cid:durableId="39134584">
    <w:abstractNumId w:val="21"/>
  </w:num>
  <w:num w:numId="44" w16cid:durableId="609972833">
    <w:abstractNumId w:val="20"/>
  </w:num>
  <w:num w:numId="45" w16cid:durableId="1281958840">
    <w:abstractNumId w:val="3"/>
  </w:num>
  <w:num w:numId="46" w16cid:durableId="1211652835">
    <w:abstractNumId w:val="11"/>
  </w:num>
  <w:num w:numId="47" w16cid:durableId="1458259961">
    <w:abstractNumId w:val="29"/>
  </w:num>
  <w:num w:numId="48" w16cid:durableId="817458541">
    <w:abstractNumId w:val="22"/>
  </w:num>
  <w:num w:numId="49" w16cid:durableId="1030379667">
    <w:abstractNumId w:val="17"/>
  </w:num>
  <w:num w:numId="50" w16cid:durableId="212221394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0E05"/>
    <w:rsid w:val="00006E84"/>
    <w:rsid w:val="000119A9"/>
    <w:rsid w:val="00014705"/>
    <w:rsid w:val="00016A76"/>
    <w:rsid w:val="0001782B"/>
    <w:rsid w:val="000312CB"/>
    <w:rsid w:val="00031358"/>
    <w:rsid w:val="00037C3A"/>
    <w:rsid w:val="00040E9F"/>
    <w:rsid w:val="00042A7F"/>
    <w:rsid w:val="0004474D"/>
    <w:rsid w:val="00045AA9"/>
    <w:rsid w:val="00046888"/>
    <w:rsid w:val="00047169"/>
    <w:rsid w:val="00047B4C"/>
    <w:rsid w:val="00047B4D"/>
    <w:rsid w:val="00053C44"/>
    <w:rsid w:val="00056FFA"/>
    <w:rsid w:val="00057ED2"/>
    <w:rsid w:val="000634F8"/>
    <w:rsid w:val="00063E02"/>
    <w:rsid w:val="00066965"/>
    <w:rsid w:val="000715A9"/>
    <w:rsid w:val="00072713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2D1F"/>
    <w:rsid w:val="0009766F"/>
    <w:rsid w:val="000A25A8"/>
    <w:rsid w:val="000B1F3E"/>
    <w:rsid w:val="000B21C5"/>
    <w:rsid w:val="000B2987"/>
    <w:rsid w:val="000B4737"/>
    <w:rsid w:val="000B4854"/>
    <w:rsid w:val="000B7FD6"/>
    <w:rsid w:val="000C0896"/>
    <w:rsid w:val="000C09A3"/>
    <w:rsid w:val="000D1A1F"/>
    <w:rsid w:val="000E1232"/>
    <w:rsid w:val="000E2F26"/>
    <w:rsid w:val="000E498D"/>
    <w:rsid w:val="000F0C8B"/>
    <w:rsid w:val="000F148B"/>
    <w:rsid w:val="000F35D5"/>
    <w:rsid w:val="000F4C6F"/>
    <w:rsid w:val="000F4EC3"/>
    <w:rsid w:val="000F4EF3"/>
    <w:rsid w:val="00103F54"/>
    <w:rsid w:val="001067A9"/>
    <w:rsid w:val="00107A7E"/>
    <w:rsid w:val="00114BA9"/>
    <w:rsid w:val="00115BCE"/>
    <w:rsid w:val="00115E2B"/>
    <w:rsid w:val="00117CF8"/>
    <w:rsid w:val="00120031"/>
    <w:rsid w:val="00122995"/>
    <w:rsid w:val="001271D6"/>
    <w:rsid w:val="0012781E"/>
    <w:rsid w:val="00133E11"/>
    <w:rsid w:val="0013550E"/>
    <w:rsid w:val="00135A70"/>
    <w:rsid w:val="001447ED"/>
    <w:rsid w:val="00145226"/>
    <w:rsid w:val="001453DD"/>
    <w:rsid w:val="00152EBF"/>
    <w:rsid w:val="00154E5A"/>
    <w:rsid w:val="00172BD7"/>
    <w:rsid w:val="00172D56"/>
    <w:rsid w:val="00173384"/>
    <w:rsid w:val="001830E8"/>
    <w:rsid w:val="0018328D"/>
    <w:rsid w:val="00186F5C"/>
    <w:rsid w:val="00187A65"/>
    <w:rsid w:val="001945F9"/>
    <w:rsid w:val="00196050"/>
    <w:rsid w:val="001A2D23"/>
    <w:rsid w:val="001A48BC"/>
    <w:rsid w:val="001A4E33"/>
    <w:rsid w:val="001A4E52"/>
    <w:rsid w:val="001A63EE"/>
    <w:rsid w:val="001B00A4"/>
    <w:rsid w:val="001B3D58"/>
    <w:rsid w:val="001B636D"/>
    <w:rsid w:val="001C4AC6"/>
    <w:rsid w:val="001C6FC0"/>
    <w:rsid w:val="001D43DF"/>
    <w:rsid w:val="001D792E"/>
    <w:rsid w:val="001D7E9E"/>
    <w:rsid w:val="001E4266"/>
    <w:rsid w:val="001E53A4"/>
    <w:rsid w:val="001E7D63"/>
    <w:rsid w:val="001F3F6C"/>
    <w:rsid w:val="001F7150"/>
    <w:rsid w:val="0020145F"/>
    <w:rsid w:val="00203990"/>
    <w:rsid w:val="00205C52"/>
    <w:rsid w:val="00207352"/>
    <w:rsid w:val="00213EEB"/>
    <w:rsid w:val="0021496F"/>
    <w:rsid w:val="002177D4"/>
    <w:rsid w:val="002225E5"/>
    <w:rsid w:val="00222E22"/>
    <w:rsid w:val="002236D8"/>
    <w:rsid w:val="00224502"/>
    <w:rsid w:val="0022624C"/>
    <w:rsid w:val="0023388D"/>
    <w:rsid w:val="002340A6"/>
    <w:rsid w:val="00236E59"/>
    <w:rsid w:val="00237F31"/>
    <w:rsid w:val="002404C1"/>
    <w:rsid w:val="002423CF"/>
    <w:rsid w:val="0024249B"/>
    <w:rsid w:val="00245719"/>
    <w:rsid w:val="00252E6A"/>
    <w:rsid w:val="002604C7"/>
    <w:rsid w:val="00275DD1"/>
    <w:rsid w:val="002776DB"/>
    <w:rsid w:val="00277B89"/>
    <w:rsid w:val="002820BF"/>
    <w:rsid w:val="00283D0F"/>
    <w:rsid w:val="00293049"/>
    <w:rsid w:val="00293E2F"/>
    <w:rsid w:val="00293FEB"/>
    <w:rsid w:val="002940E6"/>
    <w:rsid w:val="002969FF"/>
    <w:rsid w:val="00296A93"/>
    <w:rsid w:val="002A057C"/>
    <w:rsid w:val="002A3D1A"/>
    <w:rsid w:val="002A4337"/>
    <w:rsid w:val="002A662C"/>
    <w:rsid w:val="002A7271"/>
    <w:rsid w:val="002B748F"/>
    <w:rsid w:val="002B7EDD"/>
    <w:rsid w:val="002C0360"/>
    <w:rsid w:val="002C7057"/>
    <w:rsid w:val="002D425D"/>
    <w:rsid w:val="002D4544"/>
    <w:rsid w:val="002E505B"/>
    <w:rsid w:val="002E5A20"/>
    <w:rsid w:val="002E6FA8"/>
    <w:rsid w:val="00312F56"/>
    <w:rsid w:val="00325A52"/>
    <w:rsid w:val="00330D46"/>
    <w:rsid w:val="00343193"/>
    <w:rsid w:val="00346D51"/>
    <w:rsid w:val="00350329"/>
    <w:rsid w:val="00350D5D"/>
    <w:rsid w:val="00352311"/>
    <w:rsid w:val="00352F89"/>
    <w:rsid w:val="003535F6"/>
    <w:rsid w:val="00355D69"/>
    <w:rsid w:val="003640FC"/>
    <w:rsid w:val="0037159B"/>
    <w:rsid w:val="00371D42"/>
    <w:rsid w:val="00373E4D"/>
    <w:rsid w:val="00375DE3"/>
    <w:rsid w:val="00380160"/>
    <w:rsid w:val="00383392"/>
    <w:rsid w:val="003865A0"/>
    <w:rsid w:val="003A3765"/>
    <w:rsid w:val="003A78D8"/>
    <w:rsid w:val="003B1289"/>
    <w:rsid w:val="003B47E8"/>
    <w:rsid w:val="003B5443"/>
    <w:rsid w:val="003C1D5F"/>
    <w:rsid w:val="003D1A6E"/>
    <w:rsid w:val="003D2871"/>
    <w:rsid w:val="003D71E6"/>
    <w:rsid w:val="003E3AB3"/>
    <w:rsid w:val="003F015A"/>
    <w:rsid w:val="003F5FC8"/>
    <w:rsid w:val="003F6913"/>
    <w:rsid w:val="00400298"/>
    <w:rsid w:val="00401224"/>
    <w:rsid w:val="0040234A"/>
    <w:rsid w:val="004111ED"/>
    <w:rsid w:val="00420610"/>
    <w:rsid w:val="004212EC"/>
    <w:rsid w:val="004305C4"/>
    <w:rsid w:val="00435A42"/>
    <w:rsid w:val="00445FC5"/>
    <w:rsid w:val="00446168"/>
    <w:rsid w:val="00446F73"/>
    <w:rsid w:val="00447FD8"/>
    <w:rsid w:val="00450D67"/>
    <w:rsid w:val="00455BD7"/>
    <w:rsid w:val="00460660"/>
    <w:rsid w:val="0046505A"/>
    <w:rsid w:val="00466EEA"/>
    <w:rsid w:val="00467031"/>
    <w:rsid w:val="00474C13"/>
    <w:rsid w:val="004824C4"/>
    <w:rsid w:val="0048383D"/>
    <w:rsid w:val="00490E87"/>
    <w:rsid w:val="00490EBC"/>
    <w:rsid w:val="00490FC4"/>
    <w:rsid w:val="0049355E"/>
    <w:rsid w:val="004953E9"/>
    <w:rsid w:val="004A6E4F"/>
    <w:rsid w:val="004A711D"/>
    <w:rsid w:val="004B0E5E"/>
    <w:rsid w:val="004B4172"/>
    <w:rsid w:val="004C45CE"/>
    <w:rsid w:val="004C7B63"/>
    <w:rsid w:val="004D1706"/>
    <w:rsid w:val="004D2423"/>
    <w:rsid w:val="004D71B3"/>
    <w:rsid w:val="004D75DF"/>
    <w:rsid w:val="004E2EA4"/>
    <w:rsid w:val="004F33D0"/>
    <w:rsid w:val="004F3DEE"/>
    <w:rsid w:val="004F482F"/>
    <w:rsid w:val="004F49C2"/>
    <w:rsid w:val="005054A8"/>
    <w:rsid w:val="00506E5A"/>
    <w:rsid w:val="005141F3"/>
    <w:rsid w:val="00520FC4"/>
    <w:rsid w:val="005222B1"/>
    <w:rsid w:val="005273D3"/>
    <w:rsid w:val="005328BF"/>
    <w:rsid w:val="00542A02"/>
    <w:rsid w:val="00542F1E"/>
    <w:rsid w:val="00546484"/>
    <w:rsid w:val="00547380"/>
    <w:rsid w:val="005536DF"/>
    <w:rsid w:val="00554B50"/>
    <w:rsid w:val="00554B71"/>
    <w:rsid w:val="005577C4"/>
    <w:rsid w:val="00565E16"/>
    <w:rsid w:val="00565E39"/>
    <w:rsid w:val="00566FE2"/>
    <w:rsid w:val="005708C5"/>
    <w:rsid w:val="0057290D"/>
    <w:rsid w:val="005779B1"/>
    <w:rsid w:val="0058031D"/>
    <w:rsid w:val="00581C6C"/>
    <w:rsid w:val="00587F28"/>
    <w:rsid w:val="00592910"/>
    <w:rsid w:val="00595439"/>
    <w:rsid w:val="005A4B22"/>
    <w:rsid w:val="005A588C"/>
    <w:rsid w:val="005A58C2"/>
    <w:rsid w:val="005A6499"/>
    <w:rsid w:val="005A78C9"/>
    <w:rsid w:val="005B4286"/>
    <w:rsid w:val="005C1132"/>
    <w:rsid w:val="005C160B"/>
    <w:rsid w:val="005C3E3E"/>
    <w:rsid w:val="005C74FB"/>
    <w:rsid w:val="005D2D1C"/>
    <w:rsid w:val="005E031A"/>
    <w:rsid w:val="005F289E"/>
    <w:rsid w:val="005F2969"/>
    <w:rsid w:val="00601570"/>
    <w:rsid w:val="00603FDF"/>
    <w:rsid w:val="00604398"/>
    <w:rsid w:val="00604B98"/>
    <w:rsid w:val="006053F3"/>
    <w:rsid w:val="00605BDA"/>
    <w:rsid w:val="00606E7B"/>
    <w:rsid w:val="00607349"/>
    <w:rsid w:val="00611295"/>
    <w:rsid w:val="00612E8C"/>
    <w:rsid w:val="00613347"/>
    <w:rsid w:val="00614388"/>
    <w:rsid w:val="00617096"/>
    <w:rsid w:val="006171AF"/>
    <w:rsid w:val="0062426F"/>
    <w:rsid w:val="006318B6"/>
    <w:rsid w:val="00641E43"/>
    <w:rsid w:val="00643027"/>
    <w:rsid w:val="00644600"/>
    <w:rsid w:val="006459A2"/>
    <w:rsid w:val="0065663B"/>
    <w:rsid w:val="00657425"/>
    <w:rsid w:val="00661892"/>
    <w:rsid w:val="0066334E"/>
    <w:rsid w:val="006726D1"/>
    <w:rsid w:val="00675921"/>
    <w:rsid w:val="00682FBC"/>
    <w:rsid w:val="00690AA3"/>
    <w:rsid w:val="006944E7"/>
    <w:rsid w:val="006A0EB0"/>
    <w:rsid w:val="006A58F8"/>
    <w:rsid w:val="006A5B66"/>
    <w:rsid w:val="006A74FD"/>
    <w:rsid w:val="006B5947"/>
    <w:rsid w:val="006C0F01"/>
    <w:rsid w:val="006C6A22"/>
    <w:rsid w:val="006C7A39"/>
    <w:rsid w:val="006D1DB8"/>
    <w:rsid w:val="006D34F8"/>
    <w:rsid w:val="006E3055"/>
    <w:rsid w:val="006E362A"/>
    <w:rsid w:val="006E3C5A"/>
    <w:rsid w:val="006E4E35"/>
    <w:rsid w:val="006E583D"/>
    <w:rsid w:val="006E78DB"/>
    <w:rsid w:val="006F3882"/>
    <w:rsid w:val="006F456C"/>
    <w:rsid w:val="006F5CA3"/>
    <w:rsid w:val="006F785C"/>
    <w:rsid w:val="00710040"/>
    <w:rsid w:val="00712407"/>
    <w:rsid w:val="00713935"/>
    <w:rsid w:val="00720C32"/>
    <w:rsid w:val="00724050"/>
    <w:rsid w:val="0073004D"/>
    <w:rsid w:val="00732807"/>
    <w:rsid w:val="00732C7E"/>
    <w:rsid w:val="007365B6"/>
    <w:rsid w:val="00737535"/>
    <w:rsid w:val="007408C3"/>
    <w:rsid w:val="007428B8"/>
    <w:rsid w:val="00745E6F"/>
    <w:rsid w:val="007505FB"/>
    <w:rsid w:val="00750BFA"/>
    <w:rsid w:val="00751DBD"/>
    <w:rsid w:val="0075762C"/>
    <w:rsid w:val="00765095"/>
    <w:rsid w:val="007736D2"/>
    <w:rsid w:val="00773706"/>
    <w:rsid w:val="007745BC"/>
    <w:rsid w:val="007752AC"/>
    <w:rsid w:val="00781B60"/>
    <w:rsid w:val="00783442"/>
    <w:rsid w:val="00786201"/>
    <w:rsid w:val="0078723F"/>
    <w:rsid w:val="00787E3B"/>
    <w:rsid w:val="00792071"/>
    <w:rsid w:val="007A22A2"/>
    <w:rsid w:val="007A4377"/>
    <w:rsid w:val="007B0CB2"/>
    <w:rsid w:val="007B55F9"/>
    <w:rsid w:val="007B5F7B"/>
    <w:rsid w:val="007B74CB"/>
    <w:rsid w:val="007B7D13"/>
    <w:rsid w:val="007C0E22"/>
    <w:rsid w:val="007E11A7"/>
    <w:rsid w:val="007E2B1A"/>
    <w:rsid w:val="007E39FD"/>
    <w:rsid w:val="007E4105"/>
    <w:rsid w:val="007E5B93"/>
    <w:rsid w:val="007E613A"/>
    <w:rsid w:val="007F3BA3"/>
    <w:rsid w:val="0080292F"/>
    <w:rsid w:val="00802D1C"/>
    <w:rsid w:val="0080436D"/>
    <w:rsid w:val="00805DAB"/>
    <w:rsid w:val="00814047"/>
    <w:rsid w:val="008235C7"/>
    <w:rsid w:val="008235D8"/>
    <w:rsid w:val="00834D82"/>
    <w:rsid w:val="0084311B"/>
    <w:rsid w:val="0084411E"/>
    <w:rsid w:val="00850AB1"/>
    <w:rsid w:val="00853F53"/>
    <w:rsid w:val="00854A58"/>
    <w:rsid w:val="008556EF"/>
    <w:rsid w:val="00857B03"/>
    <w:rsid w:val="00862D14"/>
    <w:rsid w:val="008655FC"/>
    <w:rsid w:val="008700EF"/>
    <w:rsid w:val="00874F37"/>
    <w:rsid w:val="0088311E"/>
    <w:rsid w:val="00885609"/>
    <w:rsid w:val="00892CE2"/>
    <w:rsid w:val="00893A9D"/>
    <w:rsid w:val="00895581"/>
    <w:rsid w:val="00896D18"/>
    <w:rsid w:val="008972DC"/>
    <w:rsid w:val="00897614"/>
    <w:rsid w:val="008A1CC8"/>
    <w:rsid w:val="008A1D17"/>
    <w:rsid w:val="008A446B"/>
    <w:rsid w:val="008A583B"/>
    <w:rsid w:val="008C03DE"/>
    <w:rsid w:val="008C0EB5"/>
    <w:rsid w:val="008C514A"/>
    <w:rsid w:val="008C56BD"/>
    <w:rsid w:val="008D195A"/>
    <w:rsid w:val="008D6789"/>
    <w:rsid w:val="008E1E63"/>
    <w:rsid w:val="008E1F05"/>
    <w:rsid w:val="008E3408"/>
    <w:rsid w:val="008E3780"/>
    <w:rsid w:val="008E4A92"/>
    <w:rsid w:val="008E4D23"/>
    <w:rsid w:val="008F32C5"/>
    <w:rsid w:val="008F4654"/>
    <w:rsid w:val="008F4BF5"/>
    <w:rsid w:val="008F4C2F"/>
    <w:rsid w:val="00901FC2"/>
    <w:rsid w:val="009128B2"/>
    <w:rsid w:val="00912A03"/>
    <w:rsid w:val="00914825"/>
    <w:rsid w:val="00917D1D"/>
    <w:rsid w:val="0092117F"/>
    <w:rsid w:val="009222C1"/>
    <w:rsid w:val="009252AE"/>
    <w:rsid w:val="00930540"/>
    <w:rsid w:val="00935A22"/>
    <w:rsid w:val="009467BA"/>
    <w:rsid w:val="0095292F"/>
    <w:rsid w:val="00956438"/>
    <w:rsid w:val="009602FC"/>
    <w:rsid w:val="009614B8"/>
    <w:rsid w:val="00962F84"/>
    <w:rsid w:val="00964AF6"/>
    <w:rsid w:val="00965B38"/>
    <w:rsid w:val="00971756"/>
    <w:rsid w:val="009756DF"/>
    <w:rsid w:val="009904A5"/>
    <w:rsid w:val="009905E0"/>
    <w:rsid w:val="00990669"/>
    <w:rsid w:val="00994722"/>
    <w:rsid w:val="009A2419"/>
    <w:rsid w:val="009A306F"/>
    <w:rsid w:val="009A606A"/>
    <w:rsid w:val="009A64A5"/>
    <w:rsid w:val="009B4B0C"/>
    <w:rsid w:val="009B50A4"/>
    <w:rsid w:val="009B6C12"/>
    <w:rsid w:val="009B7EB2"/>
    <w:rsid w:val="009C2523"/>
    <w:rsid w:val="009C3534"/>
    <w:rsid w:val="009D03FF"/>
    <w:rsid w:val="009D0683"/>
    <w:rsid w:val="009D3670"/>
    <w:rsid w:val="009E0EA4"/>
    <w:rsid w:val="009F031E"/>
    <w:rsid w:val="009F2898"/>
    <w:rsid w:val="009F7BA8"/>
    <w:rsid w:val="00A00064"/>
    <w:rsid w:val="00A03384"/>
    <w:rsid w:val="00A03EC8"/>
    <w:rsid w:val="00A06FFC"/>
    <w:rsid w:val="00A1628F"/>
    <w:rsid w:val="00A16C40"/>
    <w:rsid w:val="00A17838"/>
    <w:rsid w:val="00A21583"/>
    <w:rsid w:val="00A22AA7"/>
    <w:rsid w:val="00A2701E"/>
    <w:rsid w:val="00A276ED"/>
    <w:rsid w:val="00A30A9C"/>
    <w:rsid w:val="00A369C8"/>
    <w:rsid w:val="00A4038E"/>
    <w:rsid w:val="00A4455B"/>
    <w:rsid w:val="00A5080C"/>
    <w:rsid w:val="00A52A10"/>
    <w:rsid w:val="00A56EC6"/>
    <w:rsid w:val="00A61E43"/>
    <w:rsid w:val="00A71032"/>
    <w:rsid w:val="00A7223A"/>
    <w:rsid w:val="00A72F0D"/>
    <w:rsid w:val="00A73810"/>
    <w:rsid w:val="00A75118"/>
    <w:rsid w:val="00A85F19"/>
    <w:rsid w:val="00A86036"/>
    <w:rsid w:val="00A861BD"/>
    <w:rsid w:val="00A86E2E"/>
    <w:rsid w:val="00A8780E"/>
    <w:rsid w:val="00A9172C"/>
    <w:rsid w:val="00A94785"/>
    <w:rsid w:val="00A95BD3"/>
    <w:rsid w:val="00AA5425"/>
    <w:rsid w:val="00AB3067"/>
    <w:rsid w:val="00AB43B7"/>
    <w:rsid w:val="00AB52C7"/>
    <w:rsid w:val="00AC473D"/>
    <w:rsid w:val="00AC5F59"/>
    <w:rsid w:val="00AC663B"/>
    <w:rsid w:val="00AC6DE5"/>
    <w:rsid w:val="00AD4748"/>
    <w:rsid w:val="00AD60AD"/>
    <w:rsid w:val="00AD7511"/>
    <w:rsid w:val="00AE500B"/>
    <w:rsid w:val="00AE5E27"/>
    <w:rsid w:val="00AE6DD6"/>
    <w:rsid w:val="00AF229A"/>
    <w:rsid w:val="00B029CE"/>
    <w:rsid w:val="00B03719"/>
    <w:rsid w:val="00B05075"/>
    <w:rsid w:val="00B06794"/>
    <w:rsid w:val="00B06A2F"/>
    <w:rsid w:val="00B06D58"/>
    <w:rsid w:val="00B110AA"/>
    <w:rsid w:val="00B12546"/>
    <w:rsid w:val="00B14D11"/>
    <w:rsid w:val="00B14F34"/>
    <w:rsid w:val="00B160DC"/>
    <w:rsid w:val="00B253C6"/>
    <w:rsid w:val="00B35C61"/>
    <w:rsid w:val="00B374A7"/>
    <w:rsid w:val="00B45093"/>
    <w:rsid w:val="00B4771B"/>
    <w:rsid w:val="00B5081E"/>
    <w:rsid w:val="00B57536"/>
    <w:rsid w:val="00B60FAD"/>
    <w:rsid w:val="00B65620"/>
    <w:rsid w:val="00B71AD4"/>
    <w:rsid w:val="00B82584"/>
    <w:rsid w:val="00B8548B"/>
    <w:rsid w:val="00B950A9"/>
    <w:rsid w:val="00BA169F"/>
    <w:rsid w:val="00BA2D18"/>
    <w:rsid w:val="00BA556D"/>
    <w:rsid w:val="00BA5AD0"/>
    <w:rsid w:val="00BA6E71"/>
    <w:rsid w:val="00BB37B4"/>
    <w:rsid w:val="00BB488C"/>
    <w:rsid w:val="00BB58A5"/>
    <w:rsid w:val="00BC001C"/>
    <w:rsid w:val="00BC1C88"/>
    <w:rsid w:val="00BD0CBF"/>
    <w:rsid w:val="00BE07A0"/>
    <w:rsid w:val="00BE1FC5"/>
    <w:rsid w:val="00BF0270"/>
    <w:rsid w:val="00BF21AF"/>
    <w:rsid w:val="00BF2C6F"/>
    <w:rsid w:val="00C02B48"/>
    <w:rsid w:val="00C04C43"/>
    <w:rsid w:val="00C10868"/>
    <w:rsid w:val="00C258E3"/>
    <w:rsid w:val="00C31DE2"/>
    <w:rsid w:val="00C35C78"/>
    <w:rsid w:val="00C41C84"/>
    <w:rsid w:val="00C44237"/>
    <w:rsid w:val="00C46149"/>
    <w:rsid w:val="00C46EF9"/>
    <w:rsid w:val="00C4730D"/>
    <w:rsid w:val="00C547FE"/>
    <w:rsid w:val="00C60491"/>
    <w:rsid w:val="00C6347D"/>
    <w:rsid w:val="00C71F77"/>
    <w:rsid w:val="00C82BDD"/>
    <w:rsid w:val="00C839BE"/>
    <w:rsid w:val="00C963C0"/>
    <w:rsid w:val="00C97089"/>
    <w:rsid w:val="00CA35FB"/>
    <w:rsid w:val="00CA3CC3"/>
    <w:rsid w:val="00CA764B"/>
    <w:rsid w:val="00CA7F4C"/>
    <w:rsid w:val="00CB19BC"/>
    <w:rsid w:val="00CB25F3"/>
    <w:rsid w:val="00CB4275"/>
    <w:rsid w:val="00CB4CE5"/>
    <w:rsid w:val="00CC10F0"/>
    <w:rsid w:val="00CD796D"/>
    <w:rsid w:val="00CE48EC"/>
    <w:rsid w:val="00CE651C"/>
    <w:rsid w:val="00CE6609"/>
    <w:rsid w:val="00CE7CD2"/>
    <w:rsid w:val="00CF07C2"/>
    <w:rsid w:val="00CF07FD"/>
    <w:rsid w:val="00CF112A"/>
    <w:rsid w:val="00CF3D38"/>
    <w:rsid w:val="00CF6A7A"/>
    <w:rsid w:val="00D11309"/>
    <w:rsid w:val="00D116AF"/>
    <w:rsid w:val="00D121B8"/>
    <w:rsid w:val="00D13FBF"/>
    <w:rsid w:val="00D17879"/>
    <w:rsid w:val="00D23538"/>
    <w:rsid w:val="00D25D3E"/>
    <w:rsid w:val="00D2716B"/>
    <w:rsid w:val="00D3370A"/>
    <w:rsid w:val="00D34AD0"/>
    <w:rsid w:val="00D363BE"/>
    <w:rsid w:val="00D36E4A"/>
    <w:rsid w:val="00D4295B"/>
    <w:rsid w:val="00D46C1D"/>
    <w:rsid w:val="00D50CAE"/>
    <w:rsid w:val="00D517C1"/>
    <w:rsid w:val="00D57CF2"/>
    <w:rsid w:val="00D6095A"/>
    <w:rsid w:val="00D61F9E"/>
    <w:rsid w:val="00D631EB"/>
    <w:rsid w:val="00D64E75"/>
    <w:rsid w:val="00D64F82"/>
    <w:rsid w:val="00D720B6"/>
    <w:rsid w:val="00D72B39"/>
    <w:rsid w:val="00D76C81"/>
    <w:rsid w:val="00D824D7"/>
    <w:rsid w:val="00D83CA7"/>
    <w:rsid w:val="00D8531A"/>
    <w:rsid w:val="00D8733D"/>
    <w:rsid w:val="00D91381"/>
    <w:rsid w:val="00D945E6"/>
    <w:rsid w:val="00DA0478"/>
    <w:rsid w:val="00DA13A1"/>
    <w:rsid w:val="00DA5FDA"/>
    <w:rsid w:val="00DA6716"/>
    <w:rsid w:val="00DB04B3"/>
    <w:rsid w:val="00DB052F"/>
    <w:rsid w:val="00DB3C4C"/>
    <w:rsid w:val="00DB797B"/>
    <w:rsid w:val="00DC19FA"/>
    <w:rsid w:val="00DC686B"/>
    <w:rsid w:val="00DC6DBF"/>
    <w:rsid w:val="00DD1752"/>
    <w:rsid w:val="00DD6131"/>
    <w:rsid w:val="00DD7263"/>
    <w:rsid w:val="00DE3271"/>
    <w:rsid w:val="00DE448B"/>
    <w:rsid w:val="00DF2856"/>
    <w:rsid w:val="00DF493D"/>
    <w:rsid w:val="00DF572B"/>
    <w:rsid w:val="00DF6D2B"/>
    <w:rsid w:val="00DF77C8"/>
    <w:rsid w:val="00E03D70"/>
    <w:rsid w:val="00E06C03"/>
    <w:rsid w:val="00E12445"/>
    <w:rsid w:val="00E15D04"/>
    <w:rsid w:val="00E1703B"/>
    <w:rsid w:val="00E214FE"/>
    <w:rsid w:val="00E305B4"/>
    <w:rsid w:val="00E307F6"/>
    <w:rsid w:val="00E313D1"/>
    <w:rsid w:val="00E328C8"/>
    <w:rsid w:val="00E3345D"/>
    <w:rsid w:val="00E35608"/>
    <w:rsid w:val="00E43330"/>
    <w:rsid w:val="00E43AE2"/>
    <w:rsid w:val="00E5682B"/>
    <w:rsid w:val="00E77EA4"/>
    <w:rsid w:val="00E81762"/>
    <w:rsid w:val="00E821C6"/>
    <w:rsid w:val="00E82C70"/>
    <w:rsid w:val="00E84515"/>
    <w:rsid w:val="00E87B58"/>
    <w:rsid w:val="00E923A1"/>
    <w:rsid w:val="00E93C96"/>
    <w:rsid w:val="00EA009A"/>
    <w:rsid w:val="00EA0308"/>
    <w:rsid w:val="00EC6D9D"/>
    <w:rsid w:val="00ED050F"/>
    <w:rsid w:val="00ED2D4F"/>
    <w:rsid w:val="00ED48A6"/>
    <w:rsid w:val="00ED60A9"/>
    <w:rsid w:val="00EE0EEE"/>
    <w:rsid w:val="00EE230E"/>
    <w:rsid w:val="00EE3E70"/>
    <w:rsid w:val="00F02045"/>
    <w:rsid w:val="00F024BB"/>
    <w:rsid w:val="00F05006"/>
    <w:rsid w:val="00F0512E"/>
    <w:rsid w:val="00F053C8"/>
    <w:rsid w:val="00F055C8"/>
    <w:rsid w:val="00F06AA3"/>
    <w:rsid w:val="00F06D3F"/>
    <w:rsid w:val="00F15CD6"/>
    <w:rsid w:val="00F2060D"/>
    <w:rsid w:val="00F350EF"/>
    <w:rsid w:val="00F37B77"/>
    <w:rsid w:val="00F400E0"/>
    <w:rsid w:val="00F47A8C"/>
    <w:rsid w:val="00F53D6F"/>
    <w:rsid w:val="00F624CC"/>
    <w:rsid w:val="00F65F29"/>
    <w:rsid w:val="00F66A5A"/>
    <w:rsid w:val="00F75578"/>
    <w:rsid w:val="00F768EC"/>
    <w:rsid w:val="00F83593"/>
    <w:rsid w:val="00F85B82"/>
    <w:rsid w:val="00F923FB"/>
    <w:rsid w:val="00F945ED"/>
    <w:rsid w:val="00F968DA"/>
    <w:rsid w:val="00F97BA5"/>
    <w:rsid w:val="00FA0DB6"/>
    <w:rsid w:val="00FA1F8E"/>
    <w:rsid w:val="00FA264F"/>
    <w:rsid w:val="00FA4817"/>
    <w:rsid w:val="00FB22CC"/>
    <w:rsid w:val="00FB24CD"/>
    <w:rsid w:val="00FB2ED3"/>
    <w:rsid w:val="00FB2FB0"/>
    <w:rsid w:val="00FC6B47"/>
    <w:rsid w:val="00FC73C7"/>
    <w:rsid w:val="00FD2194"/>
    <w:rsid w:val="00FD2649"/>
    <w:rsid w:val="00FD654C"/>
    <w:rsid w:val="00FE30F4"/>
    <w:rsid w:val="00FE3F86"/>
    <w:rsid w:val="00FE4313"/>
    <w:rsid w:val="00FE5995"/>
    <w:rsid w:val="00FE64BE"/>
    <w:rsid w:val="00FE7692"/>
    <w:rsid w:val="00FF165E"/>
    <w:rsid w:val="00FF4A12"/>
    <w:rsid w:val="00FF5154"/>
    <w:rsid w:val="00FF56ED"/>
    <w:rsid w:val="00FF6315"/>
    <w:rsid w:val="0BB3F917"/>
    <w:rsid w:val="34FBD4EC"/>
    <w:rsid w:val="52A1E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F0767184-114F-47F9-B32E-DFB3496C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3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  <w:style w:type="paragraph" w:styleId="BalloonText">
    <w:name w:val="Balloon Text"/>
    <w:basedOn w:val="Normal"/>
    <w:link w:val="BalloonTextChar"/>
    <w:uiPriority w:val="99"/>
    <w:semiHidden/>
    <w:unhideWhenUsed/>
    <w:rsid w:val="00A2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01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4295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83CA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1A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03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42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D275C1F361F4CAD4CDE680C24111D" ma:contentTypeVersion="25" ma:contentTypeDescription="Create a new document." ma:contentTypeScope="" ma:versionID="cf6f3ef2a26f368dca30e964766925eb">
  <xsd:schema xmlns:xsd="http://www.w3.org/2001/XMLSchema" xmlns:xs="http://www.w3.org/2001/XMLSchema" xmlns:p="http://schemas.microsoft.com/office/2006/metadata/properties" xmlns:ns2="4a29e63b-ef62-44d2-be79-d78a942fda43" xmlns:ns3="3a93995c-2f59-466d-9065-fa6c9c5410b5" xmlns:ns4="45ab7314-6ee2-4801-b2cf-a27306d55ce5" targetNamespace="http://schemas.microsoft.com/office/2006/metadata/properties" ma:root="true" ma:fieldsID="6115bfac155476b6fd8051bfd0cee6ce" ns2:_="" ns3:_="" ns4:_="">
    <xsd:import namespace="4a29e63b-ef62-44d2-be79-d78a942fda43"/>
    <xsd:import namespace="3a93995c-2f59-466d-9065-fa6c9c5410b5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_Flow_SignoffStatus" minOccurs="0"/>
                <xsd:element ref="ns2:Audiences" minOccurs="0"/>
                <xsd:element ref="ns2:DocumentType" minOccurs="0"/>
                <xsd:element ref="ns2:ProjectLead" minOccurs="0"/>
                <xsd:element ref="ns2:Renewalyear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e63b-ef62-44d2-be79-d78a942fda43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This notice was sent to Dit on 19AUG23&#10;" ma:format="Dropdown" ma:internalName="Notes0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udiences" ma:index="5" nillable="true" ma:displayName="Audiences " ma:description="To whom the documents are targeted too" ma:format="Dropdown" ma:internalName="Audiences" ma:readOnly="false">
      <xsd:simpleType>
        <xsd:union memberTypes="dms:Text">
          <xsd:simpleType>
            <xsd:restriction base="dms:Choice">
              <xsd:enumeration value="Comms"/>
              <xsd:enumeration value="NAP"/>
              <xsd:enumeration value="Legal"/>
            </xsd:restriction>
          </xsd:simpleType>
        </xsd:union>
      </xsd:simpleType>
    </xsd:element>
    <xsd:element name="DocumentType" ma:index="6" nillable="true" ma:displayName="Document Type" ma:description="Single line of text describing the document" ma:format="Dropdown" ma:indexed="true" ma:internalName="DocumentType" ma:readOnly="false">
      <xsd:simpleType>
        <xsd:restriction base="dms:Text">
          <xsd:maxLength value="255"/>
        </xsd:restriction>
      </xsd:simpleType>
    </xsd:element>
    <xsd:element name="ProjectLead" ma:index="7" nillable="true" ma:displayName="Project Lead" ma:description="Lead of the Project" ma:format="Dropdown" ma:list="UserInfo" ma:SharePointGroup="0" ma:internalName="ProjectLead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ewalyear" ma:index="8" nillable="true" ma:displayName="Renewal year" ma:description="Year notice is due for renewal " ma:format="Dropdown" ma:indexed="true" ma:internalName="Renewalyear" ma:readOnly="false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Revoked"/>
          <xsd:enumeration value="Awaiting publication"/>
          <xsd:enumeration value="Project Phase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3995c-2f59-466d-9065-fa6c9c5410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aa7e35-57e2-442c-83e6-dc733534ef78}" ma:internalName="TaxCatchAll" ma:readOnly="false" ma:showField="CatchAllData" ma:web="3a93995c-2f59-466d-9065-fa6c9c541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4a29e63b-ef62-44d2-be79-d78a942fda43">
      <Terms xmlns="http://schemas.microsoft.com/office/infopath/2007/PartnerControls"/>
    </lcf76f155ced4ddcb4097134ff3c332f>
    <ProjectLead xmlns="4a29e63b-ef62-44d2-be79-d78a942fda43">
      <UserInfo>
        <DisplayName/>
        <AccountId xsi:nil="true"/>
        <AccountType/>
      </UserInfo>
    </ProjectLead>
    <Renewalyear xmlns="4a29e63b-ef62-44d2-be79-d78a942fda43" xsi:nil="true"/>
    <Audiences xmlns="4a29e63b-ef62-44d2-be79-d78a942fda43" xsi:nil="true"/>
    <DocumentType xmlns="4a29e63b-ef62-44d2-be79-d78a942fda43" xsi:nil="true"/>
    <_Flow_SignoffStatus xmlns="4a29e63b-ef62-44d2-be79-d78a942fda43" xsi:nil="true"/>
    <Notes0 xmlns="4a29e63b-ef62-44d2-be79-d78a942fda43" xsi:nil="true"/>
    <SharedWithUsers xmlns="3a93995c-2f59-466d-9065-fa6c9c5410b5">
      <UserInfo>
        <DisplayName>Cristian Pardo</DisplayName>
        <AccountId>884</AccountId>
        <AccountType/>
      </UserInfo>
      <UserInfo>
        <DisplayName>Steven Douglas</DisplayName>
        <AccountId>1472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760AB39-A63A-468E-856D-D4C8E0E9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9e63b-ef62-44d2-be79-d78a942fda43"/>
    <ds:schemaRef ds:uri="3a93995c-2f59-466d-9065-fa6c9c5410b5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EAE40-20A7-41EA-85E8-2893D57B1AEC}">
  <ds:schemaRefs>
    <ds:schemaRef ds:uri="http://schemas.microsoft.com/office/2006/metadata/properties"/>
    <ds:schemaRef ds:uri="http://schemas.microsoft.com/office/infopath/2007/PartnerControls"/>
    <ds:schemaRef ds:uri="45ab7314-6ee2-4801-b2cf-a27306d55ce5"/>
    <ds:schemaRef ds:uri="4a29e63b-ef62-44d2-be79-d78a942fda43"/>
  </ds:schemaRefs>
</ds:datastoreItem>
</file>

<file path=customXml/itemProps3.xml><?xml version="1.0" encoding="utf-8"?>
<ds:datastoreItem xmlns:ds="http://schemas.openxmlformats.org/officeDocument/2006/customXml" ds:itemID="{140713A1-C0B5-486F-8F7F-635B8C162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C5F1E5-F75E-4E0F-94C8-7FEE7C6D711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1747</Words>
  <Characters>8233</Characters>
  <Application>Microsoft Office Word</Application>
  <DocSecurity>0</DocSecurity>
  <Lines>411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Steven Douglas</cp:lastModifiedBy>
  <cp:revision>26</cp:revision>
  <dcterms:created xsi:type="dcterms:W3CDTF">2024-07-04T05:04:00Z</dcterms:created>
  <dcterms:modified xsi:type="dcterms:W3CDTF">2024-07-16T01:13:00Z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0x010100107D275C1F361F4CAD4CDE680C24111D</vt:lpwstr>
  </property>
  <property fmtid="{D5CDD505-2E9C-101B-9397-08002B2CF9AE}" pid="3" name="MediaServiceImageTags">
    <vt:lpwstr/>
  </property>
  <property fmtid="{D5CDD505-2E9C-101B-9397-08002B2CF9AE}" pid="4" name="GrammarlyDocumentId">
    <vt:lpwstr>6c3cb520b88e2dba92b8c50b6b75cfc94e140815c5d101e9007fdc384cde442d</vt:lpwstr>
  </property>
  <property fmtid="{D5CDD505-2E9C-101B-9397-08002B2CF9AE}" pid="5" name="ClassificationContentMarkingFooterShapeIds">
    <vt:lpwstr>1,2,3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83709595-deb9-4ceb-bf06-8305974a2062_Enabled">
    <vt:lpwstr>true</vt:lpwstr>
  </property>
  <property fmtid="{D5CDD505-2E9C-101B-9397-08002B2CF9AE}" pid="9" name="MSIP_Label_83709595-deb9-4ceb-bf06-8305974a2062_SetDate">
    <vt:lpwstr>2024-07-04T05:04:19Z</vt:lpwstr>
  </property>
  <property fmtid="{D5CDD505-2E9C-101B-9397-08002B2CF9AE}" pid="10" name="MSIP_Label_83709595-deb9-4ceb-bf06-8305974a2062_Method">
    <vt:lpwstr>Standard</vt:lpwstr>
  </property>
  <property fmtid="{D5CDD505-2E9C-101B-9397-08002B2CF9AE}" pid="11" name="MSIP_Label_83709595-deb9-4ceb-bf06-8305974a2062_Name">
    <vt:lpwstr>Official</vt:lpwstr>
  </property>
  <property fmtid="{D5CDD505-2E9C-101B-9397-08002B2CF9AE}" pid="12" name="MSIP_Label_83709595-deb9-4ceb-bf06-8305974a2062_SiteId">
    <vt:lpwstr>cb356782-ad9a-47fb-878b-7ebceb85b86c</vt:lpwstr>
  </property>
  <property fmtid="{D5CDD505-2E9C-101B-9397-08002B2CF9AE}" pid="13" name="MSIP_Label_83709595-deb9-4ceb-bf06-8305974a2062_ActionId">
    <vt:lpwstr>15482565-b0aa-4ac8-8cd5-50d5b28f5eb4</vt:lpwstr>
  </property>
  <property fmtid="{D5CDD505-2E9C-101B-9397-08002B2CF9AE}" pid="14" name="MSIP_Label_83709595-deb9-4ceb-bf06-8305974a2062_ContentBits">
    <vt:lpwstr>2</vt:lpwstr>
  </property>
</Properties>
</file>