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080B" w14:textId="025AD9BE" w:rsidR="00845171" w:rsidRDefault="00845171" w:rsidP="00845171">
      <w:pPr>
        <w:pStyle w:val="Heading4"/>
        <w:keepNext w:val="0"/>
        <w:rPr>
          <w:rFonts w:ascii="Inter" w:hAnsi="Inter" w:cstheme="minorHAnsi"/>
          <w:b/>
          <w:bCs w:val="0"/>
        </w:rPr>
      </w:pPr>
      <w:r w:rsidRPr="00845171">
        <w:rPr>
          <w:rFonts w:ascii="Inter" w:hAnsi="Inter" w:cstheme="minorHAnsi"/>
          <w:b/>
          <w:bCs w:val="0"/>
        </w:rPr>
        <w:t>Gazette notice: Commissioner of Taxation – Notice of a Property management data-matching program 26 August 2024</w:t>
      </w:r>
    </w:p>
    <w:p w14:paraId="1A674B24" w14:textId="13A88CDD" w:rsidR="00845171" w:rsidRPr="00845171" w:rsidRDefault="00D013EF" w:rsidP="00845171">
      <w:pPr>
        <w:rPr>
          <w:rFonts w:ascii="Inter" w:hAnsi="Inter" w:cstheme="minorHAnsi"/>
        </w:rPr>
      </w:pPr>
      <w:r>
        <w:rPr>
          <w:rFonts w:ascii="Inter" w:hAnsi="Inter" w:cstheme="minorHAnsi"/>
        </w:rPr>
        <w:br/>
      </w:r>
      <w:r w:rsidR="00845171" w:rsidRPr="00845171">
        <w:rPr>
          <w:rFonts w:ascii="Inter" w:hAnsi="Inter" w:cstheme="minorHAnsi"/>
        </w:rPr>
        <w:t>The Australian Taxation Office (ATO) will acquire property management data from property management software companies for 2018–19 through to 2025–26.</w:t>
      </w:r>
    </w:p>
    <w:p w14:paraId="07BA5FF3" w14:textId="77777777" w:rsidR="00845171" w:rsidRPr="00845171" w:rsidRDefault="00845171" w:rsidP="00845171">
      <w:pPr>
        <w:rPr>
          <w:rFonts w:ascii="Inter" w:hAnsi="Inter" w:cstheme="minorHAnsi"/>
        </w:rPr>
      </w:pPr>
      <w:r w:rsidRPr="00845171">
        <w:rPr>
          <w:rFonts w:ascii="Inter" w:hAnsi="Inter" w:cstheme="minorHAnsi"/>
        </w:rPr>
        <w:t>The data items include:</w:t>
      </w:r>
    </w:p>
    <w:p w14:paraId="13FFA5C7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>property owner identification details (names, addresses, phone numbers, dates of birth, email addresses, business name and ABNs, if applicable)</w:t>
      </w:r>
    </w:p>
    <w:p w14:paraId="5187751F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>property details (property address, date property first available for rent, property manager name and contact details, property manager ABN, property manager licence number, property owner or landlord bank details)</w:t>
      </w:r>
    </w:p>
    <w:p w14:paraId="54A4F815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>property transaction details (period start and end dates, transaction type, description and amounts, ingoings and outgoings, and rental property account balance).</w:t>
      </w:r>
    </w:p>
    <w:p w14:paraId="57CE24F4" w14:textId="4430C8BC" w:rsidR="00845171" w:rsidRPr="00845171" w:rsidRDefault="00D013EF" w:rsidP="00845171">
      <w:pPr>
        <w:rPr>
          <w:rFonts w:ascii="Inter" w:hAnsi="Inter" w:cstheme="minorHAnsi"/>
        </w:rPr>
      </w:pPr>
      <w:r>
        <w:rPr>
          <w:rFonts w:ascii="Inter" w:hAnsi="Inter" w:cstheme="minorHAnsi"/>
        </w:rPr>
        <w:br/>
      </w:r>
      <w:r w:rsidR="00845171" w:rsidRPr="00845171">
        <w:rPr>
          <w:rFonts w:ascii="Inter" w:hAnsi="Inter" w:cstheme="minorHAnsi"/>
        </w:rPr>
        <w:t>We estimate that records relating to approximately 2.3 million individuals will be obtained each financial year.</w:t>
      </w:r>
    </w:p>
    <w:p w14:paraId="1A6C90FD" w14:textId="77777777" w:rsidR="00845171" w:rsidRPr="00845171" w:rsidRDefault="00845171" w:rsidP="00845171">
      <w:pPr>
        <w:rPr>
          <w:rFonts w:ascii="Inter" w:hAnsi="Inter" w:cstheme="minorHAnsi"/>
        </w:rPr>
      </w:pPr>
      <w:r w:rsidRPr="00845171">
        <w:rPr>
          <w:rFonts w:ascii="Inter" w:hAnsi="Inter" w:cstheme="minorHAnsi"/>
        </w:rPr>
        <w:t>The objectives of this program are to:</w:t>
      </w:r>
    </w:p>
    <w:p w14:paraId="52030669" w14:textId="4BB89A7B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 xml:space="preserve">identify and educate individuals and businesses who may be failing to meet their registration or </w:t>
      </w:r>
      <w:proofErr w:type="spellStart"/>
      <w:r w:rsidRPr="00845171">
        <w:rPr>
          <w:rFonts w:cstheme="minorHAnsi"/>
        </w:rPr>
        <w:t>lodgment</w:t>
      </w:r>
      <w:proofErr w:type="spellEnd"/>
      <w:r w:rsidRPr="00845171">
        <w:rPr>
          <w:rFonts w:cstheme="minorHAnsi"/>
        </w:rPr>
        <w:t xml:space="preserve"> obligations and help them</w:t>
      </w:r>
      <w:r w:rsidR="005A0E21">
        <w:rPr>
          <w:rFonts w:cstheme="minorHAnsi"/>
        </w:rPr>
        <w:t>:</w:t>
      </w:r>
    </w:p>
    <w:p w14:paraId="5919D571" w14:textId="77777777" w:rsidR="00845171" w:rsidRPr="00845171" w:rsidRDefault="00845171" w:rsidP="00845171">
      <w:pPr>
        <w:pStyle w:val="Bulletedlist2"/>
        <w:rPr>
          <w:rFonts w:cstheme="minorHAnsi"/>
        </w:rPr>
      </w:pPr>
      <w:r w:rsidRPr="00845171">
        <w:rPr>
          <w:rFonts w:cstheme="minorHAnsi"/>
        </w:rPr>
        <w:t xml:space="preserve">lodge their income tax </w:t>
      </w:r>
      <w:proofErr w:type="gramStart"/>
      <w:r w:rsidRPr="00845171">
        <w:rPr>
          <w:rFonts w:cstheme="minorHAnsi"/>
        </w:rPr>
        <w:t>returns</w:t>
      </w:r>
      <w:proofErr w:type="gramEnd"/>
    </w:p>
    <w:p w14:paraId="4F1E2E16" w14:textId="77777777" w:rsidR="00845171" w:rsidRPr="00845171" w:rsidRDefault="00845171" w:rsidP="00845171">
      <w:pPr>
        <w:pStyle w:val="Bulletedlist2"/>
        <w:rPr>
          <w:rFonts w:cstheme="minorHAnsi"/>
        </w:rPr>
      </w:pPr>
      <w:r w:rsidRPr="00845171">
        <w:rPr>
          <w:rFonts w:cstheme="minorHAnsi"/>
        </w:rPr>
        <w:t>correctly report assessable income from a rental property in their individual income tax return</w:t>
      </w:r>
    </w:p>
    <w:p w14:paraId="53DADA42" w14:textId="77777777" w:rsidR="00845171" w:rsidRPr="00845171" w:rsidRDefault="00845171" w:rsidP="00845171">
      <w:pPr>
        <w:pStyle w:val="Bulletedlist2"/>
        <w:rPr>
          <w:rFonts w:cstheme="minorHAnsi"/>
        </w:rPr>
      </w:pPr>
      <w:r w:rsidRPr="00845171">
        <w:rPr>
          <w:rFonts w:cstheme="minorHAnsi"/>
        </w:rPr>
        <w:t xml:space="preserve">correctly report associated rental deductions in their individual income tax </w:t>
      </w:r>
      <w:proofErr w:type="gramStart"/>
      <w:r w:rsidRPr="00845171">
        <w:rPr>
          <w:rFonts w:cstheme="minorHAnsi"/>
        </w:rPr>
        <w:t>return</w:t>
      </w:r>
      <w:proofErr w:type="gramEnd"/>
    </w:p>
    <w:p w14:paraId="0DF3EEC5" w14:textId="77777777" w:rsidR="00845171" w:rsidRPr="00845171" w:rsidRDefault="00845171" w:rsidP="00845171">
      <w:pPr>
        <w:pStyle w:val="Bulletedlist2"/>
        <w:rPr>
          <w:rFonts w:cstheme="minorHAnsi"/>
        </w:rPr>
      </w:pPr>
      <w:r w:rsidRPr="00845171">
        <w:rPr>
          <w:rFonts w:cstheme="minorHAnsi"/>
        </w:rPr>
        <w:t xml:space="preserve">comply with capital gains tax obligations for properties used to derive rental </w:t>
      </w:r>
      <w:proofErr w:type="gramStart"/>
      <w:r w:rsidRPr="00845171">
        <w:rPr>
          <w:rFonts w:cstheme="minorHAnsi"/>
        </w:rPr>
        <w:t>income</w:t>
      </w:r>
      <w:proofErr w:type="gramEnd"/>
    </w:p>
    <w:p w14:paraId="621BB868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 xml:space="preserve">gain insights to help develop and implement strategies, which may include educational or compliance activities for individuals and businesses who lease or let real </w:t>
      </w:r>
      <w:proofErr w:type="gramStart"/>
      <w:r w:rsidRPr="00845171">
        <w:rPr>
          <w:rFonts w:cstheme="minorHAnsi"/>
        </w:rPr>
        <w:t>property</w:t>
      </w:r>
      <w:proofErr w:type="gramEnd"/>
    </w:p>
    <w:p w14:paraId="5C7E5A80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>promote voluntary compliance and increase community confidence in the integrity of the tax and super systems.</w:t>
      </w:r>
    </w:p>
    <w:p w14:paraId="7662CFD7" w14:textId="6DC295AA" w:rsidR="00845171" w:rsidRPr="00845171" w:rsidRDefault="00D013EF" w:rsidP="00845171">
      <w:pPr>
        <w:rPr>
          <w:rFonts w:ascii="Inter" w:hAnsi="Inter" w:cstheme="minorHAnsi"/>
        </w:rPr>
      </w:pPr>
      <w:r>
        <w:rPr>
          <w:rFonts w:ascii="Inter" w:hAnsi="Inter" w:cstheme="minorHAnsi"/>
        </w:rPr>
        <w:br/>
      </w:r>
      <w:r w:rsidR="00845171" w:rsidRPr="00845171">
        <w:rPr>
          <w:rFonts w:ascii="Inter" w:hAnsi="Inter" w:cstheme="minorHAnsi"/>
        </w:rPr>
        <w:t>A document describing this program is available at</w:t>
      </w:r>
      <w:r w:rsidR="00845171" w:rsidRPr="00D013EF">
        <w:t xml:space="preserve"> </w:t>
      </w:r>
      <w:r w:rsidR="00845171" w:rsidRPr="00D013EF">
        <w:rPr>
          <w:rFonts w:ascii="Inter" w:hAnsi="Inter"/>
          <w:u w:val="single"/>
        </w:rPr>
        <w:t>ato.gov.au/</w:t>
      </w:r>
      <w:proofErr w:type="spellStart"/>
      <w:proofErr w:type="gramStart"/>
      <w:r w:rsidR="00845171" w:rsidRPr="00D013EF">
        <w:rPr>
          <w:rFonts w:ascii="Inter" w:hAnsi="Inter"/>
          <w:u w:val="single"/>
        </w:rPr>
        <w:t>dmprotocols</w:t>
      </w:r>
      <w:proofErr w:type="spellEnd"/>
      <w:proofErr w:type="gramEnd"/>
    </w:p>
    <w:p w14:paraId="47CC6829" w14:textId="77777777" w:rsidR="00845171" w:rsidRPr="00845171" w:rsidRDefault="00845171" w:rsidP="00845171">
      <w:pPr>
        <w:rPr>
          <w:rFonts w:ascii="Inter" w:hAnsi="Inter" w:cstheme="minorHAnsi"/>
        </w:rPr>
      </w:pPr>
      <w:r w:rsidRPr="00845171">
        <w:rPr>
          <w:rFonts w:ascii="Inter" w:hAnsi="Inter" w:cstheme="minorHAnsi"/>
        </w:rPr>
        <w:t xml:space="preserve">This program follows the Office of the Australian Information Commissioner’s </w:t>
      </w:r>
      <w:r w:rsidRPr="00845171">
        <w:rPr>
          <w:rStyle w:val="StyleItalic"/>
          <w:rFonts w:ascii="Inter" w:hAnsi="Inter" w:cstheme="minorHAnsi"/>
        </w:rPr>
        <w:t>Guidelines on data matching in Australian Government administration</w:t>
      </w:r>
      <w:r w:rsidRPr="00845171">
        <w:rPr>
          <w:rFonts w:ascii="Inter" w:hAnsi="Inter" w:cstheme="minorHAnsi"/>
        </w:rPr>
        <w:t xml:space="preserve"> (2014) (the guidelines). The </w:t>
      </w:r>
      <w:r w:rsidRPr="00845171">
        <w:rPr>
          <w:rFonts w:ascii="Inter" w:hAnsi="Inter" w:cstheme="minorHAnsi"/>
        </w:rPr>
        <w:lastRenderedPageBreak/>
        <w:t>guidelines include standards for the use data-matching as an administrative tool in a way that:</w:t>
      </w:r>
    </w:p>
    <w:p w14:paraId="07C4CCE2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 xml:space="preserve">complies with the Australian Privacy Principles (APPs) and the </w:t>
      </w:r>
      <w:r w:rsidRPr="00845171">
        <w:rPr>
          <w:rStyle w:val="StyleItalic"/>
          <w:rFonts w:cstheme="minorHAnsi"/>
        </w:rPr>
        <w:t>Privacy Act 1988</w:t>
      </w:r>
      <w:r w:rsidRPr="00845171">
        <w:rPr>
          <w:rFonts w:cstheme="minorHAnsi"/>
        </w:rPr>
        <w:t xml:space="preserve"> (Privacy Act)</w:t>
      </w:r>
    </w:p>
    <w:p w14:paraId="23F4A15E" w14:textId="77777777" w:rsidR="00845171" w:rsidRPr="00845171" w:rsidRDefault="00845171" w:rsidP="00845171">
      <w:pPr>
        <w:pStyle w:val="Bulletedlist1"/>
        <w:rPr>
          <w:rFonts w:cstheme="minorHAnsi"/>
        </w:rPr>
      </w:pPr>
      <w:r w:rsidRPr="00845171">
        <w:rPr>
          <w:rFonts w:cstheme="minorHAnsi"/>
        </w:rPr>
        <w:t>is consistent with good privacy practice.</w:t>
      </w:r>
    </w:p>
    <w:p w14:paraId="08643BFD" w14:textId="1C8701C0" w:rsidR="00845171" w:rsidRPr="00845171" w:rsidRDefault="00D013EF" w:rsidP="00845171">
      <w:pPr>
        <w:rPr>
          <w:rFonts w:ascii="Inter" w:hAnsi="Inter" w:cstheme="minorHAnsi"/>
        </w:rPr>
      </w:pPr>
      <w:r>
        <w:rPr>
          <w:rFonts w:ascii="Inter" w:hAnsi="Inter" w:cstheme="minorHAnsi"/>
        </w:rPr>
        <w:br/>
      </w:r>
      <w:r w:rsidR="00845171" w:rsidRPr="00845171">
        <w:rPr>
          <w:rFonts w:ascii="Inter" w:hAnsi="Inter" w:cstheme="minorHAnsi"/>
        </w:rPr>
        <w:t xml:space="preserve">A full copy of the ATO’s privacy policy can be accessed at </w:t>
      </w:r>
      <w:r w:rsidR="00845171" w:rsidRPr="00D013EF">
        <w:rPr>
          <w:rFonts w:ascii="Inter" w:hAnsi="Inter"/>
          <w:u w:val="single"/>
        </w:rPr>
        <w:t>ato.gov.au/privacy</w:t>
      </w:r>
      <w:r w:rsidR="00845171" w:rsidRPr="00D013EF">
        <w:t>.</w:t>
      </w:r>
    </w:p>
    <w:sectPr w:rsidR="00845171" w:rsidRPr="00845171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4C51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81AFF1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2933649-56AE-4EBC-9CE3-02AF6BB4BF9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 SemiBold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  <w:embedRegular r:id="rId2" w:fontKey="{E3058C3B-948B-4A30-80A1-FEE3B615D199}"/>
    <w:embedBold r:id="rId3" w:fontKey="{12F696AF-AD79-4C2A-8B06-4978E053A70D}"/>
    <w:embedItalic r:id="rId4" w:fontKey="{7BC885AD-BCC2-45DC-AC1D-BB838CAC4B7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73E4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49431D4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26C5CE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4E400C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6242637" wp14:editId="73DAEAE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FBF495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EE2EB5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BF9B44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35B98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21B4A2E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58527E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057F620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5D48"/>
    <w:multiLevelType w:val="multilevel"/>
    <w:tmpl w:val="2D2C551A"/>
    <w:name w:val="BulletedList"/>
    <w:lvl w:ilvl="0">
      <w:start w:val="1"/>
      <w:numFmt w:val="bullet"/>
      <w:pStyle w:val="Bulletedlis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edlis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 w16cid:durableId="167222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A0E21"/>
    <w:rsid w:val="00840A06"/>
    <w:rsid w:val="008439B7"/>
    <w:rsid w:val="00845171"/>
    <w:rsid w:val="0087253F"/>
    <w:rsid w:val="008E4F6C"/>
    <w:rsid w:val="009539C7"/>
    <w:rsid w:val="00A00F21"/>
    <w:rsid w:val="00B84226"/>
    <w:rsid w:val="00BE7780"/>
    <w:rsid w:val="00C63C4E"/>
    <w:rsid w:val="00C72C30"/>
    <w:rsid w:val="00D013EF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C12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45171"/>
    <w:pPr>
      <w:keepNext/>
      <w:spacing w:before="280" w:after="0" w:line="288" w:lineRule="auto"/>
      <w:outlineLvl w:val="3"/>
    </w:pPr>
    <w:rPr>
      <w:rFonts w:ascii="Inter SemiBold" w:eastAsia="Times New Roman" w:hAnsi="Inter SemiBold" w:cs="Arial"/>
      <w:bCs/>
      <w:sz w:val="28"/>
      <w:szCs w:val="2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4Char">
    <w:name w:val="Heading 4 Char"/>
    <w:basedOn w:val="DefaultParagraphFont"/>
    <w:link w:val="Heading4"/>
    <w:rsid w:val="00845171"/>
    <w:rPr>
      <w:rFonts w:ascii="Inter SemiBold" w:eastAsia="Times New Roman" w:hAnsi="Inter SemiBold" w:cs="Arial"/>
      <w:bCs/>
      <w:sz w:val="28"/>
      <w:szCs w:val="25"/>
      <w:lang w:eastAsia="en-AU"/>
    </w:rPr>
  </w:style>
  <w:style w:type="character" w:customStyle="1" w:styleId="StyleItalic">
    <w:name w:val="Style Italic"/>
    <w:basedOn w:val="DefaultParagraphFont"/>
    <w:rsid w:val="00845171"/>
    <w:rPr>
      <w:i/>
      <w:iCs/>
    </w:rPr>
  </w:style>
  <w:style w:type="character" w:customStyle="1" w:styleId="Link-Internal">
    <w:name w:val="Link - Internal"/>
    <w:basedOn w:val="DefaultParagraphFont"/>
    <w:rsid w:val="00845171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845171"/>
    <w:pPr>
      <w:numPr>
        <w:numId w:val="1"/>
      </w:numPr>
      <w:spacing w:before="200" w:after="0" w:line="288" w:lineRule="auto"/>
    </w:pPr>
    <w:rPr>
      <w:rFonts w:ascii="Inter" w:eastAsia="Times New Roman" w:hAnsi="Inter" w:cs="Times New Roman"/>
      <w:szCs w:val="24"/>
      <w:lang w:eastAsia="en-AU"/>
    </w:rPr>
  </w:style>
  <w:style w:type="paragraph" w:customStyle="1" w:styleId="Bulletedlist2">
    <w:name w:val="Bulleted list 2"/>
    <w:basedOn w:val="Bulletedlist1"/>
    <w:qFormat/>
    <w:rsid w:val="00845171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845171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D01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2024-08-20T01:16:00Z</dcterms:created>
  <dcterms:modified xsi:type="dcterms:W3CDTF">2024-08-21T04:52:00Z</dcterms:modified>
  <cp:category/>
  <cp:contentStatus/>
  <dc:language/>
  <cp:version/>
</cp:coreProperties>
</file>