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F292" w14:textId="77DE3F3B" w:rsidR="004B2753" w:rsidRDefault="004B2753" w:rsidP="00424B97"/>
    <w:p w14:paraId="3D0F6DB7" w14:textId="77777777" w:rsidR="00FA32D6" w:rsidRPr="009A390F" w:rsidRDefault="00FA32D6" w:rsidP="00D04BF7">
      <w:pPr>
        <w:pStyle w:val="Heading4"/>
        <w:spacing w:after="240"/>
      </w:pPr>
      <w:r w:rsidRPr="009A390F">
        <w:t>Gazette notice: Commissioner of Taxation - Notice of a lifestyle assets data-matching program 26</w:t>
      </w:r>
      <w:r>
        <w:t> </w:t>
      </w:r>
      <w:r w:rsidRPr="009A390F">
        <w:t>August 2024</w:t>
      </w:r>
    </w:p>
    <w:p w14:paraId="13F0CBFE" w14:textId="5BBE2CB6" w:rsidR="00FA32D6" w:rsidRDefault="00FA32D6" w:rsidP="00FA32D6">
      <w:pPr>
        <w:spacing w:after="120"/>
        <w:rPr>
          <w:rFonts w:ascii="Inter" w:hAnsi="Inter"/>
        </w:rPr>
      </w:pPr>
      <w:r w:rsidRPr="00FA32D6">
        <w:rPr>
          <w:rFonts w:ascii="Inter" w:hAnsi="Inter"/>
        </w:rPr>
        <w:t>The Australian Taxation Office (ATO) will acquire lifestyle assets data from insurance providers for 2023-24 through to 2025-26. Insurance policy data will be collected for the following classes of assets, where the asset value is equal to or exceeds the nominated thresholds.</w:t>
      </w:r>
    </w:p>
    <w:tbl>
      <w:tblPr>
        <w:tblStyle w:val="Tablewithborder"/>
        <w:tblW w:w="0" w:type="auto"/>
        <w:tblLook w:val="04A0" w:firstRow="1" w:lastRow="0" w:firstColumn="1" w:lastColumn="0" w:noHBand="0" w:noVBand="1"/>
      </w:tblPr>
      <w:tblGrid>
        <w:gridCol w:w="3021"/>
        <w:gridCol w:w="3582"/>
      </w:tblGrid>
      <w:tr w:rsidR="00B2019D" w:rsidRPr="00B2019D" w14:paraId="29C3A3BF" w14:textId="77777777" w:rsidTr="001C5FA2">
        <w:trPr>
          <w:cnfStyle w:val="100000000000" w:firstRow="1" w:lastRow="0" w:firstColumn="0" w:lastColumn="0" w:oddVBand="0" w:evenVBand="0" w:oddHBand="0" w:evenHBand="0" w:firstRowFirstColumn="0" w:firstRowLastColumn="0" w:lastRowFirstColumn="0" w:lastRowLastColumn="0"/>
        </w:trPr>
        <w:tc>
          <w:tcPr>
            <w:tcW w:w="0" w:type="auto"/>
          </w:tcPr>
          <w:p w14:paraId="2375D425" w14:textId="77777777" w:rsidR="00B2019D" w:rsidRPr="00B2019D" w:rsidRDefault="00B2019D" w:rsidP="00B2019D">
            <w:pPr>
              <w:spacing w:before="200" w:line="288" w:lineRule="auto"/>
              <w:rPr>
                <w:rFonts w:ascii="Inter" w:hAnsi="Inter"/>
                <w:b/>
                <w:sz w:val="22"/>
                <w:szCs w:val="28"/>
                <w:lang w:eastAsia="en-AU"/>
              </w:rPr>
            </w:pPr>
            <w:r w:rsidRPr="00B2019D">
              <w:rPr>
                <w:rFonts w:ascii="Inter" w:hAnsi="Inter"/>
                <w:b/>
                <w:sz w:val="22"/>
                <w:szCs w:val="28"/>
                <w:lang w:eastAsia="en-AU"/>
              </w:rPr>
              <w:t>Asset class</w:t>
            </w:r>
          </w:p>
        </w:tc>
        <w:tc>
          <w:tcPr>
            <w:tcW w:w="0" w:type="auto"/>
          </w:tcPr>
          <w:p w14:paraId="7A58550C" w14:textId="77777777" w:rsidR="00B2019D" w:rsidRPr="00B2019D" w:rsidRDefault="00B2019D" w:rsidP="00B2019D">
            <w:pPr>
              <w:spacing w:before="200" w:line="288" w:lineRule="auto"/>
              <w:rPr>
                <w:rFonts w:ascii="Inter" w:hAnsi="Inter"/>
                <w:b/>
                <w:sz w:val="22"/>
                <w:szCs w:val="28"/>
                <w:lang w:eastAsia="en-AU"/>
              </w:rPr>
            </w:pPr>
            <w:r w:rsidRPr="00B2019D">
              <w:rPr>
                <w:rFonts w:ascii="Inter" w:hAnsi="Inter"/>
                <w:b/>
                <w:sz w:val="22"/>
                <w:szCs w:val="28"/>
                <w:lang w:eastAsia="en-AU"/>
              </w:rPr>
              <w:t>Minimum asset value threshold</w:t>
            </w:r>
          </w:p>
        </w:tc>
      </w:tr>
      <w:tr w:rsidR="00B2019D" w:rsidRPr="00B2019D" w14:paraId="243B14DA" w14:textId="77777777" w:rsidTr="001C5FA2">
        <w:trPr>
          <w:cnfStyle w:val="000000100000" w:firstRow="0" w:lastRow="0" w:firstColumn="0" w:lastColumn="0" w:oddVBand="0" w:evenVBand="0" w:oddHBand="1" w:evenHBand="0" w:firstRowFirstColumn="0" w:firstRowLastColumn="0" w:lastRowFirstColumn="0" w:lastRowLastColumn="0"/>
        </w:trPr>
        <w:tc>
          <w:tcPr>
            <w:tcW w:w="0" w:type="auto"/>
          </w:tcPr>
          <w:p w14:paraId="516DAFED"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Caravans and motorhomes</w:t>
            </w:r>
          </w:p>
        </w:tc>
        <w:tc>
          <w:tcPr>
            <w:tcW w:w="0" w:type="auto"/>
          </w:tcPr>
          <w:p w14:paraId="7802F342"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$65,000</w:t>
            </w:r>
          </w:p>
        </w:tc>
      </w:tr>
      <w:tr w:rsidR="00B2019D" w:rsidRPr="00B2019D" w14:paraId="22B3ABD8" w14:textId="77777777" w:rsidTr="001C5FA2">
        <w:trPr>
          <w:cnfStyle w:val="000000010000" w:firstRow="0" w:lastRow="0" w:firstColumn="0" w:lastColumn="0" w:oddVBand="0" w:evenVBand="0" w:oddHBand="0" w:evenHBand="1" w:firstRowFirstColumn="0" w:firstRowLastColumn="0" w:lastRowFirstColumn="0" w:lastRowLastColumn="0"/>
        </w:trPr>
        <w:tc>
          <w:tcPr>
            <w:tcW w:w="0" w:type="auto"/>
          </w:tcPr>
          <w:p w14:paraId="099BBC00"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Motor vehicles including</w:t>
            </w:r>
            <w:r w:rsidRPr="00B2019D">
              <w:rPr>
                <w:rFonts w:ascii="Inter" w:hAnsi="Inter"/>
                <w:sz w:val="22"/>
                <w:szCs w:val="28"/>
                <w:vertAlign w:val="superscript"/>
                <w:lang w:eastAsia="en-AU"/>
              </w:rPr>
              <w:t>*</w:t>
            </w:r>
            <w:r w:rsidRPr="00B2019D">
              <w:rPr>
                <w:rFonts w:ascii="Inter" w:hAnsi="Inter"/>
                <w:sz w:val="22"/>
                <w:szCs w:val="28"/>
                <w:lang w:eastAsia="en-AU"/>
              </w:rPr>
              <w:t>:</w:t>
            </w:r>
          </w:p>
          <w:p w14:paraId="36880672"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 cars &amp; trucks</w:t>
            </w:r>
          </w:p>
          <w:p w14:paraId="1B6C10F8"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 motorcycles</w:t>
            </w:r>
          </w:p>
        </w:tc>
        <w:tc>
          <w:tcPr>
            <w:tcW w:w="0" w:type="auto"/>
          </w:tcPr>
          <w:p w14:paraId="1BD3AD7F"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$65,000</w:t>
            </w:r>
          </w:p>
        </w:tc>
      </w:tr>
      <w:tr w:rsidR="00B2019D" w:rsidRPr="00B2019D" w14:paraId="2799E987" w14:textId="77777777" w:rsidTr="001C5FA2">
        <w:trPr>
          <w:cnfStyle w:val="000000100000" w:firstRow="0" w:lastRow="0" w:firstColumn="0" w:lastColumn="0" w:oddVBand="0" w:evenVBand="0" w:oddHBand="1" w:evenHBand="0" w:firstRowFirstColumn="0" w:firstRowLastColumn="0" w:lastRowFirstColumn="0" w:lastRowLastColumn="0"/>
        </w:trPr>
        <w:tc>
          <w:tcPr>
            <w:tcW w:w="0" w:type="auto"/>
          </w:tcPr>
          <w:p w14:paraId="61D4349D"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Thoroughbred horses</w:t>
            </w:r>
          </w:p>
        </w:tc>
        <w:tc>
          <w:tcPr>
            <w:tcW w:w="0" w:type="auto"/>
          </w:tcPr>
          <w:p w14:paraId="24F35F40"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$65,000</w:t>
            </w:r>
          </w:p>
        </w:tc>
      </w:tr>
      <w:tr w:rsidR="00B2019D" w:rsidRPr="00B2019D" w14:paraId="54CDCB75" w14:textId="77777777" w:rsidTr="001C5FA2">
        <w:trPr>
          <w:cnfStyle w:val="000000010000" w:firstRow="0" w:lastRow="0" w:firstColumn="0" w:lastColumn="0" w:oddVBand="0" w:evenVBand="0" w:oddHBand="0" w:evenHBand="1" w:firstRowFirstColumn="0" w:firstRowLastColumn="0" w:lastRowFirstColumn="0" w:lastRowLastColumn="0"/>
        </w:trPr>
        <w:tc>
          <w:tcPr>
            <w:tcW w:w="0" w:type="auto"/>
          </w:tcPr>
          <w:p w14:paraId="56A09A43"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Fine art</w:t>
            </w:r>
          </w:p>
        </w:tc>
        <w:tc>
          <w:tcPr>
            <w:tcW w:w="0" w:type="auto"/>
          </w:tcPr>
          <w:p w14:paraId="6A4ADB59"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$100,000 per item</w:t>
            </w:r>
          </w:p>
        </w:tc>
      </w:tr>
      <w:tr w:rsidR="00B2019D" w:rsidRPr="00B2019D" w14:paraId="79B3B8C9" w14:textId="77777777" w:rsidTr="001C5FA2">
        <w:trPr>
          <w:cnfStyle w:val="000000100000" w:firstRow="0" w:lastRow="0" w:firstColumn="0" w:lastColumn="0" w:oddVBand="0" w:evenVBand="0" w:oddHBand="1" w:evenHBand="0" w:firstRowFirstColumn="0" w:firstRowLastColumn="0" w:lastRowFirstColumn="0" w:lastRowLastColumn="0"/>
        </w:trPr>
        <w:tc>
          <w:tcPr>
            <w:tcW w:w="0" w:type="auto"/>
          </w:tcPr>
          <w:p w14:paraId="76033772"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Marine vessels</w:t>
            </w:r>
          </w:p>
        </w:tc>
        <w:tc>
          <w:tcPr>
            <w:tcW w:w="0" w:type="auto"/>
          </w:tcPr>
          <w:p w14:paraId="7472F87D"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$100,000</w:t>
            </w:r>
          </w:p>
        </w:tc>
      </w:tr>
      <w:tr w:rsidR="00B2019D" w:rsidRPr="00B2019D" w14:paraId="4BFB26E9" w14:textId="77777777" w:rsidTr="001C5FA2">
        <w:trPr>
          <w:cnfStyle w:val="000000010000" w:firstRow="0" w:lastRow="0" w:firstColumn="0" w:lastColumn="0" w:oddVBand="0" w:evenVBand="0" w:oddHBand="0" w:evenHBand="1" w:firstRowFirstColumn="0" w:firstRowLastColumn="0" w:lastRowFirstColumn="0" w:lastRowLastColumn="0"/>
        </w:trPr>
        <w:tc>
          <w:tcPr>
            <w:tcW w:w="0" w:type="auto"/>
          </w:tcPr>
          <w:p w14:paraId="7EC4EE14"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Aircraft</w:t>
            </w:r>
          </w:p>
        </w:tc>
        <w:tc>
          <w:tcPr>
            <w:tcW w:w="0" w:type="auto"/>
          </w:tcPr>
          <w:p w14:paraId="63EE673B" w14:textId="77777777" w:rsidR="00B2019D" w:rsidRPr="00B2019D" w:rsidRDefault="00B2019D" w:rsidP="00B2019D">
            <w:pPr>
              <w:spacing w:before="200" w:line="288" w:lineRule="auto"/>
              <w:rPr>
                <w:rFonts w:ascii="Inter" w:hAnsi="Inter"/>
                <w:sz w:val="22"/>
                <w:szCs w:val="28"/>
                <w:lang w:eastAsia="en-AU"/>
              </w:rPr>
            </w:pPr>
            <w:r w:rsidRPr="00B2019D">
              <w:rPr>
                <w:rFonts w:ascii="Inter" w:hAnsi="Inter"/>
                <w:sz w:val="22"/>
                <w:szCs w:val="28"/>
                <w:lang w:eastAsia="en-AU"/>
              </w:rPr>
              <w:t>$150,000</w:t>
            </w:r>
          </w:p>
        </w:tc>
      </w:tr>
    </w:tbl>
    <w:p w14:paraId="738E99A2" w14:textId="77777777" w:rsidR="00FA32D6" w:rsidRPr="00FA32D6" w:rsidRDefault="00FA32D6" w:rsidP="00B2019D">
      <w:pPr>
        <w:spacing w:before="120" w:after="120"/>
        <w:rPr>
          <w:rFonts w:ascii="Inter" w:hAnsi="Inter"/>
        </w:rPr>
      </w:pPr>
      <w:r w:rsidRPr="00FA32D6">
        <w:rPr>
          <w:rFonts w:ascii="Inter" w:hAnsi="Inter"/>
          <w:vertAlign w:val="superscript"/>
        </w:rPr>
        <w:t>*</w:t>
      </w:r>
      <w:r w:rsidRPr="00FA32D6">
        <w:rPr>
          <w:rFonts w:ascii="Inter" w:hAnsi="Inter"/>
        </w:rPr>
        <w:t xml:space="preserve">Due to how some data providers classify assets they </w:t>
      </w:r>
      <w:proofErr w:type="gramStart"/>
      <w:r w:rsidRPr="00FA32D6">
        <w:rPr>
          <w:rFonts w:ascii="Inter" w:hAnsi="Inter"/>
        </w:rPr>
        <w:t>insure,</w:t>
      </w:r>
      <w:proofErr w:type="gramEnd"/>
      <w:r w:rsidRPr="00FA32D6">
        <w:rPr>
          <w:rFonts w:ascii="Inter" w:hAnsi="Inter"/>
        </w:rPr>
        <w:t xml:space="preserve"> we may receive data about other types of motor vehicles and assets that are not listed in the motor vehicle asset class above.</w:t>
      </w:r>
    </w:p>
    <w:p w14:paraId="40A8DEFA" w14:textId="77777777" w:rsidR="00FA32D6" w:rsidRPr="00FA32D6" w:rsidRDefault="00FA32D6" w:rsidP="00FA32D6">
      <w:pPr>
        <w:rPr>
          <w:rFonts w:ascii="Inter" w:hAnsi="Inter"/>
        </w:rPr>
      </w:pPr>
      <w:r w:rsidRPr="00FA32D6">
        <w:rPr>
          <w:rFonts w:ascii="Inter" w:hAnsi="Inter"/>
        </w:rPr>
        <w:t>The data items include:</w:t>
      </w:r>
    </w:p>
    <w:p w14:paraId="297EF1DE" w14:textId="77777777" w:rsidR="00FA32D6" w:rsidRPr="00FA32D6" w:rsidRDefault="00FA32D6" w:rsidP="00FA32D6">
      <w:pPr>
        <w:pStyle w:val="Bulletedlist1"/>
        <w:rPr>
          <w:szCs w:val="22"/>
        </w:rPr>
      </w:pPr>
      <w:r w:rsidRPr="00FA32D6">
        <w:rPr>
          <w:szCs w:val="22"/>
        </w:rPr>
        <w:t>Client identification details (names, addresses, phone numbers, dates of birth, Australian business number, email address).</w:t>
      </w:r>
    </w:p>
    <w:p w14:paraId="06118B59" w14:textId="77777777" w:rsidR="00FA32D6" w:rsidRPr="00FA32D6" w:rsidRDefault="00FA32D6" w:rsidP="00D04BF7">
      <w:pPr>
        <w:pStyle w:val="Bulletedlist1"/>
        <w:spacing w:after="240"/>
        <w:rPr>
          <w:szCs w:val="22"/>
        </w:rPr>
      </w:pPr>
      <w:r w:rsidRPr="00FA32D6">
        <w:rPr>
          <w:szCs w:val="22"/>
        </w:rPr>
        <w:t>Policy details (insurance brand name, policy number, policy inception date, start date of current policy, end date of current policy, last date policy was updated, total value insured, purchase price of the property insured, registration or identification number of the property, vehicle details (year, make, model), finance, policy cost, description of the property insured, primary use type).</w:t>
      </w:r>
    </w:p>
    <w:p w14:paraId="6A1B8390" w14:textId="77777777" w:rsidR="00FA32D6" w:rsidRPr="00FA32D6" w:rsidRDefault="00FA32D6" w:rsidP="00FA32D6">
      <w:pPr>
        <w:rPr>
          <w:rFonts w:ascii="Inter" w:hAnsi="Inter"/>
        </w:rPr>
      </w:pPr>
      <w:r w:rsidRPr="00FA32D6">
        <w:rPr>
          <w:rFonts w:ascii="Inter" w:hAnsi="Inter"/>
        </w:rPr>
        <w:t>It is estimated that the total number of policy records obtained will be approximately 650,000 to 800,000 each financial year. We expect 250,000 to 350,000 matched records will relate to individuals. These estimates are based on what we have learnt from previous years’ data.</w:t>
      </w:r>
    </w:p>
    <w:p w14:paraId="3C9307ED" w14:textId="77777777" w:rsidR="00FA32D6" w:rsidRPr="00FA32D6" w:rsidRDefault="00FA32D6" w:rsidP="00FA32D6">
      <w:pPr>
        <w:rPr>
          <w:rFonts w:ascii="Inter" w:hAnsi="Inter"/>
        </w:rPr>
      </w:pPr>
      <w:r w:rsidRPr="00FA32D6">
        <w:rPr>
          <w:rFonts w:ascii="Inter" w:hAnsi="Inter"/>
        </w:rPr>
        <w:lastRenderedPageBreak/>
        <w:t>The data will be acquired and matched to improve our compliance risk profiling of taxpayers and provide a holistic view of their assets and accumulated wealth.</w:t>
      </w:r>
    </w:p>
    <w:p w14:paraId="6FA3D60D" w14:textId="77777777" w:rsidR="00FA32D6" w:rsidRPr="00FA32D6" w:rsidRDefault="00FA32D6" w:rsidP="00FA32D6">
      <w:pPr>
        <w:rPr>
          <w:rFonts w:ascii="Inter" w:hAnsi="Inter"/>
        </w:rPr>
      </w:pPr>
      <w:r w:rsidRPr="00FA32D6">
        <w:rPr>
          <w:rFonts w:ascii="Inter" w:hAnsi="Inter"/>
        </w:rPr>
        <w:t>The objectives of this program are to:</w:t>
      </w:r>
    </w:p>
    <w:p w14:paraId="7B57B172" w14:textId="77777777" w:rsidR="00FA32D6" w:rsidRPr="00FA32D6" w:rsidRDefault="00FA32D6" w:rsidP="00FA32D6">
      <w:pPr>
        <w:pStyle w:val="Bulletedlist1"/>
        <w:rPr>
          <w:szCs w:val="22"/>
        </w:rPr>
      </w:pPr>
      <w:r w:rsidRPr="00FA32D6">
        <w:rPr>
          <w:szCs w:val="22"/>
        </w:rPr>
        <w:t xml:space="preserve">promote voluntary compliance and increase community confidence in the integrity of the tax and super </w:t>
      </w:r>
      <w:proofErr w:type="gramStart"/>
      <w:r w:rsidRPr="00FA32D6">
        <w:rPr>
          <w:szCs w:val="22"/>
        </w:rPr>
        <w:t>systems</w:t>
      </w:r>
      <w:proofErr w:type="gramEnd"/>
    </w:p>
    <w:p w14:paraId="6E3F6503" w14:textId="77777777" w:rsidR="00FA32D6" w:rsidRPr="00FA32D6" w:rsidRDefault="00FA32D6" w:rsidP="00FA32D6">
      <w:pPr>
        <w:pStyle w:val="Bulletedlist1"/>
        <w:rPr>
          <w:szCs w:val="22"/>
        </w:rPr>
      </w:pPr>
      <w:r w:rsidRPr="00FA32D6">
        <w:rPr>
          <w:szCs w:val="22"/>
        </w:rPr>
        <w:t xml:space="preserve">assist with profiling to provide compliance staff with a holistic view of a taxpayer's </w:t>
      </w:r>
      <w:proofErr w:type="gramStart"/>
      <w:r w:rsidRPr="00FA32D6">
        <w:rPr>
          <w:szCs w:val="22"/>
        </w:rPr>
        <w:t>wealth</w:t>
      </w:r>
      <w:proofErr w:type="gramEnd"/>
    </w:p>
    <w:p w14:paraId="11131503" w14:textId="77777777" w:rsidR="00FA32D6" w:rsidRPr="00FA32D6" w:rsidRDefault="00FA32D6" w:rsidP="00FA32D6">
      <w:pPr>
        <w:pStyle w:val="Bulletedlist1"/>
        <w:rPr>
          <w:szCs w:val="22"/>
        </w:rPr>
      </w:pPr>
      <w:r w:rsidRPr="00FA32D6">
        <w:rPr>
          <w:szCs w:val="22"/>
        </w:rPr>
        <w:t xml:space="preserve">identify possible compliance issues with income tax, capital gains tax (CGT), fringe benefits tax (FBT), goods and services tax (GST) and super </w:t>
      </w:r>
      <w:proofErr w:type="gramStart"/>
      <w:r w:rsidRPr="00FA32D6">
        <w:rPr>
          <w:szCs w:val="22"/>
        </w:rPr>
        <w:t>obligations</w:t>
      </w:r>
      <w:proofErr w:type="gramEnd"/>
    </w:p>
    <w:p w14:paraId="2419BD61" w14:textId="77777777" w:rsidR="00FA32D6" w:rsidRPr="00FA32D6" w:rsidRDefault="00FA32D6" w:rsidP="00FA32D6">
      <w:pPr>
        <w:pStyle w:val="Bulletedlist1"/>
        <w:rPr>
          <w:szCs w:val="22"/>
        </w:rPr>
      </w:pPr>
      <w:r w:rsidRPr="00FA32D6">
        <w:rPr>
          <w:szCs w:val="22"/>
        </w:rPr>
        <w:t xml:space="preserve">determine avenues available to assist in debt management </w:t>
      </w:r>
      <w:proofErr w:type="gramStart"/>
      <w:r w:rsidRPr="00FA32D6">
        <w:rPr>
          <w:szCs w:val="22"/>
        </w:rPr>
        <w:t>activities</w:t>
      </w:r>
      <w:proofErr w:type="gramEnd"/>
    </w:p>
    <w:p w14:paraId="0A82E8F1" w14:textId="77777777" w:rsidR="00FA32D6" w:rsidRPr="00FA32D6" w:rsidRDefault="00FA32D6" w:rsidP="00FA32D6">
      <w:pPr>
        <w:pStyle w:val="Bulletedlist1"/>
        <w:rPr>
          <w:szCs w:val="22"/>
        </w:rPr>
      </w:pPr>
      <w:r w:rsidRPr="00FA32D6">
        <w:rPr>
          <w:szCs w:val="22"/>
        </w:rPr>
        <w:t xml:space="preserve">gain insights from the data to help develop and implement treatment strategies to improve voluntary compliance, which may include educational or compliance activities as </w:t>
      </w:r>
      <w:proofErr w:type="gramStart"/>
      <w:r w:rsidRPr="00FA32D6">
        <w:rPr>
          <w:szCs w:val="22"/>
        </w:rPr>
        <w:t>appropriate</w:t>
      </w:r>
      <w:proofErr w:type="gramEnd"/>
    </w:p>
    <w:p w14:paraId="5B2F0997" w14:textId="77777777" w:rsidR="00FA32D6" w:rsidRPr="00FA32D6" w:rsidRDefault="00FA32D6" w:rsidP="00FA32D6">
      <w:pPr>
        <w:pStyle w:val="Bulletedlist1"/>
        <w:rPr>
          <w:szCs w:val="22"/>
        </w:rPr>
      </w:pPr>
      <w:r w:rsidRPr="00FA32D6">
        <w:rPr>
          <w:szCs w:val="22"/>
        </w:rPr>
        <w:t xml:space="preserve">identify and educate those individuals and businesses who may be failing to meet their registration or lodgment obligations and assist them to </w:t>
      </w:r>
      <w:proofErr w:type="gramStart"/>
      <w:r w:rsidRPr="00FA32D6">
        <w:rPr>
          <w:szCs w:val="22"/>
        </w:rPr>
        <w:t>comply</w:t>
      </w:r>
      <w:proofErr w:type="gramEnd"/>
    </w:p>
    <w:p w14:paraId="368FCDDB" w14:textId="77777777" w:rsidR="00FA32D6" w:rsidRPr="00FA32D6" w:rsidRDefault="00FA32D6" w:rsidP="00D04BF7">
      <w:pPr>
        <w:pStyle w:val="Bulletedlist1"/>
        <w:spacing w:after="240"/>
        <w:rPr>
          <w:szCs w:val="22"/>
        </w:rPr>
      </w:pPr>
      <w:r w:rsidRPr="00FA32D6">
        <w:rPr>
          <w:szCs w:val="22"/>
        </w:rPr>
        <w:t>help ensure that individuals and businesses are fulfilling their tax and super reporting obligations.</w:t>
      </w:r>
    </w:p>
    <w:p w14:paraId="45D928E5" w14:textId="77777777" w:rsidR="00FA32D6" w:rsidRPr="00FA32D6" w:rsidRDefault="00FA32D6" w:rsidP="00FA32D6">
      <w:pPr>
        <w:rPr>
          <w:rFonts w:ascii="Inter" w:hAnsi="Inter"/>
        </w:rPr>
      </w:pPr>
      <w:r w:rsidRPr="00FA32D6">
        <w:rPr>
          <w:rFonts w:ascii="Inter" w:hAnsi="Inter"/>
        </w:rPr>
        <w:t xml:space="preserve">The lifestyle assets data-matching program will allow us to identify and address </w:t>
      </w:r>
      <w:proofErr w:type="gramStart"/>
      <w:r w:rsidRPr="00FA32D6">
        <w:rPr>
          <w:rFonts w:ascii="Inter" w:hAnsi="Inter"/>
        </w:rPr>
        <w:t>a number of</w:t>
      </w:r>
      <w:proofErr w:type="gramEnd"/>
      <w:r w:rsidRPr="00FA32D6">
        <w:rPr>
          <w:rFonts w:ascii="Inter" w:hAnsi="Inter"/>
        </w:rPr>
        <w:t xml:space="preserve"> taxation risks, including:</w:t>
      </w:r>
    </w:p>
    <w:p w14:paraId="3702A6F8" w14:textId="77777777" w:rsidR="00FA32D6" w:rsidRPr="00FA32D6" w:rsidRDefault="00FA32D6" w:rsidP="00FA32D6">
      <w:pPr>
        <w:pStyle w:val="Bulletedlist1"/>
        <w:numPr>
          <w:ilvl w:val="0"/>
          <w:numId w:val="2"/>
        </w:numPr>
        <w:rPr>
          <w:szCs w:val="22"/>
        </w:rPr>
      </w:pPr>
      <w:r w:rsidRPr="00FA32D6">
        <w:rPr>
          <w:szCs w:val="22"/>
        </w:rPr>
        <w:t xml:space="preserve">omitted or incorrect reporting of income – </w:t>
      </w:r>
      <w:proofErr w:type="spellStart"/>
      <w:r w:rsidRPr="00FA32D6">
        <w:rPr>
          <w:szCs w:val="22"/>
        </w:rPr>
        <w:t>taxpayers</w:t>
      </w:r>
      <w:proofErr w:type="spellEnd"/>
      <w:r w:rsidRPr="00FA32D6">
        <w:rPr>
          <w:szCs w:val="22"/>
        </w:rPr>
        <w:t xml:space="preserve"> accumulating or improving assets with insufficient income reported in their tax returns to show the financial means to pay for </w:t>
      </w:r>
      <w:proofErr w:type="gramStart"/>
      <w:r w:rsidRPr="00FA32D6">
        <w:rPr>
          <w:szCs w:val="22"/>
        </w:rPr>
        <w:t>them</w:t>
      </w:r>
      <w:proofErr w:type="gramEnd"/>
    </w:p>
    <w:p w14:paraId="7BCC4065" w14:textId="77777777" w:rsidR="00FA32D6" w:rsidRPr="00FA32D6" w:rsidRDefault="00FA32D6" w:rsidP="00FA32D6">
      <w:pPr>
        <w:pStyle w:val="Bulletedlist1"/>
        <w:numPr>
          <w:ilvl w:val="0"/>
          <w:numId w:val="2"/>
        </w:numPr>
        <w:rPr>
          <w:szCs w:val="22"/>
        </w:rPr>
      </w:pPr>
      <w:r w:rsidRPr="00FA32D6">
        <w:rPr>
          <w:szCs w:val="22"/>
        </w:rPr>
        <w:t>omitted or incorrect reporting of income and/or capital gains – taxpayers disposing of assets and not declaring the</w:t>
      </w:r>
      <w:r w:rsidRPr="00FA32D6">
        <w:rPr>
          <w:color w:val="7030A0"/>
          <w:szCs w:val="22"/>
        </w:rPr>
        <w:t xml:space="preserve"> </w:t>
      </w:r>
      <w:r w:rsidRPr="00FA32D6">
        <w:rPr>
          <w:szCs w:val="22"/>
        </w:rPr>
        <w:t>income and/or capital receipts</w:t>
      </w:r>
      <w:r w:rsidRPr="00FA32D6">
        <w:rPr>
          <w:color w:val="7030A0"/>
          <w:szCs w:val="22"/>
        </w:rPr>
        <w:t xml:space="preserve"> </w:t>
      </w:r>
      <w:r w:rsidRPr="00FA32D6">
        <w:rPr>
          <w:szCs w:val="22"/>
        </w:rPr>
        <w:t xml:space="preserve">on those disposals, or declaring them </w:t>
      </w:r>
      <w:proofErr w:type="gramStart"/>
      <w:r w:rsidRPr="00FA32D6">
        <w:rPr>
          <w:szCs w:val="22"/>
        </w:rPr>
        <w:t>incorrectly</w:t>
      </w:r>
      <w:proofErr w:type="gramEnd"/>
    </w:p>
    <w:p w14:paraId="65CF6DC2" w14:textId="77777777" w:rsidR="00FA32D6" w:rsidRPr="00FA32D6" w:rsidRDefault="00FA32D6" w:rsidP="00FA32D6">
      <w:pPr>
        <w:pStyle w:val="Bulletedlist1"/>
        <w:numPr>
          <w:ilvl w:val="0"/>
          <w:numId w:val="2"/>
        </w:numPr>
        <w:rPr>
          <w:szCs w:val="22"/>
        </w:rPr>
      </w:pPr>
      <w:r w:rsidRPr="00FA32D6">
        <w:rPr>
          <w:szCs w:val="22"/>
        </w:rPr>
        <w:t xml:space="preserve">incorrect claiming of GST credits – taxpayers may be purchasing assets for personal use through their business or related entities and claiming GST credits they are not entitled </w:t>
      </w:r>
      <w:proofErr w:type="gramStart"/>
      <w:r w:rsidRPr="00FA32D6">
        <w:rPr>
          <w:szCs w:val="22"/>
        </w:rPr>
        <w:t>to</w:t>
      </w:r>
      <w:proofErr w:type="gramEnd"/>
    </w:p>
    <w:p w14:paraId="61B28A1C" w14:textId="77777777" w:rsidR="00FA32D6" w:rsidRPr="00FA32D6" w:rsidRDefault="00FA32D6" w:rsidP="00FA32D6">
      <w:pPr>
        <w:pStyle w:val="Bulletedlist1"/>
        <w:numPr>
          <w:ilvl w:val="0"/>
          <w:numId w:val="2"/>
        </w:numPr>
        <w:rPr>
          <w:szCs w:val="22"/>
        </w:rPr>
      </w:pPr>
      <w:r w:rsidRPr="00FA32D6">
        <w:rPr>
          <w:szCs w:val="22"/>
        </w:rPr>
        <w:t xml:space="preserve">omitted or incorrect reporting of FBT – taxpayers may be purchasing assets through their business entities and applying those assets to the personal enjoyment of an associate or employee giving rise to a fringe benefits tax </w:t>
      </w:r>
      <w:proofErr w:type="gramStart"/>
      <w:r w:rsidRPr="00FA32D6">
        <w:rPr>
          <w:szCs w:val="22"/>
        </w:rPr>
        <w:t>liability</w:t>
      </w:r>
      <w:proofErr w:type="gramEnd"/>
    </w:p>
    <w:p w14:paraId="19693DD3" w14:textId="77777777" w:rsidR="00FA32D6" w:rsidRPr="00FA32D6" w:rsidRDefault="00FA32D6" w:rsidP="00D04BF7">
      <w:pPr>
        <w:pStyle w:val="Bulletedlist1"/>
        <w:numPr>
          <w:ilvl w:val="0"/>
          <w:numId w:val="2"/>
        </w:numPr>
        <w:spacing w:after="240"/>
        <w:rPr>
          <w:szCs w:val="22"/>
        </w:rPr>
      </w:pPr>
      <w:r w:rsidRPr="00FA32D6">
        <w:rPr>
          <w:szCs w:val="22"/>
        </w:rPr>
        <w:t>use of assets by self-managed super funds (SMSFs) in breach of the law – SMSFs may be acquiring assets but applying them for the present-day benefit of the fund's members or other related parties.</w:t>
      </w:r>
    </w:p>
    <w:p w14:paraId="75757F79" w14:textId="16CB73F2" w:rsidR="00FA32D6" w:rsidRPr="00FA32D6" w:rsidRDefault="00FA32D6" w:rsidP="00FA32D6">
      <w:pPr>
        <w:rPr>
          <w:rStyle w:val="Hyperlink"/>
          <w:rFonts w:ascii="Inter" w:hAnsi="Inter"/>
        </w:rPr>
      </w:pPr>
      <w:r w:rsidRPr="00FA32D6">
        <w:rPr>
          <w:rFonts w:ascii="Inter" w:hAnsi="Inter"/>
        </w:rPr>
        <w:t xml:space="preserve">A document describing this program is available at </w:t>
      </w:r>
      <w:r w:rsidRPr="00B2019D">
        <w:rPr>
          <w:rFonts w:ascii="Inter" w:hAnsi="Inter"/>
        </w:rPr>
        <w:t>ato.gov.au/</w:t>
      </w:r>
      <w:proofErr w:type="spellStart"/>
      <w:r w:rsidRPr="00B2019D">
        <w:rPr>
          <w:rFonts w:ascii="Inter" w:hAnsi="Inter"/>
        </w:rPr>
        <w:t>dmprotocols</w:t>
      </w:r>
      <w:proofErr w:type="spellEnd"/>
      <w:r w:rsidRPr="00FA32D6">
        <w:rPr>
          <w:rFonts w:ascii="Inter" w:hAnsi="Inter"/>
        </w:rPr>
        <w:t>.</w:t>
      </w:r>
    </w:p>
    <w:p w14:paraId="37A82B29" w14:textId="77777777" w:rsidR="00FA32D6" w:rsidRPr="00FA32D6" w:rsidRDefault="00FA32D6" w:rsidP="00FA32D6">
      <w:pPr>
        <w:rPr>
          <w:rFonts w:ascii="Inter" w:hAnsi="Inter"/>
        </w:rPr>
      </w:pPr>
      <w:r w:rsidRPr="00FA32D6">
        <w:rPr>
          <w:rFonts w:ascii="Inter" w:hAnsi="Inter"/>
        </w:rPr>
        <w:t xml:space="preserve">This program follows the Office of the Australian Information Commissioner’s (OAIC) (2014) </w:t>
      </w:r>
      <w:r w:rsidRPr="00FA32D6">
        <w:rPr>
          <w:rStyle w:val="StyleItalic"/>
          <w:rFonts w:ascii="Inter" w:hAnsi="Inter"/>
        </w:rPr>
        <w:t>Guidelines on data matching in Australian Government administration</w:t>
      </w:r>
      <w:r w:rsidRPr="00FA32D6">
        <w:rPr>
          <w:rFonts w:ascii="Inter" w:hAnsi="Inter"/>
        </w:rPr>
        <w:t xml:space="preserve"> (the guidelines). The </w:t>
      </w:r>
      <w:r w:rsidRPr="00FA32D6">
        <w:rPr>
          <w:rFonts w:ascii="Inter" w:hAnsi="Inter"/>
        </w:rPr>
        <w:lastRenderedPageBreak/>
        <w:t>guidelines include standards for the use data-matching as an administrative tool in a way that:</w:t>
      </w:r>
    </w:p>
    <w:p w14:paraId="498C9471" w14:textId="77777777" w:rsidR="00FA32D6" w:rsidRPr="00FA32D6" w:rsidRDefault="00FA32D6" w:rsidP="00FA32D6">
      <w:pPr>
        <w:pStyle w:val="Bulletedlist1"/>
        <w:rPr>
          <w:szCs w:val="22"/>
        </w:rPr>
      </w:pPr>
      <w:r w:rsidRPr="00FA32D6">
        <w:rPr>
          <w:szCs w:val="22"/>
        </w:rPr>
        <w:t xml:space="preserve">complies with the Australian Privacy Principles (APPs) and the </w:t>
      </w:r>
      <w:r w:rsidRPr="00FA32D6">
        <w:rPr>
          <w:rStyle w:val="StyleItalic"/>
          <w:szCs w:val="22"/>
        </w:rPr>
        <w:t>Privacy Act 1988</w:t>
      </w:r>
      <w:r w:rsidRPr="00FA32D6">
        <w:rPr>
          <w:szCs w:val="22"/>
        </w:rPr>
        <w:t xml:space="preserve"> (Privacy Act)</w:t>
      </w:r>
    </w:p>
    <w:p w14:paraId="31279702" w14:textId="77777777" w:rsidR="00FA32D6" w:rsidRPr="00FA32D6" w:rsidRDefault="00FA32D6" w:rsidP="00D04BF7">
      <w:pPr>
        <w:pStyle w:val="Bulletedlist1"/>
        <w:spacing w:after="240"/>
        <w:rPr>
          <w:szCs w:val="22"/>
        </w:rPr>
      </w:pPr>
      <w:r w:rsidRPr="00FA32D6">
        <w:rPr>
          <w:szCs w:val="22"/>
        </w:rPr>
        <w:t>is consistent with good privacy practice.</w:t>
      </w:r>
    </w:p>
    <w:p w14:paraId="56D8E70A" w14:textId="6F38875C" w:rsidR="00FA32D6" w:rsidRPr="00FA32D6" w:rsidRDefault="00FA32D6" w:rsidP="00FA32D6">
      <w:pPr>
        <w:rPr>
          <w:rFonts w:ascii="Inter" w:hAnsi="Inter"/>
        </w:rPr>
      </w:pPr>
      <w:r w:rsidRPr="00FA32D6">
        <w:rPr>
          <w:rFonts w:ascii="Inter" w:hAnsi="Inter"/>
        </w:rPr>
        <w:t xml:space="preserve">A full copy of the ATO’s privacy policy can be accessed at </w:t>
      </w:r>
      <w:r w:rsidRPr="00B2019D">
        <w:rPr>
          <w:rFonts w:ascii="Inter" w:hAnsi="Inter"/>
        </w:rPr>
        <w:t>ato.gov.au/privacy</w:t>
      </w:r>
      <w:r w:rsidRPr="00FA32D6">
        <w:rPr>
          <w:rFonts w:ascii="Inter" w:hAnsi="Inter"/>
        </w:rPr>
        <w:t>.</w:t>
      </w:r>
    </w:p>
    <w:p w14:paraId="242CB026" w14:textId="77777777" w:rsidR="00FA32D6" w:rsidRPr="00424B97" w:rsidRDefault="00FA32D6" w:rsidP="00424B97"/>
    <w:sectPr w:rsidR="00FA32D6"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A3FA" w14:textId="77777777" w:rsidR="008E4F6C" w:rsidRDefault="008E4F6C" w:rsidP="003A707F">
      <w:pPr>
        <w:spacing w:after="0" w:line="240" w:lineRule="auto"/>
      </w:pPr>
      <w:r>
        <w:separator/>
      </w:r>
    </w:p>
  </w:endnote>
  <w:endnote w:type="continuationSeparator" w:id="0">
    <w:p w14:paraId="12F9FA0B"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 SemiBold">
    <w:altName w:val="Calibri"/>
    <w:panose1 w:val="020B0502030000000004"/>
    <w:charset w:val="00"/>
    <w:family w:val="swiss"/>
    <w:pitch w:val="variable"/>
    <w:sig w:usb0="E00002FF" w:usb1="1200A1FF" w:usb2="00000001" w:usb3="00000000" w:csb0="0000019F" w:csb1="00000000"/>
    <w:embedRegular r:id="rId1" w:fontKey="{2BA273CB-77B0-4913-A908-635727EE8945}"/>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B0502030000000004"/>
    <w:charset w:val="00"/>
    <w:family w:val="swiss"/>
    <w:pitch w:val="variable"/>
    <w:sig w:usb0="E00002FF" w:usb1="1200A1FF" w:usb2="00000001" w:usb3="00000000" w:csb0="0000019F" w:csb1="00000000"/>
    <w:embedRegular r:id="rId2" w:fontKey="{4F4F8ECA-5547-402C-8BA0-A1A7AA67BC06}"/>
    <w:embedBold r:id="rId3" w:fontKey="{AF915634-7168-43B8-B2C9-EAA5197B6EA9}"/>
    <w:embedItalic r:id="rId4" w:fontKey="{297BD030-153F-417A-AC9A-A020A992094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C7B9" w14:textId="77777777" w:rsidR="008E4F6C" w:rsidRDefault="008E4F6C" w:rsidP="003A707F">
      <w:pPr>
        <w:spacing w:after="0" w:line="240" w:lineRule="auto"/>
      </w:pPr>
      <w:r>
        <w:separator/>
      </w:r>
    </w:p>
  </w:footnote>
  <w:footnote w:type="continuationSeparator" w:id="0">
    <w:p w14:paraId="363F75B1"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12A3F67"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CE0B5EC"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58171DA1" wp14:editId="09D88D5F">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3AFD79B"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BEF29FB"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78F80A4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CCF1542"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F6F395A"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EAE7AA3" w14:textId="77777777" w:rsidR="00F40885" w:rsidRPr="003A707F" w:rsidRDefault="00F40885" w:rsidP="00F40885">
    <w:pPr>
      <w:pStyle w:val="Header"/>
      <w:rPr>
        <w:sz w:val="2"/>
        <w:szCs w:val="2"/>
      </w:rPr>
    </w:pPr>
  </w:p>
  <w:p w14:paraId="66A3B85F"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95D48"/>
    <w:multiLevelType w:val="multilevel"/>
    <w:tmpl w:val="2D2C551A"/>
    <w:name w:val="BulletedList"/>
    <w:lvl w:ilvl="0">
      <w:start w:val="1"/>
      <w:numFmt w:val="bullet"/>
      <w:pStyle w:val="Bulletedlist1"/>
      <w:lvlText w:val=""/>
      <w:lvlJc w:val="left"/>
      <w:pPr>
        <w:ind w:left="284" w:hanging="284"/>
      </w:pPr>
      <w:rPr>
        <w:rFonts w:ascii="Symbol" w:hAnsi="Symbol" w:hint="default"/>
        <w:color w:val="auto"/>
      </w:rPr>
    </w:lvl>
    <w:lvl w:ilvl="1">
      <w:start w:val="1"/>
      <w:numFmt w:val="bullet"/>
      <w:pStyle w:val="Bulletedlist2"/>
      <w:lvlText w:val="–"/>
      <w:lvlJc w:val="left"/>
      <w:pPr>
        <w:ind w:left="567" w:hanging="283"/>
      </w:pPr>
      <w:rPr>
        <w:rFonts w:ascii="Calibri" w:hAnsi="Calibri" w:hint="default"/>
      </w:rPr>
    </w:lvl>
    <w:lvl w:ilvl="2">
      <w:start w:val="1"/>
      <w:numFmt w:val="bullet"/>
      <w:pStyle w:val="Bulletedlist3"/>
      <w:lvlText w:val="o"/>
      <w:lvlJc w:val="left"/>
      <w:pPr>
        <w:ind w:left="851" w:hanging="284"/>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16cid:durableId="1512259374">
    <w:abstractNumId w:val="0"/>
  </w:num>
  <w:num w:numId="2" w16cid:durableId="46177218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2019D"/>
    <w:rsid w:val="00B84226"/>
    <w:rsid w:val="00BE7780"/>
    <w:rsid w:val="00C63C4E"/>
    <w:rsid w:val="00C72C30"/>
    <w:rsid w:val="00D04BF7"/>
    <w:rsid w:val="00D229E5"/>
    <w:rsid w:val="00D77A88"/>
    <w:rsid w:val="00F03910"/>
    <w:rsid w:val="00F40885"/>
    <w:rsid w:val="00FA2560"/>
    <w:rsid w:val="00FA3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5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A32D6"/>
    <w:pPr>
      <w:keepNext/>
      <w:spacing w:before="280" w:after="0" w:line="288" w:lineRule="auto"/>
      <w:outlineLvl w:val="3"/>
    </w:pPr>
    <w:rPr>
      <w:rFonts w:ascii="Inter SemiBold" w:eastAsia="Times New Roman" w:hAnsi="Inter SemiBold" w:cs="Arial"/>
      <w:bCs/>
      <w:sz w:val="28"/>
      <w:szCs w:val="25"/>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FA32D6"/>
    <w:rPr>
      <w:rFonts w:ascii="Inter SemiBold" w:eastAsia="Times New Roman" w:hAnsi="Inter SemiBold" w:cs="Arial"/>
      <w:bCs/>
      <w:sz w:val="28"/>
      <w:szCs w:val="25"/>
      <w:lang w:eastAsia="en-AU"/>
    </w:rPr>
  </w:style>
  <w:style w:type="character" w:customStyle="1" w:styleId="StyleItalic">
    <w:name w:val="Style Italic"/>
    <w:basedOn w:val="DefaultParagraphFont"/>
    <w:rsid w:val="00FA32D6"/>
    <w:rPr>
      <w:i/>
      <w:iCs/>
    </w:rPr>
  </w:style>
  <w:style w:type="character" w:styleId="Hyperlink">
    <w:name w:val="Hyperlink"/>
    <w:basedOn w:val="DefaultParagraphFont"/>
    <w:unhideWhenUsed/>
    <w:rsid w:val="00FA32D6"/>
    <w:rPr>
      <w:color w:val="0000FF"/>
      <w:u w:val="single"/>
    </w:rPr>
  </w:style>
  <w:style w:type="character" w:customStyle="1" w:styleId="Link-Internal">
    <w:name w:val="Link - Internal"/>
    <w:basedOn w:val="DefaultParagraphFont"/>
    <w:rsid w:val="00FA32D6"/>
    <w:rPr>
      <w:color w:val="0000FF"/>
      <w:u w:val="single"/>
      <w:bdr w:val="none" w:sz="0" w:space="0" w:color="auto"/>
      <w:shd w:val="clear" w:color="auto" w:fill="FFCCFF"/>
    </w:rPr>
  </w:style>
  <w:style w:type="table" w:customStyle="1" w:styleId="Tablewithborder">
    <w:name w:val="Table with border"/>
    <w:basedOn w:val="TableNormal"/>
    <w:rsid w:val="00FA32D6"/>
    <w:pPr>
      <w:spacing w:after="0" w:line="240" w:lineRule="auto"/>
    </w:pPr>
    <w:rPr>
      <w:rFonts w:ascii="Times New Roman" w:eastAsia="Times New Roman" w:hAnsi="Times New Roman" w:cs="Times New Roman"/>
      <w:sz w:val="20"/>
      <w:szCs w:val="20"/>
      <w:lang w:eastAsia="zh-TW"/>
    </w:rPr>
    <w:tblPr>
      <w:tblStyleRowBandSize w:val="1"/>
    </w:tblPr>
    <w:tcPr>
      <w:vAlign w:val="center"/>
    </w:tcPr>
    <w:tblStylePr w:type="firstRow">
      <w:tblPr/>
      <w:tcPr>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insideH w:val="single" w:sz="12" w:space="0" w:color="808080" w:themeColor="background1" w:themeShade="80"/>
          <w:insideV w:val="single" w:sz="8" w:space="0" w:color="A6A6A6" w:themeColor="background1" w:themeShade="A6"/>
          <w:tl2br w:val="nil"/>
          <w:tr2bl w:val="nil"/>
        </w:tcBorders>
      </w:tcPr>
    </w:tblStylePr>
    <w:tblStylePr w:type="band1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tcPr>
    </w:tblStylePr>
    <w:tblStylePr w:type="band2Horz">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l2br w:val="nil"/>
          <w:tr2bl w:val="nil"/>
        </w:tcBorders>
        <w:shd w:val="clear" w:color="auto" w:fill="D9D9D9" w:themeFill="background1" w:themeFillShade="D9"/>
      </w:tcPr>
    </w:tblStylePr>
  </w:style>
  <w:style w:type="paragraph" w:customStyle="1" w:styleId="Tableheading">
    <w:name w:val="Table heading"/>
    <w:basedOn w:val="Normal"/>
    <w:rsid w:val="00FA32D6"/>
    <w:pPr>
      <w:spacing w:before="200" w:after="0" w:line="288" w:lineRule="auto"/>
    </w:pPr>
    <w:rPr>
      <w:rFonts w:ascii="Inter" w:eastAsia="Times New Roman" w:hAnsi="Inter" w:cs="Times New Roman"/>
      <w:b/>
      <w:szCs w:val="24"/>
      <w:lang w:eastAsia="en-AU"/>
    </w:rPr>
  </w:style>
  <w:style w:type="paragraph" w:customStyle="1" w:styleId="Bulletedlist1">
    <w:name w:val="Bulleted list 1"/>
    <w:basedOn w:val="Normal"/>
    <w:qFormat/>
    <w:rsid w:val="00FA32D6"/>
    <w:pPr>
      <w:numPr>
        <w:numId w:val="1"/>
      </w:numPr>
      <w:spacing w:before="200" w:after="0" w:line="288" w:lineRule="auto"/>
    </w:pPr>
    <w:rPr>
      <w:rFonts w:ascii="Inter" w:eastAsia="Times New Roman" w:hAnsi="Inter" w:cs="Times New Roman"/>
      <w:szCs w:val="24"/>
      <w:lang w:eastAsia="en-AU"/>
    </w:rPr>
  </w:style>
  <w:style w:type="paragraph" w:customStyle="1" w:styleId="Bulletedlist2">
    <w:name w:val="Bulleted list 2"/>
    <w:basedOn w:val="Bulletedlist1"/>
    <w:qFormat/>
    <w:rsid w:val="00FA32D6"/>
    <w:pPr>
      <w:numPr>
        <w:ilvl w:val="1"/>
      </w:numPr>
    </w:pPr>
  </w:style>
  <w:style w:type="paragraph" w:customStyle="1" w:styleId="Bulletedlist3">
    <w:name w:val="Bulleted list 3"/>
    <w:basedOn w:val="Bulletedlist1"/>
    <w:qFormat/>
    <w:rsid w:val="00FA32D6"/>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3726</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2024-08-21T01:20:00Z</dcterms:created>
  <dcterms:modified xsi:type="dcterms:W3CDTF">2024-08-21T05:59:00Z</dcterms:modified>
  <cp:category/>
  <cp:contentStatus/>
  <dc:language/>
  <cp:version/>
</cp:coreProperties>
</file>