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54209" w:rsidRDefault="00054209">
      <w:pPr>
        <w:tabs>
          <w:tab w:val="left" w:pos="567"/>
          <w:tab w:val="left" w:pos="1134"/>
          <w:tab w:val="left" w:pos="1702"/>
          <w:tab w:val="left" w:pos="2269"/>
        </w:tabs>
        <w:spacing w:line="240" w:lineRule="atLeast"/>
        <w:jc w:val="center"/>
        <w:rPr>
          <w:b/>
          <w:bCs/>
        </w:rPr>
      </w:pPr>
      <w:bookmarkStart w:id="0" w:name="_GoBack"/>
      <w:bookmarkEnd w:id="0"/>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p>
    <w:p w:rsidR="00000000" w:rsidRPr="00054209" w:rsidRDefault="00054209">
      <w:pPr>
        <w:tabs>
          <w:tab w:val="left" w:pos="567"/>
          <w:tab w:val="left" w:pos="1134"/>
          <w:tab w:val="left" w:pos="1702"/>
          <w:tab w:val="left" w:pos="2269"/>
        </w:tabs>
        <w:spacing w:line="240" w:lineRule="atLeast"/>
        <w:jc w:val="center"/>
        <w:rPr>
          <w:b/>
          <w:bCs/>
        </w:rPr>
      </w:pPr>
      <w:r w:rsidRPr="00054209">
        <w:rPr>
          <w:b/>
          <w:bCs/>
        </w:rPr>
        <w:t>Statutory  Rules  1991   No. 198</w:t>
      </w:r>
      <w:r w:rsidRPr="00054209">
        <w:rPr>
          <w:position w:val="6"/>
          <w:sz w:val="16"/>
          <w:szCs w:val="16"/>
        </w:rPr>
        <w:t>1</w:t>
      </w:r>
    </w:p>
    <w:p w:rsidR="00000000" w:rsidRPr="00054209" w:rsidRDefault="00054209">
      <w:pPr>
        <w:tabs>
          <w:tab w:val="left" w:pos="567"/>
          <w:tab w:val="left" w:pos="1134"/>
          <w:tab w:val="left" w:pos="1702"/>
          <w:tab w:val="left" w:pos="2269"/>
        </w:tabs>
        <w:spacing w:line="240" w:lineRule="atLeast"/>
        <w:jc w:val="center"/>
        <w:rPr>
          <w:b/>
          <w:bCs/>
        </w:rPr>
      </w:pPr>
      <w:r w:rsidRPr="00054209">
        <w:rPr>
          <w:b/>
          <w:bCs/>
        </w:rPr>
        <w:t>__________________</w:t>
      </w: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center"/>
        <w:rPr>
          <w:b/>
          <w:bCs/>
          <w:sz w:val="28"/>
          <w:szCs w:val="28"/>
        </w:rPr>
      </w:pPr>
      <w:r w:rsidRPr="00054209">
        <w:rPr>
          <w:b/>
          <w:bCs/>
          <w:sz w:val="36"/>
          <w:szCs w:val="36"/>
        </w:rPr>
        <w:t>Wheat Industry Fund</w:t>
      </w:r>
      <w:r w:rsidRPr="00054209">
        <w:rPr>
          <w:b/>
          <w:bCs/>
          <w:sz w:val="36"/>
          <w:szCs w:val="36"/>
        </w:rPr>
        <w:t xml:space="preserve"> Regulations</w:t>
      </w:r>
      <w:r w:rsidRPr="00054209">
        <w:rPr>
          <w:position w:val="6"/>
          <w:sz w:val="16"/>
          <w:szCs w:val="16"/>
        </w:rPr>
        <w:t xml:space="preserve"> 2</w:t>
      </w:r>
      <w:r w:rsidRPr="00054209">
        <w:rPr>
          <w:b/>
          <w:bCs/>
          <w:position w:val="6"/>
          <w:sz w:val="36"/>
          <w:szCs w:val="36"/>
        </w:rPr>
        <w:t xml:space="preserve"> </w:t>
      </w:r>
      <w:r w:rsidRPr="00054209">
        <w:rPr>
          <w:b/>
          <w:bCs/>
          <w:sz w:val="36"/>
          <w:szCs w:val="36"/>
        </w:rPr>
        <w:t>(Amendment)</w:t>
      </w: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r w:rsidRPr="00054209">
        <w:t>I, THE GOVERNOR-GENERAL of the Commonwealt</w:t>
      </w:r>
      <w:r w:rsidRPr="00054209">
        <w:t xml:space="preserve">h of Australia, acting with the advice of the Federal Executive Council and after being informed by the Minister of State for Primary Industries and Energy that he has considered a report by the Grains Council of Australia made after consultation with the </w:t>
      </w:r>
      <w:r w:rsidRPr="00054209">
        <w:t xml:space="preserve">Australian Wheat Board, make the following Regulations under the </w:t>
      </w:r>
      <w:r w:rsidRPr="00054209">
        <w:rPr>
          <w:i/>
          <w:iCs/>
        </w:rPr>
        <w:t>Wheat Marketing Act 1989.</w:t>
      </w: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r w:rsidRPr="00054209">
        <w:tab/>
        <w:t>Dated 27 June 1991.</w:t>
      </w: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r w:rsidRPr="00054209">
        <w:tab/>
      </w:r>
      <w:r w:rsidRPr="00054209">
        <w:tab/>
      </w:r>
      <w:r w:rsidRPr="00054209">
        <w:tab/>
      </w:r>
      <w:r w:rsidRPr="00054209">
        <w:tab/>
      </w:r>
      <w:r w:rsidRPr="00054209">
        <w:tab/>
      </w:r>
      <w:r w:rsidRPr="00054209">
        <w:tab/>
      </w:r>
      <w:r w:rsidRPr="00054209">
        <w:tab/>
      </w:r>
      <w:r w:rsidRPr="00054209">
        <w:tab/>
        <w:t xml:space="preserve">     BILL HAYDEN</w:t>
      </w:r>
    </w:p>
    <w:p w:rsidR="00000000" w:rsidRPr="00054209" w:rsidRDefault="00054209">
      <w:pPr>
        <w:tabs>
          <w:tab w:val="left" w:pos="567"/>
          <w:tab w:val="left" w:pos="5245"/>
        </w:tabs>
        <w:spacing w:line="240" w:lineRule="atLeast"/>
        <w:jc w:val="both"/>
      </w:pPr>
      <w:r w:rsidRPr="00054209">
        <w:tab/>
      </w:r>
      <w:r w:rsidRPr="00054209">
        <w:tab/>
        <w:t>Governor-General</w:t>
      </w:r>
    </w:p>
    <w:p w:rsidR="00000000" w:rsidRPr="00054209" w:rsidRDefault="00054209">
      <w:pPr>
        <w:tabs>
          <w:tab w:val="left" w:pos="567"/>
          <w:tab w:val="left" w:pos="1134"/>
          <w:tab w:val="left" w:pos="1702"/>
          <w:tab w:val="left" w:pos="2269"/>
        </w:tabs>
        <w:spacing w:line="240" w:lineRule="atLeast"/>
        <w:jc w:val="both"/>
      </w:pPr>
      <w:r w:rsidRPr="00054209">
        <w:tab/>
        <w:t>By His Excellency’s Command,</w:t>
      </w: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both"/>
      </w:pPr>
    </w:p>
    <w:p w:rsidR="00000000" w:rsidRPr="00054209" w:rsidRDefault="00054209">
      <w:pPr>
        <w:tabs>
          <w:tab w:val="left" w:pos="567"/>
          <w:tab w:val="left" w:pos="1134"/>
          <w:tab w:val="left" w:pos="1702"/>
          <w:tab w:val="left" w:pos="2269"/>
        </w:tabs>
        <w:spacing w:line="240" w:lineRule="atLeast"/>
        <w:jc w:val="center"/>
      </w:pPr>
      <w:r w:rsidRPr="00054209">
        <w:t xml:space="preserve">SIMON </w:t>
      </w:r>
      <w:proofErr w:type="spellStart"/>
      <w:r w:rsidRPr="00054209">
        <w:t>CREAN</w:t>
      </w:r>
      <w:proofErr w:type="spellEnd"/>
    </w:p>
    <w:p w:rsidR="00000000" w:rsidRPr="00054209" w:rsidRDefault="00054209">
      <w:pPr>
        <w:tabs>
          <w:tab w:val="left" w:pos="567"/>
          <w:tab w:val="left" w:pos="1134"/>
          <w:tab w:val="left" w:pos="1702"/>
          <w:tab w:val="left" w:pos="2269"/>
        </w:tabs>
        <w:spacing w:line="240" w:lineRule="atLeast"/>
        <w:jc w:val="center"/>
      </w:pPr>
      <w:r w:rsidRPr="00054209">
        <w:t xml:space="preserve">Minister of State for </w:t>
      </w:r>
      <w:r w:rsidRPr="00054209">
        <w:t>Primary Industries and Energy</w:t>
      </w:r>
    </w:p>
    <w:p w:rsidR="00000000" w:rsidRPr="00054209" w:rsidRDefault="00054209">
      <w:pPr>
        <w:tabs>
          <w:tab w:val="left" w:pos="567"/>
          <w:tab w:val="left" w:pos="1134"/>
          <w:tab w:val="left" w:pos="1702"/>
          <w:tab w:val="left" w:pos="2269"/>
        </w:tabs>
        <w:spacing w:line="240" w:lineRule="atLeast"/>
        <w:jc w:val="center"/>
        <w:rPr>
          <w:position w:val="6"/>
        </w:rPr>
      </w:pPr>
      <w:r w:rsidRPr="00054209">
        <w:rPr>
          <w:position w:val="6"/>
        </w:rPr>
        <w:t>_</w:t>
      </w:r>
      <w:r w:rsidRPr="00054209">
        <w:rPr>
          <w:position w:val="6"/>
        </w:rPr>
        <w:t>___________</w:t>
      </w:r>
    </w:p>
    <w:p w:rsidR="00000000" w:rsidRPr="00054209" w:rsidRDefault="00054209">
      <w:pPr>
        <w:tabs>
          <w:tab w:val="right" w:pos="1134"/>
          <w:tab w:val="left" w:pos="1276"/>
          <w:tab w:val="right" w:pos="1843"/>
          <w:tab w:val="left" w:pos="1985"/>
          <w:tab w:val="right" w:pos="2552"/>
          <w:tab w:val="left" w:pos="2694"/>
        </w:tabs>
        <w:spacing w:line="240" w:lineRule="atLeast"/>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rPr>
          <w:b/>
          <w:bCs/>
        </w:rPr>
        <w:t>1.   Commencement</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1.1   These Regulations commence on 30 June</w:t>
      </w:r>
      <w:r w:rsidRPr="00054209">
        <w:t xml:space="preserve"> 1991.</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rPr>
          <w:b/>
          <w:bCs/>
        </w:rPr>
        <w:t>2.   Amendment</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 xml:space="preserve">2.1   The </w:t>
      </w:r>
      <w:r w:rsidRPr="00054209">
        <w:t>Wheat Industry Fund</w:t>
      </w:r>
      <w:r w:rsidRPr="00054209">
        <w:t xml:space="preserve"> Regulations are amended as set out in these Regulations.</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rPr>
          <w:b/>
          <w:bCs/>
        </w:rPr>
        <w:t>3.   Regulation 4 (Use of Fund money)</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3.1   Subregulation 4(1):</w:t>
      </w: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lastRenderedPageBreak/>
        <w:t>Omit the subregulation.</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rPr>
          <w:b/>
          <w:bCs/>
        </w:rPr>
        <w:t>4.   Regulation 5 (Annual Business Plan)</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4.1   Subregulation (1):</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“each season”, substitute “each year starting on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rPr>
          <w:b/>
          <w:bCs/>
        </w:rPr>
        <w:t>5.   Regulation 6 (Management of Fund)</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5.1   Subregulation 6 (1):</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the subregulation, substi</w:t>
      </w:r>
      <w:r w:rsidRPr="00054209">
        <w:t>tute:</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ab/>
        <w:t>“(1)</w:t>
      </w:r>
      <w:r w:rsidRPr="00054209">
        <w:tab/>
        <w:t>For the purposes of the management of the Fund, the financial year is the year starting on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5.2   Subregulation 6 (3):</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the subregulation.</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rPr>
          <w:b/>
          <w:bCs/>
        </w:rPr>
        <w:t>6.   Regulation 8 (Equity in Fund)</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6.1   Subregulation (1):</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“30 June”, substitute</w:t>
      </w:r>
      <w:r w:rsidRPr="00054209">
        <w:t xml:space="preserve"> “30 September”.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6.2   Paragraph (1) (a):</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“1 July”, substitute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6.3   Paragraph (2) (a):</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“1 July”, substitute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6.4   Paragraph (2) (c):</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“30 June”, substitute “30 September”.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rPr>
          <w:b/>
          <w:bCs/>
        </w:rPr>
        <w:t>7.   </w:t>
      </w:r>
      <w:r w:rsidRPr="00054209">
        <w:rPr>
          <w:b/>
          <w:bCs/>
        </w:rPr>
        <w:t>Regulation 9 (Issue of statements by Board)</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7.1   Subregulation (1):</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“30 June”, substitute “30 September”.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br w:type="page"/>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lastRenderedPageBreak/>
        <w:t>7.2   Paragraph (1) (a):</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“1 July”, substitute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7.3   Paragraph (2) (b):</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“1 July”, substitute “1 October”.</w:t>
      </w: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rPr>
          <w:b/>
          <w:bCs/>
        </w:rPr>
        <w:t>8.   Regula</w:t>
      </w:r>
      <w:r w:rsidRPr="00054209">
        <w:rPr>
          <w:b/>
          <w:bCs/>
        </w:rPr>
        <w:t>tion 11 (Certificates of Equity)</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8.1   Paragraph (3) (c):</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Omit “30 June”, substitute “30 September”.</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rPr>
          <w:b/>
          <w:bCs/>
        </w:rPr>
        <w:t>9.   Transitional</w:t>
      </w:r>
    </w:p>
    <w:p w:rsidR="00000000" w:rsidRPr="00054209" w:rsidRDefault="00054209">
      <w:pPr>
        <w:tabs>
          <w:tab w:val="right" w:pos="1134"/>
          <w:tab w:val="left" w:pos="1276"/>
          <w:tab w:val="right" w:pos="1843"/>
          <w:tab w:val="left" w:pos="1985"/>
          <w:tab w:val="right" w:pos="2552"/>
          <w:tab w:val="left" w:pos="2694"/>
        </w:tabs>
        <w:spacing w:line="240" w:lineRule="atLeast"/>
        <w:jc w:val="both"/>
      </w:pPr>
      <w:r w:rsidRPr="00054209">
        <w:t>9.1   </w:t>
      </w:r>
      <w:r w:rsidRPr="00054209">
        <w:t xml:space="preserve">For the purposes of the management of the Fund during the period starting on 1 July 1991 and ending on 30 September 1991, the business plan for the Wheat Industry Fund prepared by the Board to cover that period and in existence on 30 June 1991 is taken to </w:t>
      </w:r>
      <w:r w:rsidRPr="00054209">
        <w:t>be the business plan for the purposes of section 83 of the Act.</w:t>
      </w: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pPr>
    </w:p>
    <w:p w:rsidR="00000000" w:rsidRPr="00054209" w:rsidRDefault="00054209">
      <w:pPr>
        <w:tabs>
          <w:tab w:val="right" w:pos="1134"/>
          <w:tab w:val="left" w:pos="1276"/>
          <w:tab w:val="right" w:pos="1843"/>
          <w:tab w:val="left" w:pos="1985"/>
          <w:tab w:val="right" w:pos="2552"/>
          <w:tab w:val="left" w:pos="2694"/>
        </w:tabs>
        <w:spacing w:line="240" w:lineRule="atLeast"/>
        <w:jc w:val="both"/>
        <w:rPr>
          <w:b/>
          <w:bCs/>
        </w:rPr>
      </w:pPr>
      <w:r w:rsidRPr="00054209">
        <w:rPr>
          <w:b/>
          <w:bCs/>
        </w:rPr>
        <w:t>____________________________________________________________</w:t>
      </w:r>
    </w:p>
    <w:p w:rsidR="00000000" w:rsidRPr="00054209" w:rsidRDefault="00054209">
      <w:pPr>
        <w:tabs>
          <w:tab w:val="left" w:pos="426"/>
        </w:tabs>
        <w:spacing w:line="360" w:lineRule="atLeast"/>
        <w:jc w:val="center"/>
        <w:rPr>
          <w:b/>
          <w:bCs/>
        </w:rPr>
      </w:pPr>
      <w:r w:rsidRPr="00054209">
        <w:rPr>
          <w:b/>
          <w:bCs/>
        </w:rPr>
        <w:t>NOTES</w:t>
      </w:r>
    </w:p>
    <w:p w:rsidR="00000000" w:rsidRPr="00054209" w:rsidRDefault="00054209">
      <w:pPr>
        <w:tabs>
          <w:tab w:val="left" w:pos="426"/>
        </w:tabs>
        <w:spacing w:line="240" w:lineRule="atLeast"/>
        <w:jc w:val="both"/>
        <w:rPr>
          <w:b/>
          <w:bCs/>
        </w:rPr>
      </w:pPr>
    </w:p>
    <w:p w:rsidR="00000000" w:rsidRPr="00054209" w:rsidRDefault="00054209">
      <w:pPr>
        <w:tabs>
          <w:tab w:val="left" w:pos="426"/>
        </w:tabs>
        <w:spacing w:line="240" w:lineRule="atLeast"/>
        <w:jc w:val="both"/>
        <w:rPr>
          <w:sz w:val="20"/>
          <w:szCs w:val="20"/>
        </w:rPr>
      </w:pPr>
      <w:r w:rsidRPr="00054209">
        <w:rPr>
          <w:sz w:val="20"/>
          <w:szCs w:val="20"/>
        </w:rPr>
        <w:t>1.</w:t>
      </w:r>
      <w:r w:rsidRPr="00054209">
        <w:rPr>
          <w:sz w:val="20"/>
          <w:szCs w:val="20"/>
        </w:rPr>
        <w:tab/>
        <w:t xml:space="preserve">Notified in the </w:t>
      </w:r>
      <w:r w:rsidRPr="00054209">
        <w:rPr>
          <w:i/>
          <w:iCs/>
          <w:sz w:val="20"/>
          <w:szCs w:val="20"/>
        </w:rPr>
        <w:t>Commonwealth of Australia Gazette</w:t>
      </w:r>
      <w:r w:rsidRPr="00054209">
        <w:rPr>
          <w:sz w:val="20"/>
          <w:szCs w:val="20"/>
        </w:rPr>
        <w:t xml:space="preserve"> on 28 June 1991.</w:t>
      </w:r>
    </w:p>
    <w:p w:rsidR="00000000" w:rsidRPr="00054209" w:rsidRDefault="00054209">
      <w:pPr>
        <w:tabs>
          <w:tab w:val="left" w:pos="426"/>
        </w:tabs>
        <w:ind w:left="426" w:hanging="426"/>
        <w:jc w:val="both"/>
        <w:rPr>
          <w:sz w:val="20"/>
          <w:szCs w:val="20"/>
        </w:rPr>
      </w:pPr>
    </w:p>
    <w:p w:rsidR="00000000" w:rsidRPr="00054209" w:rsidRDefault="00054209">
      <w:pPr>
        <w:tabs>
          <w:tab w:val="left" w:pos="426"/>
        </w:tabs>
        <w:ind w:left="426" w:hanging="426"/>
        <w:jc w:val="both"/>
        <w:rPr>
          <w:sz w:val="20"/>
          <w:szCs w:val="20"/>
        </w:rPr>
      </w:pPr>
      <w:r w:rsidRPr="00054209">
        <w:rPr>
          <w:sz w:val="20"/>
          <w:szCs w:val="20"/>
        </w:rPr>
        <w:t>2.</w:t>
      </w:r>
      <w:r w:rsidRPr="00054209">
        <w:rPr>
          <w:sz w:val="20"/>
          <w:szCs w:val="20"/>
        </w:rPr>
        <w:tab/>
      </w:r>
      <w:r w:rsidRPr="00054209">
        <w:rPr>
          <w:sz w:val="20"/>
          <w:szCs w:val="20"/>
        </w:rPr>
        <w:t>Statutory Rules 1990 No.28 as amended by 1990 No.417.</w:t>
      </w:r>
    </w:p>
    <w:p w:rsidR="00000000" w:rsidRPr="00054209" w:rsidRDefault="00054209">
      <w:pPr>
        <w:tabs>
          <w:tab w:val="left" w:pos="426"/>
        </w:tabs>
        <w:jc w:val="both"/>
        <w:rPr>
          <w:sz w:val="20"/>
          <w:szCs w:val="20"/>
        </w:rPr>
      </w:pPr>
    </w:p>
    <w:p w:rsidR="00000000" w:rsidRPr="00054209" w:rsidRDefault="00054209">
      <w:pPr>
        <w:tabs>
          <w:tab w:val="left" w:pos="567"/>
          <w:tab w:val="left" w:pos="1134"/>
          <w:tab w:val="left" w:pos="2269"/>
        </w:tabs>
      </w:pPr>
    </w:p>
    <w:sectPr w:rsidR="00000000" w:rsidRPr="00054209">
      <w:headerReference w:type="even" r:id="rId6"/>
      <w:headerReference w:type="default" r:id="rId7"/>
      <w:footerReference w:type="even" r:id="rId8"/>
      <w:footerReference w:type="default" r:id="rId9"/>
      <w:footerReference w:type="first" r:id="rId10"/>
      <w:pgSz w:w="11907" w:h="16840"/>
      <w:pgMar w:top="1247" w:right="2325" w:bottom="3402" w:left="2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54209">
      <w:r>
        <w:separator/>
      </w:r>
    </w:p>
  </w:endnote>
  <w:endnote w:type="continuationSeparator" w:id="0">
    <w:p w:rsidR="00000000" w:rsidRDefault="0005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54209">
    <w:pPr>
      <w:pStyle w:val="Footer"/>
      <w:widowControl w:val="0"/>
      <w:tabs>
        <w:tab w:val="left" w:pos="62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54209">
    <w:pPr>
      <w:pStyle w:val="Footer"/>
      <w:widowControl w:val="0"/>
      <w:tabs>
        <w:tab w:val="left" w:pos="59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54209">
    <w:pPr>
      <w:pStyle w:val="Footer"/>
      <w:widowControl w:val="0"/>
    </w:pPr>
    <w:r>
      <w:rPr>
        <w:rFonts w:ascii="Helvetica" w:hAnsi="Helvetica" w:cs="Helvetica"/>
        <w:sz w:val="12"/>
        <w:szCs w:val="12"/>
      </w:rPr>
      <w:t xml:space="preserve">91R305.DOC, </w:t>
    </w:r>
    <w:r>
      <w:rPr>
        <w:rFonts w:ascii="Helvetica" w:hAnsi="Helvetica" w:cs="Helvetica"/>
        <w:sz w:val="12"/>
        <w:szCs w:val="12"/>
      </w:rPr>
      <w:fldChar w:fldCharType="begin"/>
    </w:r>
    <w:r>
      <w:rPr>
        <w:rFonts w:ascii="Helvetica" w:hAnsi="Helvetica" w:cs="Helvetica"/>
        <w:sz w:val="12"/>
        <w:szCs w:val="12"/>
      </w:rPr>
      <w:instrText>date \@ "M/d/yy"</w:instrText>
    </w:r>
    <w:r>
      <w:rPr>
        <w:rFonts w:ascii="Helvetica" w:hAnsi="Helvetica" w:cs="Helvetica"/>
        <w:sz w:val="12"/>
        <w:szCs w:val="12"/>
      </w:rPr>
      <w:fldChar w:fldCharType="separate"/>
    </w:r>
    <w:r w:rsidR="00A50657">
      <w:rPr>
        <w:rFonts w:ascii="Helvetica" w:hAnsi="Helvetica" w:cs="Helvetica"/>
        <w:noProof/>
        <w:sz w:val="12"/>
        <w:szCs w:val="12"/>
      </w:rPr>
      <w:t>11/26/21</w:t>
    </w:r>
    <w:r>
      <w:rPr>
        <w:rFonts w:ascii="Helvetica" w:hAnsi="Helvetica" w:cs="Helvetica"/>
        <w:sz w:val="12"/>
        <w:szCs w:val="12"/>
      </w:rPr>
      <w:fldChar w:fldCharType="end"/>
    </w:r>
    <w:r>
      <w:rPr>
        <w:rFonts w:ascii="Helvetica" w:hAnsi="Helvetica" w:cs="Helvetica"/>
        <w:sz w:val="12"/>
        <w:szCs w:val="12"/>
      </w:rPr>
      <w:t xml:space="preserve">, </w:t>
    </w:r>
    <w:r>
      <w:rPr>
        <w:rFonts w:ascii="Helvetica" w:hAnsi="Helvetica" w:cs="Helvetica"/>
        <w:sz w:val="12"/>
        <w:szCs w:val="12"/>
      </w:rPr>
      <w:fldChar w:fldCharType="begin"/>
    </w:r>
    <w:r>
      <w:rPr>
        <w:rFonts w:ascii="Helvetica" w:hAnsi="Helvetica" w:cs="Helvetica"/>
        <w:sz w:val="12"/>
        <w:szCs w:val="12"/>
      </w:rPr>
      <w:instrText>time \@ "HH:mm AM/PM"</w:instrText>
    </w:r>
    <w:r>
      <w:rPr>
        <w:rFonts w:ascii="Helvetica" w:hAnsi="Helvetica" w:cs="Helvetica"/>
        <w:sz w:val="12"/>
        <w:szCs w:val="12"/>
      </w:rPr>
      <w:fldChar w:fldCharType="separate"/>
    </w:r>
    <w:r w:rsidR="00A50657">
      <w:rPr>
        <w:rFonts w:ascii="Helvetica" w:hAnsi="Helvetica" w:cs="Helvetica"/>
        <w:noProof/>
        <w:sz w:val="12"/>
        <w:szCs w:val="12"/>
      </w:rPr>
      <w:t>11:55 AM</w:t>
    </w:r>
    <w:r>
      <w:rPr>
        <w:rFonts w:ascii="Helvetica" w:hAnsi="Helvetica" w:cs="Helvetic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54209">
      <w:r>
        <w:separator/>
      </w:r>
    </w:p>
  </w:footnote>
  <w:footnote w:type="continuationSeparator" w:id="0">
    <w:p w:rsidR="00000000" w:rsidRDefault="0005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54209">
    <w:pPr>
      <w:pStyle w:val="Header"/>
      <w:widowControl w:val="0"/>
      <w:tabs>
        <w:tab w:val="center" w:pos="3686"/>
      </w:tabs>
    </w:pPr>
    <w:r>
      <w:pgNum/>
    </w:r>
    <w:r>
      <w:tab/>
    </w:r>
    <w:r>
      <w:rPr>
        <w:i/>
        <w:iCs/>
      </w:rPr>
      <w:t>Wheat Industry Fund    1991   No. 198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054209" w:rsidRDefault="00054209">
    <w:pPr>
      <w:pStyle w:val="Header"/>
      <w:widowControl w:val="0"/>
      <w:tabs>
        <w:tab w:val="center" w:pos="3686"/>
        <w:tab w:val="right" w:pos="7230"/>
      </w:tabs>
      <w:ind w:right="27"/>
      <w:jc w:val="right"/>
    </w:pPr>
    <w:r w:rsidRPr="00054209">
      <w:rPr>
        <w:i/>
        <w:iCs/>
      </w:rPr>
      <w:tab/>
      <w:t>Wheat Industry Fund</w:t>
    </w:r>
    <w:r w:rsidRPr="00054209">
      <w:rPr>
        <w:i/>
        <w:iCs/>
      </w:rPr>
      <w:t xml:space="preserve">     1991   No. 198</w:t>
    </w:r>
    <w:r w:rsidRPr="00054209">
      <w:rPr>
        <w:i/>
        <w:iCs/>
      </w:rPr>
      <w:tab/>
    </w:r>
    <w:r w:rsidRPr="00054209">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57"/>
    <w:rsid w:val="00054209"/>
    <w:rsid w:val="00332907"/>
    <w:rsid w:val="00A50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4BAF38-C775-4941-B78E-FD2C1991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99"/>
    <w:qFormat/>
    <w:pPr>
      <w:spacing w:before="240"/>
      <w:outlineLvl w:val="0"/>
    </w:pPr>
    <w:rPr>
      <w:rFonts w:ascii="Helvetica" w:hAnsi="Helvetica" w:cs="Helvetica"/>
      <w:b/>
      <w:bCs/>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w:hAnsi="Times" w:cs="Times"/>
      <w:sz w:val="24"/>
      <w:szCs w:val="24"/>
    </w:rPr>
  </w:style>
  <w:style w:type="paragraph" w:customStyle="1" w:styleId="h4">
    <w:name w:val="h4"/>
    <w:basedOn w:val="Body"/>
    <w:next w:val="Paragraph"/>
    <w:uiPriority w:val="99"/>
    <w:pPr>
      <w:keepNext/>
      <w:spacing w:before="300"/>
      <w:ind w:left="567" w:hanging="567"/>
    </w:pPr>
    <w:rPr>
      <w:rFonts w:ascii="Optima" w:hAnsi="Optima" w:cs="Optima"/>
      <w:b/>
      <w:bCs/>
    </w:rPr>
  </w:style>
  <w:style w:type="paragraph" w:customStyle="1" w:styleId="Body">
    <w:name w:val="Body"/>
    <w:uiPriority w:val="99"/>
    <w:pPr>
      <w:autoSpaceDE w:val="0"/>
      <w:autoSpaceDN w:val="0"/>
      <w:adjustRightInd w:val="0"/>
      <w:spacing w:after="0" w:line="240" w:lineRule="auto"/>
    </w:pPr>
    <w:rPr>
      <w:rFonts w:ascii="Times" w:hAnsi="Times" w:cs="Times"/>
      <w:sz w:val="26"/>
      <w:szCs w:val="26"/>
    </w:rPr>
  </w:style>
  <w:style w:type="paragraph" w:customStyle="1" w:styleId="Paragraph">
    <w:name w:val="Paragraph"/>
    <w:basedOn w:val="Body"/>
    <w:uiPriority w:val="99"/>
    <w:pPr>
      <w:spacing w:before="240"/>
    </w:pPr>
  </w:style>
  <w:style w:type="paragraph" w:customStyle="1" w:styleId="h3">
    <w:name w:val="h3"/>
    <w:basedOn w:val="Body"/>
    <w:next w:val="Paragraph"/>
    <w:uiPriority w:val="99"/>
    <w:pPr>
      <w:keepNext/>
      <w:spacing w:before="360"/>
      <w:ind w:left="567" w:hanging="567"/>
    </w:pPr>
    <w:rPr>
      <w:rFonts w:ascii="Optima" w:hAnsi="Optima" w:cs="Optima"/>
      <w:b/>
      <w:bCs/>
      <w:sz w:val="28"/>
      <w:szCs w:val="28"/>
    </w:rPr>
  </w:style>
  <w:style w:type="paragraph" w:customStyle="1" w:styleId="h1">
    <w:name w:val="h1"/>
    <w:basedOn w:val="Body"/>
    <w:next w:val="Paragraph"/>
    <w:uiPriority w:val="99"/>
    <w:pPr>
      <w:keepNext/>
      <w:pageBreakBefore/>
      <w:spacing w:after="120"/>
      <w:jc w:val="center"/>
    </w:pPr>
    <w:rPr>
      <w:rFonts w:ascii="Optima" w:hAnsi="Optima" w:cs="Optima"/>
      <w:b/>
      <w:bCs/>
      <w:smallCaps/>
      <w:sz w:val="32"/>
      <w:szCs w:val="32"/>
    </w:rPr>
  </w:style>
  <w:style w:type="paragraph" w:customStyle="1" w:styleId="i1">
    <w:name w:val="i1"/>
    <w:aliases w:val="-&gt;ï-&gt;1cm"/>
    <w:basedOn w:val="Body"/>
    <w:uiPriority w:val="99"/>
    <w:pPr>
      <w:tabs>
        <w:tab w:val="right" w:pos="340"/>
      </w:tabs>
      <w:spacing w:before="240"/>
      <w:ind w:left="567" w:hanging="567"/>
    </w:pPr>
  </w:style>
  <w:style w:type="paragraph" w:customStyle="1" w:styleId="i3">
    <w:name w:val="i3"/>
    <w:aliases w:val="---&gt;ï-&gt;3cm"/>
    <w:basedOn w:val="Body"/>
    <w:uiPriority w:val="99"/>
    <w:pPr>
      <w:tabs>
        <w:tab w:val="right" w:pos="1474"/>
      </w:tabs>
      <w:spacing w:before="240"/>
      <w:ind w:left="1700" w:hanging="1700"/>
    </w:pPr>
  </w:style>
  <w:style w:type="paragraph" w:customStyle="1" w:styleId="i2">
    <w:name w:val="i2"/>
    <w:aliases w:val="--&gt;ï-&gt;2cm"/>
    <w:basedOn w:val="Body"/>
    <w:uiPriority w:val="99"/>
    <w:pPr>
      <w:tabs>
        <w:tab w:val="right" w:pos="907"/>
      </w:tabs>
      <w:spacing w:before="240"/>
      <w:ind w:left="1134" w:hanging="1134"/>
    </w:pPr>
  </w:style>
  <w:style w:type="paragraph" w:customStyle="1" w:styleId="i4">
    <w:name w:val="i4"/>
    <w:aliases w:val="----&gt;ï-&gt;4cm"/>
    <w:basedOn w:val="Body"/>
    <w:uiPriority w:val="99"/>
    <w:pPr>
      <w:tabs>
        <w:tab w:val="right" w:pos="2041"/>
      </w:tabs>
      <w:spacing w:before="240"/>
      <w:ind w:left="2268" w:hanging="2268"/>
    </w:pPr>
  </w:style>
  <w:style w:type="paragraph" w:customStyle="1" w:styleId="Letterhead">
    <w:name w:val="Letterhead"/>
    <w:uiPriority w:val="99"/>
    <w:pPr>
      <w:autoSpaceDE w:val="0"/>
      <w:autoSpaceDN w:val="0"/>
      <w:adjustRightInd w:val="0"/>
      <w:spacing w:after="180" w:line="240" w:lineRule="auto"/>
      <w:jc w:val="right"/>
    </w:pPr>
    <w:rPr>
      <w:rFonts w:ascii="Optima" w:hAnsi="Optima" w:cs="Optima"/>
      <w:sz w:val="32"/>
      <w:szCs w:val="32"/>
    </w:rPr>
  </w:style>
  <w:style w:type="paragraph" w:customStyle="1" w:styleId="Quotation">
    <w:name w:val="Quotation"/>
    <w:basedOn w:val="Body"/>
    <w:uiPriority w:val="99"/>
    <w:pPr>
      <w:spacing w:before="240"/>
      <w:ind w:left="851" w:right="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381</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Wheat Ind Fund Regs (am)</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Ind Fund Regs (am)</dc:title>
  <dc:subject/>
  <dc:creator/>
  <cp:keywords/>
  <dc:description/>
  <cp:lastModifiedBy>Swift, Aasha</cp:lastModifiedBy>
  <cp:revision>3</cp:revision>
  <dcterms:created xsi:type="dcterms:W3CDTF">2021-11-26T00:56:00Z</dcterms:created>
  <dcterms:modified xsi:type="dcterms:W3CDTF">2021-11-26T00:57:00Z</dcterms:modified>
</cp:coreProperties>
</file>