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53" w:rsidRPr="00DA255C" w:rsidRDefault="00943453" w:rsidP="00F22323">
      <w:pPr>
        <w:rPr>
          <w:sz w:val="28"/>
        </w:rPr>
      </w:pPr>
      <w:bookmarkStart w:id="0" w:name="_GoBack"/>
      <w:bookmarkEnd w:id="0"/>
      <w:r w:rsidRPr="00DA255C">
        <w:rPr>
          <w:noProof/>
          <w:lang w:eastAsia="en-AU"/>
        </w:rPr>
        <w:drawing>
          <wp:inline distT="0" distB="0" distL="0" distR="0" wp14:anchorId="1C53E05E" wp14:editId="58D3377C">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943453" w:rsidRPr="00DA255C" w:rsidRDefault="00943453" w:rsidP="00F22323">
      <w:pPr>
        <w:pStyle w:val="ShortT"/>
        <w:spacing w:before="240"/>
      </w:pPr>
      <w:r w:rsidRPr="00DA255C">
        <w:t>Therapeutic Goods (Charges) Regulations</w:t>
      </w:r>
      <w:r w:rsidR="00DA255C">
        <w:t> </w:t>
      </w:r>
      <w:r w:rsidRPr="00DA255C">
        <w:t>1990</w:t>
      </w:r>
    </w:p>
    <w:p w:rsidR="00943453" w:rsidRPr="00DA255C" w:rsidRDefault="00943453" w:rsidP="00F22323">
      <w:pPr>
        <w:pStyle w:val="CompiledActNo"/>
        <w:spacing w:before="240"/>
      </w:pPr>
      <w:r w:rsidRPr="00DA255C">
        <w:t>Statutory Rules No.</w:t>
      </w:r>
      <w:r w:rsidR="00DA255C">
        <w:t> </w:t>
      </w:r>
      <w:r w:rsidRPr="00DA255C">
        <w:t>395, 1990 as amended</w:t>
      </w:r>
    </w:p>
    <w:p w:rsidR="00943453" w:rsidRPr="00DA255C" w:rsidRDefault="005C7FBA" w:rsidP="00F22323">
      <w:pPr>
        <w:pStyle w:val="MadeunderText"/>
      </w:pPr>
      <w:r w:rsidRPr="00DA255C">
        <w:t>made under the</w:t>
      </w:r>
    </w:p>
    <w:p w:rsidR="00943453" w:rsidRPr="00DA255C" w:rsidRDefault="005C7FBA" w:rsidP="00F22323">
      <w:pPr>
        <w:pStyle w:val="CompiledMadeUnder"/>
        <w:spacing w:before="240"/>
      </w:pPr>
      <w:r w:rsidRPr="00DA255C">
        <w:t>Therapeutic Goods (Charges) Act 1989</w:t>
      </w:r>
    </w:p>
    <w:p w:rsidR="00943453" w:rsidRPr="00DA255C" w:rsidRDefault="00943453" w:rsidP="00F22323">
      <w:pPr>
        <w:spacing w:before="1000"/>
        <w:rPr>
          <w:rFonts w:cs="Arial"/>
          <w:sz w:val="24"/>
        </w:rPr>
      </w:pPr>
      <w:r w:rsidRPr="00DA255C">
        <w:rPr>
          <w:rFonts w:cs="Arial"/>
          <w:b/>
          <w:sz w:val="24"/>
        </w:rPr>
        <w:t xml:space="preserve">Compilation start date: </w:t>
      </w:r>
      <w:r w:rsidRPr="00DA255C">
        <w:rPr>
          <w:rFonts w:cs="Arial"/>
          <w:b/>
          <w:sz w:val="24"/>
        </w:rPr>
        <w:tab/>
      </w:r>
      <w:r w:rsidRPr="00DA255C">
        <w:rPr>
          <w:rFonts w:cs="Arial"/>
          <w:b/>
          <w:sz w:val="24"/>
        </w:rPr>
        <w:tab/>
      </w:r>
      <w:r w:rsidR="00F22323" w:rsidRPr="00DA255C">
        <w:rPr>
          <w:rFonts w:cs="Arial"/>
          <w:sz w:val="24"/>
          <w:szCs w:val="24"/>
        </w:rPr>
        <w:t>1</w:t>
      </w:r>
      <w:r w:rsidR="00DA255C">
        <w:rPr>
          <w:rFonts w:cs="Arial"/>
          <w:sz w:val="24"/>
          <w:szCs w:val="24"/>
        </w:rPr>
        <w:t> </w:t>
      </w:r>
      <w:r w:rsidR="00F22323" w:rsidRPr="00DA255C">
        <w:rPr>
          <w:rFonts w:cs="Arial"/>
          <w:sz w:val="24"/>
          <w:szCs w:val="24"/>
        </w:rPr>
        <w:t>July 201</w:t>
      </w:r>
      <w:r w:rsidR="00860AC4" w:rsidRPr="00DA255C">
        <w:rPr>
          <w:rFonts w:cs="Arial"/>
          <w:sz w:val="24"/>
          <w:szCs w:val="24"/>
        </w:rPr>
        <w:t>4</w:t>
      </w:r>
    </w:p>
    <w:p w:rsidR="00943453" w:rsidRPr="00DA255C" w:rsidRDefault="00943453" w:rsidP="00F22323">
      <w:pPr>
        <w:spacing w:before="240"/>
        <w:rPr>
          <w:rFonts w:cs="Arial"/>
          <w:sz w:val="24"/>
        </w:rPr>
      </w:pPr>
      <w:r w:rsidRPr="00DA255C">
        <w:rPr>
          <w:rFonts w:cs="Arial"/>
          <w:b/>
          <w:sz w:val="24"/>
        </w:rPr>
        <w:t>Includes amendments up to:</w:t>
      </w:r>
      <w:r w:rsidRPr="00DA255C">
        <w:rPr>
          <w:rFonts w:cs="Arial"/>
          <w:b/>
          <w:sz w:val="24"/>
        </w:rPr>
        <w:tab/>
      </w:r>
      <w:r w:rsidRPr="00DA255C">
        <w:rPr>
          <w:rFonts w:cs="Arial"/>
          <w:sz w:val="24"/>
        </w:rPr>
        <w:t>SLI</w:t>
      </w:r>
      <w:r w:rsidR="005C7FBA" w:rsidRPr="00DA255C">
        <w:rPr>
          <w:rFonts w:cs="Arial"/>
          <w:sz w:val="24"/>
        </w:rPr>
        <w:t> </w:t>
      </w:r>
      <w:r w:rsidR="00F22323" w:rsidRPr="00DA255C">
        <w:rPr>
          <w:rFonts w:cs="Arial"/>
          <w:sz w:val="24"/>
        </w:rPr>
        <w:t>No.</w:t>
      </w:r>
      <w:r w:rsidR="00DA255C">
        <w:rPr>
          <w:rFonts w:cs="Arial"/>
          <w:sz w:val="24"/>
        </w:rPr>
        <w:t> </w:t>
      </w:r>
      <w:r w:rsidR="00860AC4" w:rsidRPr="00DA255C">
        <w:rPr>
          <w:rFonts w:cs="Arial"/>
          <w:sz w:val="24"/>
        </w:rPr>
        <w:t>61</w:t>
      </w:r>
      <w:r w:rsidR="00F22323" w:rsidRPr="00DA255C">
        <w:rPr>
          <w:rFonts w:cs="Arial"/>
          <w:sz w:val="24"/>
        </w:rPr>
        <w:t>, 201</w:t>
      </w:r>
      <w:r w:rsidR="00860AC4" w:rsidRPr="00DA255C">
        <w:rPr>
          <w:rFonts w:cs="Arial"/>
          <w:sz w:val="24"/>
        </w:rPr>
        <w:t>4</w:t>
      </w:r>
    </w:p>
    <w:p w:rsidR="00943453" w:rsidRPr="00DA255C" w:rsidRDefault="00943453" w:rsidP="00F22323">
      <w:pPr>
        <w:pageBreakBefore/>
        <w:rPr>
          <w:rFonts w:cs="Arial"/>
          <w:b/>
          <w:sz w:val="32"/>
          <w:szCs w:val="32"/>
        </w:rPr>
      </w:pPr>
      <w:r w:rsidRPr="00DA255C">
        <w:rPr>
          <w:rFonts w:cs="Arial"/>
          <w:b/>
          <w:sz w:val="32"/>
          <w:szCs w:val="32"/>
        </w:rPr>
        <w:lastRenderedPageBreak/>
        <w:t>About this compilation</w:t>
      </w:r>
    </w:p>
    <w:p w:rsidR="0092760D" w:rsidRPr="00DA255C" w:rsidRDefault="0092760D" w:rsidP="00860AC4">
      <w:pPr>
        <w:spacing w:before="240"/>
        <w:rPr>
          <w:rFonts w:cs="Arial"/>
        </w:rPr>
      </w:pPr>
      <w:r w:rsidRPr="00DA255C">
        <w:rPr>
          <w:rFonts w:cs="Arial"/>
          <w:b/>
          <w:szCs w:val="22"/>
        </w:rPr>
        <w:t>This compilation</w:t>
      </w:r>
    </w:p>
    <w:p w:rsidR="0092760D" w:rsidRPr="00DA255C" w:rsidRDefault="0092760D" w:rsidP="00860AC4">
      <w:pPr>
        <w:spacing w:before="120" w:after="120"/>
        <w:rPr>
          <w:rFonts w:cs="Arial"/>
          <w:szCs w:val="22"/>
        </w:rPr>
      </w:pPr>
      <w:r w:rsidRPr="00DA255C">
        <w:rPr>
          <w:rFonts w:cs="Arial"/>
          <w:szCs w:val="22"/>
        </w:rPr>
        <w:t xml:space="preserve">This is a compilation of the </w:t>
      </w:r>
      <w:r w:rsidRPr="00DA255C">
        <w:rPr>
          <w:rFonts w:cs="Arial"/>
          <w:i/>
          <w:szCs w:val="22"/>
        </w:rPr>
        <w:fldChar w:fldCharType="begin"/>
      </w:r>
      <w:r w:rsidRPr="00DA255C">
        <w:rPr>
          <w:rFonts w:cs="Arial"/>
          <w:i/>
          <w:szCs w:val="22"/>
        </w:rPr>
        <w:instrText xml:space="preserve"> STYLEREF  ShortT </w:instrText>
      </w:r>
      <w:r w:rsidRPr="00DA255C">
        <w:rPr>
          <w:rFonts w:cs="Arial"/>
          <w:i/>
          <w:szCs w:val="22"/>
        </w:rPr>
        <w:fldChar w:fldCharType="separate"/>
      </w:r>
      <w:r w:rsidR="00DA255C">
        <w:rPr>
          <w:rFonts w:cs="Arial"/>
          <w:i/>
          <w:noProof/>
          <w:szCs w:val="22"/>
        </w:rPr>
        <w:t>Therapeutic Goods (Charges) Regulations 1990</w:t>
      </w:r>
      <w:r w:rsidRPr="00DA255C">
        <w:rPr>
          <w:rFonts w:cs="Arial"/>
          <w:i/>
          <w:szCs w:val="22"/>
        </w:rPr>
        <w:fldChar w:fldCharType="end"/>
      </w:r>
      <w:r w:rsidRPr="00DA255C">
        <w:rPr>
          <w:rFonts w:cs="Arial"/>
          <w:szCs w:val="22"/>
        </w:rPr>
        <w:t xml:space="preserve"> as in force on 1</w:t>
      </w:r>
      <w:r w:rsidR="00DA255C">
        <w:rPr>
          <w:rFonts w:cs="Arial"/>
          <w:szCs w:val="22"/>
        </w:rPr>
        <w:t> </w:t>
      </w:r>
      <w:r w:rsidRPr="00DA255C">
        <w:rPr>
          <w:rFonts w:cs="Arial"/>
          <w:szCs w:val="22"/>
        </w:rPr>
        <w:t>July 201</w:t>
      </w:r>
      <w:r w:rsidR="00586E31" w:rsidRPr="00DA255C">
        <w:rPr>
          <w:rFonts w:cs="Arial"/>
          <w:szCs w:val="22"/>
        </w:rPr>
        <w:t>4</w:t>
      </w:r>
      <w:r w:rsidRPr="00DA255C">
        <w:rPr>
          <w:rFonts w:cs="Arial"/>
          <w:szCs w:val="22"/>
        </w:rPr>
        <w:t>. It includes any commenced amendment affecting the legislation to that date.</w:t>
      </w:r>
    </w:p>
    <w:p w:rsidR="0092760D" w:rsidRPr="00DA255C" w:rsidRDefault="0092760D" w:rsidP="00860AC4">
      <w:pPr>
        <w:spacing w:after="120"/>
        <w:rPr>
          <w:rFonts w:cs="Arial"/>
          <w:szCs w:val="22"/>
        </w:rPr>
      </w:pPr>
      <w:r w:rsidRPr="00DA255C">
        <w:rPr>
          <w:rFonts w:cs="Arial"/>
          <w:szCs w:val="22"/>
        </w:rPr>
        <w:t xml:space="preserve">This compilation was prepared on </w:t>
      </w:r>
      <w:r w:rsidR="00586E31" w:rsidRPr="00DA255C">
        <w:rPr>
          <w:rFonts w:cs="Arial"/>
          <w:szCs w:val="22"/>
        </w:rPr>
        <w:t>3</w:t>
      </w:r>
      <w:r w:rsidR="00DA255C">
        <w:rPr>
          <w:rFonts w:cs="Arial"/>
          <w:szCs w:val="22"/>
        </w:rPr>
        <w:t> </w:t>
      </w:r>
      <w:r w:rsidRPr="00DA255C">
        <w:rPr>
          <w:rFonts w:cs="Arial"/>
          <w:szCs w:val="22"/>
        </w:rPr>
        <w:t>July 201</w:t>
      </w:r>
      <w:r w:rsidR="00586E31" w:rsidRPr="00DA255C">
        <w:rPr>
          <w:rFonts w:cs="Arial"/>
          <w:szCs w:val="22"/>
        </w:rPr>
        <w:t>4</w:t>
      </w:r>
      <w:r w:rsidRPr="00DA255C">
        <w:rPr>
          <w:rFonts w:cs="Arial"/>
          <w:szCs w:val="22"/>
        </w:rPr>
        <w:t>.</w:t>
      </w:r>
    </w:p>
    <w:p w:rsidR="0092760D" w:rsidRPr="00DA255C" w:rsidRDefault="0092760D" w:rsidP="00860AC4">
      <w:pPr>
        <w:spacing w:after="120"/>
        <w:rPr>
          <w:rFonts w:cs="Arial"/>
          <w:szCs w:val="22"/>
        </w:rPr>
      </w:pPr>
      <w:r w:rsidRPr="00DA255C">
        <w:rPr>
          <w:rFonts w:cs="Arial"/>
          <w:szCs w:val="22"/>
        </w:rPr>
        <w:t xml:space="preserve">The notes at the end of this compilation (the </w:t>
      </w:r>
      <w:r w:rsidRPr="00DA255C">
        <w:rPr>
          <w:rFonts w:cs="Arial"/>
          <w:b/>
          <w:i/>
          <w:szCs w:val="22"/>
        </w:rPr>
        <w:t>endnotes</w:t>
      </w:r>
      <w:r w:rsidRPr="00DA255C">
        <w:rPr>
          <w:rFonts w:cs="Arial"/>
          <w:szCs w:val="22"/>
        </w:rPr>
        <w:t>) include information about amending laws and the amendment history of each amended provision.</w:t>
      </w:r>
    </w:p>
    <w:p w:rsidR="0092760D" w:rsidRPr="00DA255C" w:rsidRDefault="0092760D" w:rsidP="00860AC4">
      <w:pPr>
        <w:tabs>
          <w:tab w:val="left" w:pos="5640"/>
        </w:tabs>
        <w:spacing w:before="120" w:after="120"/>
        <w:rPr>
          <w:rFonts w:cs="Arial"/>
          <w:b/>
          <w:szCs w:val="22"/>
        </w:rPr>
      </w:pPr>
      <w:r w:rsidRPr="00DA255C">
        <w:rPr>
          <w:rFonts w:cs="Arial"/>
          <w:b/>
          <w:szCs w:val="22"/>
        </w:rPr>
        <w:t>Uncommenced amendments</w:t>
      </w:r>
    </w:p>
    <w:p w:rsidR="0092760D" w:rsidRPr="00DA255C" w:rsidRDefault="0092760D" w:rsidP="00860AC4">
      <w:pPr>
        <w:spacing w:after="120"/>
        <w:rPr>
          <w:rFonts w:cs="Arial"/>
          <w:szCs w:val="22"/>
        </w:rPr>
      </w:pPr>
      <w:r w:rsidRPr="00DA255C">
        <w:rPr>
          <w:rFonts w:cs="Arial"/>
          <w:szCs w:val="22"/>
        </w:rPr>
        <w:t>The effect of uncommenced amendments is not reflected in the text of the compiled law but the text of the amendments is included in the endnotes.</w:t>
      </w:r>
    </w:p>
    <w:p w:rsidR="0092760D" w:rsidRPr="00DA255C" w:rsidRDefault="0092760D" w:rsidP="00860AC4">
      <w:pPr>
        <w:spacing w:before="120" w:after="120"/>
        <w:rPr>
          <w:rFonts w:cs="Arial"/>
          <w:b/>
          <w:szCs w:val="22"/>
        </w:rPr>
      </w:pPr>
      <w:r w:rsidRPr="00DA255C">
        <w:rPr>
          <w:rFonts w:cs="Arial"/>
          <w:b/>
          <w:szCs w:val="22"/>
        </w:rPr>
        <w:t>Application, saving and transitional provisions for provisions and amendments</w:t>
      </w:r>
    </w:p>
    <w:p w:rsidR="0092760D" w:rsidRPr="00DA255C" w:rsidRDefault="0092760D" w:rsidP="00860AC4">
      <w:pPr>
        <w:spacing w:after="120"/>
        <w:rPr>
          <w:rFonts w:cs="Arial"/>
          <w:szCs w:val="22"/>
        </w:rPr>
      </w:pPr>
      <w:r w:rsidRPr="00DA255C">
        <w:rPr>
          <w:rFonts w:cs="Arial"/>
          <w:szCs w:val="22"/>
        </w:rPr>
        <w:t>If the operation of a provision or amendment is affected by an application, saving or transitional provision that is not included in this compilation, details are included in the endnotes.</w:t>
      </w:r>
    </w:p>
    <w:p w:rsidR="0092760D" w:rsidRPr="00DA255C" w:rsidRDefault="0092760D" w:rsidP="00860AC4">
      <w:pPr>
        <w:spacing w:before="120" w:after="120"/>
        <w:rPr>
          <w:rFonts w:cs="Arial"/>
          <w:b/>
          <w:szCs w:val="22"/>
        </w:rPr>
      </w:pPr>
      <w:r w:rsidRPr="00DA255C">
        <w:rPr>
          <w:rFonts w:cs="Arial"/>
          <w:b/>
          <w:szCs w:val="22"/>
        </w:rPr>
        <w:t>Modifications</w:t>
      </w:r>
    </w:p>
    <w:p w:rsidR="0092760D" w:rsidRPr="00DA255C" w:rsidRDefault="0092760D" w:rsidP="00860AC4">
      <w:pPr>
        <w:spacing w:after="120"/>
        <w:rPr>
          <w:rFonts w:cs="Arial"/>
          <w:szCs w:val="22"/>
        </w:rPr>
      </w:pPr>
      <w:r w:rsidRPr="00DA255C">
        <w:rPr>
          <w:rFonts w:cs="Arial"/>
          <w:szCs w:val="22"/>
        </w:rPr>
        <w:t xml:space="preserve">If a provision of the compiled law is affected by a modification that is in force, details are included in the endnotes. </w:t>
      </w:r>
    </w:p>
    <w:p w:rsidR="0092760D" w:rsidRPr="00DA255C" w:rsidRDefault="0092760D" w:rsidP="00860AC4">
      <w:pPr>
        <w:spacing w:before="80" w:after="120"/>
        <w:rPr>
          <w:rFonts w:cs="Arial"/>
          <w:b/>
          <w:szCs w:val="22"/>
        </w:rPr>
      </w:pPr>
      <w:r w:rsidRPr="00DA255C">
        <w:rPr>
          <w:rFonts w:cs="Arial"/>
          <w:b/>
          <w:szCs w:val="22"/>
        </w:rPr>
        <w:t>Provisions ceasing to have effect</w:t>
      </w:r>
    </w:p>
    <w:p w:rsidR="0092760D" w:rsidRPr="00DA255C" w:rsidRDefault="0092760D" w:rsidP="00860AC4">
      <w:pPr>
        <w:spacing w:after="120"/>
        <w:rPr>
          <w:rFonts w:cs="Arial"/>
        </w:rPr>
      </w:pPr>
      <w:r w:rsidRPr="00DA255C">
        <w:rPr>
          <w:rFonts w:cs="Arial"/>
          <w:szCs w:val="22"/>
        </w:rPr>
        <w:t>If a provision of the compiled law has expired or otherwise ceased to have effect in accordance with a provision of the law, details are included in the endnotes.</w:t>
      </w:r>
    </w:p>
    <w:p w:rsidR="00943453" w:rsidRPr="00DA255C" w:rsidRDefault="00943453" w:rsidP="00F22323">
      <w:pPr>
        <w:pStyle w:val="Header"/>
        <w:tabs>
          <w:tab w:val="clear" w:pos="4150"/>
          <w:tab w:val="clear" w:pos="8307"/>
        </w:tabs>
      </w:pPr>
      <w:r w:rsidRPr="00DA255C">
        <w:rPr>
          <w:rStyle w:val="CharChapNo"/>
        </w:rPr>
        <w:t xml:space="preserve"> </w:t>
      </w:r>
      <w:r w:rsidRPr="00DA255C">
        <w:rPr>
          <w:rStyle w:val="CharChapText"/>
        </w:rPr>
        <w:t xml:space="preserve"> </w:t>
      </w:r>
    </w:p>
    <w:p w:rsidR="00943453" w:rsidRPr="00DA255C" w:rsidRDefault="00943453" w:rsidP="00F22323">
      <w:pPr>
        <w:pStyle w:val="Header"/>
        <w:tabs>
          <w:tab w:val="clear" w:pos="4150"/>
          <w:tab w:val="clear" w:pos="8307"/>
        </w:tabs>
      </w:pPr>
      <w:r w:rsidRPr="00DA255C">
        <w:rPr>
          <w:rStyle w:val="CharPartNo"/>
        </w:rPr>
        <w:t xml:space="preserve"> </w:t>
      </w:r>
      <w:r w:rsidRPr="00DA255C">
        <w:rPr>
          <w:rStyle w:val="CharPartText"/>
        </w:rPr>
        <w:t xml:space="preserve"> </w:t>
      </w:r>
    </w:p>
    <w:p w:rsidR="00943453" w:rsidRPr="00DA255C" w:rsidRDefault="00943453" w:rsidP="00F22323">
      <w:pPr>
        <w:pStyle w:val="Header"/>
        <w:tabs>
          <w:tab w:val="clear" w:pos="4150"/>
          <w:tab w:val="clear" w:pos="8307"/>
        </w:tabs>
      </w:pPr>
      <w:r w:rsidRPr="00DA255C">
        <w:rPr>
          <w:rStyle w:val="CharDivNo"/>
        </w:rPr>
        <w:t xml:space="preserve"> </w:t>
      </w:r>
      <w:r w:rsidRPr="00DA255C">
        <w:rPr>
          <w:rStyle w:val="CharDivText"/>
        </w:rPr>
        <w:t xml:space="preserve"> </w:t>
      </w:r>
    </w:p>
    <w:p w:rsidR="00943453" w:rsidRPr="00DA255C" w:rsidRDefault="00943453" w:rsidP="00F22323">
      <w:pPr>
        <w:sectPr w:rsidR="00943453" w:rsidRPr="00DA255C" w:rsidSect="006822C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943453" w:rsidRPr="00DA255C" w:rsidRDefault="00943453" w:rsidP="005C7FBA">
      <w:pPr>
        <w:rPr>
          <w:sz w:val="36"/>
        </w:rPr>
      </w:pPr>
      <w:r w:rsidRPr="00DA255C">
        <w:rPr>
          <w:sz w:val="36"/>
        </w:rPr>
        <w:lastRenderedPageBreak/>
        <w:t>Contents</w:t>
      </w:r>
    </w:p>
    <w:p w:rsidR="00DA255C" w:rsidRDefault="00814479">
      <w:pPr>
        <w:pStyle w:val="TOC5"/>
        <w:rPr>
          <w:rFonts w:asciiTheme="minorHAnsi" w:eastAsiaTheme="minorEastAsia" w:hAnsiTheme="minorHAnsi" w:cstheme="minorBidi"/>
          <w:noProof/>
          <w:kern w:val="0"/>
          <w:sz w:val="22"/>
          <w:szCs w:val="22"/>
        </w:rPr>
      </w:pPr>
      <w:r w:rsidRPr="00DA255C">
        <w:fldChar w:fldCharType="begin"/>
      </w:r>
      <w:r w:rsidRPr="00DA255C">
        <w:instrText xml:space="preserve"> TOC \o "1-9" </w:instrText>
      </w:r>
      <w:r w:rsidRPr="00DA255C">
        <w:fldChar w:fldCharType="separate"/>
      </w:r>
      <w:r w:rsidR="00DA255C">
        <w:rPr>
          <w:noProof/>
        </w:rPr>
        <w:t>1</w:t>
      </w:r>
      <w:r w:rsidR="00DA255C">
        <w:rPr>
          <w:noProof/>
        </w:rPr>
        <w:tab/>
        <w:t>Name of regulations</w:t>
      </w:r>
      <w:r w:rsidR="00DA255C" w:rsidRPr="00DA255C">
        <w:rPr>
          <w:noProof/>
        </w:rPr>
        <w:tab/>
      </w:r>
      <w:r w:rsidR="00DA255C" w:rsidRPr="00DA255C">
        <w:rPr>
          <w:noProof/>
        </w:rPr>
        <w:fldChar w:fldCharType="begin"/>
      </w:r>
      <w:r w:rsidR="00DA255C" w:rsidRPr="00DA255C">
        <w:rPr>
          <w:noProof/>
        </w:rPr>
        <w:instrText xml:space="preserve"> PAGEREF _Toc392494408 \h </w:instrText>
      </w:r>
      <w:r w:rsidR="00DA255C" w:rsidRPr="00DA255C">
        <w:rPr>
          <w:noProof/>
        </w:rPr>
      </w:r>
      <w:r w:rsidR="00DA255C" w:rsidRPr="00DA255C">
        <w:rPr>
          <w:noProof/>
        </w:rPr>
        <w:fldChar w:fldCharType="separate"/>
      </w:r>
      <w:r w:rsidR="00DA255C" w:rsidRPr="00DA255C">
        <w:rPr>
          <w:noProof/>
        </w:rPr>
        <w:t>1</w:t>
      </w:r>
      <w:r w:rsidR="00DA255C" w:rsidRPr="00DA255C">
        <w:rPr>
          <w:noProof/>
        </w:rPr>
        <w:fldChar w:fldCharType="end"/>
      </w:r>
    </w:p>
    <w:p w:rsidR="00DA255C" w:rsidRDefault="00DA255C">
      <w:pPr>
        <w:pStyle w:val="TOC5"/>
        <w:rPr>
          <w:rFonts w:asciiTheme="minorHAnsi" w:eastAsiaTheme="minorEastAsia" w:hAnsiTheme="minorHAnsi" w:cstheme="minorBidi"/>
          <w:noProof/>
          <w:kern w:val="0"/>
          <w:sz w:val="22"/>
          <w:szCs w:val="22"/>
        </w:rPr>
      </w:pPr>
      <w:r>
        <w:rPr>
          <w:noProof/>
        </w:rPr>
        <w:t>2</w:t>
      </w:r>
      <w:r>
        <w:rPr>
          <w:noProof/>
        </w:rPr>
        <w:tab/>
        <w:t>Interpretation</w:t>
      </w:r>
      <w:r w:rsidRPr="00DA255C">
        <w:rPr>
          <w:noProof/>
        </w:rPr>
        <w:tab/>
      </w:r>
      <w:r w:rsidRPr="00DA255C">
        <w:rPr>
          <w:noProof/>
        </w:rPr>
        <w:fldChar w:fldCharType="begin"/>
      </w:r>
      <w:r w:rsidRPr="00DA255C">
        <w:rPr>
          <w:noProof/>
        </w:rPr>
        <w:instrText xml:space="preserve"> PAGEREF _Toc392494409 \h </w:instrText>
      </w:r>
      <w:r w:rsidRPr="00DA255C">
        <w:rPr>
          <w:noProof/>
        </w:rPr>
      </w:r>
      <w:r w:rsidRPr="00DA255C">
        <w:rPr>
          <w:noProof/>
        </w:rPr>
        <w:fldChar w:fldCharType="separate"/>
      </w:r>
      <w:r w:rsidRPr="00DA255C">
        <w:rPr>
          <w:noProof/>
        </w:rPr>
        <w:t>1</w:t>
      </w:r>
      <w:r w:rsidRPr="00DA255C">
        <w:rPr>
          <w:noProof/>
        </w:rPr>
        <w:fldChar w:fldCharType="end"/>
      </w:r>
    </w:p>
    <w:p w:rsidR="00DA255C" w:rsidRDefault="00DA255C">
      <w:pPr>
        <w:pStyle w:val="TOC5"/>
        <w:rPr>
          <w:rFonts w:asciiTheme="minorHAnsi" w:eastAsiaTheme="minorEastAsia" w:hAnsiTheme="minorHAnsi" w:cstheme="minorBidi"/>
          <w:noProof/>
          <w:kern w:val="0"/>
          <w:sz w:val="22"/>
          <w:szCs w:val="22"/>
        </w:rPr>
      </w:pPr>
      <w:r>
        <w:rPr>
          <w:noProof/>
        </w:rPr>
        <w:t>3</w:t>
      </w:r>
      <w:r>
        <w:rPr>
          <w:noProof/>
        </w:rPr>
        <w:tab/>
        <w:t>Annual charges</w:t>
      </w:r>
      <w:r w:rsidRPr="00DA255C">
        <w:rPr>
          <w:noProof/>
        </w:rPr>
        <w:tab/>
      </w:r>
      <w:r w:rsidRPr="00DA255C">
        <w:rPr>
          <w:noProof/>
        </w:rPr>
        <w:fldChar w:fldCharType="begin"/>
      </w:r>
      <w:r w:rsidRPr="00DA255C">
        <w:rPr>
          <w:noProof/>
        </w:rPr>
        <w:instrText xml:space="preserve"> PAGEREF _Toc392494410 \h </w:instrText>
      </w:r>
      <w:r w:rsidRPr="00DA255C">
        <w:rPr>
          <w:noProof/>
        </w:rPr>
      </w:r>
      <w:r w:rsidRPr="00DA255C">
        <w:rPr>
          <w:noProof/>
        </w:rPr>
        <w:fldChar w:fldCharType="separate"/>
      </w:r>
      <w:r w:rsidRPr="00DA255C">
        <w:rPr>
          <w:noProof/>
        </w:rPr>
        <w:t>2</w:t>
      </w:r>
      <w:r w:rsidRPr="00DA255C">
        <w:rPr>
          <w:noProof/>
        </w:rPr>
        <w:fldChar w:fldCharType="end"/>
      </w:r>
    </w:p>
    <w:p w:rsidR="00DA255C" w:rsidRDefault="00DA255C" w:rsidP="00DA255C">
      <w:pPr>
        <w:pStyle w:val="TOC2"/>
        <w:rPr>
          <w:rFonts w:asciiTheme="minorHAnsi" w:eastAsiaTheme="minorEastAsia" w:hAnsiTheme="minorHAnsi" w:cstheme="minorBidi"/>
          <w:b w:val="0"/>
          <w:noProof/>
          <w:kern w:val="0"/>
          <w:sz w:val="22"/>
          <w:szCs w:val="22"/>
        </w:rPr>
      </w:pPr>
      <w:r>
        <w:rPr>
          <w:noProof/>
        </w:rPr>
        <w:t>Endnotes</w:t>
      </w:r>
      <w:r w:rsidRPr="00DA255C">
        <w:rPr>
          <w:b w:val="0"/>
          <w:noProof/>
          <w:sz w:val="18"/>
        </w:rPr>
        <w:tab/>
      </w:r>
      <w:r w:rsidRPr="00DA255C">
        <w:rPr>
          <w:b w:val="0"/>
          <w:noProof/>
          <w:sz w:val="18"/>
        </w:rPr>
        <w:fldChar w:fldCharType="begin"/>
      </w:r>
      <w:r w:rsidRPr="00DA255C">
        <w:rPr>
          <w:b w:val="0"/>
          <w:noProof/>
          <w:sz w:val="18"/>
        </w:rPr>
        <w:instrText xml:space="preserve"> PAGEREF _Toc392494411 \h </w:instrText>
      </w:r>
      <w:r w:rsidRPr="00DA255C">
        <w:rPr>
          <w:b w:val="0"/>
          <w:noProof/>
          <w:sz w:val="18"/>
        </w:rPr>
      </w:r>
      <w:r w:rsidRPr="00DA255C">
        <w:rPr>
          <w:b w:val="0"/>
          <w:noProof/>
          <w:sz w:val="18"/>
        </w:rPr>
        <w:fldChar w:fldCharType="separate"/>
      </w:r>
      <w:r w:rsidRPr="00DA255C">
        <w:rPr>
          <w:b w:val="0"/>
          <w:noProof/>
          <w:sz w:val="18"/>
        </w:rPr>
        <w:t>6</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1—About the endnotes</w:t>
      </w:r>
      <w:r w:rsidRPr="00DA255C">
        <w:rPr>
          <w:b w:val="0"/>
          <w:noProof/>
          <w:sz w:val="18"/>
        </w:rPr>
        <w:tab/>
      </w:r>
      <w:r w:rsidRPr="00DA255C">
        <w:rPr>
          <w:b w:val="0"/>
          <w:noProof/>
          <w:sz w:val="18"/>
        </w:rPr>
        <w:fldChar w:fldCharType="begin"/>
      </w:r>
      <w:r w:rsidRPr="00DA255C">
        <w:rPr>
          <w:b w:val="0"/>
          <w:noProof/>
          <w:sz w:val="18"/>
        </w:rPr>
        <w:instrText xml:space="preserve"> PAGEREF _Toc392494412 \h </w:instrText>
      </w:r>
      <w:r w:rsidRPr="00DA255C">
        <w:rPr>
          <w:b w:val="0"/>
          <w:noProof/>
          <w:sz w:val="18"/>
        </w:rPr>
      </w:r>
      <w:r w:rsidRPr="00DA255C">
        <w:rPr>
          <w:b w:val="0"/>
          <w:noProof/>
          <w:sz w:val="18"/>
        </w:rPr>
        <w:fldChar w:fldCharType="separate"/>
      </w:r>
      <w:r w:rsidRPr="00DA255C">
        <w:rPr>
          <w:b w:val="0"/>
          <w:noProof/>
          <w:sz w:val="18"/>
        </w:rPr>
        <w:t>6</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2—Abbreviation key</w:t>
      </w:r>
      <w:r w:rsidRPr="00DA255C">
        <w:rPr>
          <w:b w:val="0"/>
          <w:noProof/>
          <w:sz w:val="18"/>
        </w:rPr>
        <w:tab/>
      </w:r>
      <w:r w:rsidRPr="00DA255C">
        <w:rPr>
          <w:b w:val="0"/>
          <w:noProof/>
          <w:sz w:val="18"/>
        </w:rPr>
        <w:fldChar w:fldCharType="begin"/>
      </w:r>
      <w:r w:rsidRPr="00DA255C">
        <w:rPr>
          <w:b w:val="0"/>
          <w:noProof/>
          <w:sz w:val="18"/>
        </w:rPr>
        <w:instrText xml:space="preserve"> PAGEREF _Toc392494413 \h </w:instrText>
      </w:r>
      <w:r w:rsidRPr="00DA255C">
        <w:rPr>
          <w:b w:val="0"/>
          <w:noProof/>
          <w:sz w:val="18"/>
        </w:rPr>
      </w:r>
      <w:r w:rsidRPr="00DA255C">
        <w:rPr>
          <w:b w:val="0"/>
          <w:noProof/>
          <w:sz w:val="18"/>
        </w:rPr>
        <w:fldChar w:fldCharType="separate"/>
      </w:r>
      <w:r w:rsidRPr="00DA255C">
        <w:rPr>
          <w:b w:val="0"/>
          <w:noProof/>
          <w:sz w:val="18"/>
        </w:rPr>
        <w:t>8</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3—Legislation history</w:t>
      </w:r>
      <w:r w:rsidRPr="00DA255C">
        <w:rPr>
          <w:b w:val="0"/>
          <w:noProof/>
          <w:sz w:val="18"/>
        </w:rPr>
        <w:tab/>
      </w:r>
      <w:r w:rsidRPr="00DA255C">
        <w:rPr>
          <w:b w:val="0"/>
          <w:noProof/>
          <w:sz w:val="18"/>
        </w:rPr>
        <w:fldChar w:fldCharType="begin"/>
      </w:r>
      <w:r w:rsidRPr="00DA255C">
        <w:rPr>
          <w:b w:val="0"/>
          <w:noProof/>
          <w:sz w:val="18"/>
        </w:rPr>
        <w:instrText xml:space="preserve"> PAGEREF _Toc392494414 \h </w:instrText>
      </w:r>
      <w:r w:rsidRPr="00DA255C">
        <w:rPr>
          <w:b w:val="0"/>
          <w:noProof/>
          <w:sz w:val="18"/>
        </w:rPr>
      </w:r>
      <w:r w:rsidRPr="00DA255C">
        <w:rPr>
          <w:b w:val="0"/>
          <w:noProof/>
          <w:sz w:val="18"/>
        </w:rPr>
        <w:fldChar w:fldCharType="separate"/>
      </w:r>
      <w:r w:rsidRPr="00DA255C">
        <w:rPr>
          <w:b w:val="0"/>
          <w:noProof/>
          <w:sz w:val="18"/>
        </w:rPr>
        <w:t>9</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4—Amendment history</w:t>
      </w:r>
      <w:r w:rsidRPr="00DA255C">
        <w:rPr>
          <w:b w:val="0"/>
          <w:noProof/>
          <w:sz w:val="18"/>
        </w:rPr>
        <w:tab/>
      </w:r>
      <w:r w:rsidRPr="00DA255C">
        <w:rPr>
          <w:b w:val="0"/>
          <w:noProof/>
          <w:sz w:val="18"/>
        </w:rPr>
        <w:fldChar w:fldCharType="begin"/>
      </w:r>
      <w:r w:rsidRPr="00DA255C">
        <w:rPr>
          <w:b w:val="0"/>
          <w:noProof/>
          <w:sz w:val="18"/>
        </w:rPr>
        <w:instrText xml:space="preserve"> PAGEREF _Toc392494415 \h </w:instrText>
      </w:r>
      <w:r w:rsidRPr="00DA255C">
        <w:rPr>
          <w:b w:val="0"/>
          <w:noProof/>
          <w:sz w:val="18"/>
        </w:rPr>
      </w:r>
      <w:r w:rsidRPr="00DA255C">
        <w:rPr>
          <w:b w:val="0"/>
          <w:noProof/>
          <w:sz w:val="18"/>
        </w:rPr>
        <w:fldChar w:fldCharType="separate"/>
      </w:r>
      <w:r w:rsidRPr="00DA255C">
        <w:rPr>
          <w:b w:val="0"/>
          <w:noProof/>
          <w:sz w:val="18"/>
        </w:rPr>
        <w:t>11</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5—Uncommenced amendments [none]</w:t>
      </w:r>
      <w:r w:rsidRPr="00DA255C">
        <w:rPr>
          <w:b w:val="0"/>
          <w:noProof/>
          <w:sz w:val="18"/>
        </w:rPr>
        <w:tab/>
      </w:r>
      <w:r w:rsidRPr="00DA255C">
        <w:rPr>
          <w:b w:val="0"/>
          <w:noProof/>
          <w:sz w:val="18"/>
        </w:rPr>
        <w:fldChar w:fldCharType="begin"/>
      </w:r>
      <w:r w:rsidRPr="00DA255C">
        <w:rPr>
          <w:b w:val="0"/>
          <w:noProof/>
          <w:sz w:val="18"/>
        </w:rPr>
        <w:instrText xml:space="preserve"> PAGEREF _Toc392494416 \h </w:instrText>
      </w:r>
      <w:r w:rsidRPr="00DA255C">
        <w:rPr>
          <w:b w:val="0"/>
          <w:noProof/>
          <w:sz w:val="18"/>
        </w:rPr>
      </w:r>
      <w:r w:rsidRPr="00DA255C">
        <w:rPr>
          <w:b w:val="0"/>
          <w:noProof/>
          <w:sz w:val="18"/>
        </w:rPr>
        <w:fldChar w:fldCharType="separate"/>
      </w:r>
      <w:r w:rsidRPr="00DA255C">
        <w:rPr>
          <w:b w:val="0"/>
          <w:noProof/>
          <w:sz w:val="18"/>
        </w:rPr>
        <w:t>13</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6—Modifications [none]</w:t>
      </w:r>
      <w:r w:rsidRPr="00DA255C">
        <w:rPr>
          <w:b w:val="0"/>
          <w:noProof/>
          <w:sz w:val="18"/>
        </w:rPr>
        <w:tab/>
      </w:r>
      <w:r w:rsidRPr="00DA255C">
        <w:rPr>
          <w:b w:val="0"/>
          <w:noProof/>
          <w:sz w:val="18"/>
        </w:rPr>
        <w:fldChar w:fldCharType="begin"/>
      </w:r>
      <w:r w:rsidRPr="00DA255C">
        <w:rPr>
          <w:b w:val="0"/>
          <w:noProof/>
          <w:sz w:val="18"/>
        </w:rPr>
        <w:instrText xml:space="preserve"> PAGEREF _Toc392494417 \h </w:instrText>
      </w:r>
      <w:r w:rsidRPr="00DA255C">
        <w:rPr>
          <w:b w:val="0"/>
          <w:noProof/>
          <w:sz w:val="18"/>
        </w:rPr>
      </w:r>
      <w:r w:rsidRPr="00DA255C">
        <w:rPr>
          <w:b w:val="0"/>
          <w:noProof/>
          <w:sz w:val="18"/>
        </w:rPr>
        <w:fldChar w:fldCharType="separate"/>
      </w:r>
      <w:r w:rsidRPr="00DA255C">
        <w:rPr>
          <w:b w:val="0"/>
          <w:noProof/>
          <w:sz w:val="18"/>
        </w:rPr>
        <w:t>13</w:t>
      </w:r>
      <w:r w:rsidRPr="00DA255C">
        <w:rPr>
          <w:b w:val="0"/>
          <w:noProof/>
          <w:sz w:val="18"/>
        </w:rPr>
        <w:fldChar w:fldCharType="end"/>
      </w:r>
    </w:p>
    <w:p w:rsidR="00DA255C" w:rsidRDefault="00DA255C">
      <w:pPr>
        <w:pStyle w:val="TOC3"/>
        <w:rPr>
          <w:rFonts w:asciiTheme="minorHAnsi" w:eastAsiaTheme="minorEastAsia" w:hAnsiTheme="minorHAnsi" w:cstheme="minorBidi"/>
          <w:b w:val="0"/>
          <w:noProof/>
          <w:kern w:val="0"/>
          <w:szCs w:val="22"/>
        </w:rPr>
      </w:pPr>
      <w:r>
        <w:rPr>
          <w:noProof/>
        </w:rPr>
        <w:t>Endnote 7—Misdescribed amendments [none]</w:t>
      </w:r>
      <w:r w:rsidRPr="00DA255C">
        <w:rPr>
          <w:b w:val="0"/>
          <w:noProof/>
          <w:sz w:val="18"/>
        </w:rPr>
        <w:tab/>
      </w:r>
      <w:r w:rsidRPr="00DA255C">
        <w:rPr>
          <w:b w:val="0"/>
          <w:noProof/>
          <w:sz w:val="18"/>
        </w:rPr>
        <w:fldChar w:fldCharType="begin"/>
      </w:r>
      <w:r w:rsidRPr="00DA255C">
        <w:rPr>
          <w:b w:val="0"/>
          <w:noProof/>
          <w:sz w:val="18"/>
        </w:rPr>
        <w:instrText xml:space="preserve"> PAGEREF _Toc392494418 \h </w:instrText>
      </w:r>
      <w:r w:rsidRPr="00DA255C">
        <w:rPr>
          <w:b w:val="0"/>
          <w:noProof/>
          <w:sz w:val="18"/>
        </w:rPr>
      </w:r>
      <w:r w:rsidRPr="00DA255C">
        <w:rPr>
          <w:b w:val="0"/>
          <w:noProof/>
          <w:sz w:val="18"/>
        </w:rPr>
        <w:fldChar w:fldCharType="separate"/>
      </w:r>
      <w:r w:rsidRPr="00DA255C">
        <w:rPr>
          <w:b w:val="0"/>
          <w:noProof/>
          <w:sz w:val="18"/>
        </w:rPr>
        <w:t>13</w:t>
      </w:r>
      <w:r w:rsidRPr="00DA255C">
        <w:rPr>
          <w:b w:val="0"/>
          <w:noProof/>
          <w:sz w:val="18"/>
        </w:rPr>
        <w:fldChar w:fldCharType="end"/>
      </w:r>
    </w:p>
    <w:p w:rsidR="00DA255C" w:rsidRPr="00DA255C" w:rsidRDefault="00DA255C">
      <w:pPr>
        <w:pStyle w:val="TOC3"/>
        <w:rPr>
          <w:rFonts w:eastAsiaTheme="minorEastAsia"/>
          <w:b w:val="0"/>
          <w:noProof/>
          <w:kern w:val="0"/>
          <w:sz w:val="18"/>
          <w:szCs w:val="22"/>
        </w:rPr>
      </w:pPr>
      <w:r>
        <w:rPr>
          <w:noProof/>
        </w:rPr>
        <w:t>Endnote 8—Miscellaneous [none]</w:t>
      </w:r>
      <w:r w:rsidRPr="00DA255C">
        <w:rPr>
          <w:b w:val="0"/>
          <w:noProof/>
          <w:sz w:val="18"/>
        </w:rPr>
        <w:tab/>
      </w:r>
      <w:r w:rsidRPr="00DA255C">
        <w:rPr>
          <w:b w:val="0"/>
          <w:noProof/>
          <w:sz w:val="18"/>
        </w:rPr>
        <w:fldChar w:fldCharType="begin"/>
      </w:r>
      <w:r w:rsidRPr="00DA255C">
        <w:rPr>
          <w:b w:val="0"/>
          <w:noProof/>
          <w:sz w:val="18"/>
        </w:rPr>
        <w:instrText xml:space="preserve"> PAGEREF _Toc392494419 \h </w:instrText>
      </w:r>
      <w:r w:rsidRPr="00DA255C">
        <w:rPr>
          <w:b w:val="0"/>
          <w:noProof/>
          <w:sz w:val="18"/>
        </w:rPr>
      </w:r>
      <w:r w:rsidRPr="00DA255C">
        <w:rPr>
          <w:b w:val="0"/>
          <w:noProof/>
          <w:sz w:val="18"/>
        </w:rPr>
        <w:fldChar w:fldCharType="separate"/>
      </w:r>
      <w:r w:rsidRPr="00DA255C">
        <w:rPr>
          <w:b w:val="0"/>
          <w:noProof/>
          <w:sz w:val="18"/>
        </w:rPr>
        <w:t>13</w:t>
      </w:r>
      <w:r w:rsidRPr="00DA255C">
        <w:rPr>
          <w:b w:val="0"/>
          <w:noProof/>
          <w:sz w:val="18"/>
        </w:rPr>
        <w:fldChar w:fldCharType="end"/>
      </w:r>
    </w:p>
    <w:p w:rsidR="00943453" w:rsidRPr="00DA255C" w:rsidRDefault="00814479" w:rsidP="00943453">
      <w:r w:rsidRPr="00DA255C">
        <w:rPr>
          <w:rFonts w:cs="Times New Roman"/>
          <w:sz w:val="18"/>
        </w:rPr>
        <w:fldChar w:fldCharType="end"/>
      </w:r>
    </w:p>
    <w:p w:rsidR="005C7FBA" w:rsidRPr="00DA255C" w:rsidRDefault="005C7FBA" w:rsidP="00F22323">
      <w:pPr>
        <w:sectPr w:rsidR="005C7FBA" w:rsidRPr="00DA255C" w:rsidSect="006822C5">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bookmarkStart w:id="1" w:name="OPCSB_ContentsB5"/>
    </w:p>
    <w:p w:rsidR="001E48C7" w:rsidRPr="00DA255C" w:rsidRDefault="001E48C7" w:rsidP="00943453">
      <w:pPr>
        <w:pStyle w:val="ActHead5"/>
      </w:pPr>
      <w:bookmarkStart w:id="2" w:name="_Toc392494408"/>
      <w:bookmarkEnd w:id="1"/>
      <w:r w:rsidRPr="00DA255C">
        <w:rPr>
          <w:rStyle w:val="CharSectno"/>
        </w:rPr>
        <w:lastRenderedPageBreak/>
        <w:t>1</w:t>
      </w:r>
      <w:r w:rsidR="00943453" w:rsidRPr="00DA255C">
        <w:t xml:space="preserve">  </w:t>
      </w:r>
      <w:r w:rsidRPr="00DA255C">
        <w:t>Name of regulations</w:t>
      </w:r>
      <w:bookmarkEnd w:id="2"/>
    </w:p>
    <w:p w:rsidR="001E48C7" w:rsidRPr="00DA255C" w:rsidRDefault="001E48C7" w:rsidP="00943453">
      <w:pPr>
        <w:pStyle w:val="subsection"/>
      </w:pPr>
      <w:r w:rsidRPr="00DA255C">
        <w:tab/>
      </w:r>
      <w:r w:rsidRPr="00DA255C">
        <w:rPr>
          <w:b/>
        </w:rPr>
        <w:tab/>
      </w:r>
      <w:r w:rsidRPr="00DA255C">
        <w:t xml:space="preserve">These Regulations are the </w:t>
      </w:r>
      <w:r w:rsidRPr="00DA255C">
        <w:rPr>
          <w:i/>
        </w:rPr>
        <w:t>Therapeutic Goods (Charges) Regulations</w:t>
      </w:r>
      <w:r w:rsidR="00DA255C">
        <w:rPr>
          <w:i/>
        </w:rPr>
        <w:t> </w:t>
      </w:r>
      <w:r w:rsidRPr="00DA255C">
        <w:rPr>
          <w:i/>
        </w:rPr>
        <w:t>1990</w:t>
      </w:r>
      <w:r w:rsidRPr="00DA255C">
        <w:t>.</w:t>
      </w:r>
    </w:p>
    <w:p w:rsidR="001E48C7" w:rsidRPr="00DA255C" w:rsidRDefault="001E48C7" w:rsidP="00943453">
      <w:pPr>
        <w:pStyle w:val="ActHead5"/>
      </w:pPr>
      <w:bookmarkStart w:id="3" w:name="_Toc392494409"/>
      <w:r w:rsidRPr="00DA255C">
        <w:rPr>
          <w:rStyle w:val="CharSectno"/>
        </w:rPr>
        <w:t>2</w:t>
      </w:r>
      <w:r w:rsidR="00943453" w:rsidRPr="00DA255C">
        <w:t xml:space="preserve">  </w:t>
      </w:r>
      <w:r w:rsidRPr="00DA255C">
        <w:t>Interpretation</w:t>
      </w:r>
      <w:bookmarkEnd w:id="3"/>
    </w:p>
    <w:p w:rsidR="001E48C7" w:rsidRPr="00DA255C" w:rsidRDefault="001E48C7" w:rsidP="00943453">
      <w:pPr>
        <w:pStyle w:val="subsection"/>
      </w:pPr>
      <w:r w:rsidRPr="00DA255C">
        <w:tab/>
        <w:t>(1)</w:t>
      </w:r>
      <w:r w:rsidRPr="00DA255C">
        <w:tab/>
        <w:t>In these Regulations, unless the contrary intention appears:</w:t>
      </w:r>
    </w:p>
    <w:p w:rsidR="001E48C7" w:rsidRPr="00DA255C" w:rsidRDefault="001E48C7" w:rsidP="004823D7">
      <w:pPr>
        <w:pStyle w:val="Definition"/>
      </w:pPr>
      <w:r w:rsidRPr="00DA255C">
        <w:rPr>
          <w:b/>
          <w:i/>
        </w:rPr>
        <w:t>biologic</w:t>
      </w:r>
      <w:r w:rsidRPr="00DA255C">
        <w:t>, in relation to therapeutic goods, means goods in which the active ingredient is a biological substance.</w:t>
      </w:r>
    </w:p>
    <w:p w:rsidR="001E48C7" w:rsidRPr="00DA255C" w:rsidRDefault="001E48C7" w:rsidP="004823D7">
      <w:pPr>
        <w:pStyle w:val="Definition"/>
      </w:pPr>
      <w:r w:rsidRPr="00DA255C">
        <w:rPr>
          <w:b/>
          <w:i/>
        </w:rPr>
        <w:t xml:space="preserve">biological substance </w:t>
      </w:r>
      <w:r w:rsidRPr="00DA255C">
        <w:t>means a substance of biological origin that:</w:t>
      </w:r>
    </w:p>
    <w:p w:rsidR="001E48C7" w:rsidRPr="00DA255C" w:rsidRDefault="001E48C7" w:rsidP="00943453">
      <w:pPr>
        <w:pStyle w:val="paragraph"/>
      </w:pPr>
      <w:r w:rsidRPr="00DA255C">
        <w:tab/>
        <w:t>(a)</w:t>
      </w:r>
      <w:r w:rsidRPr="00DA255C">
        <w:tab/>
        <w:t>in many cases, is chemically complex and with a molecular weight of more than 1</w:t>
      </w:r>
      <w:r w:rsidR="00DA255C">
        <w:t> </w:t>
      </w:r>
      <w:r w:rsidRPr="00DA255C">
        <w:t>000; and</w:t>
      </w:r>
    </w:p>
    <w:p w:rsidR="001E48C7" w:rsidRPr="00DA255C" w:rsidRDefault="001E48C7" w:rsidP="00943453">
      <w:pPr>
        <w:pStyle w:val="paragraph"/>
      </w:pPr>
      <w:r w:rsidRPr="00DA255C">
        <w:tab/>
        <w:t>(b)</w:t>
      </w:r>
      <w:r w:rsidRPr="00DA255C">
        <w:tab/>
        <w:t>is not defined by a chemical name because its purity, strength and exact composition cannot be readily determined by chemical analysis.</w:t>
      </w:r>
    </w:p>
    <w:p w:rsidR="001E48C7" w:rsidRPr="00DA255C" w:rsidRDefault="001E48C7" w:rsidP="004823D7">
      <w:pPr>
        <w:pStyle w:val="notetext"/>
      </w:pPr>
      <w:r w:rsidRPr="00DA255C">
        <w:t>Example</w:t>
      </w:r>
      <w:r w:rsidR="004823D7" w:rsidRPr="00DA255C">
        <w:t>:</w:t>
      </w:r>
      <w:r w:rsidR="004823D7" w:rsidRPr="00DA255C">
        <w:tab/>
      </w:r>
      <w:r w:rsidRPr="00DA255C">
        <w:t>Hormones, enzymes and related substances are biological substances. Herbal substances and antibiotics are not biological substances.</w:t>
      </w:r>
    </w:p>
    <w:p w:rsidR="002530B9" w:rsidRPr="00DA255C" w:rsidRDefault="002530B9" w:rsidP="004823D7">
      <w:pPr>
        <w:pStyle w:val="Definition"/>
      </w:pPr>
      <w:r w:rsidRPr="00DA255C">
        <w:rPr>
          <w:b/>
          <w:i/>
        </w:rPr>
        <w:t xml:space="preserve">Class 1 biological </w:t>
      </w:r>
      <w:r w:rsidRPr="00DA255C">
        <w:t xml:space="preserve">has the same meaning as in the </w:t>
      </w:r>
      <w:r w:rsidRPr="00DA255C">
        <w:rPr>
          <w:i/>
        </w:rPr>
        <w:t>Therapeutic Goods Regulations</w:t>
      </w:r>
      <w:r w:rsidR="00DA255C">
        <w:rPr>
          <w:i/>
        </w:rPr>
        <w:t> </w:t>
      </w:r>
      <w:r w:rsidRPr="00DA255C">
        <w:rPr>
          <w:i/>
        </w:rPr>
        <w:t>1990</w:t>
      </w:r>
      <w:r w:rsidRPr="00DA255C">
        <w:t>.</w:t>
      </w:r>
    </w:p>
    <w:p w:rsidR="002530B9" w:rsidRPr="00DA255C" w:rsidRDefault="002530B9" w:rsidP="004823D7">
      <w:pPr>
        <w:pStyle w:val="Definition"/>
      </w:pPr>
      <w:r w:rsidRPr="00DA255C">
        <w:rPr>
          <w:b/>
          <w:i/>
        </w:rPr>
        <w:t xml:space="preserve">Class 2 biological </w:t>
      </w:r>
      <w:r w:rsidRPr="00DA255C">
        <w:t xml:space="preserve">has the same meaning as in the </w:t>
      </w:r>
      <w:r w:rsidRPr="00DA255C">
        <w:rPr>
          <w:i/>
        </w:rPr>
        <w:t>Therapeutic Goods Regulations</w:t>
      </w:r>
      <w:r w:rsidR="00DA255C">
        <w:rPr>
          <w:i/>
        </w:rPr>
        <w:t> </w:t>
      </w:r>
      <w:r w:rsidRPr="00DA255C">
        <w:rPr>
          <w:i/>
        </w:rPr>
        <w:t>1990</w:t>
      </w:r>
      <w:r w:rsidRPr="00DA255C">
        <w:t>.</w:t>
      </w:r>
    </w:p>
    <w:p w:rsidR="002530B9" w:rsidRPr="00DA255C" w:rsidRDefault="002530B9" w:rsidP="004823D7">
      <w:pPr>
        <w:pStyle w:val="Definition"/>
      </w:pPr>
      <w:r w:rsidRPr="00DA255C">
        <w:rPr>
          <w:b/>
          <w:i/>
        </w:rPr>
        <w:t xml:space="preserve">Class 3 biological </w:t>
      </w:r>
      <w:r w:rsidRPr="00DA255C">
        <w:t xml:space="preserve">has the same meaning as in the </w:t>
      </w:r>
      <w:r w:rsidRPr="00DA255C">
        <w:rPr>
          <w:i/>
        </w:rPr>
        <w:t>Therapeutic Goods Regulations</w:t>
      </w:r>
      <w:r w:rsidR="00DA255C">
        <w:rPr>
          <w:i/>
        </w:rPr>
        <w:t> </w:t>
      </w:r>
      <w:r w:rsidRPr="00DA255C">
        <w:rPr>
          <w:i/>
        </w:rPr>
        <w:t>1990</w:t>
      </w:r>
      <w:r w:rsidRPr="00DA255C">
        <w:t>.</w:t>
      </w:r>
    </w:p>
    <w:p w:rsidR="002530B9" w:rsidRPr="00DA255C" w:rsidRDefault="002530B9" w:rsidP="004823D7">
      <w:pPr>
        <w:pStyle w:val="Definition"/>
      </w:pPr>
      <w:r w:rsidRPr="00DA255C">
        <w:rPr>
          <w:b/>
          <w:i/>
        </w:rPr>
        <w:t xml:space="preserve">Class 4 biological </w:t>
      </w:r>
      <w:r w:rsidRPr="00DA255C">
        <w:t xml:space="preserve">has the same meaning as in the </w:t>
      </w:r>
      <w:r w:rsidRPr="00DA255C">
        <w:rPr>
          <w:i/>
        </w:rPr>
        <w:t>Therapeutic Goods Regulations</w:t>
      </w:r>
      <w:r w:rsidR="00DA255C">
        <w:rPr>
          <w:i/>
        </w:rPr>
        <w:t> </w:t>
      </w:r>
      <w:r w:rsidRPr="00DA255C">
        <w:rPr>
          <w:i/>
        </w:rPr>
        <w:t>1990</w:t>
      </w:r>
      <w:r w:rsidRPr="00DA255C">
        <w:t>.</w:t>
      </w:r>
    </w:p>
    <w:p w:rsidR="001E48C7" w:rsidRPr="00DA255C" w:rsidRDefault="001E48C7" w:rsidP="004823D7">
      <w:pPr>
        <w:pStyle w:val="Definition"/>
      </w:pPr>
      <w:r w:rsidRPr="00DA255C">
        <w:rPr>
          <w:b/>
          <w:i/>
        </w:rPr>
        <w:t xml:space="preserve">Poisons Standard </w:t>
      </w:r>
      <w:r w:rsidRPr="00DA255C">
        <w:t xml:space="preserve">has the same meaning as </w:t>
      </w:r>
      <w:r w:rsidRPr="00DA255C">
        <w:rPr>
          <w:b/>
          <w:i/>
        </w:rPr>
        <w:t xml:space="preserve">current Poisons Standard </w:t>
      </w:r>
      <w:r w:rsidRPr="00DA255C">
        <w:t>in Part</w:t>
      </w:r>
      <w:r w:rsidR="00DA255C">
        <w:t> </w:t>
      </w:r>
      <w:r w:rsidRPr="00DA255C">
        <w:t xml:space="preserve">5B of the </w:t>
      </w:r>
      <w:r w:rsidRPr="00DA255C">
        <w:rPr>
          <w:i/>
        </w:rPr>
        <w:t>Therapeutic Goods Act 1989</w:t>
      </w:r>
      <w:r w:rsidRPr="00DA255C">
        <w:t>.</w:t>
      </w:r>
    </w:p>
    <w:p w:rsidR="001E48C7" w:rsidRPr="00DA255C" w:rsidRDefault="001E48C7" w:rsidP="004823D7">
      <w:pPr>
        <w:pStyle w:val="Definition"/>
      </w:pPr>
      <w:r w:rsidRPr="00DA255C">
        <w:rPr>
          <w:b/>
          <w:i/>
        </w:rPr>
        <w:t xml:space="preserve">the Act </w:t>
      </w:r>
      <w:r w:rsidRPr="00DA255C">
        <w:t xml:space="preserve">means the </w:t>
      </w:r>
      <w:r w:rsidRPr="00DA255C">
        <w:rPr>
          <w:i/>
        </w:rPr>
        <w:t>Therapeutic Goods (Charges) Act 1989</w:t>
      </w:r>
      <w:r w:rsidRPr="00DA255C">
        <w:t>.</w:t>
      </w:r>
    </w:p>
    <w:p w:rsidR="001E48C7" w:rsidRPr="00DA255C" w:rsidRDefault="001E48C7" w:rsidP="00943453">
      <w:pPr>
        <w:pStyle w:val="subsection"/>
      </w:pPr>
      <w:r w:rsidRPr="00DA255C">
        <w:lastRenderedPageBreak/>
        <w:tab/>
        <w:t>(2)</w:t>
      </w:r>
      <w:r w:rsidRPr="00DA255C">
        <w:tab/>
        <w:t>In these Regulations, a reference to a medical device of a particular class is a reference to a medical device classified as that class under Division</w:t>
      </w:r>
      <w:r w:rsidR="00DA255C">
        <w:t> </w:t>
      </w:r>
      <w:r w:rsidRPr="00DA255C">
        <w:t xml:space="preserve">3.1 of the </w:t>
      </w:r>
      <w:r w:rsidRPr="00DA255C">
        <w:rPr>
          <w:i/>
        </w:rPr>
        <w:t>Therapeutic Goods (Medical Devices) Regulations</w:t>
      </w:r>
      <w:r w:rsidR="00DA255C">
        <w:rPr>
          <w:i/>
        </w:rPr>
        <w:t> </w:t>
      </w:r>
      <w:r w:rsidRPr="00DA255C">
        <w:rPr>
          <w:i/>
        </w:rPr>
        <w:t>2002</w:t>
      </w:r>
      <w:r w:rsidRPr="00DA255C">
        <w:t>.</w:t>
      </w:r>
    </w:p>
    <w:p w:rsidR="001E48C7" w:rsidRPr="00DA255C" w:rsidRDefault="001E48C7" w:rsidP="00943453">
      <w:pPr>
        <w:pStyle w:val="ActHead5"/>
      </w:pPr>
      <w:bookmarkStart w:id="4" w:name="_Toc392494410"/>
      <w:r w:rsidRPr="00DA255C">
        <w:rPr>
          <w:rStyle w:val="CharSectno"/>
        </w:rPr>
        <w:t>3</w:t>
      </w:r>
      <w:r w:rsidR="00943453" w:rsidRPr="00DA255C">
        <w:t xml:space="preserve">  </w:t>
      </w:r>
      <w:r w:rsidRPr="00DA255C">
        <w:t>Annual charges</w:t>
      </w:r>
      <w:bookmarkEnd w:id="4"/>
    </w:p>
    <w:p w:rsidR="001E48C7" w:rsidRPr="00DA255C" w:rsidRDefault="001E48C7" w:rsidP="00943453">
      <w:pPr>
        <w:pStyle w:val="subsection"/>
      </w:pPr>
      <w:r w:rsidRPr="00DA255C">
        <w:tab/>
        <w:t>(1)</w:t>
      </w:r>
      <w:r w:rsidRPr="00DA255C">
        <w:tab/>
        <w:t>For the purposes of subsection</w:t>
      </w:r>
      <w:r w:rsidR="00DA255C">
        <w:t> </w:t>
      </w:r>
      <w:r w:rsidRPr="00DA255C">
        <w:t>4(1) of the Act, the annual charges for the registration or listing of therapeutic goods are:</w:t>
      </w:r>
    </w:p>
    <w:p w:rsidR="001E48C7" w:rsidRPr="00DA255C" w:rsidRDefault="001E48C7" w:rsidP="00943453">
      <w:pPr>
        <w:pStyle w:val="paragraph"/>
      </w:pPr>
      <w:r w:rsidRPr="00DA255C">
        <w:tab/>
        <w:t>(a)</w:t>
      </w:r>
      <w:r w:rsidRPr="00DA255C">
        <w:tab/>
        <w:t>for goods of a kind whose registration is in force at any time during the financial year to which the charge relates and that is not mentioned in Part</w:t>
      </w:r>
      <w:r w:rsidR="00DA255C">
        <w:t> </w:t>
      </w:r>
      <w:r w:rsidRPr="00DA255C">
        <w:t>1 of Schedule</w:t>
      </w:r>
      <w:r w:rsidR="00DA255C">
        <w:t> </w:t>
      </w:r>
      <w:r w:rsidRPr="00DA255C">
        <w:t xml:space="preserve">10 to the </w:t>
      </w:r>
      <w:r w:rsidRPr="00DA255C">
        <w:rPr>
          <w:i/>
        </w:rPr>
        <w:t>Therapeutic Goods Regulations</w:t>
      </w:r>
      <w:r w:rsidR="00DA255C">
        <w:rPr>
          <w:i/>
        </w:rPr>
        <w:t> </w:t>
      </w:r>
      <w:r w:rsidRPr="00DA255C">
        <w:rPr>
          <w:i/>
        </w:rPr>
        <w:t>1990</w:t>
      </w:r>
      <w:r w:rsidRPr="00DA255C">
        <w:t>:</w:t>
      </w:r>
    </w:p>
    <w:p w:rsidR="001E48C7" w:rsidRPr="00DA255C" w:rsidRDefault="001E48C7" w:rsidP="00943453">
      <w:pPr>
        <w:pStyle w:val="paragraphsub"/>
      </w:pPr>
      <w:r w:rsidRPr="00DA255C">
        <w:tab/>
        <w:t>(i)</w:t>
      </w:r>
      <w:r w:rsidRPr="00DA255C">
        <w:tab/>
        <w:t>if the goods are a medicine</w:t>
      </w:r>
      <w:r w:rsidR="00943453" w:rsidRPr="00DA255C">
        <w:t>—</w:t>
      </w:r>
      <w:r w:rsidR="00B70884" w:rsidRPr="00DA255C">
        <w:t>$</w:t>
      </w:r>
      <w:r w:rsidR="00586E31" w:rsidRPr="00DA255C">
        <w:t>1</w:t>
      </w:r>
      <w:r w:rsidR="00DA255C">
        <w:t> </w:t>
      </w:r>
      <w:r w:rsidR="00586E31" w:rsidRPr="00DA255C">
        <w:t>350</w:t>
      </w:r>
      <w:r w:rsidR="00292B00" w:rsidRPr="00DA255C">
        <w:t>;</w:t>
      </w:r>
      <w:r w:rsidRPr="00DA255C">
        <w:t xml:space="preserve"> and</w:t>
      </w:r>
    </w:p>
    <w:p w:rsidR="001E48C7" w:rsidRPr="00DA255C" w:rsidRDefault="001E48C7" w:rsidP="00943453">
      <w:pPr>
        <w:pStyle w:val="paragraphsub"/>
      </w:pPr>
      <w:r w:rsidRPr="00DA255C">
        <w:tab/>
        <w:t>(ii)</w:t>
      </w:r>
      <w:r w:rsidRPr="00DA255C">
        <w:tab/>
        <w:t>if the goods are a medical device</w:t>
      </w:r>
      <w:r w:rsidR="00943453" w:rsidRPr="00DA255C">
        <w:t>—</w:t>
      </w:r>
      <w:r w:rsidR="00B70884" w:rsidRPr="00DA255C">
        <w:t>$</w:t>
      </w:r>
      <w:r w:rsidR="00586E31" w:rsidRPr="00DA255C">
        <w:t>2</w:t>
      </w:r>
      <w:r w:rsidR="00DA255C">
        <w:t> </w:t>
      </w:r>
      <w:r w:rsidR="00586E31" w:rsidRPr="00DA255C">
        <w:t>650</w:t>
      </w:r>
      <w:r w:rsidR="00292B00" w:rsidRPr="00DA255C">
        <w:t xml:space="preserve">; </w:t>
      </w:r>
      <w:r w:rsidRPr="00DA255C">
        <w:t>and</w:t>
      </w:r>
    </w:p>
    <w:p w:rsidR="001E48C7" w:rsidRPr="00DA255C" w:rsidRDefault="001E48C7" w:rsidP="00943453">
      <w:pPr>
        <w:pStyle w:val="paragraphsub"/>
      </w:pPr>
      <w:r w:rsidRPr="00DA255C">
        <w:tab/>
        <w:t>(iii)</w:t>
      </w:r>
      <w:r w:rsidRPr="00DA255C">
        <w:tab/>
        <w:t>in any other case</w:t>
      </w:r>
      <w:r w:rsidR="00943453" w:rsidRPr="00DA255C">
        <w:t>—</w:t>
      </w:r>
      <w:r w:rsidR="00B70884" w:rsidRPr="00DA255C">
        <w:t>$</w:t>
      </w:r>
      <w:r w:rsidR="00586E31" w:rsidRPr="00DA255C">
        <w:t>1</w:t>
      </w:r>
      <w:r w:rsidR="00DA255C">
        <w:t> </w:t>
      </w:r>
      <w:r w:rsidR="00586E31" w:rsidRPr="00DA255C">
        <w:t>515</w:t>
      </w:r>
      <w:r w:rsidR="00292B00" w:rsidRPr="00DA255C">
        <w:t>;</w:t>
      </w:r>
      <w:r w:rsidRPr="00DA255C">
        <w:t xml:space="preserve"> and</w:t>
      </w:r>
    </w:p>
    <w:p w:rsidR="001E48C7" w:rsidRPr="00DA255C" w:rsidRDefault="001E48C7" w:rsidP="00943453">
      <w:pPr>
        <w:pStyle w:val="paragraph"/>
      </w:pPr>
      <w:r w:rsidRPr="00DA255C">
        <w:tab/>
        <w:t>(b)</w:t>
      </w:r>
      <w:r w:rsidRPr="00DA255C">
        <w:tab/>
        <w:t xml:space="preserve">for goods of a kind whose registration is in force at any time </w:t>
      </w:r>
      <w:r w:rsidRPr="00DA255C">
        <w:t>during the financial year to which the charge relates and that is mentioned in Part</w:t>
      </w:r>
      <w:r w:rsidR="00DA255C">
        <w:t> </w:t>
      </w:r>
      <w:r w:rsidRPr="00DA255C">
        <w:t>1 of Schedule</w:t>
      </w:r>
      <w:r w:rsidR="00DA255C">
        <w:t> </w:t>
      </w:r>
      <w:r w:rsidRPr="00DA255C">
        <w:t xml:space="preserve">10 to the </w:t>
      </w:r>
      <w:r w:rsidRPr="00DA255C">
        <w:rPr>
          <w:i/>
        </w:rPr>
        <w:t xml:space="preserve">Therapeutic </w:t>
      </w:r>
      <w:r w:rsidRPr="00DA255C">
        <w:rPr>
          <w:i/>
        </w:rPr>
        <w:t>Goods Regulations</w:t>
      </w:r>
      <w:r w:rsidR="00DA255C">
        <w:rPr>
          <w:i/>
        </w:rPr>
        <w:t> </w:t>
      </w:r>
      <w:r w:rsidRPr="00DA255C">
        <w:rPr>
          <w:i/>
        </w:rPr>
        <w:t>1990</w:t>
      </w:r>
      <w:r w:rsidRPr="00DA255C">
        <w:t>:</w:t>
      </w:r>
    </w:p>
    <w:p w:rsidR="001E48C7" w:rsidRPr="00DA255C" w:rsidRDefault="001E48C7" w:rsidP="00943453">
      <w:pPr>
        <w:pStyle w:val="paragraphsub"/>
      </w:pPr>
      <w:r w:rsidRPr="00DA255C">
        <w:tab/>
        <w:t>(i)</w:t>
      </w:r>
      <w:r w:rsidRPr="00DA255C">
        <w:tab/>
        <w:t>if the goods are a biologic</w:t>
      </w:r>
      <w:r w:rsidR="00943453" w:rsidRPr="00DA255C">
        <w:t>—</w:t>
      </w:r>
      <w:r w:rsidR="00B70884" w:rsidRPr="00DA255C">
        <w:t>$</w:t>
      </w:r>
      <w:r w:rsidR="00586E31" w:rsidRPr="00DA255C">
        <w:t>6</w:t>
      </w:r>
      <w:r w:rsidR="00DA255C">
        <w:t> </w:t>
      </w:r>
      <w:r w:rsidR="00586E31" w:rsidRPr="00DA255C">
        <w:t>585</w:t>
      </w:r>
      <w:r w:rsidR="00732020" w:rsidRPr="00DA255C">
        <w:t>;</w:t>
      </w:r>
      <w:r w:rsidRPr="00DA255C">
        <w:t xml:space="preserve"> and</w:t>
      </w:r>
    </w:p>
    <w:p w:rsidR="001E48C7" w:rsidRPr="00DA255C" w:rsidRDefault="001E48C7" w:rsidP="00943453">
      <w:pPr>
        <w:pStyle w:val="paragraphsub"/>
      </w:pPr>
      <w:r w:rsidRPr="00DA255C">
        <w:tab/>
        <w:t>(ii)</w:t>
      </w:r>
      <w:r w:rsidRPr="00DA255C">
        <w:tab/>
        <w:t>if the goods are not a biologic</w:t>
      </w:r>
      <w:r w:rsidR="00943453" w:rsidRPr="00DA255C">
        <w:t>—</w:t>
      </w:r>
      <w:r w:rsidR="00B70884" w:rsidRPr="00DA255C">
        <w:t>$</w:t>
      </w:r>
      <w:r w:rsidR="00586E31" w:rsidRPr="00DA255C">
        <w:t>3</w:t>
      </w:r>
      <w:r w:rsidR="00DA255C">
        <w:t> </w:t>
      </w:r>
      <w:r w:rsidR="00586E31" w:rsidRPr="00DA255C">
        <w:t>955</w:t>
      </w:r>
      <w:r w:rsidR="00732020" w:rsidRPr="00DA255C">
        <w:t>;</w:t>
      </w:r>
      <w:r w:rsidRPr="00DA255C">
        <w:t xml:space="preserve"> and</w:t>
      </w:r>
    </w:p>
    <w:p w:rsidR="001E48C7" w:rsidRPr="00DA255C" w:rsidRDefault="001E48C7" w:rsidP="00943453">
      <w:pPr>
        <w:pStyle w:val="paragraph"/>
      </w:pPr>
      <w:r w:rsidRPr="00DA255C">
        <w:tab/>
        <w:t>(c)</w:t>
      </w:r>
      <w:r w:rsidRPr="00DA255C">
        <w:tab/>
        <w:t>for goods (other than goods produced for export) the listing of which is in force at any time during the financial year to which the charge relates:</w:t>
      </w:r>
    </w:p>
    <w:p w:rsidR="001E48C7" w:rsidRPr="00DA255C" w:rsidRDefault="001E48C7" w:rsidP="00943453">
      <w:pPr>
        <w:pStyle w:val="paragraphsub"/>
      </w:pPr>
      <w:r w:rsidRPr="00DA255C">
        <w:tab/>
        <w:t>(i)</w:t>
      </w:r>
      <w:r w:rsidRPr="00DA255C">
        <w:tab/>
        <w:t>if the goods are a medicine</w:t>
      </w:r>
      <w:r w:rsidR="00943453" w:rsidRPr="00DA255C">
        <w:t>—</w:t>
      </w:r>
      <w:r w:rsidR="00B70884" w:rsidRPr="00DA255C">
        <w:t>$</w:t>
      </w:r>
      <w:r w:rsidR="00586E31" w:rsidRPr="00DA255C">
        <w:t>965</w:t>
      </w:r>
      <w:r w:rsidRPr="00DA255C">
        <w:t>; and</w:t>
      </w:r>
    </w:p>
    <w:p w:rsidR="001E48C7" w:rsidRPr="00DA255C" w:rsidRDefault="001E48C7" w:rsidP="00943453">
      <w:pPr>
        <w:pStyle w:val="paragraphsub"/>
      </w:pPr>
      <w:r w:rsidRPr="00DA255C">
        <w:tab/>
        <w:t>(ii)</w:t>
      </w:r>
      <w:r w:rsidRPr="00DA255C">
        <w:tab/>
        <w:t>if the goods are a medical device</w:t>
      </w:r>
      <w:r w:rsidR="00943453" w:rsidRPr="00DA255C">
        <w:t>—</w:t>
      </w:r>
      <w:r w:rsidR="00B70884" w:rsidRPr="00DA255C">
        <w:t>$</w:t>
      </w:r>
      <w:r w:rsidR="00586E31" w:rsidRPr="00DA255C">
        <w:t>1</w:t>
      </w:r>
      <w:r w:rsidR="00DA255C">
        <w:t> </w:t>
      </w:r>
      <w:r w:rsidR="00586E31" w:rsidRPr="00DA255C">
        <w:t>350</w:t>
      </w:r>
      <w:r w:rsidR="00732020" w:rsidRPr="00DA255C">
        <w:t>;</w:t>
      </w:r>
      <w:r w:rsidRPr="00DA255C">
        <w:t xml:space="preserve"> and</w:t>
      </w:r>
    </w:p>
    <w:p w:rsidR="001E48C7" w:rsidRPr="00DA255C" w:rsidRDefault="001E48C7" w:rsidP="00943453">
      <w:pPr>
        <w:pStyle w:val="paragraphsub"/>
      </w:pPr>
      <w:r w:rsidRPr="00DA255C">
        <w:tab/>
        <w:t>(iii)</w:t>
      </w:r>
      <w:r w:rsidRPr="00DA255C">
        <w:tab/>
        <w:t>in any other case</w:t>
      </w:r>
      <w:r w:rsidR="00943453" w:rsidRPr="00DA255C">
        <w:t>—</w:t>
      </w:r>
      <w:r w:rsidR="00B70884" w:rsidRPr="00DA255C">
        <w:t>$</w:t>
      </w:r>
      <w:r w:rsidR="00586E31" w:rsidRPr="00DA255C">
        <w:t>770</w:t>
      </w:r>
      <w:r w:rsidR="00B71C72" w:rsidRPr="00DA255C">
        <w:t>.</w:t>
      </w:r>
    </w:p>
    <w:p w:rsidR="001E48C7" w:rsidRPr="00DA255C" w:rsidRDefault="001E48C7" w:rsidP="00943453">
      <w:pPr>
        <w:pStyle w:val="subsection"/>
      </w:pPr>
      <w:r w:rsidRPr="00DA255C">
        <w:tab/>
        <w:t>(1A)</w:t>
      </w:r>
      <w:r w:rsidRPr="00DA255C">
        <w:tab/>
        <w:t>For the purposes of subsection</w:t>
      </w:r>
      <w:r w:rsidR="00DA255C">
        <w:t> </w:t>
      </w:r>
      <w:r w:rsidRPr="00DA255C">
        <w:t>4(1A) of the Act, the annual charge for the registration or listing of grouped therapeutic goods is:</w:t>
      </w:r>
    </w:p>
    <w:p w:rsidR="001E48C7" w:rsidRPr="00DA255C" w:rsidRDefault="001E48C7" w:rsidP="00943453">
      <w:pPr>
        <w:pStyle w:val="paragraph"/>
      </w:pPr>
      <w:r w:rsidRPr="00DA255C">
        <w:tab/>
        <w:t>(a)</w:t>
      </w:r>
      <w:r w:rsidRPr="00DA255C">
        <w:tab/>
        <w:t>for grouped goods whose registration is in force at any time during the financial year to which the charge relates and that are not mentioned in Part</w:t>
      </w:r>
      <w:r w:rsidR="00DA255C">
        <w:t> </w:t>
      </w:r>
      <w:r w:rsidRPr="00DA255C">
        <w:t>1 of Schedule</w:t>
      </w:r>
      <w:r w:rsidR="00DA255C">
        <w:t> </w:t>
      </w:r>
      <w:r w:rsidRPr="00DA255C">
        <w:t xml:space="preserve">10 to the </w:t>
      </w:r>
      <w:r w:rsidRPr="00DA255C">
        <w:rPr>
          <w:i/>
        </w:rPr>
        <w:t>Therapeutic Goods Regulations</w:t>
      </w:r>
      <w:r w:rsidR="00DA255C">
        <w:rPr>
          <w:i/>
        </w:rPr>
        <w:t> </w:t>
      </w:r>
      <w:r w:rsidRPr="00DA255C">
        <w:rPr>
          <w:i/>
        </w:rPr>
        <w:t>1990</w:t>
      </w:r>
      <w:r w:rsidRPr="00DA255C">
        <w:t>:</w:t>
      </w:r>
    </w:p>
    <w:p w:rsidR="001E48C7" w:rsidRPr="00DA255C" w:rsidRDefault="001E48C7" w:rsidP="00943453">
      <w:pPr>
        <w:pStyle w:val="paragraphsub"/>
      </w:pPr>
      <w:r w:rsidRPr="00DA255C">
        <w:tab/>
        <w:t>(i)</w:t>
      </w:r>
      <w:r w:rsidRPr="00DA255C">
        <w:tab/>
        <w:t>if the goods are medicines</w:t>
      </w:r>
      <w:r w:rsidR="00943453" w:rsidRPr="00DA255C">
        <w:t>—</w:t>
      </w:r>
      <w:r w:rsidR="00024EB8" w:rsidRPr="00DA255C">
        <w:t>$</w:t>
      </w:r>
      <w:r w:rsidR="00586E31" w:rsidRPr="00DA255C">
        <w:t>1</w:t>
      </w:r>
      <w:r w:rsidR="00DA255C">
        <w:t> </w:t>
      </w:r>
      <w:r w:rsidR="00586E31" w:rsidRPr="00DA255C">
        <w:t>350</w:t>
      </w:r>
      <w:r w:rsidR="00313589" w:rsidRPr="00DA255C">
        <w:t>;</w:t>
      </w:r>
      <w:r w:rsidRPr="00DA255C">
        <w:t xml:space="preserve"> and</w:t>
      </w:r>
    </w:p>
    <w:p w:rsidR="001E48C7" w:rsidRPr="00DA255C" w:rsidRDefault="001E48C7" w:rsidP="00943453">
      <w:pPr>
        <w:pStyle w:val="paragraphsub"/>
      </w:pPr>
      <w:r w:rsidRPr="00DA255C">
        <w:tab/>
        <w:t>(ii)</w:t>
      </w:r>
      <w:r w:rsidRPr="00DA255C">
        <w:tab/>
        <w:t>if the goods are medical devices</w:t>
      </w:r>
      <w:r w:rsidR="00943453" w:rsidRPr="00DA255C">
        <w:t>—</w:t>
      </w:r>
      <w:r w:rsidR="00024EB8" w:rsidRPr="00DA255C">
        <w:t>$</w:t>
      </w:r>
      <w:r w:rsidR="00586E31" w:rsidRPr="00DA255C">
        <w:t>2</w:t>
      </w:r>
      <w:r w:rsidR="00DA255C">
        <w:t> </w:t>
      </w:r>
      <w:r w:rsidR="00586E31" w:rsidRPr="00DA255C">
        <w:t>650</w:t>
      </w:r>
      <w:r w:rsidR="00313589" w:rsidRPr="00DA255C">
        <w:t>;</w:t>
      </w:r>
      <w:r w:rsidRPr="00DA255C">
        <w:t xml:space="preserve"> and</w:t>
      </w:r>
    </w:p>
    <w:p w:rsidR="001E48C7" w:rsidRPr="00DA255C" w:rsidRDefault="001E48C7" w:rsidP="00943453">
      <w:pPr>
        <w:pStyle w:val="paragraphsub"/>
      </w:pPr>
      <w:r w:rsidRPr="00DA255C">
        <w:tab/>
        <w:t>(iii)</w:t>
      </w:r>
      <w:r w:rsidRPr="00DA255C">
        <w:tab/>
        <w:t>in any other case</w:t>
      </w:r>
      <w:r w:rsidR="00943453" w:rsidRPr="00DA255C">
        <w:t>—</w:t>
      </w:r>
      <w:r w:rsidR="00024EB8" w:rsidRPr="00DA255C">
        <w:t>$</w:t>
      </w:r>
      <w:r w:rsidR="00586E31" w:rsidRPr="00DA255C">
        <w:t>1</w:t>
      </w:r>
      <w:r w:rsidR="00DA255C">
        <w:t> </w:t>
      </w:r>
      <w:r w:rsidR="00586E31" w:rsidRPr="00DA255C">
        <w:t>515</w:t>
      </w:r>
      <w:r w:rsidR="00313589" w:rsidRPr="00DA255C">
        <w:t>;</w:t>
      </w:r>
      <w:r w:rsidRPr="00DA255C">
        <w:t xml:space="preserve"> and</w:t>
      </w:r>
    </w:p>
    <w:p w:rsidR="001E48C7" w:rsidRPr="00DA255C" w:rsidRDefault="001E48C7" w:rsidP="00943453">
      <w:pPr>
        <w:pStyle w:val="paragraph"/>
      </w:pPr>
      <w:r w:rsidRPr="00DA255C">
        <w:tab/>
        <w:t>(b)</w:t>
      </w:r>
      <w:r w:rsidRPr="00DA255C">
        <w:tab/>
        <w:t xml:space="preserve">for grouped goods whose registration is in force at any time </w:t>
      </w:r>
      <w:r w:rsidRPr="00DA255C">
        <w:t>during the financial year to which the charge relates and that are mentioned in Part</w:t>
      </w:r>
      <w:r w:rsidR="00DA255C">
        <w:t> </w:t>
      </w:r>
      <w:r w:rsidRPr="00DA255C">
        <w:t>1 of Schedule</w:t>
      </w:r>
      <w:r w:rsidR="00DA255C">
        <w:t> </w:t>
      </w:r>
      <w:r w:rsidRPr="00DA255C">
        <w:t xml:space="preserve">10 to the </w:t>
      </w:r>
      <w:r w:rsidRPr="00DA255C">
        <w:rPr>
          <w:i/>
        </w:rPr>
        <w:t>Therapeutic Goods Regulations</w:t>
      </w:r>
      <w:r w:rsidR="00DA255C">
        <w:rPr>
          <w:i/>
        </w:rPr>
        <w:t> </w:t>
      </w:r>
      <w:r w:rsidRPr="00DA255C">
        <w:rPr>
          <w:i/>
        </w:rPr>
        <w:t>1990</w:t>
      </w:r>
      <w:r w:rsidRPr="00DA255C">
        <w:t>:</w:t>
      </w:r>
    </w:p>
    <w:p w:rsidR="001E48C7" w:rsidRPr="00DA255C" w:rsidRDefault="001E48C7" w:rsidP="00943453">
      <w:pPr>
        <w:pStyle w:val="paragraphsub"/>
      </w:pPr>
      <w:r w:rsidRPr="00DA255C">
        <w:tab/>
        <w:t>(i)</w:t>
      </w:r>
      <w:r w:rsidRPr="00DA255C">
        <w:tab/>
        <w:t>if the goods are biologics</w:t>
      </w:r>
      <w:r w:rsidR="00943453" w:rsidRPr="00DA255C">
        <w:t>—</w:t>
      </w:r>
      <w:r w:rsidR="00024EB8" w:rsidRPr="00DA255C">
        <w:t>$</w:t>
      </w:r>
      <w:r w:rsidR="00586E31" w:rsidRPr="00DA255C">
        <w:t>6</w:t>
      </w:r>
      <w:r w:rsidR="00DA255C">
        <w:t> </w:t>
      </w:r>
      <w:r w:rsidR="00B53BDC" w:rsidRPr="00DA255C">
        <w:t>585</w:t>
      </w:r>
      <w:r w:rsidR="00313589" w:rsidRPr="00DA255C">
        <w:t>;</w:t>
      </w:r>
      <w:r w:rsidRPr="00DA255C">
        <w:t xml:space="preserve"> and</w:t>
      </w:r>
    </w:p>
    <w:p w:rsidR="001E48C7" w:rsidRPr="00DA255C" w:rsidRDefault="001E48C7" w:rsidP="00943453">
      <w:pPr>
        <w:pStyle w:val="paragraphsub"/>
      </w:pPr>
      <w:r w:rsidRPr="00DA255C">
        <w:tab/>
        <w:t>(ii)</w:t>
      </w:r>
      <w:r w:rsidRPr="00DA255C">
        <w:tab/>
        <w:t>if the goods are not biologics</w:t>
      </w:r>
      <w:r w:rsidR="00943453" w:rsidRPr="00DA255C">
        <w:t>—</w:t>
      </w:r>
      <w:r w:rsidR="00024EB8" w:rsidRPr="00DA255C">
        <w:t>$</w:t>
      </w:r>
      <w:r w:rsidR="00B53BDC" w:rsidRPr="00DA255C">
        <w:t>3</w:t>
      </w:r>
      <w:r w:rsidR="00DA255C">
        <w:t> </w:t>
      </w:r>
      <w:r w:rsidR="00B53BDC" w:rsidRPr="00DA255C">
        <w:t>955</w:t>
      </w:r>
      <w:r w:rsidR="00313589" w:rsidRPr="00DA255C">
        <w:t>;</w:t>
      </w:r>
      <w:r w:rsidRPr="00DA255C">
        <w:t xml:space="preserve"> and</w:t>
      </w:r>
    </w:p>
    <w:p w:rsidR="001E48C7" w:rsidRPr="00DA255C" w:rsidRDefault="001E48C7" w:rsidP="00943453">
      <w:pPr>
        <w:pStyle w:val="paragraph"/>
      </w:pPr>
      <w:r w:rsidRPr="00DA255C">
        <w:tab/>
        <w:t>(c)</w:t>
      </w:r>
      <w:r w:rsidRPr="00DA255C">
        <w:tab/>
        <w:t>for grouped goods (other than goods all of which are produced for export) the listing of which is in force at any time during the financial year to which the charge relates:</w:t>
      </w:r>
    </w:p>
    <w:p w:rsidR="001E48C7" w:rsidRPr="00DA255C" w:rsidRDefault="001E48C7" w:rsidP="00943453">
      <w:pPr>
        <w:pStyle w:val="paragraphsub"/>
      </w:pPr>
      <w:r w:rsidRPr="00DA255C">
        <w:tab/>
        <w:t>(i)</w:t>
      </w:r>
      <w:r w:rsidRPr="00DA255C">
        <w:tab/>
        <w:t>if the goods are medicines</w:t>
      </w:r>
      <w:r w:rsidR="00943453" w:rsidRPr="00DA255C">
        <w:t>—</w:t>
      </w:r>
      <w:r w:rsidR="00024EB8" w:rsidRPr="00DA255C">
        <w:t>$</w:t>
      </w:r>
      <w:r w:rsidR="00B53BDC" w:rsidRPr="00DA255C">
        <w:t>965</w:t>
      </w:r>
      <w:r w:rsidRPr="00DA255C">
        <w:t>; and</w:t>
      </w:r>
    </w:p>
    <w:p w:rsidR="001E48C7" w:rsidRPr="00DA255C" w:rsidRDefault="001E48C7" w:rsidP="00943453">
      <w:pPr>
        <w:pStyle w:val="paragraphsub"/>
      </w:pPr>
      <w:r w:rsidRPr="00DA255C">
        <w:tab/>
        <w:t>(ii)</w:t>
      </w:r>
      <w:r w:rsidRPr="00DA255C">
        <w:tab/>
        <w:t>if the goods are medical devices</w:t>
      </w:r>
      <w:r w:rsidR="00943453" w:rsidRPr="00DA255C">
        <w:t>—</w:t>
      </w:r>
      <w:r w:rsidR="00024EB8" w:rsidRPr="00DA255C">
        <w:t>$</w:t>
      </w:r>
      <w:r w:rsidR="00B53BDC" w:rsidRPr="00DA255C">
        <w:t>1</w:t>
      </w:r>
      <w:r w:rsidR="00DA255C">
        <w:t> </w:t>
      </w:r>
      <w:r w:rsidR="00B53BDC" w:rsidRPr="00DA255C">
        <w:t>350</w:t>
      </w:r>
      <w:r w:rsidR="00313589" w:rsidRPr="00DA255C">
        <w:t>;</w:t>
      </w:r>
      <w:r w:rsidRPr="00DA255C">
        <w:t xml:space="preserve"> and</w:t>
      </w:r>
    </w:p>
    <w:p w:rsidR="001E48C7" w:rsidRPr="00DA255C" w:rsidRDefault="001E48C7" w:rsidP="00943453">
      <w:pPr>
        <w:pStyle w:val="paragraphsub"/>
      </w:pPr>
      <w:r w:rsidRPr="00DA255C">
        <w:tab/>
        <w:t>(iii)</w:t>
      </w:r>
      <w:r w:rsidRPr="00DA255C">
        <w:tab/>
        <w:t>in any other case</w:t>
      </w:r>
      <w:r w:rsidR="00943453" w:rsidRPr="00DA255C">
        <w:t>—</w:t>
      </w:r>
      <w:r w:rsidR="00024EB8" w:rsidRPr="00DA255C">
        <w:t>$</w:t>
      </w:r>
      <w:r w:rsidR="00B53BDC" w:rsidRPr="00DA255C">
        <w:t>770</w:t>
      </w:r>
      <w:r w:rsidR="00313589" w:rsidRPr="00DA255C">
        <w:t>.</w:t>
      </w:r>
    </w:p>
    <w:p w:rsidR="002530B9" w:rsidRPr="00DA255C" w:rsidRDefault="002530B9" w:rsidP="00943453">
      <w:pPr>
        <w:pStyle w:val="subsection"/>
      </w:pPr>
      <w:r w:rsidRPr="00DA255C">
        <w:tab/>
        <w:t>(1AA)</w:t>
      </w:r>
      <w:r w:rsidRPr="00DA255C">
        <w:tab/>
        <w:t>For subsection</w:t>
      </w:r>
      <w:r w:rsidR="00DA255C">
        <w:t> </w:t>
      </w:r>
      <w:r w:rsidRPr="00DA255C">
        <w:t>4(1AA) of the Act, the annual charges for inclusion of a biological in the Register under Part</w:t>
      </w:r>
      <w:r w:rsidR="00DA255C">
        <w:t> </w:t>
      </w:r>
      <w:r w:rsidRPr="00DA255C">
        <w:t>3</w:t>
      </w:r>
      <w:r w:rsidR="00DA255C">
        <w:noBreakHyphen/>
      </w:r>
      <w:r w:rsidRPr="00DA255C">
        <w:t>2A of the Act are:</w:t>
      </w:r>
    </w:p>
    <w:p w:rsidR="002530B9" w:rsidRPr="00DA255C" w:rsidRDefault="002530B9" w:rsidP="00943453">
      <w:pPr>
        <w:pStyle w:val="paragraph"/>
      </w:pPr>
      <w:r w:rsidRPr="00DA255C">
        <w:tab/>
        <w:t>(a)</w:t>
      </w:r>
      <w:r w:rsidRPr="00DA255C">
        <w:tab/>
        <w:t>for a class 1 biological whose inclusion in the Register is in force at any time during the financial year to which the charge relates</w:t>
      </w:r>
      <w:r w:rsidR="00943453" w:rsidRPr="00DA255C">
        <w:t>—</w:t>
      </w:r>
      <w:r w:rsidR="00024EB8" w:rsidRPr="00DA255C">
        <w:t>$</w:t>
      </w:r>
      <w:r w:rsidR="00B53BDC" w:rsidRPr="00DA255C">
        <w:t>615</w:t>
      </w:r>
      <w:r w:rsidRPr="00DA255C">
        <w:t>; and</w:t>
      </w:r>
    </w:p>
    <w:p w:rsidR="002530B9" w:rsidRPr="00DA255C" w:rsidRDefault="002530B9" w:rsidP="00943453">
      <w:pPr>
        <w:pStyle w:val="paragraph"/>
      </w:pPr>
      <w:r w:rsidRPr="00DA255C">
        <w:tab/>
        <w:t>(b)</w:t>
      </w:r>
      <w:r w:rsidRPr="00DA255C">
        <w:tab/>
        <w:t>for a Class 2, Class 3 or Class 4 biological whose inclusion in the Register is in force at any time during the financial year to which the charge relates</w:t>
      </w:r>
      <w:r w:rsidR="00943453" w:rsidRPr="00DA255C">
        <w:t>—</w:t>
      </w:r>
      <w:r w:rsidR="00024EB8" w:rsidRPr="00DA255C">
        <w:t>$</w:t>
      </w:r>
      <w:r w:rsidR="00B53BDC" w:rsidRPr="00DA255C">
        <w:t>6</w:t>
      </w:r>
      <w:r w:rsidR="00DA255C">
        <w:t> </w:t>
      </w:r>
      <w:r w:rsidR="00B53BDC" w:rsidRPr="00DA255C">
        <w:t>125</w:t>
      </w:r>
      <w:r w:rsidRPr="00DA255C">
        <w:t>.</w:t>
      </w:r>
    </w:p>
    <w:p w:rsidR="001E48C7" w:rsidRPr="00DA255C" w:rsidRDefault="001E48C7" w:rsidP="00943453">
      <w:pPr>
        <w:pStyle w:val="subsection"/>
      </w:pPr>
      <w:r w:rsidRPr="00DA255C">
        <w:tab/>
        <w:t>(1B)</w:t>
      </w:r>
      <w:r w:rsidRPr="00DA255C">
        <w:tab/>
        <w:t>For the purposes of subsection</w:t>
      </w:r>
      <w:r w:rsidR="00DA255C">
        <w:t> </w:t>
      </w:r>
      <w:r w:rsidRPr="00DA255C">
        <w:t>4(1B) of the Act, the annual charges in respect of the inclusion of kinds of medical devices (other than medical devices produced for export) in the Register under Chapter</w:t>
      </w:r>
      <w:r w:rsidR="00DA255C">
        <w:t> </w:t>
      </w:r>
      <w:r w:rsidRPr="00DA255C">
        <w:t xml:space="preserve">4 of the </w:t>
      </w:r>
      <w:r w:rsidRPr="00DA255C">
        <w:rPr>
          <w:i/>
        </w:rPr>
        <w:t>Therapeutic Goods Act 1989</w:t>
      </w:r>
      <w:r w:rsidRPr="00DA255C">
        <w:t xml:space="preserve"> that has effect at any time during a financial year are as follows:</w:t>
      </w:r>
    </w:p>
    <w:p w:rsidR="001E48C7" w:rsidRPr="00DA255C" w:rsidRDefault="001E48C7" w:rsidP="00943453">
      <w:pPr>
        <w:pStyle w:val="paragraph"/>
      </w:pPr>
      <w:r w:rsidRPr="00DA255C">
        <w:tab/>
        <w:t>(a)</w:t>
      </w:r>
      <w:r w:rsidRPr="00DA255C">
        <w:tab/>
        <w:t xml:space="preserve">for a Class I medical device (other than a Class I medical device to which </w:t>
      </w:r>
      <w:r w:rsidR="00DA255C">
        <w:t>paragraph (</w:t>
      </w:r>
      <w:r w:rsidRPr="00DA255C">
        <w:t>b) applies)</w:t>
      </w:r>
      <w:r w:rsidR="00943453" w:rsidRPr="00DA255C">
        <w:t>—</w:t>
      </w:r>
      <w:r w:rsidR="00024EB8" w:rsidRPr="00DA255C">
        <w:t>$80</w:t>
      </w:r>
      <w:r w:rsidRPr="00DA255C">
        <w:t>;</w:t>
      </w:r>
    </w:p>
    <w:p w:rsidR="00127681" w:rsidRPr="00DA255C" w:rsidRDefault="00127681" w:rsidP="00943453">
      <w:pPr>
        <w:pStyle w:val="paragraph"/>
      </w:pPr>
      <w:r w:rsidRPr="00DA255C">
        <w:tab/>
        <w:t>(b)</w:t>
      </w:r>
      <w:r w:rsidRPr="00DA255C">
        <w:tab/>
        <w:t>for a Class I medical device that the manufacturer intends to be supplied in a sterile state or that has a measuring function</w:t>
      </w:r>
      <w:r w:rsidR="00943453" w:rsidRPr="00DA255C">
        <w:t>—</w:t>
      </w:r>
      <w:r w:rsidR="00024EB8" w:rsidRPr="00DA255C">
        <w:t>$</w:t>
      </w:r>
      <w:r w:rsidR="00B53BDC" w:rsidRPr="00DA255C">
        <w:t>615</w:t>
      </w:r>
      <w:r w:rsidRPr="00DA255C">
        <w:t>;</w:t>
      </w:r>
    </w:p>
    <w:p w:rsidR="00127681" w:rsidRPr="00DA255C" w:rsidRDefault="00127681" w:rsidP="00943453">
      <w:pPr>
        <w:pStyle w:val="paragraph"/>
      </w:pPr>
      <w:r w:rsidRPr="00DA255C">
        <w:tab/>
        <w:t>(c)</w:t>
      </w:r>
      <w:r w:rsidRPr="00DA255C">
        <w:tab/>
        <w:t>for a Class IIa medical device or Class IIb medical device</w:t>
      </w:r>
      <w:r w:rsidR="00943453" w:rsidRPr="00DA255C">
        <w:t>—</w:t>
      </w:r>
      <w:r w:rsidR="00024EB8" w:rsidRPr="00DA255C">
        <w:t>$</w:t>
      </w:r>
      <w:r w:rsidR="00B53BDC" w:rsidRPr="00DA255C">
        <w:t>940</w:t>
      </w:r>
      <w:r w:rsidRPr="00DA255C">
        <w:t>;</w:t>
      </w:r>
    </w:p>
    <w:p w:rsidR="00127681" w:rsidRPr="00DA255C" w:rsidRDefault="00127681" w:rsidP="00943453">
      <w:pPr>
        <w:pStyle w:val="paragraph"/>
      </w:pPr>
      <w:r w:rsidRPr="00DA255C">
        <w:tab/>
        <w:t>(d)</w:t>
      </w:r>
      <w:r w:rsidRPr="00DA255C">
        <w:tab/>
        <w:t>for a Class AIMD medical device or Class III medical device</w:t>
      </w:r>
      <w:r w:rsidR="00943453" w:rsidRPr="00DA255C">
        <w:t>—</w:t>
      </w:r>
      <w:r w:rsidR="00024EB8" w:rsidRPr="00DA255C">
        <w:t>$</w:t>
      </w:r>
      <w:r w:rsidR="00B53BDC" w:rsidRPr="00DA255C">
        <w:t>1</w:t>
      </w:r>
      <w:r w:rsidR="00DA255C">
        <w:t> </w:t>
      </w:r>
      <w:r w:rsidR="00B53BDC" w:rsidRPr="00DA255C">
        <w:t>210</w:t>
      </w:r>
      <w:r w:rsidR="00464C3F" w:rsidRPr="00DA255C">
        <w:t>;</w:t>
      </w:r>
    </w:p>
    <w:p w:rsidR="00464C3F" w:rsidRPr="00DA255C" w:rsidRDefault="00464C3F" w:rsidP="00943453">
      <w:pPr>
        <w:pStyle w:val="paragraph"/>
      </w:pPr>
      <w:r w:rsidRPr="00DA255C">
        <w:tab/>
        <w:t>(e)</w:t>
      </w:r>
      <w:r w:rsidRPr="00DA255C">
        <w:tab/>
        <w:t>for an IVD medical device</w:t>
      </w:r>
      <w:r w:rsidR="00943453" w:rsidRPr="00DA255C">
        <w:t>—</w:t>
      </w:r>
      <w:r w:rsidRPr="00DA255C">
        <w:t>nil.</w:t>
      </w:r>
    </w:p>
    <w:p w:rsidR="001E48C7" w:rsidRPr="00DA255C" w:rsidRDefault="001E48C7" w:rsidP="00943453">
      <w:pPr>
        <w:pStyle w:val="subsection"/>
      </w:pPr>
      <w:r w:rsidRPr="00DA255C">
        <w:tab/>
        <w:t>(2)</w:t>
      </w:r>
      <w:r w:rsidRPr="00DA255C">
        <w:tab/>
        <w:t>For the purposes of subsection</w:t>
      </w:r>
      <w:r w:rsidR="00DA255C">
        <w:t> </w:t>
      </w:r>
      <w:r w:rsidRPr="00DA255C">
        <w:t xml:space="preserve">4(2) of the Act, the annual charge for a licence that is in force at any time during a financial year is as </w:t>
      </w:r>
      <w:r w:rsidRPr="00DA255C">
        <w:t>follows:</w:t>
      </w:r>
    </w:p>
    <w:p w:rsidR="001E48C7" w:rsidRPr="00DA255C" w:rsidRDefault="001E48C7" w:rsidP="00943453">
      <w:pPr>
        <w:pStyle w:val="paragraph"/>
      </w:pPr>
      <w:r w:rsidRPr="00DA255C">
        <w:tab/>
        <w:t>(a)</w:t>
      </w:r>
      <w:r w:rsidRPr="00DA255C">
        <w:tab/>
        <w:t>for a licence for the manufacture of sterile or non</w:t>
      </w:r>
      <w:r w:rsidR="00DA255C">
        <w:noBreakHyphen/>
      </w:r>
      <w:r w:rsidRPr="00DA255C">
        <w:t>sterile therapeutic goods</w:t>
      </w:r>
      <w:r w:rsidR="00943453" w:rsidRPr="00DA255C">
        <w:t>—</w:t>
      </w:r>
      <w:r w:rsidR="00024EB8" w:rsidRPr="00DA255C">
        <w:t>$</w:t>
      </w:r>
      <w:r w:rsidR="00B53BDC" w:rsidRPr="00DA255C">
        <w:t>11</w:t>
      </w:r>
      <w:r w:rsidR="00DA255C">
        <w:t> </w:t>
      </w:r>
      <w:r w:rsidR="00B53BDC" w:rsidRPr="00DA255C">
        <w:t>500</w:t>
      </w:r>
      <w:r w:rsidR="008B1A88" w:rsidRPr="00DA255C">
        <w:t>;</w:t>
      </w:r>
    </w:p>
    <w:p w:rsidR="001E48C7" w:rsidRPr="00DA255C" w:rsidRDefault="001E48C7" w:rsidP="00943453">
      <w:pPr>
        <w:pStyle w:val="paragraph"/>
      </w:pPr>
      <w:r w:rsidRPr="00DA255C">
        <w:tab/>
        <w:t>(b)</w:t>
      </w:r>
      <w:r w:rsidRPr="00DA255C">
        <w:tab/>
        <w:t>for a licence for the manufacture of containers in which therapeutic goods are to be packed</w:t>
      </w:r>
      <w:r w:rsidR="00943453" w:rsidRPr="00DA255C">
        <w:t>—</w:t>
      </w:r>
      <w:r w:rsidR="00024EB8" w:rsidRPr="00DA255C">
        <w:t>$</w:t>
      </w:r>
      <w:r w:rsidR="00B53BDC" w:rsidRPr="00DA255C">
        <w:t>11</w:t>
      </w:r>
      <w:r w:rsidR="00DA255C">
        <w:t> </w:t>
      </w:r>
      <w:r w:rsidR="00B53BDC" w:rsidRPr="00DA255C">
        <w:t>500</w:t>
      </w:r>
      <w:r w:rsidR="008B1A88" w:rsidRPr="00DA255C">
        <w:t>;</w:t>
      </w:r>
    </w:p>
    <w:p w:rsidR="001E48C7" w:rsidRPr="00DA255C" w:rsidRDefault="001E48C7" w:rsidP="00943453">
      <w:pPr>
        <w:pStyle w:val="paragraph"/>
      </w:pPr>
      <w:r w:rsidRPr="00DA255C">
        <w:tab/>
        <w:t>(c)</w:t>
      </w:r>
      <w:r w:rsidRPr="00DA255C">
        <w:tab/>
        <w:t>for a licence for the manufacture of ingredients or components for use in the manufacture of therapeutic goods</w:t>
      </w:r>
      <w:r w:rsidR="00943453" w:rsidRPr="00DA255C">
        <w:t>—</w:t>
      </w:r>
      <w:r w:rsidR="00024EB8" w:rsidRPr="00DA255C">
        <w:t>$</w:t>
      </w:r>
      <w:r w:rsidR="008D019D" w:rsidRPr="00DA255C">
        <w:t>5</w:t>
      </w:r>
      <w:r w:rsidR="00DA255C">
        <w:t> </w:t>
      </w:r>
      <w:r w:rsidR="008D019D" w:rsidRPr="00DA255C">
        <w:t>900</w:t>
      </w:r>
      <w:r w:rsidR="008B1A88" w:rsidRPr="00DA255C">
        <w:t>;</w:t>
      </w:r>
    </w:p>
    <w:p w:rsidR="001E48C7" w:rsidRPr="00DA255C" w:rsidRDefault="001E48C7" w:rsidP="00943453">
      <w:pPr>
        <w:pStyle w:val="paragraph"/>
      </w:pPr>
      <w:r w:rsidRPr="00DA255C">
        <w:tab/>
        <w:t>(d)</w:t>
      </w:r>
      <w:r w:rsidRPr="00DA255C">
        <w:tab/>
        <w:t>for a licence for a single step in the manufacture of therapeutic goods</w:t>
      </w:r>
      <w:r w:rsidR="00943453" w:rsidRPr="00DA255C">
        <w:t>—</w:t>
      </w:r>
      <w:r w:rsidR="00024EB8" w:rsidRPr="00DA255C">
        <w:t>$</w:t>
      </w:r>
      <w:r w:rsidR="008D019D" w:rsidRPr="00DA255C">
        <w:t>5</w:t>
      </w:r>
      <w:r w:rsidR="00DA255C">
        <w:t> </w:t>
      </w:r>
      <w:r w:rsidR="008D019D" w:rsidRPr="00DA255C">
        <w:t>900</w:t>
      </w:r>
      <w:r w:rsidR="008B1A88" w:rsidRPr="00DA255C">
        <w:t>;</w:t>
      </w:r>
    </w:p>
    <w:p w:rsidR="001E48C7" w:rsidRPr="00DA255C" w:rsidRDefault="001E48C7" w:rsidP="00943453">
      <w:pPr>
        <w:pStyle w:val="paragraph"/>
      </w:pPr>
      <w:r w:rsidRPr="00DA255C">
        <w:tab/>
        <w:t>(e)</w:t>
      </w:r>
      <w:r w:rsidRPr="00DA255C">
        <w:tab/>
        <w:t>for a licence for the manufacture of a sterile or non</w:t>
      </w:r>
      <w:r w:rsidR="00DA255C">
        <w:noBreakHyphen/>
      </w:r>
      <w:r w:rsidRPr="00DA255C">
        <w:t>sterile single medicine</w:t>
      </w:r>
      <w:r w:rsidR="00943453" w:rsidRPr="00DA255C">
        <w:t>—</w:t>
      </w:r>
      <w:r w:rsidR="00024EB8" w:rsidRPr="00DA255C">
        <w:t>$</w:t>
      </w:r>
      <w:r w:rsidR="008D019D" w:rsidRPr="00DA255C">
        <w:t>5</w:t>
      </w:r>
      <w:r w:rsidR="00DA255C">
        <w:t> </w:t>
      </w:r>
      <w:r w:rsidR="008D019D" w:rsidRPr="00DA255C">
        <w:t>900</w:t>
      </w:r>
      <w:r w:rsidR="008B1A88" w:rsidRPr="00DA255C">
        <w:t>;</w:t>
      </w:r>
    </w:p>
    <w:p w:rsidR="001E48C7" w:rsidRPr="00DA255C" w:rsidRDefault="001E48C7" w:rsidP="00943453">
      <w:pPr>
        <w:pStyle w:val="paragraph"/>
      </w:pPr>
      <w:r w:rsidRPr="00DA255C">
        <w:tab/>
        <w:t>(f)</w:t>
      </w:r>
      <w:r w:rsidRPr="00DA255C">
        <w:tab/>
        <w:t>for a licence for the manufacture of a sterile or non</w:t>
      </w:r>
      <w:r w:rsidR="00DA255C">
        <w:noBreakHyphen/>
      </w:r>
      <w:r w:rsidRPr="00DA255C">
        <w:t>sterile single type of therapeutic device</w:t>
      </w:r>
      <w:r w:rsidR="00943453" w:rsidRPr="00DA255C">
        <w:t>—</w:t>
      </w:r>
      <w:r w:rsidR="00024EB8" w:rsidRPr="00DA255C">
        <w:t>$</w:t>
      </w:r>
      <w:r w:rsidR="008D019D" w:rsidRPr="00DA255C">
        <w:t>5</w:t>
      </w:r>
      <w:r w:rsidR="00DA255C">
        <w:t> </w:t>
      </w:r>
      <w:r w:rsidR="008D019D" w:rsidRPr="00DA255C">
        <w:t>900</w:t>
      </w:r>
      <w:r w:rsidR="008B1A88" w:rsidRPr="00DA255C">
        <w:t>;</w:t>
      </w:r>
    </w:p>
    <w:p w:rsidR="001E48C7" w:rsidRPr="00DA255C" w:rsidRDefault="001E48C7" w:rsidP="00943453">
      <w:pPr>
        <w:pStyle w:val="paragraph"/>
      </w:pPr>
      <w:r w:rsidRPr="00DA255C">
        <w:tab/>
        <w:t>(g)</w:t>
      </w:r>
      <w:r w:rsidRPr="00DA255C">
        <w:tab/>
        <w:t>for a licence for the manufacture of sterile or non</w:t>
      </w:r>
      <w:r w:rsidR="00DA255C">
        <w:noBreakHyphen/>
      </w:r>
      <w:r w:rsidRPr="00DA255C">
        <w:t>sterile diagnostic goods for in vitro use</w:t>
      </w:r>
      <w:r w:rsidR="00943453" w:rsidRPr="00DA255C">
        <w:t>—</w:t>
      </w:r>
      <w:r w:rsidR="00024EB8" w:rsidRPr="00DA255C">
        <w:t>$</w:t>
      </w:r>
      <w:r w:rsidR="008D019D" w:rsidRPr="00DA255C">
        <w:t>5</w:t>
      </w:r>
      <w:r w:rsidR="00DA255C">
        <w:t> </w:t>
      </w:r>
      <w:r w:rsidR="008D019D" w:rsidRPr="00DA255C">
        <w:t>900</w:t>
      </w:r>
      <w:r w:rsidR="008B1A88" w:rsidRPr="00DA255C">
        <w:t>;</w:t>
      </w:r>
    </w:p>
    <w:p w:rsidR="001E48C7" w:rsidRPr="00DA255C" w:rsidRDefault="001E48C7" w:rsidP="00943453">
      <w:pPr>
        <w:pStyle w:val="paragraph"/>
      </w:pPr>
      <w:r w:rsidRPr="00DA255C">
        <w:tab/>
        <w:t>(h)</w:t>
      </w:r>
      <w:r w:rsidRPr="00DA255C">
        <w:tab/>
        <w:t>for a licence for the manufacture of herbal</w:t>
      </w:r>
      <w:r w:rsidR="00B70884" w:rsidRPr="00DA255C">
        <w:t xml:space="preserve"> </w:t>
      </w:r>
      <w:r w:rsidRPr="00DA255C">
        <w:t>or homoeopathic preparations that are not included</w:t>
      </w:r>
      <w:r w:rsidR="00B70884" w:rsidRPr="00DA255C">
        <w:t xml:space="preserve"> </w:t>
      </w:r>
      <w:r w:rsidRPr="00DA255C">
        <w:t>in a Schedule to the Poisons Standard (other than</w:t>
      </w:r>
      <w:r w:rsidR="00B70884" w:rsidRPr="00DA255C">
        <w:t xml:space="preserve"> </w:t>
      </w:r>
      <w:r w:rsidRPr="00DA255C">
        <w:t>Schedule</w:t>
      </w:r>
      <w:r w:rsidR="00DA255C">
        <w:t> </w:t>
      </w:r>
      <w:r w:rsidRPr="00DA255C">
        <w:t>5 or 6)</w:t>
      </w:r>
      <w:r w:rsidR="00943453" w:rsidRPr="00DA255C">
        <w:t>—</w:t>
      </w:r>
      <w:r w:rsidR="00024EB8" w:rsidRPr="00DA255C">
        <w:t>$</w:t>
      </w:r>
      <w:r w:rsidR="008D019D" w:rsidRPr="00DA255C">
        <w:t>5</w:t>
      </w:r>
      <w:r w:rsidR="00DA255C">
        <w:t> </w:t>
      </w:r>
      <w:r w:rsidR="008D019D" w:rsidRPr="00DA255C">
        <w:t>900</w:t>
      </w:r>
      <w:r w:rsidR="008B1A88" w:rsidRPr="00DA255C">
        <w:t>;</w:t>
      </w:r>
    </w:p>
    <w:p w:rsidR="001E48C7" w:rsidRPr="00DA255C" w:rsidRDefault="001E48C7" w:rsidP="00943453">
      <w:pPr>
        <w:pStyle w:val="paragraph"/>
      </w:pPr>
      <w:r w:rsidRPr="00DA255C">
        <w:tab/>
        <w:t>(j)</w:t>
      </w:r>
      <w:r w:rsidRPr="00DA255C">
        <w:tab/>
        <w:t>for a licence for the manufacture of human blood and blood components (other than haematopoietic progenitor cells) at manufacturing premises covered by the licence:</w:t>
      </w:r>
    </w:p>
    <w:p w:rsidR="001E48C7" w:rsidRPr="00DA255C" w:rsidRDefault="001E48C7" w:rsidP="00943453">
      <w:pPr>
        <w:pStyle w:val="paragraphsub"/>
      </w:pPr>
      <w:r w:rsidRPr="00DA255C">
        <w:tab/>
        <w:t>(i)</w:t>
      </w:r>
      <w:r w:rsidRPr="00DA255C">
        <w:tab/>
        <w:t>for a primary site</w:t>
      </w:r>
      <w:r w:rsidR="00943453" w:rsidRPr="00DA255C">
        <w:t>—</w:t>
      </w:r>
      <w:r w:rsidR="00024EB8" w:rsidRPr="00DA255C">
        <w:t>$</w:t>
      </w:r>
      <w:r w:rsidR="008D019D" w:rsidRPr="00DA255C">
        <w:t>148</w:t>
      </w:r>
      <w:r w:rsidR="00DA255C">
        <w:t> </w:t>
      </w:r>
      <w:r w:rsidR="008D019D" w:rsidRPr="00DA255C">
        <w:t>200</w:t>
      </w:r>
      <w:r w:rsidRPr="00DA255C">
        <w:t>; and</w:t>
      </w:r>
    </w:p>
    <w:p w:rsidR="0095113D" w:rsidRPr="00DA255C" w:rsidRDefault="001E48C7" w:rsidP="00943453">
      <w:pPr>
        <w:pStyle w:val="paragraphsub"/>
      </w:pPr>
      <w:r w:rsidRPr="00DA255C">
        <w:tab/>
      </w:r>
      <w:r w:rsidR="0095113D" w:rsidRPr="00DA255C">
        <w:t>(ii)</w:t>
      </w:r>
      <w:r w:rsidR="0095113D" w:rsidRPr="00DA255C">
        <w:tab/>
        <w:t>for a fixed (non</w:t>
      </w:r>
      <w:r w:rsidR="00DA255C">
        <w:noBreakHyphen/>
      </w:r>
      <w:r w:rsidR="0095113D" w:rsidRPr="00DA255C">
        <w:t>mobile) manufacturing site</w:t>
      </w:r>
      <w:r w:rsidR="00943453" w:rsidRPr="00DA255C">
        <w:t>—</w:t>
      </w:r>
      <w:r w:rsidR="00024EB8" w:rsidRPr="00DA255C">
        <w:t>$</w:t>
      </w:r>
      <w:r w:rsidR="008D019D" w:rsidRPr="00DA255C">
        <w:t>7</w:t>
      </w:r>
      <w:r w:rsidR="00DA255C">
        <w:t> </w:t>
      </w:r>
      <w:r w:rsidR="008D019D" w:rsidRPr="00DA255C">
        <w:t>290</w:t>
      </w:r>
      <w:r w:rsidR="0095113D" w:rsidRPr="00DA255C">
        <w:t>;</w:t>
      </w:r>
    </w:p>
    <w:p w:rsidR="001E48C7" w:rsidRPr="00DA255C" w:rsidRDefault="001E48C7" w:rsidP="00943453">
      <w:pPr>
        <w:pStyle w:val="paragraph"/>
      </w:pPr>
      <w:r w:rsidRPr="00DA255C">
        <w:tab/>
        <w:t>(ja)</w:t>
      </w:r>
      <w:r w:rsidRPr="00DA255C">
        <w:tab/>
        <w:t>for a licence for the manufacture of haematopoietic progenitor cells at manufacturing premises covered by the licence</w:t>
      </w:r>
      <w:r w:rsidR="00943453" w:rsidRPr="00DA255C">
        <w:t>—</w:t>
      </w:r>
      <w:r w:rsidR="00024EB8" w:rsidRPr="00DA255C">
        <w:t>$</w:t>
      </w:r>
      <w:r w:rsidR="00F52C29" w:rsidRPr="00DA255C">
        <w:t>6</w:t>
      </w:r>
      <w:r w:rsidR="00DA255C">
        <w:t> </w:t>
      </w:r>
      <w:r w:rsidR="00F52C29" w:rsidRPr="00DA255C">
        <w:t>380</w:t>
      </w:r>
      <w:r w:rsidR="00CD6A05" w:rsidRPr="00DA255C">
        <w:t>;</w:t>
      </w:r>
    </w:p>
    <w:p w:rsidR="001E48C7" w:rsidRPr="00DA255C" w:rsidRDefault="001E48C7" w:rsidP="00943453">
      <w:pPr>
        <w:pStyle w:val="paragraph"/>
      </w:pPr>
      <w:r w:rsidRPr="00DA255C">
        <w:tab/>
        <w:t>(k)</w:t>
      </w:r>
      <w:r w:rsidRPr="00DA255C">
        <w:tab/>
        <w:t>for a licence for a single step in the manufacture of a single human tissue at manufacturing premises covered by the licence</w:t>
      </w:r>
      <w:r w:rsidR="00943453" w:rsidRPr="00DA255C">
        <w:t>—</w:t>
      </w:r>
      <w:r w:rsidR="00024EB8" w:rsidRPr="00DA255C">
        <w:t>$</w:t>
      </w:r>
      <w:r w:rsidR="00F52C29" w:rsidRPr="00DA255C">
        <w:t>6</w:t>
      </w:r>
      <w:r w:rsidR="00DA255C">
        <w:t> </w:t>
      </w:r>
      <w:r w:rsidR="00F52C29" w:rsidRPr="00DA255C">
        <w:t>380</w:t>
      </w:r>
      <w:r w:rsidR="008B1A88" w:rsidRPr="00DA255C">
        <w:t>;</w:t>
      </w:r>
    </w:p>
    <w:p w:rsidR="001E48C7" w:rsidRPr="00DA255C" w:rsidRDefault="001E48C7" w:rsidP="00943453">
      <w:pPr>
        <w:pStyle w:val="paragraph"/>
      </w:pPr>
      <w:r w:rsidRPr="00DA255C">
        <w:tab/>
        <w:t>(l)</w:t>
      </w:r>
      <w:r w:rsidRPr="00DA255C">
        <w:tab/>
        <w:t>for a licence for 2 or more steps in the manufacture of human tissues at manufacturing premises covered by the licence</w:t>
      </w:r>
      <w:r w:rsidR="00943453" w:rsidRPr="00DA255C">
        <w:t>—</w:t>
      </w:r>
      <w:r w:rsidR="00024EB8" w:rsidRPr="00DA255C">
        <w:t>$</w:t>
      </w:r>
      <w:r w:rsidR="00F52C29" w:rsidRPr="00DA255C">
        <w:t>12</w:t>
      </w:r>
      <w:r w:rsidR="00DA255C">
        <w:t> </w:t>
      </w:r>
      <w:r w:rsidR="00F52C29" w:rsidRPr="00DA255C">
        <w:t>400</w:t>
      </w:r>
      <w:r w:rsidR="004E0E6F" w:rsidRPr="00DA255C">
        <w:t>;</w:t>
      </w:r>
    </w:p>
    <w:p w:rsidR="00476F07" w:rsidRPr="00DA255C" w:rsidRDefault="00476F07" w:rsidP="00943453">
      <w:pPr>
        <w:pStyle w:val="paragraph"/>
      </w:pPr>
      <w:r w:rsidRPr="00DA255C">
        <w:tab/>
        <w:t>(m)</w:t>
      </w:r>
      <w:r w:rsidRPr="00DA255C">
        <w:tab/>
        <w:t xml:space="preserve">despite </w:t>
      </w:r>
      <w:r w:rsidR="00DA255C">
        <w:t>paragraphs (</w:t>
      </w:r>
      <w:r w:rsidRPr="00DA255C">
        <w:t>a) to (l)—for a licence for the manufacture of a biological only—Nil.</w:t>
      </w:r>
    </w:p>
    <w:p w:rsidR="00476F07" w:rsidRPr="00DA255C" w:rsidRDefault="00476F07" w:rsidP="00943453">
      <w:pPr>
        <w:pStyle w:val="subsection"/>
      </w:pPr>
      <w:r w:rsidRPr="00DA255C">
        <w:tab/>
        <w:t>(3)</w:t>
      </w:r>
      <w:r w:rsidRPr="00DA255C">
        <w:tab/>
        <w:t>If, but for this subregulation, more than one charge referred to in subregulation</w:t>
      </w:r>
      <w:r w:rsidR="00DA255C">
        <w:t> </w:t>
      </w:r>
      <w:r w:rsidRPr="00DA255C">
        <w:t xml:space="preserve">(1) or any of </w:t>
      </w:r>
      <w:r w:rsidR="00DA255C">
        <w:t>paragraphs (</w:t>
      </w:r>
      <w:r w:rsidRPr="00DA255C">
        <w:t>2)(a) to (l) would otherwise apply in respect of a financial year in relation to:</w:t>
      </w:r>
    </w:p>
    <w:p w:rsidR="00476F07" w:rsidRPr="00DA255C" w:rsidRDefault="00476F07" w:rsidP="00943453">
      <w:pPr>
        <w:pStyle w:val="paragraph"/>
      </w:pPr>
      <w:r w:rsidRPr="00DA255C">
        <w:tab/>
        <w:t>(a)</w:t>
      </w:r>
      <w:r w:rsidRPr="00DA255C">
        <w:tab/>
        <w:t>the registration or listing of particular goods; or</w:t>
      </w:r>
    </w:p>
    <w:p w:rsidR="00476F07" w:rsidRPr="00DA255C" w:rsidRDefault="00476F07" w:rsidP="00943453">
      <w:pPr>
        <w:pStyle w:val="paragraph"/>
      </w:pPr>
      <w:r w:rsidRPr="00DA255C">
        <w:tab/>
        <w:t>(b)</w:t>
      </w:r>
      <w:r w:rsidRPr="00DA255C">
        <w:tab/>
        <w:t>a particular licence;</w:t>
      </w:r>
    </w:p>
    <w:p w:rsidR="00476F07" w:rsidRPr="00DA255C" w:rsidRDefault="00476F07" w:rsidP="00943453">
      <w:pPr>
        <w:pStyle w:val="subsection2"/>
      </w:pPr>
      <w:r w:rsidRPr="00DA255C">
        <w:t xml:space="preserve">the charge that is the greatest applicable charge (other than a charge payable under any of </w:t>
      </w:r>
      <w:r w:rsidR="00DA255C">
        <w:t>paragraphs (</w:t>
      </w:r>
      <w:r w:rsidRPr="00DA255C">
        <w:t>2)(a) to (l) only because biologicals are manufactured) is the only charge that applies in respect of the registration or listing of those goods or in relation to that licence in that year.</w:t>
      </w:r>
    </w:p>
    <w:p w:rsidR="00B3318B" w:rsidRPr="00DA255C" w:rsidRDefault="00943453" w:rsidP="00943453">
      <w:pPr>
        <w:pStyle w:val="notetext"/>
      </w:pPr>
      <w:r w:rsidRPr="00DA255C">
        <w:t>Note:</w:t>
      </w:r>
      <w:r w:rsidRPr="00DA255C">
        <w:tab/>
      </w:r>
      <w:r w:rsidR="00B3318B" w:rsidRPr="00DA255C">
        <w:t>Under regulation</w:t>
      </w:r>
      <w:r w:rsidR="00DA255C">
        <w:t> </w:t>
      </w:r>
      <w:r w:rsidR="00B3318B" w:rsidRPr="00DA255C">
        <w:t xml:space="preserve">43AAJ of the </w:t>
      </w:r>
      <w:r w:rsidR="00B3318B" w:rsidRPr="00DA255C">
        <w:rPr>
          <w:i/>
        </w:rPr>
        <w:t>Therapeutic Goods Regulations</w:t>
      </w:r>
      <w:r w:rsidR="00DA255C">
        <w:rPr>
          <w:i/>
        </w:rPr>
        <w:t> </w:t>
      </w:r>
      <w:r w:rsidR="00B3318B" w:rsidRPr="00DA255C">
        <w:rPr>
          <w:i/>
        </w:rPr>
        <w:t>1990</w:t>
      </w:r>
      <w:r w:rsidR="00B3318B" w:rsidRPr="00DA255C">
        <w:t xml:space="preserve">, </w:t>
      </w:r>
      <w:r w:rsidR="00B3318B" w:rsidRPr="00DA255C">
        <w:t>the annual charge for a licence under Part</w:t>
      </w:r>
      <w:r w:rsidR="00DA255C">
        <w:t> </w:t>
      </w:r>
      <w:r w:rsidR="00B3318B" w:rsidRPr="00DA255C">
        <w:t>3</w:t>
      </w:r>
      <w:r w:rsidR="00DA255C">
        <w:noBreakHyphen/>
      </w:r>
      <w:r w:rsidR="00B3318B" w:rsidRPr="00DA255C">
        <w:t xml:space="preserve">3 of the </w:t>
      </w:r>
      <w:r w:rsidR="00B3318B" w:rsidRPr="00DA255C">
        <w:rPr>
          <w:i/>
        </w:rPr>
        <w:t>Therapeutic Goods Act 1989</w:t>
      </w:r>
      <w:r w:rsidR="00B3318B" w:rsidRPr="00DA255C">
        <w:t xml:space="preserve"> payable by a person whose wholesale turnover of therapeutic goods in a financial year is not more than </w:t>
      </w:r>
      <w:r w:rsidR="00024EB8" w:rsidRPr="00DA255C">
        <w:t>$</w:t>
      </w:r>
      <w:r w:rsidR="00F52C29" w:rsidRPr="00DA255C">
        <w:t>90</w:t>
      </w:r>
      <w:r w:rsidR="00DA255C">
        <w:t> </w:t>
      </w:r>
      <w:r w:rsidR="00F52C29" w:rsidRPr="00DA255C">
        <w:t>500</w:t>
      </w:r>
      <w:r w:rsidR="00B3318B" w:rsidRPr="00DA255C">
        <w:t xml:space="preserve"> is half the amount mentioned in subregulation</w:t>
      </w:r>
      <w:r w:rsidR="00DA255C">
        <w:t> </w:t>
      </w:r>
      <w:r w:rsidR="00B3318B" w:rsidRPr="00DA255C">
        <w:t xml:space="preserve">(2) for the person. The reduction in the annual charge does not apply to a licence for the </w:t>
      </w:r>
      <w:r w:rsidR="00B3318B" w:rsidRPr="00DA255C">
        <w:t>manufacture of human blood and blood components.</w:t>
      </w:r>
    </w:p>
    <w:p w:rsidR="001E48C7" w:rsidRPr="00DA255C" w:rsidRDefault="001E48C7" w:rsidP="00943453">
      <w:pPr>
        <w:pStyle w:val="subsection"/>
      </w:pPr>
      <w:r w:rsidRPr="00DA255C">
        <w:tab/>
        <w:t>(4)</w:t>
      </w:r>
      <w:r w:rsidRPr="00DA255C">
        <w:tab/>
        <w:t>For subregulation</w:t>
      </w:r>
      <w:r w:rsidR="00DA255C">
        <w:t> </w:t>
      </w:r>
      <w:r w:rsidRPr="00DA255C">
        <w:t>(2):</w:t>
      </w:r>
    </w:p>
    <w:p w:rsidR="001E48C7" w:rsidRPr="00DA255C" w:rsidRDefault="001E48C7" w:rsidP="00E17390">
      <w:pPr>
        <w:pStyle w:val="Definition"/>
      </w:pPr>
      <w:r w:rsidRPr="00DA255C">
        <w:rPr>
          <w:b/>
          <w:bCs/>
          <w:i/>
          <w:iCs/>
        </w:rPr>
        <w:t>haematopoietic progenitor cells</w:t>
      </w:r>
      <w:r w:rsidRPr="00DA255C">
        <w:rPr>
          <w:b/>
          <w:i/>
        </w:rPr>
        <w:t xml:space="preserve"> </w:t>
      </w:r>
      <w:r w:rsidRPr="00DA255C">
        <w:t>means primitive pluripotent haematopoietic cells capable of self</w:t>
      </w:r>
      <w:r w:rsidR="00DA255C">
        <w:noBreakHyphen/>
      </w:r>
      <w:r w:rsidRPr="00DA255C">
        <w:t>renewal as well as maturation into any of the haematopoietic lineages, including committed and lineage</w:t>
      </w:r>
      <w:r w:rsidR="00DA255C">
        <w:noBreakHyphen/>
      </w:r>
      <w:r w:rsidRPr="00DA255C">
        <w:t>restricted progenitor cells.</w:t>
      </w:r>
    </w:p>
    <w:p w:rsidR="001E48C7" w:rsidRPr="00DA255C" w:rsidRDefault="001E48C7" w:rsidP="00E17390">
      <w:pPr>
        <w:pStyle w:val="Definition"/>
      </w:pPr>
      <w:r w:rsidRPr="00DA255C">
        <w:rPr>
          <w:b/>
          <w:bCs/>
          <w:i/>
          <w:iCs/>
        </w:rPr>
        <w:t>primary site</w:t>
      </w:r>
      <w:r w:rsidRPr="00DA255C">
        <w:rPr>
          <w:b/>
          <w:i/>
        </w:rPr>
        <w:t xml:space="preserve"> </w:t>
      </w:r>
      <w:r w:rsidRPr="00DA255C">
        <w:t>means the principal premises in the capital city of each State and Territory where human blood and blood components are manufactured.</w:t>
      </w:r>
    </w:p>
    <w:p w:rsidR="001E48C7" w:rsidRPr="00DA255C" w:rsidRDefault="001E48C7" w:rsidP="00943453">
      <w:pPr>
        <w:pStyle w:val="subsection"/>
      </w:pPr>
    </w:p>
    <w:p w:rsidR="00943453" w:rsidRPr="00DA255C" w:rsidRDefault="00943453" w:rsidP="00F22323">
      <w:pPr>
        <w:sectPr w:rsidR="00943453" w:rsidRPr="00DA255C" w:rsidSect="006822C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5" w:name="OPCSB_BodyPrincipleB5"/>
    </w:p>
    <w:p w:rsidR="0092760D" w:rsidRPr="00DA255C" w:rsidRDefault="0092760D" w:rsidP="00DA255C">
      <w:pPr>
        <w:pStyle w:val="ENotesHeading1"/>
        <w:spacing w:line="240" w:lineRule="auto"/>
        <w:outlineLvl w:val="9"/>
      </w:pPr>
      <w:bookmarkStart w:id="6" w:name="_Toc392494411"/>
      <w:bookmarkEnd w:id="5"/>
      <w:r w:rsidRPr="00DA255C">
        <w:t>Endnotes</w:t>
      </w:r>
      <w:bookmarkEnd w:id="6"/>
    </w:p>
    <w:p w:rsidR="0092760D" w:rsidRPr="00DA255C" w:rsidRDefault="0092760D" w:rsidP="00DA255C">
      <w:pPr>
        <w:pStyle w:val="ENotesHeading2"/>
        <w:spacing w:line="240" w:lineRule="auto"/>
        <w:outlineLvl w:val="9"/>
      </w:pPr>
      <w:bookmarkStart w:id="7" w:name="_Toc392494412"/>
      <w:r w:rsidRPr="00DA255C">
        <w:t>Endnote 1—About the endnotes</w:t>
      </w:r>
      <w:bookmarkEnd w:id="7"/>
    </w:p>
    <w:p w:rsidR="0092760D" w:rsidRPr="00DA255C" w:rsidRDefault="0092760D" w:rsidP="004A0A99">
      <w:pPr>
        <w:spacing w:line="240" w:lineRule="auto"/>
      </w:pPr>
      <w:r w:rsidRPr="00DA255C">
        <w:t>The endnotes provide details of the history of this legislation and its provisions. The following endnotes are included in each compilation:</w:t>
      </w:r>
    </w:p>
    <w:p w:rsidR="0092760D" w:rsidRPr="00DA255C" w:rsidRDefault="0092760D" w:rsidP="004A0A99">
      <w:pPr>
        <w:spacing w:line="240" w:lineRule="auto"/>
      </w:pPr>
    </w:p>
    <w:p w:rsidR="0092760D" w:rsidRPr="00DA255C" w:rsidRDefault="0092760D" w:rsidP="004A0A99">
      <w:pPr>
        <w:spacing w:line="240" w:lineRule="auto"/>
      </w:pPr>
      <w:r w:rsidRPr="00DA255C">
        <w:t>Endnote 1—About the endnotes</w:t>
      </w:r>
    </w:p>
    <w:p w:rsidR="0092760D" w:rsidRPr="00DA255C" w:rsidRDefault="0092760D" w:rsidP="004A0A99">
      <w:pPr>
        <w:spacing w:line="240" w:lineRule="auto"/>
      </w:pPr>
      <w:r w:rsidRPr="00DA255C">
        <w:t>Endnote 2—Abbreviation key</w:t>
      </w:r>
    </w:p>
    <w:p w:rsidR="0092760D" w:rsidRPr="00DA255C" w:rsidRDefault="0092760D" w:rsidP="004A0A99">
      <w:pPr>
        <w:spacing w:line="240" w:lineRule="auto"/>
      </w:pPr>
      <w:r w:rsidRPr="00DA255C">
        <w:t>Endnote 3—Legislation history</w:t>
      </w:r>
    </w:p>
    <w:p w:rsidR="0092760D" w:rsidRPr="00DA255C" w:rsidRDefault="0092760D" w:rsidP="004A0A99">
      <w:pPr>
        <w:spacing w:line="240" w:lineRule="auto"/>
      </w:pPr>
      <w:r w:rsidRPr="00DA255C">
        <w:t>Endnote 4—Amendment history</w:t>
      </w:r>
    </w:p>
    <w:p w:rsidR="0092760D" w:rsidRPr="00DA255C" w:rsidRDefault="0092760D" w:rsidP="004A0A99">
      <w:pPr>
        <w:spacing w:line="240" w:lineRule="auto"/>
      </w:pPr>
      <w:r w:rsidRPr="00DA255C">
        <w:t>Endnote 5—Uncommenced amendments</w:t>
      </w:r>
    </w:p>
    <w:p w:rsidR="0092760D" w:rsidRPr="00DA255C" w:rsidRDefault="0092760D" w:rsidP="004A0A99">
      <w:pPr>
        <w:spacing w:line="240" w:lineRule="auto"/>
      </w:pPr>
      <w:r w:rsidRPr="00DA255C">
        <w:t>Endnote 6—Modifications</w:t>
      </w:r>
    </w:p>
    <w:p w:rsidR="0092760D" w:rsidRPr="00DA255C" w:rsidRDefault="0092760D" w:rsidP="004A0A99">
      <w:pPr>
        <w:spacing w:line="240" w:lineRule="auto"/>
      </w:pPr>
      <w:r w:rsidRPr="00DA255C">
        <w:t>Endnote 7—Misdescribed amendments</w:t>
      </w:r>
    </w:p>
    <w:p w:rsidR="0092760D" w:rsidRPr="00DA255C" w:rsidRDefault="0092760D" w:rsidP="004A0A99">
      <w:pPr>
        <w:spacing w:line="240" w:lineRule="auto"/>
      </w:pPr>
      <w:r w:rsidRPr="00DA255C">
        <w:t>Endnote 8—Miscellaneous</w:t>
      </w:r>
    </w:p>
    <w:p w:rsidR="0092760D" w:rsidRPr="00DA255C" w:rsidRDefault="0092760D" w:rsidP="004A0A99">
      <w:pPr>
        <w:spacing w:line="240" w:lineRule="auto"/>
        <w:rPr>
          <w:b/>
        </w:rPr>
      </w:pPr>
    </w:p>
    <w:p w:rsidR="0092760D" w:rsidRPr="00DA255C" w:rsidRDefault="0092760D" w:rsidP="004A0A99">
      <w:pPr>
        <w:spacing w:line="240" w:lineRule="auto"/>
      </w:pPr>
      <w:r w:rsidRPr="00DA255C">
        <w:t>If there is no information under a particular endnote, the word “none” will appear in square brackets after the endnote heading.</w:t>
      </w:r>
    </w:p>
    <w:p w:rsidR="0092760D" w:rsidRPr="00DA255C" w:rsidRDefault="0092760D" w:rsidP="004A0A99">
      <w:pPr>
        <w:spacing w:line="240" w:lineRule="auto"/>
        <w:rPr>
          <w:b/>
        </w:rPr>
      </w:pPr>
    </w:p>
    <w:p w:rsidR="0092760D" w:rsidRPr="00DA255C" w:rsidRDefault="0092760D" w:rsidP="004A0A99">
      <w:pPr>
        <w:spacing w:line="240" w:lineRule="auto"/>
      </w:pPr>
      <w:r w:rsidRPr="00DA255C">
        <w:rPr>
          <w:b/>
        </w:rPr>
        <w:t>Abbreviation key—Endnote 2</w:t>
      </w:r>
    </w:p>
    <w:p w:rsidR="0092760D" w:rsidRPr="00DA255C" w:rsidRDefault="0092760D" w:rsidP="004A0A99">
      <w:pPr>
        <w:spacing w:line="240" w:lineRule="auto"/>
      </w:pPr>
      <w:r w:rsidRPr="00DA255C">
        <w:t>The abbreviation key in this endnote sets out abbreviations that may be used in the endnotes.</w:t>
      </w:r>
    </w:p>
    <w:p w:rsidR="0092760D" w:rsidRPr="00DA255C" w:rsidRDefault="0092760D" w:rsidP="004A0A99">
      <w:pPr>
        <w:spacing w:line="240" w:lineRule="auto"/>
      </w:pPr>
    </w:p>
    <w:p w:rsidR="0092760D" w:rsidRPr="00DA255C" w:rsidRDefault="0092760D" w:rsidP="004A0A99">
      <w:pPr>
        <w:spacing w:line="240" w:lineRule="auto"/>
        <w:rPr>
          <w:b/>
        </w:rPr>
      </w:pPr>
      <w:r w:rsidRPr="00DA255C">
        <w:rPr>
          <w:b/>
        </w:rPr>
        <w:t>Legislation history and amendment history—Endnotes 3 and 4</w:t>
      </w:r>
    </w:p>
    <w:p w:rsidR="0092760D" w:rsidRPr="00DA255C" w:rsidRDefault="0092760D" w:rsidP="004A0A99">
      <w:pPr>
        <w:spacing w:line="240" w:lineRule="auto"/>
      </w:pPr>
      <w:r w:rsidRPr="00DA255C">
        <w:t>Amending laws are annotated in the legislation history and amendment history.</w:t>
      </w:r>
    </w:p>
    <w:p w:rsidR="0092760D" w:rsidRPr="00DA255C" w:rsidRDefault="0092760D" w:rsidP="004A0A99">
      <w:pPr>
        <w:spacing w:line="240" w:lineRule="auto"/>
      </w:pPr>
    </w:p>
    <w:p w:rsidR="0092760D" w:rsidRPr="00DA255C" w:rsidRDefault="0092760D" w:rsidP="004A0A99">
      <w:pPr>
        <w:spacing w:line="240" w:lineRule="auto"/>
      </w:pPr>
      <w:r w:rsidRPr="00DA255C">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92760D" w:rsidRPr="00DA255C" w:rsidRDefault="0092760D" w:rsidP="004A0A99">
      <w:pPr>
        <w:spacing w:line="240" w:lineRule="auto"/>
      </w:pPr>
    </w:p>
    <w:p w:rsidR="0092760D" w:rsidRPr="00DA255C" w:rsidRDefault="0092760D" w:rsidP="004A0A99">
      <w:pPr>
        <w:spacing w:line="240" w:lineRule="auto"/>
      </w:pPr>
      <w:r w:rsidRPr="00DA255C">
        <w:t>The amendment history in endnote 4 provides information about amendments at the provision level. It also includes information about any provisions that have expired or otherwise ceased to have effect in accordance with a provision of the compiled law.</w:t>
      </w:r>
    </w:p>
    <w:p w:rsidR="0092760D" w:rsidRPr="00DA255C" w:rsidRDefault="0092760D" w:rsidP="004A0A99">
      <w:pPr>
        <w:spacing w:line="240" w:lineRule="auto"/>
      </w:pPr>
    </w:p>
    <w:p w:rsidR="0092760D" w:rsidRPr="00DA255C" w:rsidRDefault="0092760D" w:rsidP="004A0A99">
      <w:pPr>
        <w:spacing w:line="240" w:lineRule="auto"/>
        <w:rPr>
          <w:b/>
        </w:rPr>
      </w:pPr>
      <w:r w:rsidRPr="00DA255C">
        <w:rPr>
          <w:b/>
        </w:rPr>
        <w:t>Uncommenced amendments—Endnote 5</w:t>
      </w:r>
    </w:p>
    <w:p w:rsidR="0092760D" w:rsidRPr="00DA255C" w:rsidRDefault="0092760D" w:rsidP="004A0A99">
      <w:pPr>
        <w:spacing w:line="240" w:lineRule="auto"/>
      </w:pPr>
      <w:r w:rsidRPr="00DA255C">
        <w:t>The effect of uncommenced amendments is not reflected in the text of the compiled law but the text of the amendments is included in endnote 5.</w:t>
      </w:r>
    </w:p>
    <w:p w:rsidR="0092760D" w:rsidRPr="00DA255C" w:rsidRDefault="0092760D" w:rsidP="004A0A99">
      <w:pPr>
        <w:keepNext/>
        <w:spacing w:line="240" w:lineRule="auto"/>
        <w:rPr>
          <w:b/>
        </w:rPr>
      </w:pPr>
      <w:r w:rsidRPr="00DA255C">
        <w:rPr>
          <w:b/>
        </w:rPr>
        <w:t>Modifications—Endnote 6</w:t>
      </w:r>
    </w:p>
    <w:p w:rsidR="0092760D" w:rsidRPr="00DA255C" w:rsidRDefault="0092760D" w:rsidP="004A0A99">
      <w:pPr>
        <w:spacing w:line="240" w:lineRule="auto"/>
      </w:pPr>
      <w:r w:rsidRPr="00DA255C">
        <w:t>If the compiled law is affected by a modification that is in force, details of the modification are included in endnote 6.</w:t>
      </w:r>
    </w:p>
    <w:p w:rsidR="0092760D" w:rsidRPr="00DA255C" w:rsidRDefault="0092760D" w:rsidP="004A0A99">
      <w:pPr>
        <w:spacing w:line="240" w:lineRule="auto"/>
      </w:pPr>
    </w:p>
    <w:p w:rsidR="0092760D" w:rsidRPr="00DA255C" w:rsidRDefault="0092760D" w:rsidP="004A0A99">
      <w:pPr>
        <w:keepNext/>
        <w:spacing w:line="240" w:lineRule="auto"/>
      </w:pPr>
      <w:r w:rsidRPr="00DA255C">
        <w:rPr>
          <w:b/>
        </w:rPr>
        <w:t>Misdescribed amendments—Endnote 7</w:t>
      </w:r>
    </w:p>
    <w:p w:rsidR="0092760D" w:rsidRPr="00DA255C" w:rsidRDefault="0092760D" w:rsidP="004A0A99">
      <w:pPr>
        <w:spacing w:line="240" w:lineRule="auto"/>
      </w:pPr>
      <w:r w:rsidRPr="00DA255C">
        <w:t>An amendment is a misdescribed amendment if the effect of the amendment cannot be incorporated into the text of the compilation. Any misdescribed amendment is included in endnote 7.</w:t>
      </w:r>
    </w:p>
    <w:p w:rsidR="0092760D" w:rsidRPr="00DA255C" w:rsidRDefault="0092760D" w:rsidP="004A0A99">
      <w:pPr>
        <w:spacing w:line="240" w:lineRule="auto"/>
      </w:pPr>
    </w:p>
    <w:p w:rsidR="0092760D" w:rsidRPr="00DA255C" w:rsidRDefault="0092760D" w:rsidP="004A0A99">
      <w:pPr>
        <w:spacing w:line="240" w:lineRule="auto"/>
        <w:rPr>
          <w:b/>
        </w:rPr>
      </w:pPr>
      <w:r w:rsidRPr="00DA255C">
        <w:rPr>
          <w:b/>
        </w:rPr>
        <w:t>Miscellaneous—Endnote 8</w:t>
      </w:r>
    </w:p>
    <w:p w:rsidR="0092760D" w:rsidRPr="00DA255C" w:rsidRDefault="0092760D" w:rsidP="004A0A99">
      <w:pPr>
        <w:spacing w:line="240" w:lineRule="auto"/>
      </w:pPr>
      <w:r w:rsidRPr="00DA255C">
        <w:t>Endnote 8 includes any additional information that may be helpful for a reader of the compilation.</w:t>
      </w:r>
    </w:p>
    <w:p w:rsidR="0092760D" w:rsidRPr="00DA255C" w:rsidRDefault="0092760D" w:rsidP="004A0A99">
      <w:pPr>
        <w:spacing w:line="240" w:lineRule="auto"/>
      </w:pPr>
    </w:p>
    <w:p w:rsidR="0092760D" w:rsidRPr="00DA255C" w:rsidRDefault="0092760D" w:rsidP="00860AC4">
      <w:pPr>
        <w:pStyle w:val="ENotesHeading2"/>
        <w:pageBreakBefore/>
        <w:outlineLvl w:val="9"/>
      </w:pPr>
      <w:bookmarkStart w:id="8" w:name="_Toc392494413"/>
      <w:r w:rsidRPr="00DA255C">
        <w:t>Endnote 2—Abbreviation key</w:t>
      </w:r>
      <w:bookmarkEnd w:id="8"/>
    </w:p>
    <w:p w:rsidR="0092760D" w:rsidRPr="00DA255C" w:rsidRDefault="0092760D" w:rsidP="00860AC4">
      <w:pPr>
        <w:pStyle w:val="Tabletext"/>
      </w:pPr>
    </w:p>
    <w:tbl>
      <w:tblPr>
        <w:tblW w:w="0" w:type="auto"/>
        <w:tblInd w:w="113" w:type="dxa"/>
        <w:tblLayout w:type="fixed"/>
        <w:tblLook w:val="0000" w:firstRow="0" w:lastRow="0" w:firstColumn="0" w:lastColumn="0" w:noHBand="0" w:noVBand="0"/>
      </w:tblPr>
      <w:tblGrid>
        <w:gridCol w:w="3543"/>
        <w:gridCol w:w="3543"/>
      </w:tblGrid>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ad = added or inserted</w:t>
            </w:r>
          </w:p>
        </w:tc>
        <w:tc>
          <w:tcPr>
            <w:tcW w:w="3543" w:type="dxa"/>
            <w:shd w:val="clear" w:color="auto" w:fill="auto"/>
          </w:tcPr>
          <w:p w:rsidR="0092760D" w:rsidRPr="00DA255C" w:rsidRDefault="0092760D" w:rsidP="00860AC4">
            <w:pPr>
              <w:pStyle w:val="ENoteTableText"/>
              <w:rPr>
                <w:sz w:val="20"/>
              </w:rPr>
            </w:pPr>
            <w:r w:rsidRPr="00DA255C">
              <w:rPr>
                <w:sz w:val="20"/>
              </w:rPr>
              <w:t>pres = present</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am = amended</w:t>
            </w:r>
          </w:p>
        </w:tc>
        <w:tc>
          <w:tcPr>
            <w:tcW w:w="3543" w:type="dxa"/>
            <w:shd w:val="clear" w:color="auto" w:fill="auto"/>
          </w:tcPr>
          <w:p w:rsidR="0092760D" w:rsidRPr="00DA255C" w:rsidRDefault="0092760D" w:rsidP="00860AC4">
            <w:pPr>
              <w:pStyle w:val="ENoteTableText"/>
              <w:rPr>
                <w:sz w:val="20"/>
              </w:rPr>
            </w:pPr>
            <w:r w:rsidRPr="00DA255C">
              <w:rPr>
                <w:sz w:val="20"/>
              </w:rPr>
              <w:t>prev = previous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c = clause(s)</w:t>
            </w:r>
          </w:p>
        </w:tc>
        <w:tc>
          <w:tcPr>
            <w:tcW w:w="3543" w:type="dxa"/>
            <w:shd w:val="clear" w:color="auto" w:fill="auto"/>
          </w:tcPr>
          <w:p w:rsidR="0092760D" w:rsidRPr="00DA255C" w:rsidRDefault="0092760D" w:rsidP="00860AC4">
            <w:pPr>
              <w:pStyle w:val="ENoteTableText"/>
              <w:rPr>
                <w:sz w:val="20"/>
              </w:rPr>
            </w:pPr>
            <w:r w:rsidRPr="00DA255C">
              <w:rPr>
                <w:sz w:val="20"/>
              </w:rPr>
              <w:t>(prev) = previously</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Ch = Chapter(s)</w:t>
            </w:r>
          </w:p>
        </w:tc>
        <w:tc>
          <w:tcPr>
            <w:tcW w:w="3543" w:type="dxa"/>
            <w:shd w:val="clear" w:color="auto" w:fill="auto"/>
          </w:tcPr>
          <w:p w:rsidR="0092760D" w:rsidRPr="00DA255C" w:rsidRDefault="0092760D" w:rsidP="00860AC4">
            <w:pPr>
              <w:pStyle w:val="ENoteTableText"/>
              <w:rPr>
                <w:sz w:val="20"/>
              </w:rPr>
            </w:pPr>
            <w:r w:rsidRPr="00DA255C">
              <w:rPr>
                <w:sz w:val="20"/>
              </w:rPr>
              <w:t>Pt = Part(s)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def = definition(s)</w:t>
            </w:r>
          </w:p>
        </w:tc>
        <w:tc>
          <w:tcPr>
            <w:tcW w:w="3543" w:type="dxa"/>
            <w:shd w:val="clear" w:color="auto" w:fill="auto"/>
          </w:tcPr>
          <w:p w:rsidR="0092760D" w:rsidRPr="00DA255C" w:rsidRDefault="0092760D" w:rsidP="00860AC4">
            <w:pPr>
              <w:pStyle w:val="ENoteTableText"/>
              <w:rPr>
                <w:sz w:val="20"/>
              </w:rPr>
            </w:pPr>
            <w:r w:rsidRPr="00DA255C">
              <w:rPr>
                <w:sz w:val="20"/>
              </w:rPr>
              <w:t>r = regulation(s)/rule(s)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Dict = Dictionary</w:t>
            </w:r>
          </w:p>
        </w:tc>
        <w:tc>
          <w:tcPr>
            <w:tcW w:w="3543" w:type="dxa"/>
            <w:shd w:val="clear" w:color="auto" w:fill="auto"/>
          </w:tcPr>
          <w:p w:rsidR="0092760D" w:rsidRPr="00DA255C" w:rsidRDefault="0092760D" w:rsidP="00860AC4">
            <w:pPr>
              <w:pStyle w:val="ENoteTableText"/>
              <w:rPr>
                <w:sz w:val="20"/>
              </w:rPr>
            </w:pPr>
            <w:r w:rsidRPr="00DA255C">
              <w:rPr>
                <w:sz w:val="20"/>
              </w:rPr>
              <w:t>Reg = Regulation/Regulations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disallowed = disallowed by Parliament</w:t>
            </w:r>
          </w:p>
        </w:tc>
        <w:tc>
          <w:tcPr>
            <w:tcW w:w="3543" w:type="dxa"/>
            <w:shd w:val="clear" w:color="auto" w:fill="auto"/>
          </w:tcPr>
          <w:p w:rsidR="0092760D" w:rsidRPr="00DA255C" w:rsidRDefault="0092760D" w:rsidP="00860AC4">
            <w:pPr>
              <w:pStyle w:val="ENoteTableText"/>
              <w:rPr>
                <w:sz w:val="20"/>
              </w:rPr>
            </w:pPr>
            <w:r w:rsidRPr="00DA255C">
              <w:rPr>
                <w:sz w:val="20"/>
              </w:rPr>
              <w:t>reloc = relocated</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Div = Division(s)</w:t>
            </w:r>
          </w:p>
        </w:tc>
        <w:tc>
          <w:tcPr>
            <w:tcW w:w="3543" w:type="dxa"/>
            <w:shd w:val="clear" w:color="auto" w:fill="auto"/>
          </w:tcPr>
          <w:p w:rsidR="0092760D" w:rsidRPr="00DA255C" w:rsidRDefault="0092760D" w:rsidP="00860AC4">
            <w:pPr>
              <w:pStyle w:val="ENoteTableText"/>
              <w:rPr>
                <w:sz w:val="20"/>
              </w:rPr>
            </w:pPr>
            <w:r w:rsidRPr="00DA255C">
              <w:rPr>
                <w:sz w:val="20"/>
              </w:rPr>
              <w:t>renum = renumbered</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exp = expired or ceased to have effect</w:t>
            </w:r>
          </w:p>
        </w:tc>
        <w:tc>
          <w:tcPr>
            <w:tcW w:w="3543" w:type="dxa"/>
            <w:shd w:val="clear" w:color="auto" w:fill="auto"/>
          </w:tcPr>
          <w:p w:rsidR="0092760D" w:rsidRPr="00DA255C" w:rsidRDefault="0092760D" w:rsidP="00860AC4">
            <w:pPr>
              <w:pStyle w:val="ENoteTableText"/>
              <w:rPr>
                <w:sz w:val="20"/>
              </w:rPr>
            </w:pPr>
            <w:r w:rsidRPr="00DA255C">
              <w:rPr>
                <w:sz w:val="20"/>
              </w:rPr>
              <w:t>rep = repealed</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hdg = heading(s)</w:t>
            </w:r>
          </w:p>
        </w:tc>
        <w:tc>
          <w:tcPr>
            <w:tcW w:w="3543" w:type="dxa"/>
            <w:shd w:val="clear" w:color="auto" w:fill="auto"/>
          </w:tcPr>
          <w:p w:rsidR="0092760D" w:rsidRPr="00DA255C" w:rsidRDefault="0092760D" w:rsidP="00860AC4">
            <w:pPr>
              <w:pStyle w:val="ENoteTableText"/>
              <w:rPr>
                <w:sz w:val="20"/>
              </w:rPr>
            </w:pPr>
            <w:r w:rsidRPr="00DA255C">
              <w:rPr>
                <w:sz w:val="20"/>
              </w:rPr>
              <w:t>rs = repealed and substituted</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LI = Legislative Instrument</w:t>
            </w:r>
          </w:p>
        </w:tc>
        <w:tc>
          <w:tcPr>
            <w:tcW w:w="3543" w:type="dxa"/>
            <w:shd w:val="clear" w:color="auto" w:fill="auto"/>
          </w:tcPr>
          <w:p w:rsidR="0092760D" w:rsidRPr="00DA255C" w:rsidRDefault="0092760D" w:rsidP="00860AC4">
            <w:pPr>
              <w:pStyle w:val="ENoteTableText"/>
              <w:rPr>
                <w:sz w:val="20"/>
              </w:rPr>
            </w:pPr>
            <w:r w:rsidRPr="00DA255C">
              <w:rPr>
                <w:sz w:val="20"/>
              </w:rPr>
              <w:t>s = section(s)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 xml:space="preserve">LIA = </w:t>
            </w:r>
            <w:r w:rsidRPr="00DA255C">
              <w:rPr>
                <w:i/>
                <w:sz w:val="20"/>
              </w:rPr>
              <w:t>Legislative Instruments Act 2003</w:t>
            </w:r>
          </w:p>
        </w:tc>
        <w:tc>
          <w:tcPr>
            <w:tcW w:w="3543" w:type="dxa"/>
            <w:shd w:val="clear" w:color="auto" w:fill="auto"/>
          </w:tcPr>
          <w:p w:rsidR="0092760D" w:rsidRPr="00DA255C" w:rsidRDefault="0092760D" w:rsidP="00860AC4">
            <w:pPr>
              <w:pStyle w:val="ENoteTableText"/>
              <w:rPr>
                <w:sz w:val="20"/>
              </w:rPr>
            </w:pPr>
            <w:r w:rsidRPr="00DA255C">
              <w:rPr>
                <w:sz w:val="20"/>
              </w:rPr>
              <w:t>Sch = Schedule(s)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mod = modified/modification</w:t>
            </w:r>
          </w:p>
        </w:tc>
        <w:tc>
          <w:tcPr>
            <w:tcW w:w="3543" w:type="dxa"/>
            <w:shd w:val="clear" w:color="auto" w:fill="auto"/>
          </w:tcPr>
          <w:p w:rsidR="0092760D" w:rsidRPr="00DA255C" w:rsidRDefault="0092760D" w:rsidP="00860AC4">
            <w:pPr>
              <w:pStyle w:val="ENoteTableText"/>
              <w:rPr>
                <w:sz w:val="20"/>
              </w:rPr>
            </w:pPr>
            <w:r w:rsidRPr="00DA255C">
              <w:rPr>
                <w:sz w:val="20"/>
              </w:rPr>
              <w:t>Sdiv = Subdivision(s)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No = Number(s)</w:t>
            </w:r>
          </w:p>
        </w:tc>
        <w:tc>
          <w:tcPr>
            <w:tcW w:w="3543" w:type="dxa"/>
            <w:shd w:val="clear" w:color="auto" w:fill="auto"/>
          </w:tcPr>
          <w:p w:rsidR="0092760D" w:rsidRPr="00DA255C" w:rsidRDefault="0092760D" w:rsidP="00860AC4">
            <w:pPr>
              <w:pStyle w:val="ENoteTableText"/>
              <w:rPr>
                <w:sz w:val="20"/>
              </w:rPr>
            </w:pPr>
            <w:r w:rsidRPr="00DA255C">
              <w:rPr>
                <w:sz w:val="20"/>
              </w:rPr>
              <w:t>SLI = Select Legislative Instrument</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o = order(s)</w:t>
            </w:r>
          </w:p>
        </w:tc>
        <w:tc>
          <w:tcPr>
            <w:tcW w:w="3543" w:type="dxa"/>
            <w:shd w:val="clear" w:color="auto" w:fill="auto"/>
          </w:tcPr>
          <w:p w:rsidR="0092760D" w:rsidRPr="00DA255C" w:rsidRDefault="0092760D" w:rsidP="00860AC4">
            <w:pPr>
              <w:pStyle w:val="ENoteTableText"/>
              <w:rPr>
                <w:sz w:val="20"/>
              </w:rPr>
            </w:pPr>
            <w:r w:rsidRPr="00DA255C">
              <w:rPr>
                <w:sz w:val="20"/>
              </w:rPr>
              <w:t>SR = Statutory Rules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Ord = Ordinance</w:t>
            </w:r>
          </w:p>
        </w:tc>
        <w:tc>
          <w:tcPr>
            <w:tcW w:w="3543" w:type="dxa"/>
            <w:shd w:val="clear" w:color="auto" w:fill="auto"/>
          </w:tcPr>
          <w:p w:rsidR="0092760D" w:rsidRPr="00DA255C" w:rsidRDefault="0092760D" w:rsidP="00860AC4">
            <w:pPr>
              <w:pStyle w:val="ENoteTableText"/>
              <w:rPr>
                <w:sz w:val="20"/>
              </w:rPr>
            </w:pPr>
            <w:r w:rsidRPr="00DA255C">
              <w:rPr>
                <w:sz w:val="20"/>
              </w:rPr>
              <w:t>Sub</w:t>
            </w:r>
            <w:r w:rsidR="00DA255C">
              <w:rPr>
                <w:sz w:val="20"/>
              </w:rPr>
              <w:noBreakHyphen/>
            </w:r>
            <w:r w:rsidRPr="00DA255C">
              <w:rPr>
                <w:sz w:val="20"/>
              </w:rPr>
              <w:t>Ch = Sub</w:t>
            </w:r>
            <w:r w:rsidR="00DA255C">
              <w:rPr>
                <w:sz w:val="20"/>
              </w:rPr>
              <w:noBreakHyphen/>
            </w:r>
            <w:r w:rsidRPr="00DA255C">
              <w:rPr>
                <w:sz w:val="20"/>
              </w:rPr>
              <w:t>Chapter(s)</w:t>
            </w:r>
          </w:p>
        </w:tc>
      </w:tr>
      <w:tr w:rsidR="0092760D" w:rsidRPr="00DA255C" w:rsidTr="00860AC4">
        <w:tc>
          <w:tcPr>
            <w:tcW w:w="3543" w:type="dxa"/>
            <w:shd w:val="clear" w:color="auto" w:fill="auto"/>
          </w:tcPr>
          <w:p w:rsidR="0092760D" w:rsidRPr="00DA255C" w:rsidRDefault="0092760D" w:rsidP="00860AC4">
            <w:pPr>
              <w:pStyle w:val="ENoteTableText"/>
              <w:rPr>
                <w:sz w:val="20"/>
              </w:rPr>
            </w:pPr>
            <w:r w:rsidRPr="00DA255C">
              <w:rPr>
                <w:sz w:val="20"/>
              </w:rPr>
              <w:t>orig = original</w:t>
            </w:r>
          </w:p>
        </w:tc>
        <w:tc>
          <w:tcPr>
            <w:tcW w:w="3543" w:type="dxa"/>
            <w:shd w:val="clear" w:color="auto" w:fill="auto"/>
          </w:tcPr>
          <w:p w:rsidR="0092760D" w:rsidRPr="00DA255C" w:rsidRDefault="0092760D" w:rsidP="00860AC4">
            <w:pPr>
              <w:pStyle w:val="ENoteTableText"/>
              <w:rPr>
                <w:sz w:val="20"/>
              </w:rPr>
            </w:pPr>
            <w:r w:rsidRPr="00DA255C">
              <w:rPr>
                <w:sz w:val="20"/>
              </w:rPr>
              <w:t>SubPt = Subpart(s)</w:t>
            </w:r>
          </w:p>
        </w:tc>
      </w:tr>
      <w:tr w:rsidR="0092760D" w:rsidRPr="00DA255C" w:rsidTr="00860AC4">
        <w:tc>
          <w:tcPr>
            <w:tcW w:w="3543" w:type="dxa"/>
            <w:shd w:val="clear" w:color="auto" w:fill="auto"/>
          </w:tcPr>
          <w:p w:rsidR="0092760D" w:rsidRPr="00DA255C" w:rsidRDefault="0092760D" w:rsidP="004A0A99">
            <w:pPr>
              <w:pStyle w:val="ENoteTableText"/>
              <w:ind w:left="454" w:hanging="454"/>
              <w:rPr>
                <w:sz w:val="20"/>
              </w:rPr>
            </w:pPr>
            <w:r w:rsidRPr="00DA255C">
              <w:rPr>
                <w:sz w:val="20"/>
              </w:rPr>
              <w:t>par = paragraph(s)/subparagraph(s)</w:t>
            </w:r>
            <w:r w:rsidR="004A0A99" w:rsidRPr="00DA255C">
              <w:rPr>
                <w:sz w:val="20"/>
              </w:rPr>
              <w:br/>
            </w:r>
            <w:r w:rsidRPr="00DA255C">
              <w:rPr>
                <w:sz w:val="20"/>
              </w:rPr>
              <w:t>/sub</w:t>
            </w:r>
            <w:r w:rsidR="00DA255C">
              <w:rPr>
                <w:sz w:val="20"/>
              </w:rPr>
              <w:noBreakHyphen/>
            </w:r>
            <w:r w:rsidRPr="00DA255C">
              <w:rPr>
                <w:sz w:val="20"/>
              </w:rPr>
              <w:t>subparagraph(s)</w:t>
            </w:r>
          </w:p>
        </w:tc>
        <w:tc>
          <w:tcPr>
            <w:tcW w:w="3543" w:type="dxa"/>
            <w:shd w:val="clear" w:color="auto" w:fill="auto"/>
          </w:tcPr>
          <w:p w:rsidR="0092760D" w:rsidRPr="00DA255C" w:rsidRDefault="0092760D" w:rsidP="00860AC4">
            <w:pPr>
              <w:pStyle w:val="ENoteTableText"/>
              <w:rPr>
                <w:sz w:val="20"/>
              </w:rPr>
            </w:pPr>
          </w:p>
        </w:tc>
      </w:tr>
    </w:tbl>
    <w:p w:rsidR="0092760D" w:rsidRPr="00DA255C" w:rsidRDefault="0092760D" w:rsidP="00860AC4">
      <w:pPr>
        <w:pStyle w:val="Tabletext"/>
      </w:pPr>
    </w:p>
    <w:p w:rsidR="0092760D" w:rsidRPr="00DA255C" w:rsidRDefault="0092760D" w:rsidP="00DA255C">
      <w:pPr>
        <w:pStyle w:val="ENotesHeading2"/>
        <w:pageBreakBefore/>
        <w:outlineLvl w:val="9"/>
      </w:pPr>
      <w:bookmarkStart w:id="9" w:name="_Toc392494414"/>
      <w:r w:rsidRPr="00DA255C">
        <w:t>Endnote 3—Legislation history</w:t>
      </w:r>
      <w:bookmarkEnd w:id="9"/>
    </w:p>
    <w:p w:rsidR="0092760D" w:rsidRPr="00DA255C" w:rsidRDefault="0092760D" w:rsidP="00860AC4">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2760D" w:rsidRPr="00DA255C" w:rsidTr="00B01A01">
        <w:trPr>
          <w:cantSplit/>
          <w:tblHeader/>
        </w:trPr>
        <w:tc>
          <w:tcPr>
            <w:tcW w:w="1806" w:type="dxa"/>
            <w:tcBorders>
              <w:top w:val="single" w:sz="12" w:space="0" w:color="auto"/>
              <w:bottom w:val="single" w:sz="12" w:space="0" w:color="auto"/>
            </w:tcBorders>
            <w:shd w:val="clear" w:color="auto" w:fill="auto"/>
          </w:tcPr>
          <w:p w:rsidR="0092760D" w:rsidRPr="00DA255C" w:rsidRDefault="0092760D" w:rsidP="00860AC4">
            <w:pPr>
              <w:pStyle w:val="ENoteTableHeading"/>
            </w:pPr>
            <w:r w:rsidRPr="00DA255C">
              <w:t>Number and year</w:t>
            </w:r>
          </w:p>
        </w:tc>
        <w:tc>
          <w:tcPr>
            <w:tcW w:w="1806" w:type="dxa"/>
            <w:tcBorders>
              <w:top w:val="single" w:sz="12" w:space="0" w:color="auto"/>
              <w:bottom w:val="single" w:sz="12" w:space="0" w:color="auto"/>
            </w:tcBorders>
            <w:shd w:val="clear" w:color="auto" w:fill="auto"/>
          </w:tcPr>
          <w:p w:rsidR="0092760D" w:rsidRPr="00DA255C" w:rsidRDefault="0092760D" w:rsidP="00860AC4">
            <w:pPr>
              <w:pStyle w:val="ENoteTableHeading"/>
            </w:pPr>
            <w:r w:rsidRPr="00DA255C">
              <w:t>FRLI registration</w:t>
            </w:r>
            <w:r w:rsidR="004A0A99" w:rsidRPr="00DA255C">
              <w:t xml:space="preserve"> or gazettal</w:t>
            </w:r>
          </w:p>
        </w:tc>
        <w:tc>
          <w:tcPr>
            <w:tcW w:w="1806" w:type="dxa"/>
            <w:tcBorders>
              <w:top w:val="single" w:sz="12" w:space="0" w:color="auto"/>
              <w:bottom w:val="single" w:sz="12" w:space="0" w:color="auto"/>
            </w:tcBorders>
            <w:shd w:val="clear" w:color="auto" w:fill="auto"/>
          </w:tcPr>
          <w:p w:rsidR="0092760D" w:rsidRPr="00DA255C" w:rsidRDefault="0092760D" w:rsidP="00860AC4">
            <w:pPr>
              <w:pStyle w:val="ENoteTableHeading"/>
            </w:pPr>
            <w:r w:rsidRPr="00DA255C">
              <w:t>Commencement</w:t>
            </w:r>
          </w:p>
        </w:tc>
        <w:tc>
          <w:tcPr>
            <w:tcW w:w="1806" w:type="dxa"/>
            <w:tcBorders>
              <w:top w:val="single" w:sz="12" w:space="0" w:color="auto"/>
              <w:bottom w:val="single" w:sz="12" w:space="0" w:color="auto"/>
            </w:tcBorders>
            <w:shd w:val="clear" w:color="auto" w:fill="auto"/>
          </w:tcPr>
          <w:p w:rsidR="0092760D" w:rsidRPr="00DA255C" w:rsidRDefault="0092760D" w:rsidP="00860AC4">
            <w:pPr>
              <w:pStyle w:val="ENoteTableHeading"/>
            </w:pPr>
            <w:r w:rsidRPr="00DA255C">
              <w:t>Application, saving and transitional provisions</w:t>
            </w:r>
          </w:p>
        </w:tc>
      </w:tr>
      <w:tr w:rsidR="00B01A01" w:rsidRPr="00DA255C" w:rsidTr="00CC279F">
        <w:trPr>
          <w:cantSplit/>
        </w:trPr>
        <w:tc>
          <w:tcPr>
            <w:tcW w:w="1806" w:type="dxa"/>
            <w:tcBorders>
              <w:top w:val="single" w:sz="12" w:space="0" w:color="auto"/>
              <w:bottom w:val="single" w:sz="4" w:space="0" w:color="auto"/>
            </w:tcBorders>
            <w:shd w:val="clear" w:color="auto" w:fill="auto"/>
          </w:tcPr>
          <w:p w:rsidR="00B01A01" w:rsidRPr="00DA255C" w:rsidRDefault="00B01A01" w:rsidP="00CC279F">
            <w:pPr>
              <w:pStyle w:val="ENoteTableText"/>
            </w:pPr>
            <w:r w:rsidRPr="00DA255C">
              <w:t>1990 No.</w:t>
            </w:r>
            <w:r w:rsidR="00DA255C">
              <w:t> </w:t>
            </w:r>
            <w:r w:rsidRPr="00DA255C">
              <w:t>395</w:t>
            </w:r>
          </w:p>
        </w:tc>
        <w:tc>
          <w:tcPr>
            <w:tcW w:w="1806" w:type="dxa"/>
            <w:tcBorders>
              <w:top w:val="single" w:sz="12" w:space="0" w:color="auto"/>
              <w:bottom w:val="single" w:sz="4" w:space="0" w:color="auto"/>
            </w:tcBorders>
            <w:shd w:val="clear" w:color="auto" w:fill="auto"/>
          </w:tcPr>
          <w:p w:rsidR="00B01A01" w:rsidRPr="00DA255C" w:rsidRDefault="00B01A01" w:rsidP="00CC279F">
            <w:pPr>
              <w:pStyle w:val="ENoteTableText"/>
            </w:pPr>
            <w:r w:rsidRPr="00DA255C">
              <w:t>6 Dec 1990</w:t>
            </w:r>
          </w:p>
        </w:tc>
        <w:tc>
          <w:tcPr>
            <w:tcW w:w="1806" w:type="dxa"/>
            <w:tcBorders>
              <w:top w:val="single" w:sz="12" w:space="0" w:color="auto"/>
              <w:bottom w:val="single" w:sz="4" w:space="0" w:color="auto"/>
            </w:tcBorders>
            <w:shd w:val="clear" w:color="auto" w:fill="auto"/>
          </w:tcPr>
          <w:p w:rsidR="00B01A01" w:rsidRPr="00DA255C" w:rsidRDefault="00B01A01" w:rsidP="00CC279F">
            <w:pPr>
              <w:pStyle w:val="ENoteTableText"/>
            </w:pPr>
            <w:r w:rsidRPr="00DA255C">
              <w:t>1</w:t>
            </w:r>
            <w:r w:rsidR="00DA255C">
              <w:t> </w:t>
            </w:r>
            <w:r w:rsidRPr="00DA255C">
              <w:t>July 1990</w:t>
            </w:r>
          </w:p>
        </w:tc>
        <w:tc>
          <w:tcPr>
            <w:tcW w:w="1806" w:type="dxa"/>
            <w:tcBorders>
              <w:top w:val="single" w:sz="12" w:space="0" w:color="auto"/>
              <w:bottom w:val="single" w:sz="4" w:space="0" w:color="auto"/>
            </w:tcBorders>
            <w:shd w:val="clear" w:color="auto" w:fill="auto"/>
          </w:tcPr>
          <w:p w:rsidR="00B01A01" w:rsidRPr="00DA255C" w:rsidRDefault="00B01A01" w:rsidP="00CC279F">
            <w:pPr>
              <w:pStyle w:val="ENoteTableText"/>
            </w:pP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1991 No.</w:t>
            </w:r>
            <w:r w:rsidR="00DA255C">
              <w:t> </w:t>
            </w:r>
            <w:r w:rsidRPr="00DA255C">
              <w:t>85</w:t>
            </w:r>
          </w:p>
        </w:tc>
        <w:tc>
          <w:tcPr>
            <w:tcW w:w="1806" w:type="dxa"/>
            <w:shd w:val="clear" w:color="auto" w:fill="auto"/>
          </w:tcPr>
          <w:p w:rsidR="00B01A01" w:rsidRPr="00DA255C" w:rsidRDefault="00B01A01" w:rsidP="00CC279F">
            <w:pPr>
              <w:pStyle w:val="ENoteTableText"/>
            </w:pPr>
            <w:r w:rsidRPr="00DA255C">
              <w:t>30 Apr 1991</w:t>
            </w:r>
          </w:p>
        </w:tc>
        <w:tc>
          <w:tcPr>
            <w:tcW w:w="1806" w:type="dxa"/>
            <w:shd w:val="clear" w:color="auto" w:fill="auto"/>
          </w:tcPr>
          <w:p w:rsidR="00B01A01" w:rsidRPr="00DA255C" w:rsidRDefault="00B01A01" w:rsidP="00CC279F">
            <w:pPr>
              <w:pStyle w:val="ENoteTableText"/>
            </w:pPr>
            <w:r w:rsidRPr="00DA255C">
              <w:t>30 Apr 1991</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1992 No.</w:t>
            </w:r>
            <w:r w:rsidR="00DA255C">
              <w:t> </w:t>
            </w:r>
            <w:r w:rsidRPr="00DA255C">
              <w:t>88</w:t>
            </w:r>
          </w:p>
        </w:tc>
        <w:tc>
          <w:tcPr>
            <w:tcW w:w="1806" w:type="dxa"/>
            <w:shd w:val="clear" w:color="auto" w:fill="auto"/>
          </w:tcPr>
          <w:p w:rsidR="00B01A01" w:rsidRPr="00DA255C" w:rsidRDefault="00B01A01" w:rsidP="00CC279F">
            <w:pPr>
              <w:pStyle w:val="ENoteTableText"/>
            </w:pPr>
            <w:r w:rsidRPr="00DA255C">
              <w:t>14 Apr 1992</w:t>
            </w:r>
          </w:p>
        </w:tc>
        <w:tc>
          <w:tcPr>
            <w:tcW w:w="1806" w:type="dxa"/>
            <w:shd w:val="clear" w:color="auto" w:fill="auto"/>
          </w:tcPr>
          <w:p w:rsidR="00B01A01" w:rsidRPr="00DA255C" w:rsidRDefault="00B01A01" w:rsidP="00CC279F">
            <w:pPr>
              <w:pStyle w:val="ENoteTableText"/>
            </w:pPr>
            <w:r w:rsidRPr="00DA255C">
              <w:t>14 Apr 1992</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1993 No.</w:t>
            </w:r>
            <w:r w:rsidR="00DA255C">
              <w:t> </w:t>
            </w:r>
            <w:r w:rsidRPr="00DA255C">
              <w:t>140</w:t>
            </w:r>
          </w:p>
        </w:tc>
        <w:tc>
          <w:tcPr>
            <w:tcW w:w="1806" w:type="dxa"/>
            <w:shd w:val="clear" w:color="auto" w:fill="auto"/>
          </w:tcPr>
          <w:p w:rsidR="00B01A01" w:rsidRPr="00DA255C" w:rsidRDefault="00B01A01" w:rsidP="00CC279F">
            <w:pPr>
              <w:pStyle w:val="ENoteTableText"/>
            </w:pPr>
            <w:r w:rsidRPr="00DA255C">
              <w:t>25</w:t>
            </w:r>
            <w:r w:rsidR="00DA255C">
              <w:t> </w:t>
            </w:r>
            <w:r w:rsidRPr="00DA255C">
              <w:t>June 1993</w:t>
            </w:r>
          </w:p>
        </w:tc>
        <w:tc>
          <w:tcPr>
            <w:tcW w:w="1806" w:type="dxa"/>
            <w:shd w:val="clear" w:color="auto" w:fill="auto"/>
          </w:tcPr>
          <w:p w:rsidR="00B01A01" w:rsidRPr="00DA255C" w:rsidRDefault="00B01A01" w:rsidP="00CC279F">
            <w:pPr>
              <w:pStyle w:val="ENoteTableText"/>
            </w:pPr>
            <w:r w:rsidRPr="00DA255C">
              <w:t>1</w:t>
            </w:r>
            <w:r w:rsidR="00DA255C">
              <w:t> </w:t>
            </w:r>
            <w:r w:rsidRPr="00DA255C">
              <w:t>July 1993</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1994 No.</w:t>
            </w:r>
            <w:r w:rsidR="00DA255C">
              <w:t> </w:t>
            </w:r>
            <w:r w:rsidRPr="00DA255C">
              <w:t>149</w:t>
            </w:r>
          </w:p>
        </w:tc>
        <w:tc>
          <w:tcPr>
            <w:tcW w:w="1806" w:type="dxa"/>
            <w:shd w:val="clear" w:color="auto" w:fill="auto"/>
          </w:tcPr>
          <w:p w:rsidR="00B01A01" w:rsidRPr="00DA255C" w:rsidRDefault="00B01A01" w:rsidP="00CC279F">
            <w:pPr>
              <w:pStyle w:val="ENoteTableText"/>
            </w:pPr>
            <w:r w:rsidRPr="00DA255C">
              <w:t>2</w:t>
            </w:r>
            <w:r w:rsidR="00DA255C">
              <w:t> </w:t>
            </w:r>
            <w:r w:rsidRPr="00DA255C">
              <w:t>June 1994</w:t>
            </w:r>
          </w:p>
        </w:tc>
        <w:tc>
          <w:tcPr>
            <w:tcW w:w="1806" w:type="dxa"/>
            <w:shd w:val="clear" w:color="auto" w:fill="auto"/>
          </w:tcPr>
          <w:p w:rsidR="00B01A01" w:rsidRPr="00DA255C" w:rsidRDefault="00B01A01" w:rsidP="00CC279F">
            <w:pPr>
              <w:pStyle w:val="ENoteTableText"/>
            </w:pPr>
            <w:r w:rsidRPr="00DA255C">
              <w:t>2</w:t>
            </w:r>
            <w:r w:rsidR="00DA255C">
              <w:t> </w:t>
            </w:r>
            <w:r w:rsidRPr="00DA255C">
              <w:t>June 1994</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1994 No.</w:t>
            </w:r>
            <w:r w:rsidR="00DA255C">
              <w:t> </w:t>
            </w:r>
            <w:r w:rsidRPr="00DA255C">
              <w:t>223</w:t>
            </w:r>
          </w:p>
        </w:tc>
        <w:tc>
          <w:tcPr>
            <w:tcW w:w="1806" w:type="dxa"/>
            <w:shd w:val="clear" w:color="auto" w:fill="auto"/>
          </w:tcPr>
          <w:p w:rsidR="00B01A01" w:rsidRPr="00DA255C" w:rsidRDefault="00B01A01" w:rsidP="00CC279F">
            <w:pPr>
              <w:pStyle w:val="ENoteTableText"/>
            </w:pPr>
            <w:r w:rsidRPr="00DA255C">
              <w:t>30</w:t>
            </w:r>
            <w:r w:rsidR="00DA255C">
              <w:t> </w:t>
            </w:r>
            <w:r w:rsidRPr="00DA255C">
              <w:t>June 1994</w:t>
            </w:r>
          </w:p>
        </w:tc>
        <w:tc>
          <w:tcPr>
            <w:tcW w:w="1806" w:type="dxa"/>
            <w:shd w:val="clear" w:color="auto" w:fill="auto"/>
          </w:tcPr>
          <w:p w:rsidR="00B01A01" w:rsidRPr="00DA255C" w:rsidRDefault="00B01A01" w:rsidP="00CC279F">
            <w:pPr>
              <w:pStyle w:val="ENoteTableText"/>
            </w:pPr>
            <w:r w:rsidRPr="00DA255C">
              <w:t>1</w:t>
            </w:r>
            <w:r w:rsidR="00DA255C">
              <w:t> </w:t>
            </w:r>
            <w:r w:rsidRPr="00DA255C">
              <w:t>July 1994</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1995 No.</w:t>
            </w:r>
            <w:r w:rsidR="00DA255C">
              <w:t> </w:t>
            </w:r>
            <w:r w:rsidRPr="00DA255C">
              <w:t>193</w:t>
            </w:r>
          </w:p>
        </w:tc>
        <w:tc>
          <w:tcPr>
            <w:tcW w:w="1806" w:type="dxa"/>
            <w:shd w:val="clear" w:color="auto" w:fill="auto"/>
          </w:tcPr>
          <w:p w:rsidR="00B01A01" w:rsidRPr="00DA255C" w:rsidRDefault="00B01A01" w:rsidP="00CC279F">
            <w:pPr>
              <w:pStyle w:val="ENoteTableText"/>
            </w:pPr>
            <w:r w:rsidRPr="00DA255C">
              <w:t>30</w:t>
            </w:r>
            <w:r w:rsidR="00DA255C">
              <w:t> </w:t>
            </w:r>
            <w:r w:rsidRPr="00DA255C">
              <w:t>June 1995</w:t>
            </w:r>
          </w:p>
        </w:tc>
        <w:tc>
          <w:tcPr>
            <w:tcW w:w="1806" w:type="dxa"/>
            <w:shd w:val="clear" w:color="auto" w:fill="auto"/>
          </w:tcPr>
          <w:p w:rsidR="00B01A01" w:rsidRPr="00DA255C" w:rsidRDefault="00B01A01" w:rsidP="00CC279F">
            <w:pPr>
              <w:pStyle w:val="ENoteTableText"/>
            </w:pPr>
            <w:r w:rsidRPr="00DA255C">
              <w:t>1</w:t>
            </w:r>
            <w:r w:rsidR="00DA255C">
              <w:t> </w:t>
            </w:r>
            <w:r w:rsidRPr="00DA255C">
              <w:t>July 1995</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1996 No.</w:t>
            </w:r>
            <w:r w:rsidR="00DA255C">
              <w:t> </w:t>
            </w:r>
            <w:r w:rsidRPr="00DA255C">
              <w:t>132</w:t>
            </w:r>
          </w:p>
        </w:tc>
        <w:tc>
          <w:tcPr>
            <w:tcW w:w="1806" w:type="dxa"/>
            <w:shd w:val="clear" w:color="auto" w:fill="auto"/>
          </w:tcPr>
          <w:p w:rsidR="00B01A01" w:rsidRPr="00DA255C" w:rsidRDefault="00B01A01" w:rsidP="00CC279F">
            <w:pPr>
              <w:pStyle w:val="ENoteTableText"/>
            </w:pPr>
            <w:r w:rsidRPr="00DA255C">
              <w:t>28</w:t>
            </w:r>
            <w:r w:rsidR="00DA255C">
              <w:t> </w:t>
            </w:r>
            <w:r w:rsidRPr="00DA255C">
              <w:t>June 1996</w:t>
            </w:r>
          </w:p>
        </w:tc>
        <w:tc>
          <w:tcPr>
            <w:tcW w:w="1806" w:type="dxa"/>
            <w:shd w:val="clear" w:color="auto" w:fill="auto"/>
          </w:tcPr>
          <w:p w:rsidR="00B01A01" w:rsidRPr="00DA255C" w:rsidRDefault="00B01A01" w:rsidP="00CC279F">
            <w:pPr>
              <w:pStyle w:val="ENoteTableText"/>
            </w:pPr>
            <w:r w:rsidRPr="00DA255C">
              <w:t>1</w:t>
            </w:r>
            <w:r w:rsidR="00DA255C">
              <w:t> </w:t>
            </w:r>
            <w:r w:rsidRPr="00DA255C">
              <w:t xml:space="preserve">July 1996 </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1997 No.</w:t>
            </w:r>
            <w:r w:rsidR="00DA255C">
              <w:t> </w:t>
            </w:r>
            <w:r w:rsidRPr="00DA255C">
              <w:t>161</w:t>
            </w:r>
          </w:p>
        </w:tc>
        <w:tc>
          <w:tcPr>
            <w:tcW w:w="1806" w:type="dxa"/>
            <w:shd w:val="clear" w:color="auto" w:fill="auto"/>
          </w:tcPr>
          <w:p w:rsidR="00B01A01" w:rsidRPr="00DA255C" w:rsidRDefault="00B01A01" w:rsidP="00CC279F">
            <w:pPr>
              <w:pStyle w:val="ENoteTableText"/>
            </w:pPr>
            <w:r w:rsidRPr="00DA255C">
              <w:t>30</w:t>
            </w:r>
            <w:r w:rsidR="00DA255C">
              <w:t> </w:t>
            </w:r>
            <w:r w:rsidRPr="00DA255C">
              <w:t>June 1997</w:t>
            </w:r>
          </w:p>
        </w:tc>
        <w:tc>
          <w:tcPr>
            <w:tcW w:w="1806" w:type="dxa"/>
            <w:shd w:val="clear" w:color="auto" w:fill="auto"/>
          </w:tcPr>
          <w:p w:rsidR="00B01A01" w:rsidRPr="00DA255C" w:rsidRDefault="00B01A01" w:rsidP="00CC279F">
            <w:pPr>
              <w:pStyle w:val="ENoteTableText"/>
            </w:pPr>
            <w:r w:rsidRPr="00DA255C">
              <w:t>1</w:t>
            </w:r>
            <w:r w:rsidR="00DA255C">
              <w:t> </w:t>
            </w:r>
            <w:r w:rsidRPr="00DA255C">
              <w:t>July 1997</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1998 No.</w:t>
            </w:r>
            <w:r w:rsidR="00DA255C">
              <w:t> </w:t>
            </w:r>
            <w:r w:rsidRPr="00DA255C">
              <w:t>246</w:t>
            </w:r>
          </w:p>
        </w:tc>
        <w:tc>
          <w:tcPr>
            <w:tcW w:w="1806" w:type="dxa"/>
            <w:shd w:val="clear" w:color="auto" w:fill="auto"/>
          </w:tcPr>
          <w:p w:rsidR="00B01A01" w:rsidRPr="00DA255C" w:rsidRDefault="00B01A01" w:rsidP="00CC279F">
            <w:pPr>
              <w:pStyle w:val="ENoteTableText"/>
            </w:pPr>
            <w:r w:rsidRPr="00DA255C">
              <w:t>31</w:t>
            </w:r>
            <w:r w:rsidR="00DA255C">
              <w:t> </w:t>
            </w:r>
            <w:r w:rsidRPr="00DA255C">
              <w:t>July 1998</w:t>
            </w:r>
          </w:p>
        </w:tc>
        <w:tc>
          <w:tcPr>
            <w:tcW w:w="1806" w:type="dxa"/>
            <w:shd w:val="clear" w:color="auto" w:fill="auto"/>
          </w:tcPr>
          <w:p w:rsidR="00B01A01" w:rsidRPr="00DA255C" w:rsidRDefault="00B01A01" w:rsidP="00CC279F">
            <w:pPr>
              <w:pStyle w:val="ENoteTableText"/>
            </w:pPr>
            <w:r w:rsidRPr="00DA255C">
              <w:t>1 Aug 1998</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1998 No.</w:t>
            </w:r>
            <w:r w:rsidR="00DA255C">
              <w:t> </w:t>
            </w:r>
            <w:r w:rsidRPr="00DA255C">
              <w:t>260</w:t>
            </w:r>
          </w:p>
        </w:tc>
        <w:tc>
          <w:tcPr>
            <w:tcW w:w="1806" w:type="dxa"/>
            <w:shd w:val="clear" w:color="auto" w:fill="auto"/>
          </w:tcPr>
          <w:p w:rsidR="00B01A01" w:rsidRPr="00DA255C" w:rsidRDefault="00B01A01" w:rsidP="00CC279F">
            <w:pPr>
              <w:pStyle w:val="ENoteTableText"/>
            </w:pPr>
            <w:r w:rsidRPr="00DA255C">
              <w:t>12 Aug 1998</w:t>
            </w:r>
          </w:p>
        </w:tc>
        <w:tc>
          <w:tcPr>
            <w:tcW w:w="1806" w:type="dxa"/>
            <w:shd w:val="clear" w:color="auto" w:fill="auto"/>
          </w:tcPr>
          <w:p w:rsidR="00B01A01" w:rsidRPr="00DA255C" w:rsidRDefault="00B01A01" w:rsidP="00CC279F">
            <w:pPr>
              <w:pStyle w:val="ENoteTableText"/>
            </w:pPr>
            <w:r w:rsidRPr="00DA255C">
              <w:t>12 Aug 1998</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2000 No.</w:t>
            </w:r>
            <w:r w:rsidR="00DA255C">
              <w:t> </w:t>
            </w:r>
            <w:r w:rsidRPr="00DA255C">
              <w:t>71</w:t>
            </w:r>
          </w:p>
        </w:tc>
        <w:tc>
          <w:tcPr>
            <w:tcW w:w="1806" w:type="dxa"/>
            <w:shd w:val="clear" w:color="auto" w:fill="auto"/>
          </w:tcPr>
          <w:p w:rsidR="00B01A01" w:rsidRPr="00DA255C" w:rsidRDefault="00B01A01" w:rsidP="00CC279F">
            <w:pPr>
              <w:pStyle w:val="ENoteTableText"/>
            </w:pPr>
            <w:r w:rsidRPr="00DA255C">
              <w:t>12</w:t>
            </w:r>
            <w:r w:rsidR="00DA255C">
              <w:t> </w:t>
            </w:r>
            <w:r w:rsidRPr="00DA255C">
              <w:t>May 2000</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2000</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2000 No.</w:t>
            </w:r>
            <w:r w:rsidR="00DA255C">
              <w:t> </w:t>
            </w:r>
            <w:r w:rsidRPr="00DA255C">
              <w:t>125</w:t>
            </w:r>
          </w:p>
        </w:tc>
        <w:tc>
          <w:tcPr>
            <w:tcW w:w="1806" w:type="dxa"/>
            <w:shd w:val="clear" w:color="auto" w:fill="auto"/>
          </w:tcPr>
          <w:p w:rsidR="00B01A01" w:rsidRPr="00DA255C" w:rsidRDefault="00B01A01" w:rsidP="00CC279F">
            <w:pPr>
              <w:pStyle w:val="ENoteTableText"/>
            </w:pPr>
            <w:r w:rsidRPr="00DA255C">
              <w:t>22</w:t>
            </w:r>
            <w:r w:rsidR="00DA255C">
              <w:t> </w:t>
            </w:r>
            <w:r w:rsidRPr="00DA255C">
              <w:t>June 2000</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2000</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2000 No.</w:t>
            </w:r>
            <w:r w:rsidR="00DA255C">
              <w:t> </w:t>
            </w:r>
            <w:r w:rsidRPr="00DA255C">
              <w:t>266</w:t>
            </w:r>
          </w:p>
        </w:tc>
        <w:tc>
          <w:tcPr>
            <w:tcW w:w="1806" w:type="dxa"/>
            <w:shd w:val="clear" w:color="auto" w:fill="auto"/>
          </w:tcPr>
          <w:p w:rsidR="00B01A01" w:rsidRPr="00DA255C" w:rsidRDefault="00B01A01" w:rsidP="00CC279F">
            <w:pPr>
              <w:pStyle w:val="ENoteTableText"/>
            </w:pPr>
            <w:r w:rsidRPr="00DA255C">
              <w:t>28 Sept 2000</w:t>
            </w:r>
          </w:p>
        </w:tc>
        <w:tc>
          <w:tcPr>
            <w:tcW w:w="1806" w:type="dxa"/>
            <w:shd w:val="clear" w:color="auto" w:fill="auto"/>
          </w:tcPr>
          <w:p w:rsidR="00B01A01" w:rsidRPr="00DA255C" w:rsidRDefault="00B01A01" w:rsidP="00CC279F">
            <w:pPr>
              <w:pStyle w:val="ENoteTableText"/>
            </w:pPr>
            <w:r w:rsidRPr="00DA255C">
              <w:t>28 Sept 2000</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2001 No.</w:t>
            </w:r>
            <w:r w:rsidR="00DA255C">
              <w:t> </w:t>
            </w:r>
            <w:r w:rsidRPr="00DA255C">
              <w:t>161</w:t>
            </w:r>
          </w:p>
        </w:tc>
        <w:tc>
          <w:tcPr>
            <w:tcW w:w="1806" w:type="dxa"/>
            <w:shd w:val="clear" w:color="auto" w:fill="auto"/>
          </w:tcPr>
          <w:p w:rsidR="00B01A01" w:rsidRPr="00DA255C" w:rsidRDefault="00B01A01" w:rsidP="00CC279F">
            <w:pPr>
              <w:pStyle w:val="ENoteTableText"/>
            </w:pPr>
            <w:r w:rsidRPr="00DA255C">
              <w:t>29</w:t>
            </w:r>
            <w:r w:rsidR="00DA255C">
              <w:t> </w:t>
            </w:r>
            <w:r w:rsidRPr="00DA255C">
              <w:t>June 2001</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2001</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2002 No.</w:t>
            </w:r>
            <w:r w:rsidR="00DA255C">
              <w:t> </w:t>
            </w:r>
            <w:r w:rsidRPr="00DA255C">
              <w:t>144</w:t>
            </w:r>
          </w:p>
        </w:tc>
        <w:tc>
          <w:tcPr>
            <w:tcW w:w="1806" w:type="dxa"/>
            <w:shd w:val="clear" w:color="auto" w:fill="auto"/>
          </w:tcPr>
          <w:p w:rsidR="00B01A01" w:rsidRPr="00DA255C" w:rsidRDefault="00B01A01" w:rsidP="00CC279F">
            <w:pPr>
              <w:pStyle w:val="ENoteTableText"/>
            </w:pPr>
            <w:r w:rsidRPr="00DA255C">
              <w:t>27</w:t>
            </w:r>
            <w:r w:rsidR="00DA255C">
              <w:t> </w:t>
            </w:r>
            <w:r w:rsidRPr="00DA255C">
              <w:t>June 2002</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2002</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2002 No.</w:t>
            </w:r>
            <w:r w:rsidR="00DA255C">
              <w:t> </w:t>
            </w:r>
            <w:r w:rsidRPr="00DA255C">
              <w:t>235</w:t>
            </w:r>
          </w:p>
        </w:tc>
        <w:tc>
          <w:tcPr>
            <w:tcW w:w="1806" w:type="dxa"/>
            <w:shd w:val="clear" w:color="auto" w:fill="auto"/>
          </w:tcPr>
          <w:p w:rsidR="00B01A01" w:rsidRPr="00DA255C" w:rsidRDefault="00B01A01" w:rsidP="00CC279F">
            <w:pPr>
              <w:pStyle w:val="ENoteTableText"/>
            </w:pPr>
            <w:r w:rsidRPr="00DA255C">
              <w:t>4 Oct 2002</w:t>
            </w:r>
          </w:p>
        </w:tc>
        <w:tc>
          <w:tcPr>
            <w:tcW w:w="1806" w:type="dxa"/>
            <w:shd w:val="clear" w:color="auto" w:fill="auto"/>
          </w:tcPr>
          <w:p w:rsidR="00B01A01" w:rsidRPr="00DA255C" w:rsidRDefault="00B01A01" w:rsidP="00CC279F">
            <w:pPr>
              <w:pStyle w:val="ENoteTableText"/>
            </w:pPr>
            <w:r w:rsidRPr="00DA255C">
              <w:t>4 Oct 2002 (</w:t>
            </w:r>
            <w:r w:rsidRPr="00DA255C">
              <w:rPr>
                <w:i/>
              </w:rPr>
              <w:t>see</w:t>
            </w:r>
            <w:r w:rsidRPr="00DA255C">
              <w:t xml:space="preserve"> r. 2)</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2003 No.</w:t>
            </w:r>
            <w:r w:rsidR="00DA255C">
              <w:t> </w:t>
            </w:r>
            <w:r w:rsidRPr="00DA255C">
              <w:t>152</w:t>
            </w:r>
          </w:p>
        </w:tc>
        <w:tc>
          <w:tcPr>
            <w:tcW w:w="1806" w:type="dxa"/>
            <w:shd w:val="clear" w:color="auto" w:fill="auto"/>
          </w:tcPr>
          <w:p w:rsidR="00B01A01" w:rsidRPr="00DA255C" w:rsidRDefault="00B01A01" w:rsidP="00CC279F">
            <w:pPr>
              <w:pStyle w:val="ENoteTableText"/>
            </w:pPr>
            <w:r w:rsidRPr="00DA255C">
              <w:t>26</w:t>
            </w:r>
            <w:r w:rsidR="00DA255C">
              <w:t> </w:t>
            </w:r>
            <w:r w:rsidRPr="00DA255C">
              <w:t>June 2003</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2003</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2004 No.</w:t>
            </w:r>
            <w:r w:rsidR="00DA255C">
              <w:t> </w:t>
            </w:r>
            <w:r w:rsidRPr="00DA255C">
              <w:t>160</w:t>
            </w:r>
          </w:p>
        </w:tc>
        <w:tc>
          <w:tcPr>
            <w:tcW w:w="1806" w:type="dxa"/>
            <w:shd w:val="clear" w:color="auto" w:fill="auto"/>
          </w:tcPr>
          <w:p w:rsidR="00B01A01" w:rsidRPr="00DA255C" w:rsidRDefault="00B01A01" w:rsidP="00CC279F">
            <w:pPr>
              <w:pStyle w:val="ENoteTableText"/>
            </w:pPr>
            <w:r w:rsidRPr="00DA255C">
              <w:t>25</w:t>
            </w:r>
            <w:r w:rsidR="00DA255C">
              <w:t> </w:t>
            </w:r>
            <w:r w:rsidRPr="00DA255C">
              <w:t>June 2004</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2004</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2005 No.</w:t>
            </w:r>
            <w:r w:rsidR="00DA255C">
              <w:t> </w:t>
            </w:r>
            <w:r w:rsidRPr="00DA255C">
              <w:t>194</w:t>
            </w:r>
          </w:p>
        </w:tc>
        <w:tc>
          <w:tcPr>
            <w:tcW w:w="1806" w:type="dxa"/>
            <w:shd w:val="clear" w:color="auto" w:fill="auto"/>
          </w:tcPr>
          <w:p w:rsidR="00B01A01" w:rsidRPr="00DA255C" w:rsidRDefault="00B01A01" w:rsidP="00CC279F">
            <w:pPr>
              <w:pStyle w:val="ENoteTableText"/>
            </w:pPr>
            <w:r w:rsidRPr="00DA255C">
              <w:t>19 Aug 2005 (</w:t>
            </w:r>
            <w:r w:rsidRPr="00DA255C">
              <w:rPr>
                <w:i/>
              </w:rPr>
              <w:t>see</w:t>
            </w:r>
            <w:r w:rsidRPr="00DA255C">
              <w:t xml:space="preserve"> F2005L02314)</w:t>
            </w:r>
          </w:p>
        </w:tc>
        <w:tc>
          <w:tcPr>
            <w:tcW w:w="1806" w:type="dxa"/>
            <w:shd w:val="clear" w:color="auto" w:fill="auto"/>
          </w:tcPr>
          <w:p w:rsidR="00B01A01" w:rsidRPr="00DA255C" w:rsidRDefault="00B01A01" w:rsidP="00CC279F">
            <w:pPr>
              <w:pStyle w:val="ENoteTableText"/>
            </w:pPr>
            <w:r w:rsidRPr="00DA255C">
              <w:t>20 Aug 2005</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2006 No.</w:t>
            </w:r>
            <w:r w:rsidR="00DA255C">
              <w:t> </w:t>
            </w:r>
            <w:r w:rsidRPr="00DA255C">
              <w:t>213</w:t>
            </w:r>
          </w:p>
        </w:tc>
        <w:tc>
          <w:tcPr>
            <w:tcW w:w="1806" w:type="dxa"/>
            <w:shd w:val="clear" w:color="auto" w:fill="auto"/>
          </w:tcPr>
          <w:p w:rsidR="00B01A01" w:rsidRPr="00DA255C" w:rsidRDefault="00B01A01" w:rsidP="00CC279F">
            <w:pPr>
              <w:pStyle w:val="ENoteTableText"/>
            </w:pPr>
            <w:r w:rsidRPr="00DA255C">
              <w:t>10 Aug 2006 (</w:t>
            </w:r>
            <w:r w:rsidRPr="00DA255C">
              <w:rPr>
                <w:i/>
              </w:rPr>
              <w:t>see</w:t>
            </w:r>
            <w:r w:rsidRPr="00DA255C">
              <w:t xml:space="preserve"> F2006L02570)</w:t>
            </w:r>
          </w:p>
        </w:tc>
        <w:tc>
          <w:tcPr>
            <w:tcW w:w="1806" w:type="dxa"/>
            <w:shd w:val="clear" w:color="auto" w:fill="auto"/>
          </w:tcPr>
          <w:p w:rsidR="00B01A01" w:rsidRPr="00DA255C" w:rsidRDefault="00B01A01" w:rsidP="00CC279F">
            <w:pPr>
              <w:pStyle w:val="ENoteTableText"/>
            </w:pPr>
            <w:r w:rsidRPr="00DA255C">
              <w:t>11 Aug 2006</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2007 No.</w:t>
            </w:r>
            <w:r w:rsidR="00DA255C">
              <w:t> </w:t>
            </w:r>
            <w:r w:rsidRPr="00DA255C">
              <w:t>162</w:t>
            </w:r>
          </w:p>
        </w:tc>
        <w:tc>
          <w:tcPr>
            <w:tcW w:w="1806" w:type="dxa"/>
            <w:shd w:val="clear" w:color="auto" w:fill="auto"/>
          </w:tcPr>
          <w:p w:rsidR="00B01A01" w:rsidRPr="00DA255C" w:rsidRDefault="00B01A01" w:rsidP="00CC279F">
            <w:pPr>
              <w:pStyle w:val="ENoteTableText"/>
            </w:pPr>
            <w:r w:rsidRPr="00DA255C">
              <w:t>25</w:t>
            </w:r>
            <w:r w:rsidR="00DA255C">
              <w:t> </w:t>
            </w:r>
            <w:r w:rsidRPr="00DA255C">
              <w:t>June 2007 (</w:t>
            </w:r>
            <w:r w:rsidRPr="00DA255C">
              <w:rPr>
                <w:i/>
              </w:rPr>
              <w:t>see</w:t>
            </w:r>
            <w:r w:rsidRPr="00DA255C">
              <w:t xml:space="preserve"> F2007L01523)</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2007</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2008 No.</w:t>
            </w:r>
            <w:r w:rsidR="00DA255C">
              <w:t> </w:t>
            </w:r>
            <w:r w:rsidRPr="00DA255C">
              <w:t>118</w:t>
            </w:r>
          </w:p>
        </w:tc>
        <w:tc>
          <w:tcPr>
            <w:tcW w:w="1806" w:type="dxa"/>
            <w:shd w:val="clear" w:color="auto" w:fill="auto"/>
          </w:tcPr>
          <w:p w:rsidR="00B01A01" w:rsidRPr="00DA255C" w:rsidRDefault="00B01A01" w:rsidP="00CC279F">
            <w:pPr>
              <w:pStyle w:val="ENoteTableText"/>
            </w:pPr>
            <w:r w:rsidRPr="00DA255C">
              <w:t>20</w:t>
            </w:r>
            <w:r w:rsidR="00DA255C">
              <w:t> </w:t>
            </w:r>
            <w:r w:rsidRPr="00DA255C">
              <w:t>June 2008 (</w:t>
            </w:r>
            <w:r w:rsidRPr="00DA255C">
              <w:rPr>
                <w:i/>
              </w:rPr>
              <w:t>see</w:t>
            </w:r>
            <w:r w:rsidRPr="00DA255C">
              <w:t xml:space="preserve"> F2008L01351)</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2008</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2009 No.</w:t>
            </w:r>
            <w:r w:rsidR="00DA255C">
              <w:t> </w:t>
            </w:r>
            <w:r w:rsidRPr="00DA255C">
              <w:t>142</w:t>
            </w:r>
          </w:p>
        </w:tc>
        <w:tc>
          <w:tcPr>
            <w:tcW w:w="1806" w:type="dxa"/>
            <w:shd w:val="clear" w:color="auto" w:fill="auto"/>
          </w:tcPr>
          <w:p w:rsidR="00B01A01" w:rsidRPr="00DA255C" w:rsidRDefault="00B01A01" w:rsidP="00CC279F">
            <w:pPr>
              <w:pStyle w:val="ENoteTableText"/>
            </w:pPr>
            <w:r w:rsidRPr="00DA255C">
              <w:t>25</w:t>
            </w:r>
            <w:r w:rsidR="00DA255C">
              <w:t> </w:t>
            </w:r>
            <w:r w:rsidRPr="00DA255C">
              <w:t>June 2009 (</w:t>
            </w:r>
            <w:r w:rsidRPr="00DA255C">
              <w:rPr>
                <w:i/>
              </w:rPr>
              <w:t xml:space="preserve">see </w:t>
            </w:r>
            <w:r w:rsidRPr="00DA255C">
              <w:t>F2009L02018)</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2009</w:t>
            </w:r>
          </w:p>
        </w:tc>
        <w:tc>
          <w:tcPr>
            <w:tcW w:w="1806" w:type="dxa"/>
            <w:shd w:val="clear" w:color="auto" w:fill="auto"/>
          </w:tcPr>
          <w:p w:rsidR="00B01A01" w:rsidRPr="00DA255C" w:rsidRDefault="00B01A01" w:rsidP="00CC279F">
            <w:pPr>
              <w:pStyle w:val="ENoteTableText"/>
            </w:pPr>
            <w:r w:rsidRPr="00DA255C">
              <w:t>r. 4</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2009 No.</w:t>
            </w:r>
            <w:r w:rsidR="00DA255C">
              <w:t> </w:t>
            </w:r>
            <w:r w:rsidRPr="00DA255C">
              <w:t>180</w:t>
            </w:r>
          </w:p>
        </w:tc>
        <w:tc>
          <w:tcPr>
            <w:tcW w:w="1806" w:type="dxa"/>
            <w:shd w:val="clear" w:color="auto" w:fill="auto"/>
          </w:tcPr>
          <w:p w:rsidR="00B01A01" w:rsidRPr="00DA255C" w:rsidRDefault="00B01A01" w:rsidP="00CC279F">
            <w:pPr>
              <w:pStyle w:val="ENoteTableText"/>
            </w:pPr>
            <w:r w:rsidRPr="00DA255C">
              <w:t>9</w:t>
            </w:r>
            <w:r w:rsidR="00DA255C">
              <w:t> </w:t>
            </w:r>
            <w:r w:rsidRPr="00DA255C">
              <w:t>July 2009 (</w:t>
            </w:r>
            <w:r w:rsidRPr="00DA255C">
              <w:rPr>
                <w:i/>
              </w:rPr>
              <w:t xml:space="preserve">see </w:t>
            </w:r>
            <w:r w:rsidRPr="00DA255C">
              <w:t>F2009L02091)</w:t>
            </w:r>
          </w:p>
        </w:tc>
        <w:tc>
          <w:tcPr>
            <w:tcW w:w="1806" w:type="dxa"/>
            <w:shd w:val="clear" w:color="auto" w:fill="auto"/>
          </w:tcPr>
          <w:p w:rsidR="00B01A01" w:rsidRPr="00DA255C" w:rsidRDefault="00B01A01" w:rsidP="00CC279F">
            <w:pPr>
              <w:pStyle w:val="ENoteTableText"/>
            </w:pPr>
            <w:r w:rsidRPr="00DA255C">
              <w:t>10</w:t>
            </w:r>
            <w:r w:rsidR="00DA255C">
              <w:t> </w:t>
            </w:r>
            <w:r w:rsidRPr="00DA255C">
              <w:t>July 2009</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2010 No.</w:t>
            </w:r>
            <w:r w:rsidR="00DA255C">
              <w:t> </w:t>
            </w:r>
            <w:r w:rsidRPr="00DA255C">
              <w:t>131</w:t>
            </w:r>
          </w:p>
        </w:tc>
        <w:tc>
          <w:tcPr>
            <w:tcW w:w="1806" w:type="dxa"/>
            <w:shd w:val="clear" w:color="auto" w:fill="auto"/>
          </w:tcPr>
          <w:p w:rsidR="00B01A01" w:rsidRPr="00DA255C" w:rsidRDefault="00B01A01" w:rsidP="00CC279F">
            <w:pPr>
              <w:pStyle w:val="ENoteTableText"/>
            </w:pPr>
            <w:r w:rsidRPr="00DA255C">
              <w:t>18</w:t>
            </w:r>
            <w:r w:rsidR="00DA255C">
              <w:t> </w:t>
            </w:r>
            <w:r w:rsidRPr="00DA255C">
              <w:t>June 2010 (</w:t>
            </w:r>
            <w:r w:rsidRPr="00DA255C">
              <w:rPr>
                <w:i/>
              </w:rPr>
              <w:t xml:space="preserve">see </w:t>
            </w:r>
            <w:r w:rsidRPr="00DA255C">
              <w:t>F2010L01283)</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2010</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2011 No.</w:t>
            </w:r>
            <w:r w:rsidR="00DA255C">
              <w:t> </w:t>
            </w:r>
            <w:r w:rsidRPr="00DA255C">
              <w:t>31</w:t>
            </w:r>
          </w:p>
        </w:tc>
        <w:tc>
          <w:tcPr>
            <w:tcW w:w="1806" w:type="dxa"/>
            <w:shd w:val="clear" w:color="auto" w:fill="auto"/>
          </w:tcPr>
          <w:p w:rsidR="00B01A01" w:rsidRPr="00DA255C" w:rsidRDefault="00B01A01" w:rsidP="00CC279F">
            <w:pPr>
              <w:pStyle w:val="ENoteTableText"/>
            </w:pPr>
            <w:r w:rsidRPr="00DA255C">
              <w:t>16 Mar 2011 (</w:t>
            </w:r>
            <w:r w:rsidRPr="00DA255C">
              <w:rPr>
                <w:i/>
              </w:rPr>
              <w:t>see</w:t>
            </w:r>
            <w:r w:rsidRPr="00DA255C">
              <w:t xml:space="preserve"> F2011L00431)</w:t>
            </w:r>
          </w:p>
        </w:tc>
        <w:tc>
          <w:tcPr>
            <w:tcW w:w="1806" w:type="dxa"/>
            <w:shd w:val="clear" w:color="auto" w:fill="auto"/>
          </w:tcPr>
          <w:p w:rsidR="00B01A01" w:rsidRPr="00DA255C" w:rsidRDefault="00B01A01" w:rsidP="00CC279F">
            <w:pPr>
              <w:pStyle w:val="ENoteTableText"/>
            </w:pPr>
            <w:r w:rsidRPr="00DA255C">
              <w:t>31</w:t>
            </w:r>
            <w:r w:rsidR="00DA255C">
              <w:t> </w:t>
            </w:r>
            <w:r w:rsidRPr="00DA255C">
              <w:t>May 2011 (</w:t>
            </w:r>
            <w:r w:rsidRPr="00DA255C">
              <w:rPr>
                <w:i/>
              </w:rPr>
              <w:t>see</w:t>
            </w:r>
            <w:r w:rsidRPr="00DA255C">
              <w:t xml:space="preserve"> r. 2)</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2011 No.</w:t>
            </w:r>
            <w:r w:rsidR="00DA255C">
              <w:t> </w:t>
            </w:r>
            <w:r w:rsidRPr="00DA255C">
              <w:t>103</w:t>
            </w:r>
          </w:p>
        </w:tc>
        <w:tc>
          <w:tcPr>
            <w:tcW w:w="1806" w:type="dxa"/>
            <w:shd w:val="clear" w:color="auto" w:fill="auto"/>
          </w:tcPr>
          <w:p w:rsidR="00B01A01" w:rsidRPr="00DA255C" w:rsidRDefault="00B01A01" w:rsidP="00CC279F">
            <w:pPr>
              <w:pStyle w:val="ENoteTableText"/>
            </w:pPr>
            <w:r w:rsidRPr="00DA255C">
              <w:t>21</w:t>
            </w:r>
            <w:r w:rsidR="00DA255C">
              <w:t> </w:t>
            </w:r>
            <w:r w:rsidRPr="00DA255C">
              <w:t>June 2011 (</w:t>
            </w:r>
            <w:r w:rsidRPr="00DA255C">
              <w:rPr>
                <w:i/>
              </w:rPr>
              <w:t>see</w:t>
            </w:r>
            <w:r w:rsidRPr="00DA255C">
              <w:t xml:space="preserve"> F2011L01097)</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2011</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2012 No.</w:t>
            </w:r>
            <w:r w:rsidR="00DA255C">
              <w:t> </w:t>
            </w:r>
            <w:r w:rsidRPr="00DA255C">
              <w:t>144</w:t>
            </w:r>
          </w:p>
        </w:tc>
        <w:tc>
          <w:tcPr>
            <w:tcW w:w="1806" w:type="dxa"/>
            <w:shd w:val="clear" w:color="auto" w:fill="auto"/>
          </w:tcPr>
          <w:p w:rsidR="00B01A01" w:rsidRPr="00DA255C" w:rsidRDefault="00B01A01" w:rsidP="00CC279F">
            <w:pPr>
              <w:pStyle w:val="ENoteTableText"/>
            </w:pPr>
            <w:r w:rsidRPr="00DA255C">
              <w:t>29</w:t>
            </w:r>
            <w:r w:rsidR="00DA255C">
              <w:t> </w:t>
            </w:r>
            <w:r w:rsidRPr="00DA255C">
              <w:t>June 2012 (</w:t>
            </w:r>
            <w:r w:rsidRPr="00DA255C">
              <w:rPr>
                <w:i/>
              </w:rPr>
              <w:t>see</w:t>
            </w:r>
            <w:r w:rsidRPr="00DA255C">
              <w:t xml:space="preserve"> F2012L01457)</w:t>
            </w:r>
          </w:p>
        </w:tc>
        <w:tc>
          <w:tcPr>
            <w:tcW w:w="1806" w:type="dxa"/>
            <w:shd w:val="clear" w:color="auto" w:fill="auto"/>
          </w:tcPr>
          <w:p w:rsidR="00B01A01" w:rsidRPr="00DA255C" w:rsidRDefault="00B01A01" w:rsidP="00CC279F">
            <w:pPr>
              <w:pStyle w:val="ENoteTableText"/>
            </w:pPr>
            <w:r w:rsidRPr="00DA255C">
              <w:t>31</w:t>
            </w:r>
            <w:r w:rsidR="00DA255C">
              <w:t> </w:t>
            </w:r>
            <w:r w:rsidRPr="00DA255C">
              <w:t>May 2011</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2012 No.</w:t>
            </w:r>
            <w:r w:rsidR="00DA255C">
              <w:t> </w:t>
            </w:r>
            <w:r w:rsidRPr="00DA255C">
              <w:t>145</w:t>
            </w:r>
          </w:p>
        </w:tc>
        <w:tc>
          <w:tcPr>
            <w:tcW w:w="1806" w:type="dxa"/>
            <w:shd w:val="clear" w:color="auto" w:fill="auto"/>
          </w:tcPr>
          <w:p w:rsidR="00B01A01" w:rsidRPr="00DA255C" w:rsidRDefault="00B01A01" w:rsidP="00CC279F">
            <w:pPr>
              <w:pStyle w:val="ENoteTableText"/>
            </w:pPr>
            <w:r w:rsidRPr="00DA255C">
              <w:t>29</w:t>
            </w:r>
            <w:r w:rsidR="00DA255C">
              <w:t> </w:t>
            </w:r>
            <w:r w:rsidRPr="00DA255C">
              <w:t>June 2012 (</w:t>
            </w:r>
            <w:r w:rsidRPr="00DA255C">
              <w:rPr>
                <w:i/>
              </w:rPr>
              <w:t>see</w:t>
            </w:r>
            <w:r w:rsidRPr="00DA255C">
              <w:t xml:space="preserve"> F2012L01462)</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2012</w:t>
            </w:r>
          </w:p>
        </w:tc>
        <w:tc>
          <w:tcPr>
            <w:tcW w:w="1806" w:type="dxa"/>
            <w:shd w:val="clear" w:color="auto" w:fill="auto"/>
          </w:tcPr>
          <w:p w:rsidR="00B01A01" w:rsidRPr="00DA255C" w:rsidRDefault="00B01A01" w:rsidP="00CC279F">
            <w:pPr>
              <w:pStyle w:val="ENoteTableText"/>
            </w:pPr>
            <w:r w:rsidRPr="00DA255C">
              <w:t>—</w:t>
            </w:r>
          </w:p>
        </w:tc>
      </w:tr>
      <w:tr w:rsidR="00B01A01" w:rsidRPr="00DA255C" w:rsidTr="00CC279F">
        <w:trPr>
          <w:cantSplit/>
        </w:trPr>
        <w:tc>
          <w:tcPr>
            <w:tcW w:w="1806" w:type="dxa"/>
            <w:shd w:val="clear" w:color="auto" w:fill="auto"/>
          </w:tcPr>
          <w:p w:rsidR="00B01A01" w:rsidRPr="00DA255C" w:rsidRDefault="00B01A01" w:rsidP="00CC279F">
            <w:pPr>
              <w:pStyle w:val="ENoteTableText"/>
            </w:pPr>
            <w:r w:rsidRPr="00DA255C">
              <w:t>94, 2013</w:t>
            </w:r>
          </w:p>
        </w:tc>
        <w:tc>
          <w:tcPr>
            <w:tcW w:w="1806" w:type="dxa"/>
            <w:shd w:val="clear" w:color="auto" w:fill="auto"/>
          </w:tcPr>
          <w:p w:rsidR="00B01A01" w:rsidRPr="00DA255C" w:rsidRDefault="00B01A01" w:rsidP="00CC279F">
            <w:pPr>
              <w:pStyle w:val="ENoteTableText"/>
            </w:pPr>
            <w:r w:rsidRPr="00DA255C">
              <w:t>3</w:t>
            </w:r>
            <w:r w:rsidR="00DA255C">
              <w:t> </w:t>
            </w:r>
            <w:r w:rsidRPr="00DA255C">
              <w:t>June 2013 (</w:t>
            </w:r>
            <w:r w:rsidRPr="00DA255C">
              <w:rPr>
                <w:i/>
              </w:rPr>
              <w:t>see</w:t>
            </w:r>
            <w:r w:rsidRPr="00DA255C">
              <w:t xml:space="preserve"> F2013L00896)</w:t>
            </w:r>
          </w:p>
        </w:tc>
        <w:tc>
          <w:tcPr>
            <w:tcW w:w="1806" w:type="dxa"/>
            <w:shd w:val="clear" w:color="auto" w:fill="auto"/>
          </w:tcPr>
          <w:p w:rsidR="00B01A01" w:rsidRPr="00DA255C" w:rsidRDefault="00B01A01" w:rsidP="00CC279F">
            <w:pPr>
              <w:pStyle w:val="ENoteTableText"/>
            </w:pPr>
            <w:r w:rsidRPr="00DA255C">
              <w:t>1</w:t>
            </w:r>
            <w:r w:rsidR="00DA255C">
              <w:t> </w:t>
            </w:r>
            <w:r w:rsidRPr="00DA255C">
              <w:t>July 2013</w:t>
            </w:r>
          </w:p>
        </w:tc>
        <w:tc>
          <w:tcPr>
            <w:tcW w:w="1806" w:type="dxa"/>
            <w:shd w:val="clear" w:color="auto" w:fill="auto"/>
          </w:tcPr>
          <w:p w:rsidR="00B01A01" w:rsidRPr="00DA255C" w:rsidRDefault="00B01A01" w:rsidP="00CC279F">
            <w:pPr>
              <w:pStyle w:val="ENoteTableText"/>
            </w:pPr>
            <w:r w:rsidRPr="00DA255C">
              <w:t>—</w:t>
            </w:r>
          </w:p>
        </w:tc>
      </w:tr>
      <w:tr w:rsidR="004A0A99" w:rsidRPr="00DA255C" w:rsidTr="00CC279F">
        <w:trPr>
          <w:cantSplit/>
        </w:trPr>
        <w:tc>
          <w:tcPr>
            <w:tcW w:w="1806" w:type="dxa"/>
            <w:tcBorders>
              <w:bottom w:val="single" w:sz="12" w:space="0" w:color="auto"/>
            </w:tcBorders>
            <w:shd w:val="clear" w:color="auto" w:fill="auto"/>
          </w:tcPr>
          <w:p w:rsidR="004A0A99" w:rsidRPr="00DA255C" w:rsidRDefault="004A0A99" w:rsidP="00CC279F">
            <w:pPr>
              <w:pStyle w:val="ENoteTableText"/>
            </w:pPr>
            <w:r w:rsidRPr="00DA255C">
              <w:t>61, 2014</w:t>
            </w:r>
          </w:p>
        </w:tc>
        <w:tc>
          <w:tcPr>
            <w:tcW w:w="1806" w:type="dxa"/>
            <w:tcBorders>
              <w:bottom w:val="single" w:sz="12" w:space="0" w:color="auto"/>
            </w:tcBorders>
            <w:shd w:val="clear" w:color="auto" w:fill="auto"/>
          </w:tcPr>
          <w:p w:rsidR="004A0A99" w:rsidRPr="00DA255C" w:rsidRDefault="004A0A99" w:rsidP="00CC279F">
            <w:pPr>
              <w:pStyle w:val="ENoteTableText"/>
            </w:pPr>
            <w:r w:rsidRPr="00DA255C">
              <w:t>30</w:t>
            </w:r>
            <w:r w:rsidR="00DA255C">
              <w:t> </w:t>
            </w:r>
            <w:r w:rsidRPr="00DA255C">
              <w:t>May 2014 (</w:t>
            </w:r>
            <w:r w:rsidRPr="00DA255C">
              <w:rPr>
                <w:i/>
              </w:rPr>
              <w:t>see</w:t>
            </w:r>
            <w:r w:rsidRPr="00DA255C">
              <w:t xml:space="preserve"> F2014L00631)</w:t>
            </w:r>
          </w:p>
        </w:tc>
        <w:tc>
          <w:tcPr>
            <w:tcW w:w="1806" w:type="dxa"/>
            <w:tcBorders>
              <w:bottom w:val="single" w:sz="12" w:space="0" w:color="auto"/>
            </w:tcBorders>
            <w:shd w:val="clear" w:color="auto" w:fill="auto"/>
          </w:tcPr>
          <w:p w:rsidR="004A0A99" w:rsidRPr="00DA255C" w:rsidRDefault="004A0A99" w:rsidP="00CC279F">
            <w:pPr>
              <w:pStyle w:val="ENoteTableText"/>
            </w:pPr>
            <w:r w:rsidRPr="00DA255C">
              <w:t>1</w:t>
            </w:r>
            <w:r w:rsidR="00DA255C">
              <w:t> </w:t>
            </w:r>
            <w:r w:rsidRPr="00DA255C">
              <w:t>July 2014</w:t>
            </w:r>
          </w:p>
        </w:tc>
        <w:tc>
          <w:tcPr>
            <w:tcW w:w="1806" w:type="dxa"/>
            <w:tcBorders>
              <w:bottom w:val="single" w:sz="12" w:space="0" w:color="auto"/>
            </w:tcBorders>
            <w:shd w:val="clear" w:color="auto" w:fill="auto"/>
          </w:tcPr>
          <w:p w:rsidR="004A0A99" w:rsidRPr="00DA255C" w:rsidRDefault="004A0A99" w:rsidP="00CC279F">
            <w:pPr>
              <w:pStyle w:val="ENoteTableText"/>
            </w:pPr>
            <w:r w:rsidRPr="00DA255C">
              <w:t>—</w:t>
            </w:r>
          </w:p>
        </w:tc>
      </w:tr>
    </w:tbl>
    <w:p w:rsidR="0092760D" w:rsidRPr="00DA255C" w:rsidRDefault="0092760D" w:rsidP="00860AC4">
      <w:pPr>
        <w:pStyle w:val="Tabletext"/>
      </w:pPr>
    </w:p>
    <w:p w:rsidR="0092760D" w:rsidRPr="00DA255C" w:rsidRDefault="0092760D" w:rsidP="00DA255C">
      <w:pPr>
        <w:pStyle w:val="ENotesHeading2"/>
        <w:pageBreakBefore/>
        <w:outlineLvl w:val="9"/>
      </w:pPr>
      <w:bookmarkStart w:id="10" w:name="_Toc392494415"/>
      <w:r w:rsidRPr="00DA255C">
        <w:t>Endnote 4—Amendment history</w:t>
      </w:r>
      <w:bookmarkEnd w:id="10"/>
    </w:p>
    <w:p w:rsidR="0092760D" w:rsidRPr="00DA255C" w:rsidRDefault="0092760D" w:rsidP="00860AC4">
      <w:pPr>
        <w:pStyle w:val="Tabletext"/>
      </w:pPr>
    </w:p>
    <w:tbl>
      <w:tblPr>
        <w:tblW w:w="7125" w:type="dxa"/>
        <w:tblInd w:w="80" w:type="dxa"/>
        <w:tblLayout w:type="fixed"/>
        <w:tblLook w:val="0000" w:firstRow="0" w:lastRow="0" w:firstColumn="0" w:lastColumn="0" w:noHBand="0" w:noVBand="0"/>
      </w:tblPr>
      <w:tblGrid>
        <w:gridCol w:w="56"/>
        <w:gridCol w:w="2156"/>
        <w:gridCol w:w="4899"/>
        <w:gridCol w:w="14"/>
      </w:tblGrid>
      <w:tr w:rsidR="0092760D" w:rsidRPr="00DA255C" w:rsidTr="00AF52E2">
        <w:trPr>
          <w:gridBefore w:val="1"/>
          <w:gridAfter w:val="1"/>
          <w:wBefore w:w="56" w:type="dxa"/>
          <w:wAfter w:w="14" w:type="dxa"/>
          <w:cantSplit/>
          <w:tblHeader/>
        </w:trPr>
        <w:tc>
          <w:tcPr>
            <w:tcW w:w="2156" w:type="dxa"/>
            <w:tcBorders>
              <w:top w:val="single" w:sz="12" w:space="0" w:color="auto"/>
              <w:bottom w:val="single" w:sz="12" w:space="0" w:color="auto"/>
            </w:tcBorders>
            <w:shd w:val="clear" w:color="auto" w:fill="auto"/>
          </w:tcPr>
          <w:p w:rsidR="0092760D" w:rsidRPr="00DA255C" w:rsidRDefault="0092760D" w:rsidP="00860AC4">
            <w:pPr>
              <w:pStyle w:val="ENoteTableHeading"/>
              <w:tabs>
                <w:tab w:val="center" w:leader="dot" w:pos="2268"/>
              </w:tabs>
            </w:pPr>
            <w:r w:rsidRPr="00DA255C">
              <w:t>Provision affected</w:t>
            </w:r>
          </w:p>
        </w:tc>
        <w:tc>
          <w:tcPr>
            <w:tcW w:w="4899" w:type="dxa"/>
            <w:tcBorders>
              <w:top w:val="single" w:sz="12" w:space="0" w:color="auto"/>
              <w:bottom w:val="single" w:sz="12" w:space="0" w:color="auto"/>
            </w:tcBorders>
            <w:shd w:val="clear" w:color="auto" w:fill="auto"/>
          </w:tcPr>
          <w:p w:rsidR="0092760D" w:rsidRPr="00DA255C" w:rsidRDefault="0092760D" w:rsidP="00860AC4">
            <w:pPr>
              <w:pStyle w:val="ENoteTableHeading"/>
              <w:tabs>
                <w:tab w:val="center" w:leader="dot" w:pos="2268"/>
              </w:tabs>
            </w:pPr>
            <w:r w:rsidRPr="00DA255C">
              <w:t>How affected</w:t>
            </w:r>
          </w:p>
        </w:tc>
      </w:tr>
      <w:tr w:rsidR="00B01A01" w:rsidRPr="00DA255C" w:rsidTr="00AF52E2">
        <w:trPr>
          <w:gridBefore w:val="1"/>
          <w:wBefore w:w="56" w:type="dxa"/>
          <w:cantSplit/>
        </w:trPr>
        <w:tc>
          <w:tcPr>
            <w:tcW w:w="2156" w:type="dxa"/>
            <w:tcBorders>
              <w:top w:val="single" w:sz="12" w:space="0" w:color="auto"/>
            </w:tcBorders>
            <w:shd w:val="clear" w:color="auto" w:fill="auto"/>
          </w:tcPr>
          <w:p w:rsidR="00B01A01" w:rsidRPr="00DA255C" w:rsidRDefault="00B01A01" w:rsidP="00CC279F">
            <w:pPr>
              <w:pStyle w:val="ENoteTableText"/>
              <w:tabs>
                <w:tab w:val="center" w:leader="dot" w:pos="2268"/>
              </w:tabs>
            </w:pPr>
            <w:r w:rsidRPr="00DA255C">
              <w:t>r. 1</w:t>
            </w:r>
            <w:r w:rsidRPr="00DA255C">
              <w:tab/>
            </w:r>
          </w:p>
        </w:tc>
        <w:tc>
          <w:tcPr>
            <w:tcW w:w="4913" w:type="dxa"/>
            <w:gridSpan w:val="2"/>
            <w:tcBorders>
              <w:top w:val="single" w:sz="12" w:space="0" w:color="auto"/>
            </w:tcBorders>
            <w:shd w:val="clear" w:color="auto" w:fill="auto"/>
          </w:tcPr>
          <w:p w:rsidR="00B01A01" w:rsidRPr="00DA255C" w:rsidRDefault="00B01A01" w:rsidP="00CC279F">
            <w:pPr>
              <w:pStyle w:val="ENoteTableText"/>
            </w:pPr>
            <w:r w:rsidRPr="00DA255C">
              <w:t>rs. 1998 No.</w:t>
            </w:r>
            <w:r w:rsidR="00DA255C">
              <w:t> </w:t>
            </w:r>
            <w:r w:rsidRPr="00DA255C">
              <w:t>260</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2</w:t>
            </w:r>
            <w:r w:rsidRPr="00DA255C">
              <w:tab/>
            </w:r>
          </w:p>
        </w:tc>
        <w:tc>
          <w:tcPr>
            <w:tcW w:w="4899" w:type="dxa"/>
            <w:shd w:val="clear" w:color="auto" w:fill="auto"/>
          </w:tcPr>
          <w:p w:rsidR="00B01A01" w:rsidRPr="00DA255C" w:rsidRDefault="00B01A01" w:rsidP="00CC279F">
            <w:pPr>
              <w:pStyle w:val="ENoteTableText"/>
            </w:pPr>
            <w:r w:rsidRPr="00DA255C">
              <w:t>am. 2000 No.</w:t>
            </w:r>
            <w:r w:rsidR="00DA255C">
              <w:t> </w:t>
            </w:r>
            <w:r w:rsidRPr="00DA255C">
              <w:t>71; 2002 No.</w:t>
            </w:r>
            <w:r w:rsidR="00DA255C">
              <w:t> </w:t>
            </w:r>
            <w:r w:rsidRPr="00DA255C">
              <w:t>235; 2003 No.</w:t>
            </w:r>
            <w:r w:rsidR="00DA255C">
              <w:t> </w:t>
            </w:r>
            <w:r w:rsidRPr="00DA255C">
              <w:t>152; 2011 No.</w:t>
            </w:r>
            <w:r w:rsidR="00DA255C">
              <w:t> </w:t>
            </w:r>
            <w:r w:rsidRPr="00DA255C">
              <w:t>31</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3</w:t>
            </w:r>
            <w:r w:rsidRPr="00DA255C">
              <w:tab/>
            </w:r>
          </w:p>
        </w:tc>
        <w:tc>
          <w:tcPr>
            <w:tcW w:w="4899" w:type="dxa"/>
            <w:shd w:val="clear" w:color="auto" w:fill="auto"/>
          </w:tcPr>
          <w:p w:rsidR="00B01A01" w:rsidRPr="00DA255C" w:rsidRDefault="00B01A01" w:rsidP="00CC279F">
            <w:pPr>
              <w:pStyle w:val="ENoteTableText"/>
            </w:pPr>
            <w:r w:rsidRPr="00DA255C">
              <w:t>am. 1991 No.</w:t>
            </w:r>
            <w:r w:rsidR="00DA255C">
              <w:t> </w:t>
            </w:r>
            <w:r w:rsidRPr="00DA255C">
              <w:t>85; 1992 No.</w:t>
            </w:r>
            <w:r w:rsidR="00DA255C">
              <w:t> </w:t>
            </w:r>
            <w:r w:rsidRPr="00DA255C">
              <w:t>88; 1993 No.</w:t>
            </w:r>
            <w:r w:rsidR="00DA255C">
              <w:t> </w:t>
            </w:r>
            <w:r w:rsidRPr="00DA255C">
              <w:t>140; 1994 Nos. 149 and 223; 1995 No.</w:t>
            </w:r>
            <w:r w:rsidR="00DA255C">
              <w:t> </w:t>
            </w:r>
            <w:r w:rsidRPr="00DA255C">
              <w:t>193; 1996 No.</w:t>
            </w:r>
            <w:r w:rsidR="00DA255C">
              <w:t> </w:t>
            </w:r>
            <w:r w:rsidRPr="00DA255C">
              <w:t>132; 1997 No.</w:t>
            </w:r>
            <w:r w:rsidR="00DA255C">
              <w:t> </w:t>
            </w:r>
            <w:r w:rsidRPr="00DA255C">
              <w:t>161; 1998 No.</w:t>
            </w:r>
            <w:r w:rsidR="00DA255C">
              <w:t> </w:t>
            </w:r>
            <w:r w:rsidRPr="00DA255C">
              <w:t>246; 2000 Nos. 71, 125 and 266; 2001 No.</w:t>
            </w:r>
            <w:r w:rsidR="00DA255C">
              <w:t> </w:t>
            </w:r>
            <w:r w:rsidRPr="00DA255C">
              <w:t>161; 2002 Nos. 144 and 235; 2003 No.</w:t>
            </w:r>
            <w:r w:rsidR="00DA255C">
              <w:t> </w:t>
            </w:r>
            <w:r w:rsidRPr="00DA255C">
              <w:t>152; 2004 No.</w:t>
            </w:r>
            <w:r w:rsidR="00DA255C">
              <w:t> </w:t>
            </w:r>
            <w:r w:rsidRPr="00DA255C">
              <w:t>160; 2005 No.</w:t>
            </w:r>
            <w:r w:rsidR="00DA255C">
              <w:t> </w:t>
            </w:r>
            <w:r w:rsidRPr="00DA255C">
              <w:t>194; 2006 No.</w:t>
            </w:r>
            <w:r w:rsidR="00DA255C">
              <w:t> </w:t>
            </w:r>
            <w:r w:rsidRPr="00DA255C">
              <w:t>213; 2007 No.</w:t>
            </w:r>
            <w:r w:rsidR="00DA255C">
              <w:t> </w:t>
            </w:r>
            <w:r w:rsidRPr="00DA255C">
              <w:t>162; 2008 No.</w:t>
            </w:r>
            <w:r w:rsidR="00DA255C">
              <w:t> </w:t>
            </w:r>
            <w:r w:rsidRPr="00DA255C">
              <w:t>118; 2009 No.</w:t>
            </w:r>
            <w:r w:rsidR="00DA255C">
              <w:t> </w:t>
            </w:r>
            <w:r w:rsidRPr="00DA255C">
              <w:t>180; 2010 No.</w:t>
            </w:r>
            <w:r w:rsidR="00DA255C">
              <w:t> </w:t>
            </w:r>
            <w:r w:rsidRPr="00DA255C">
              <w:t>131; 2011 Nos. 31 and 103; 2012 Nos. 144 and 145; No.</w:t>
            </w:r>
            <w:r w:rsidR="00DA255C">
              <w:t> </w:t>
            </w:r>
            <w:r w:rsidRPr="00DA255C">
              <w:t xml:space="preserve">94, 2013; </w:t>
            </w:r>
            <w:r w:rsidR="00AF52E2" w:rsidRPr="00DA255C">
              <w:t xml:space="preserve">No </w:t>
            </w:r>
            <w:r w:rsidRPr="00DA255C">
              <w:t>61, 2014</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Note to r. 3(3)</w:t>
            </w:r>
            <w:r w:rsidRPr="00DA255C">
              <w:tab/>
            </w:r>
          </w:p>
        </w:tc>
        <w:tc>
          <w:tcPr>
            <w:tcW w:w="4899" w:type="dxa"/>
            <w:shd w:val="clear" w:color="auto" w:fill="auto"/>
          </w:tcPr>
          <w:p w:rsidR="00B01A01" w:rsidRPr="00DA255C" w:rsidRDefault="00B01A01" w:rsidP="00CC279F">
            <w:pPr>
              <w:pStyle w:val="ENoteTableText"/>
            </w:pPr>
            <w:r w:rsidRPr="00DA255C">
              <w:t>rs. 2000 No.</w:t>
            </w:r>
            <w:r w:rsidR="00DA255C">
              <w:t> </w:t>
            </w:r>
            <w:r w:rsidRPr="00DA255C">
              <w:t>266</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am. 2001 No.</w:t>
            </w:r>
            <w:r w:rsidR="00DA255C">
              <w:t> </w:t>
            </w:r>
            <w:r w:rsidRPr="00DA255C">
              <w:t>161; 2002 No.</w:t>
            </w:r>
            <w:r w:rsidR="00DA255C">
              <w:t> </w:t>
            </w:r>
            <w:r w:rsidRPr="00DA255C">
              <w:t>235; 2003 No.</w:t>
            </w:r>
            <w:r w:rsidR="00DA255C">
              <w:t> </w:t>
            </w:r>
            <w:r w:rsidRPr="00DA255C">
              <w:t>152; 2004 No.</w:t>
            </w:r>
            <w:r w:rsidR="00DA255C">
              <w:t> </w:t>
            </w:r>
            <w:r w:rsidRPr="00DA255C">
              <w:t>160; 2005 No.</w:t>
            </w:r>
            <w:r w:rsidR="00DA255C">
              <w:t> </w:t>
            </w:r>
            <w:r w:rsidRPr="00DA255C">
              <w:t>194; 2006 No.</w:t>
            </w:r>
            <w:r w:rsidR="00DA255C">
              <w:t> </w:t>
            </w:r>
            <w:r w:rsidRPr="00DA255C">
              <w:t>213; 2007 No.</w:t>
            </w:r>
            <w:r w:rsidR="00DA255C">
              <w:t> </w:t>
            </w:r>
            <w:r w:rsidRPr="00DA255C">
              <w:t>162; 2008 No.</w:t>
            </w:r>
            <w:r w:rsidR="00DA255C">
              <w:t> </w:t>
            </w:r>
            <w:r w:rsidRPr="00DA255C">
              <w:t>118; 2009 No.</w:t>
            </w:r>
            <w:r w:rsidR="00DA255C">
              <w:t> </w:t>
            </w:r>
            <w:r w:rsidRPr="00DA255C">
              <w:t>180; No.</w:t>
            </w:r>
            <w:r w:rsidR="00DA255C">
              <w:t> </w:t>
            </w:r>
            <w:r w:rsidRPr="00DA255C">
              <w:t>94, 2013</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rs. 2010 No.</w:t>
            </w:r>
            <w:r w:rsidR="00DA255C">
              <w:t> </w:t>
            </w:r>
            <w:r w:rsidRPr="00DA255C">
              <w:t>131</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am. 2011 No.</w:t>
            </w:r>
            <w:r w:rsidR="00DA255C">
              <w:t> </w:t>
            </w:r>
            <w:r w:rsidRPr="00DA255C">
              <w:t>103; 2012 No.</w:t>
            </w:r>
            <w:r w:rsidR="00DA255C">
              <w:t> </w:t>
            </w:r>
            <w:r w:rsidRPr="00DA255C">
              <w:t>145; 61, 2014</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w:t>
            </w:r>
            <w:r w:rsidRPr="00DA255C">
              <w:tab/>
            </w:r>
          </w:p>
        </w:tc>
        <w:tc>
          <w:tcPr>
            <w:tcW w:w="4899" w:type="dxa"/>
            <w:shd w:val="clear" w:color="auto" w:fill="auto"/>
          </w:tcPr>
          <w:p w:rsidR="00B01A01" w:rsidRPr="00DA255C" w:rsidRDefault="00B01A01" w:rsidP="00CC279F">
            <w:pPr>
              <w:pStyle w:val="ENoteTableText"/>
            </w:pPr>
            <w:r w:rsidRPr="00DA255C">
              <w:t>am. 1992 No.</w:t>
            </w:r>
            <w:r w:rsidR="00DA255C">
              <w:t> </w:t>
            </w:r>
            <w:r w:rsidRPr="00DA255C">
              <w:t>88; 1993 No.</w:t>
            </w:r>
            <w:r w:rsidR="00DA255C">
              <w:t> </w:t>
            </w:r>
            <w:r w:rsidRPr="00DA255C">
              <w:t>140; 1998 No.</w:t>
            </w:r>
            <w:r w:rsidR="00DA255C">
              <w:t> </w:t>
            </w:r>
            <w:r w:rsidRPr="00DA255C">
              <w:t xml:space="preserve">246 </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1998 No.</w:t>
            </w:r>
            <w:r w:rsidR="00DA255C">
              <w:t> </w:t>
            </w:r>
            <w:r w:rsidRPr="00DA255C">
              <w:t>260</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4A</w:t>
            </w:r>
            <w:r w:rsidRPr="00DA255C">
              <w:tab/>
            </w:r>
          </w:p>
        </w:tc>
        <w:tc>
          <w:tcPr>
            <w:tcW w:w="4899" w:type="dxa"/>
            <w:shd w:val="clear" w:color="auto" w:fill="auto"/>
          </w:tcPr>
          <w:p w:rsidR="00B01A01" w:rsidRPr="00DA255C" w:rsidRDefault="00B01A01" w:rsidP="00CC279F">
            <w:pPr>
              <w:pStyle w:val="ENoteTableText"/>
            </w:pPr>
            <w:r w:rsidRPr="00DA255C">
              <w:t>ad. 1994 No.</w:t>
            </w:r>
            <w:r w:rsidR="00DA255C">
              <w:t> </w:t>
            </w:r>
            <w:r w:rsidRPr="00DA255C">
              <w:t>149</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2011 No.</w:t>
            </w:r>
            <w:r w:rsidR="00DA255C">
              <w:t> </w:t>
            </w:r>
            <w:r w:rsidRPr="00DA255C">
              <w:t>31</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4B</w:t>
            </w:r>
            <w:r w:rsidRPr="00DA255C">
              <w:tab/>
            </w:r>
          </w:p>
        </w:tc>
        <w:tc>
          <w:tcPr>
            <w:tcW w:w="4899" w:type="dxa"/>
            <w:shd w:val="clear" w:color="auto" w:fill="auto"/>
          </w:tcPr>
          <w:p w:rsidR="00B01A01" w:rsidRPr="00DA255C" w:rsidRDefault="00B01A01" w:rsidP="00CC279F">
            <w:pPr>
              <w:pStyle w:val="ENoteTableText"/>
            </w:pPr>
            <w:r w:rsidRPr="00DA255C">
              <w:t>ad. 1998 No.</w:t>
            </w:r>
            <w:r w:rsidR="00DA255C">
              <w:t> </w:t>
            </w:r>
            <w:r w:rsidRPr="00DA255C">
              <w:t>260</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am. 2002 No.</w:t>
            </w:r>
            <w:r w:rsidR="00DA255C">
              <w:t> </w:t>
            </w:r>
            <w:r w:rsidRPr="00DA255C">
              <w:t>235</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2009 No.</w:t>
            </w:r>
            <w:r w:rsidR="00DA255C">
              <w:t> </w:t>
            </w:r>
            <w:r w:rsidRPr="00DA255C">
              <w:t>142</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4C</w:t>
            </w:r>
            <w:r w:rsidRPr="00DA255C">
              <w:tab/>
            </w:r>
          </w:p>
        </w:tc>
        <w:tc>
          <w:tcPr>
            <w:tcW w:w="4899" w:type="dxa"/>
            <w:shd w:val="clear" w:color="auto" w:fill="auto"/>
          </w:tcPr>
          <w:p w:rsidR="00B01A01" w:rsidRPr="00DA255C" w:rsidRDefault="00B01A01" w:rsidP="00CC279F">
            <w:pPr>
              <w:pStyle w:val="ENoteTableText"/>
            </w:pPr>
            <w:r w:rsidRPr="00DA255C">
              <w:t>ad. 1998 No.</w:t>
            </w:r>
            <w:r w:rsidR="00DA255C">
              <w:t> </w:t>
            </w:r>
            <w:r w:rsidRPr="00DA255C">
              <w:t>260</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am. 2001 No.</w:t>
            </w:r>
            <w:r w:rsidR="00DA255C">
              <w:t> </w:t>
            </w:r>
            <w:r w:rsidRPr="00DA255C">
              <w:t>161; 2002 Nos. 144 and 235; 2003 No.</w:t>
            </w:r>
            <w:r w:rsidR="00DA255C">
              <w:t> </w:t>
            </w:r>
            <w:r w:rsidRPr="00DA255C">
              <w:t>152</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2009 No.</w:t>
            </w:r>
            <w:r w:rsidR="00DA255C">
              <w:t> </w:t>
            </w:r>
            <w:r w:rsidRPr="00DA255C">
              <w:t>142</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4D</w:t>
            </w:r>
            <w:r w:rsidRPr="00DA255C">
              <w:tab/>
            </w:r>
          </w:p>
        </w:tc>
        <w:tc>
          <w:tcPr>
            <w:tcW w:w="4899" w:type="dxa"/>
            <w:shd w:val="clear" w:color="auto" w:fill="auto"/>
          </w:tcPr>
          <w:p w:rsidR="00B01A01" w:rsidRPr="00DA255C" w:rsidRDefault="00B01A01" w:rsidP="00CC279F">
            <w:pPr>
              <w:pStyle w:val="ENoteTableText"/>
            </w:pPr>
            <w:r w:rsidRPr="00DA255C">
              <w:t>ad. 1998 No.</w:t>
            </w:r>
            <w:r w:rsidR="00DA255C">
              <w:t> </w:t>
            </w:r>
            <w:r w:rsidRPr="00DA255C">
              <w:t>260</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2009 No.</w:t>
            </w:r>
            <w:r w:rsidR="00DA255C">
              <w:t> </w:t>
            </w:r>
            <w:r w:rsidRPr="00DA255C">
              <w:t>142</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4E</w:t>
            </w:r>
            <w:r w:rsidRPr="00DA255C">
              <w:tab/>
            </w:r>
          </w:p>
        </w:tc>
        <w:tc>
          <w:tcPr>
            <w:tcW w:w="4899" w:type="dxa"/>
            <w:shd w:val="clear" w:color="auto" w:fill="auto"/>
          </w:tcPr>
          <w:p w:rsidR="00B01A01" w:rsidRPr="00DA255C" w:rsidRDefault="00B01A01" w:rsidP="00CC279F">
            <w:pPr>
              <w:pStyle w:val="ENoteTableText"/>
            </w:pPr>
            <w:r w:rsidRPr="00DA255C">
              <w:t>ad. 1998 No.</w:t>
            </w:r>
            <w:r w:rsidR="00DA255C">
              <w:t> </w:t>
            </w:r>
            <w:r w:rsidRPr="00DA255C">
              <w:t>260</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am. 2002 Nos. 144 and 235; 2003 No.</w:t>
            </w:r>
            <w:r w:rsidR="00DA255C">
              <w:t> </w:t>
            </w:r>
            <w:r w:rsidRPr="00DA255C">
              <w:t>152; 2004 No.</w:t>
            </w:r>
            <w:r w:rsidR="00DA255C">
              <w:t> </w:t>
            </w:r>
            <w:r w:rsidRPr="00DA255C">
              <w:t>160; 2005 No.</w:t>
            </w:r>
            <w:r w:rsidR="00DA255C">
              <w:t> </w:t>
            </w:r>
            <w:r w:rsidRPr="00DA255C">
              <w:t>194; 2006 No.</w:t>
            </w:r>
            <w:r w:rsidR="00DA255C">
              <w:t> </w:t>
            </w:r>
            <w:r w:rsidRPr="00DA255C">
              <w:t>213; 2007 No.</w:t>
            </w:r>
            <w:r w:rsidR="00DA255C">
              <w:t> </w:t>
            </w:r>
            <w:r w:rsidRPr="00DA255C">
              <w:t>162; 2008 No.</w:t>
            </w:r>
            <w:r w:rsidR="00DA255C">
              <w:t> </w:t>
            </w:r>
            <w:r w:rsidRPr="00DA255C">
              <w:t>118</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2009 No.</w:t>
            </w:r>
            <w:r w:rsidR="00DA255C">
              <w:t> </w:t>
            </w:r>
            <w:r w:rsidRPr="00DA255C">
              <w:t>142</w:t>
            </w:r>
          </w:p>
        </w:tc>
      </w:tr>
      <w:tr w:rsidR="00B01A01" w:rsidRPr="00DA255C" w:rsidTr="00AF52E2">
        <w:trPr>
          <w:gridBefore w:val="1"/>
          <w:gridAfter w:val="1"/>
          <w:wBefore w:w="56" w:type="dxa"/>
          <w:wAfter w:w="14" w:type="dxa"/>
          <w:cantSplit/>
        </w:trPr>
        <w:tc>
          <w:tcPr>
            <w:tcW w:w="2156" w:type="dxa"/>
            <w:shd w:val="clear" w:color="auto" w:fill="auto"/>
          </w:tcPr>
          <w:p w:rsidR="00B01A01" w:rsidRPr="00DA255C" w:rsidRDefault="00B01A01" w:rsidP="00CC279F">
            <w:pPr>
              <w:pStyle w:val="ENoteTableText"/>
              <w:tabs>
                <w:tab w:val="center" w:leader="dot" w:pos="2268"/>
              </w:tabs>
            </w:pPr>
            <w:r w:rsidRPr="00DA255C">
              <w:t>r. 4F</w:t>
            </w:r>
            <w:r w:rsidRPr="00DA255C">
              <w:tab/>
            </w:r>
          </w:p>
        </w:tc>
        <w:tc>
          <w:tcPr>
            <w:tcW w:w="4899" w:type="dxa"/>
            <w:shd w:val="clear" w:color="auto" w:fill="auto"/>
          </w:tcPr>
          <w:p w:rsidR="00B01A01" w:rsidRPr="00DA255C" w:rsidRDefault="00B01A01" w:rsidP="00CC279F">
            <w:pPr>
              <w:pStyle w:val="ENoteTableText"/>
            </w:pPr>
            <w:r w:rsidRPr="00DA255C">
              <w:t>ad. 1998 No.</w:t>
            </w:r>
            <w:r w:rsidR="00DA255C">
              <w:t> </w:t>
            </w:r>
            <w:r w:rsidRPr="00DA255C">
              <w:t>260</w:t>
            </w:r>
          </w:p>
        </w:tc>
      </w:tr>
      <w:tr w:rsidR="00B01A01" w:rsidRPr="00DA255C" w:rsidTr="00AF52E2">
        <w:trPr>
          <w:gridAfter w:val="1"/>
          <w:wAfter w:w="14" w:type="dxa"/>
          <w:cantSplit/>
        </w:trPr>
        <w:tc>
          <w:tcPr>
            <w:tcW w:w="2212" w:type="dxa"/>
            <w:gridSpan w:val="2"/>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am. 2002 No.</w:t>
            </w:r>
            <w:r w:rsidR="00DA255C">
              <w:t> </w:t>
            </w:r>
            <w:r w:rsidRPr="00DA255C">
              <w:t>235</w:t>
            </w:r>
          </w:p>
        </w:tc>
      </w:tr>
      <w:tr w:rsidR="00B01A01" w:rsidRPr="00DA255C" w:rsidTr="00AF52E2">
        <w:trPr>
          <w:gridAfter w:val="1"/>
          <w:wAfter w:w="14" w:type="dxa"/>
          <w:cantSplit/>
        </w:trPr>
        <w:tc>
          <w:tcPr>
            <w:tcW w:w="2212" w:type="dxa"/>
            <w:gridSpan w:val="2"/>
            <w:shd w:val="clear" w:color="auto" w:fill="auto"/>
          </w:tcPr>
          <w:p w:rsidR="00B01A01" w:rsidRPr="00DA255C" w:rsidRDefault="00B01A01" w:rsidP="00CC279F">
            <w:pPr>
              <w:pStyle w:val="Tabletext"/>
            </w:pPr>
          </w:p>
        </w:tc>
        <w:tc>
          <w:tcPr>
            <w:tcW w:w="4899" w:type="dxa"/>
            <w:shd w:val="clear" w:color="auto" w:fill="auto"/>
          </w:tcPr>
          <w:p w:rsidR="00B01A01" w:rsidRPr="00DA255C" w:rsidRDefault="00B01A01" w:rsidP="00CC279F">
            <w:pPr>
              <w:pStyle w:val="ENoteTableText"/>
            </w:pPr>
            <w:r w:rsidRPr="00DA255C">
              <w:t>rep. 2009 No.</w:t>
            </w:r>
            <w:r w:rsidR="00DA255C">
              <w:t> </w:t>
            </w:r>
            <w:r w:rsidRPr="00DA255C">
              <w:t>142</w:t>
            </w:r>
          </w:p>
        </w:tc>
      </w:tr>
      <w:tr w:rsidR="00B01A01" w:rsidRPr="00DA255C" w:rsidTr="00AF52E2">
        <w:trPr>
          <w:gridAfter w:val="1"/>
          <w:wAfter w:w="14" w:type="dxa"/>
          <w:cantSplit/>
        </w:trPr>
        <w:tc>
          <w:tcPr>
            <w:tcW w:w="2212" w:type="dxa"/>
            <w:gridSpan w:val="2"/>
            <w:shd w:val="clear" w:color="auto" w:fill="auto"/>
          </w:tcPr>
          <w:p w:rsidR="00B01A01" w:rsidRPr="00DA255C" w:rsidRDefault="00B01A01" w:rsidP="00CC279F">
            <w:pPr>
              <w:pStyle w:val="ENoteTableText"/>
              <w:tabs>
                <w:tab w:val="center" w:leader="dot" w:pos="2268"/>
              </w:tabs>
            </w:pPr>
            <w:r w:rsidRPr="00DA255C">
              <w:t>r. 5</w:t>
            </w:r>
            <w:r w:rsidRPr="00DA255C">
              <w:tab/>
            </w:r>
          </w:p>
        </w:tc>
        <w:tc>
          <w:tcPr>
            <w:tcW w:w="4899" w:type="dxa"/>
            <w:shd w:val="clear" w:color="auto" w:fill="auto"/>
          </w:tcPr>
          <w:p w:rsidR="00B01A01" w:rsidRPr="00DA255C" w:rsidRDefault="00B01A01" w:rsidP="00CC279F">
            <w:pPr>
              <w:pStyle w:val="ENoteTableText"/>
            </w:pPr>
            <w:r w:rsidRPr="00DA255C">
              <w:t>am. 1991 No.</w:t>
            </w:r>
            <w:r w:rsidR="00DA255C">
              <w:t> </w:t>
            </w:r>
            <w:r w:rsidRPr="00DA255C">
              <w:t>85; 1998 No.</w:t>
            </w:r>
            <w:r w:rsidR="00DA255C">
              <w:t> </w:t>
            </w:r>
            <w:r w:rsidRPr="00DA255C">
              <w:t>260; 2002 No.</w:t>
            </w:r>
            <w:r w:rsidR="00DA255C">
              <w:t> </w:t>
            </w:r>
            <w:r w:rsidRPr="00DA255C">
              <w:t xml:space="preserve">235 </w:t>
            </w:r>
          </w:p>
        </w:tc>
      </w:tr>
      <w:tr w:rsidR="00B01A01" w:rsidRPr="00DA255C" w:rsidTr="00AF52E2">
        <w:trPr>
          <w:gridAfter w:val="1"/>
          <w:wAfter w:w="14" w:type="dxa"/>
          <w:cantSplit/>
        </w:trPr>
        <w:tc>
          <w:tcPr>
            <w:tcW w:w="2212" w:type="dxa"/>
            <w:gridSpan w:val="2"/>
            <w:tcBorders>
              <w:bottom w:val="single" w:sz="12" w:space="0" w:color="auto"/>
            </w:tcBorders>
            <w:shd w:val="clear" w:color="auto" w:fill="auto"/>
          </w:tcPr>
          <w:p w:rsidR="00B01A01" w:rsidRPr="00DA255C" w:rsidRDefault="00B01A01" w:rsidP="00CC279F">
            <w:pPr>
              <w:pStyle w:val="Tabletext"/>
            </w:pPr>
          </w:p>
        </w:tc>
        <w:tc>
          <w:tcPr>
            <w:tcW w:w="4899" w:type="dxa"/>
            <w:tcBorders>
              <w:bottom w:val="single" w:sz="12" w:space="0" w:color="auto"/>
            </w:tcBorders>
            <w:shd w:val="clear" w:color="auto" w:fill="auto"/>
          </w:tcPr>
          <w:p w:rsidR="00B01A01" w:rsidRPr="00DA255C" w:rsidRDefault="00B01A01" w:rsidP="00CC279F">
            <w:pPr>
              <w:pStyle w:val="ENoteTableText"/>
            </w:pPr>
            <w:r w:rsidRPr="00DA255C">
              <w:t>rep. 2009 No.</w:t>
            </w:r>
            <w:r w:rsidR="00DA255C">
              <w:t> </w:t>
            </w:r>
            <w:r w:rsidRPr="00DA255C">
              <w:t>142</w:t>
            </w:r>
          </w:p>
        </w:tc>
      </w:tr>
    </w:tbl>
    <w:p w:rsidR="0092760D" w:rsidRPr="00DA255C" w:rsidRDefault="0092760D" w:rsidP="00860AC4">
      <w:pPr>
        <w:pStyle w:val="Tabletext"/>
      </w:pPr>
    </w:p>
    <w:p w:rsidR="0092760D" w:rsidRPr="00DA255C" w:rsidRDefault="0092760D" w:rsidP="00DA255C">
      <w:pPr>
        <w:pStyle w:val="ENotesHeading2"/>
        <w:pageBreakBefore/>
        <w:outlineLvl w:val="9"/>
      </w:pPr>
      <w:bookmarkStart w:id="11" w:name="_Toc392494416"/>
      <w:r w:rsidRPr="00DA255C">
        <w:t>Endnote 5—Uncommenced amendments</w:t>
      </w:r>
      <w:r w:rsidR="00C31A5D" w:rsidRPr="00DA255C">
        <w:t xml:space="preserve"> [none]</w:t>
      </w:r>
      <w:bookmarkEnd w:id="11"/>
    </w:p>
    <w:p w:rsidR="0092760D" w:rsidRPr="00DA255C" w:rsidRDefault="0092760D" w:rsidP="00DA255C">
      <w:pPr>
        <w:pStyle w:val="ENotesHeading2"/>
        <w:outlineLvl w:val="9"/>
      </w:pPr>
      <w:bookmarkStart w:id="12" w:name="_Toc392494417"/>
      <w:r w:rsidRPr="00DA255C">
        <w:t>Endnote 6—Modifications</w:t>
      </w:r>
      <w:r w:rsidR="00C31A5D" w:rsidRPr="00DA255C">
        <w:t xml:space="preserve"> [none]</w:t>
      </w:r>
      <w:bookmarkEnd w:id="12"/>
    </w:p>
    <w:p w:rsidR="0092760D" w:rsidRPr="00DA255C" w:rsidRDefault="0092760D" w:rsidP="00DA255C">
      <w:pPr>
        <w:pStyle w:val="ENotesHeading2"/>
        <w:outlineLvl w:val="9"/>
      </w:pPr>
      <w:bookmarkStart w:id="13" w:name="_Toc392494418"/>
      <w:r w:rsidRPr="00DA255C">
        <w:t>Endnote 7—Misdescribed amendments</w:t>
      </w:r>
      <w:r w:rsidR="00C31A5D" w:rsidRPr="00DA255C">
        <w:t xml:space="preserve"> [none]</w:t>
      </w:r>
      <w:bookmarkEnd w:id="13"/>
    </w:p>
    <w:p w:rsidR="0092760D" w:rsidRPr="00DA255C" w:rsidRDefault="0092760D" w:rsidP="00DA255C">
      <w:pPr>
        <w:pStyle w:val="ENotesHeading2"/>
        <w:outlineLvl w:val="9"/>
      </w:pPr>
      <w:bookmarkStart w:id="14" w:name="_Toc392494419"/>
      <w:r w:rsidRPr="00DA255C">
        <w:t>Endnote 8—Miscellaneous</w:t>
      </w:r>
      <w:r w:rsidR="00C31A5D" w:rsidRPr="00DA255C">
        <w:t xml:space="preserve"> [none]</w:t>
      </w:r>
      <w:bookmarkEnd w:id="14"/>
    </w:p>
    <w:p w:rsidR="00943453" w:rsidRPr="00DA255C" w:rsidRDefault="00943453" w:rsidP="00F22323"/>
    <w:p w:rsidR="0092760D" w:rsidRPr="00DA255C" w:rsidRDefault="0092760D" w:rsidP="00F22323">
      <w:pPr>
        <w:sectPr w:rsidR="0092760D" w:rsidRPr="00DA255C" w:rsidSect="006822C5">
          <w:headerReference w:type="even" r:id="rId27"/>
          <w:headerReference w:type="default" r:id="rId28"/>
          <w:footerReference w:type="even" r:id="rId29"/>
          <w:footerReference w:type="default" r:id="rId30"/>
          <w:pgSz w:w="11907" w:h="16839"/>
          <w:pgMar w:top="2381" w:right="2410" w:bottom="4253" w:left="2410" w:header="720" w:footer="3402" w:gutter="0"/>
          <w:cols w:space="708"/>
          <w:docGrid w:linePitch="360"/>
        </w:sectPr>
      </w:pPr>
    </w:p>
    <w:p w:rsidR="001E48C7" w:rsidRPr="00DA255C" w:rsidRDefault="001E48C7" w:rsidP="001E48C7"/>
    <w:sectPr w:rsidR="001E48C7" w:rsidRPr="00DA255C" w:rsidSect="006822C5">
      <w:headerReference w:type="even" r:id="rId31"/>
      <w:headerReference w:type="default" r:id="rId32"/>
      <w:footerReference w:type="even" r:id="rId33"/>
      <w:footerReference w:type="default" r:id="rId34"/>
      <w:headerReference w:type="first" r:id="rId35"/>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C4" w:rsidRDefault="00860AC4">
      <w:r>
        <w:separator/>
      </w:r>
    </w:p>
  </w:endnote>
  <w:endnote w:type="continuationSeparator" w:id="0">
    <w:p w:rsidR="00860AC4" w:rsidRDefault="0086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rsidP="007A50F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7A50F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60AC4" w:rsidTr="00F22323">
      <w:tc>
        <w:tcPr>
          <w:tcW w:w="1383" w:type="dxa"/>
        </w:tcPr>
        <w:p w:rsidR="00860AC4" w:rsidRDefault="00860AC4" w:rsidP="00F22323">
          <w:pPr>
            <w:spacing w:line="0" w:lineRule="atLeast"/>
            <w:rPr>
              <w:sz w:val="18"/>
            </w:rPr>
          </w:pP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533" w:type="dxa"/>
        </w:tcPr>
        <w:p w:rsidR="00860AC4" w:rsidRDefault="00860AC4" w:rsidP="00F22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22C5">
            <w:rPr>
              <w:i/>
              <w:noProof/>
              <w:sz w:val="18"/>
            </w:rPr>
            <w:t>13</w:t>
          </w:r>
          <w:r w:rsidRPr="00ED79B6">
            <w:rPr>
              <w:i/>
              <w:sz w:val="18"/>
            </w:rPr>
            <w:fldChar w:fldCharType="end"/>
          </w:r>
        </w:p>
      </w:tc>
    </w:tr>
  </w:tbl>
  <w:p w:rsidR="00860AC4" w:rsidRPr="00ED79B6" w:rsidRDefault="00860AC4" w:rsidP="007A50F9">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7A50F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60AC4" w:rsidTr="00F22323">
      <w:tc>
        <w:tcPr>
          <w:tcW w:w="533" w:type="dxa"/>
        </w:tcPr>
        <w:p w:rsidR="00860AC4" w:rsidRDefault="00860AC4" w:rsidP="00F22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4E18">
            <w:rPr>
              <w:i/>
              <w:noProof/>
              <w:sz w:val="18"/>
            </w:rPr>
            <w:t>11</w:t>
          </w:r>
          <w:r w:rsidRPr="00ED79B6">
            <w:rPr>
              <w:i/>
              <w:sz w:val="18"/>
            </w:rPr>
            <w:fldChar w:fldCharType="end"/>
          </w: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1383" w:type="dxa"/>
        </w:tcPr>
        <w:p w:rsidR="00860AC4" w:rsidRDefault="00860AC4" w:rsidP="00F22323">
          <w:pPr>
            <w:spacing w:line="0" w:lineRule="atLeast"/>
            <w:jc w:val="right"/>
            <w:rPr>
              <w:sz w:val="18"/>
            </w:rPr>
          </w:pPr>
        </w:p>
      </w:tc>
    </w:tr>
  </w:tbl>
  <w:p w:rsidR="00860AC4" w:rsidRPr="00ED79B6" w:rsidRDefault="00860AC4" w:rsidP="007A50F9">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7A50F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60AC4" w:rsidTr="00F22323">
      <w:tc>
        <w:tcPr>
          <w:tcW w:w="1383" w:type="dxa"/>
        </w:tcPr>
        <w:p w:rsidR="00860AC4" w:rsidRDefault="00860AC4" w:rsidP="00F22323">
          <w:pPr>
            <w:spacing w:line="0" w:lineRule="atLeast"/>
            <w:rPr>
              <w:sz w:val="18"/>
            </w:rPr>
          </w:pP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533" w:type="dxa"/>
        </w:tcPr>
        <w:p w:rsidR="00860AC4" w:rsidRDefault="00860AC4" w:rsidP="00F22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4E18">
            <w:rPr>
              <w:i/>
              <w:noProof/>
              <w:sz w:val="18"/>
            </w:rPr>
            <w:t>11</w:t>
          </w:r>
          <w:r w:rsidRPr="00ED79B6">
            <w:rPr>
              <w:i/>
              <w:sz w:val="18"/>
            </w:rPr>
            <w:fldChar w:fldCharType="end"/>
          </w:r>
        </w:p>
      </w:tc>
    </w:tr>
  </w:tbl>
  <w:p w:rsidR="00860AC4" w:rsidRPr="00ED79B6" w:rsidRDefault="00860AC4" w:rsidP="007A50F9">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rsidP="007A50F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ED79B6" w:rsidRDefault="00860AC4" w:rsidP="007A50F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F2232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60AC4" w:rsidTr="00F22323">
      <w:tc>
        <w:tcPr>
          <w:tcW w:w="1383" w:type="dxa"/>
        </w:tcPr>
        <w:p w:rsidR="00860AC4" w:rsidRDefault="00860AC4" w:rsidP="00F22323">
          <w:pPr>
            <w:spacing w:line="0" w:lineRule="atLeast"/>
            <w:rPr>
              <w:sz w:val="18"/>
            </w:rPr>
          </w:pP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533" w:type="dxa"/>
        </w:tcPr>
        <w:p w:rsidR="00860AC4" w:rsidRDefault="00860AC4" w:rsidP="00F22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4E18">
            <w:rPr>
              <w:i/>
              <w:noProof/>
              <w:sz w:val="18"/>
            </w:rPr>
            <w:t>xi</w:t>
          </w:r>
          <w:r w:rsidRPr="00ED79B6">
            <w:rPr>
              <w:i/>
              <w:sz w:val="18"/>
            </w:rPr>
            <w:fldChar w:fldCharType="end"/>
          </w:r>
        </w:p>
      </w:tc>
    </w:tr>
  </w:tbl>
  <w:p w:rsidR="00860AC4" w:rsidRPr="00ED79B6" w:rsidRDefault="00860AC4" w:rsidP="00F22323">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99" w:rsidRPr="002B0EA5" w:rsidRDefault="004A0A99" w:rsidP="004A0A9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A0A99" w:rsidTr="00D42457">
      <w:tc>
        <w:tcPr>
          <w:tcW w:w="1383" w:type="dxa"/>
        </w:tcPr>
        <w:p w:rsidR="004A0A99" w:rsidRDefault="004A0A99" w:rsidP="00D42457">
          <w:pPr>
            <w:spacing w:line="0" w:lineRule="atLeast"/>
            <w:rPr>
              <w:sz w:val="18"/>
            </w:rPr>
          </w:pPr>
        </w:p>
      </w:tc>
      <w:tc>
        <w:tcPr>
          <w:tcW w:w="5387" w:type="dxa"/>
        </w:tcPr>
        <w:p w:rsidR="004A0A99" w:rsidRDefault="004A0A99" w:rsidP="00D424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533" w:type="dxa"/>
        </w:tcPr>
        <w:p w:rsidR="004A0A99" w:rsidRDefault="004A0A99" w:rsidP="00D424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22C5">
            <w:rPr>
              <w:i/>
              <w:noProof/>
              <w:sz w:val="18"/>
            </w:rPr>
            <w:t>i</w:t>
          </w:r>
          <w:r w:rsidRPr="00ED79B6">
            <w:rPr>
              <w:i/>
              <w:sz w:val="18"/>
            </w:rPr>
            <w:fldChar w:fldCharType="end"/>
          </w:r>
        </w:p>
      </w:tc>
    </w:tr>
  </w:tbl>
  <w:p w:rsidR="004A0A99" w:rsidRPr="00ED79B6" w:rsidRDefault="004A0A99" w:rsidP="004A0A9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4A0A9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60AC4" w:rsidTr="00F22323">
      <w:tc>
        <w:tcPr>
          <w:tcW w:w="533" w:type="dxa"/>
        </w:tcPr>
        <w:p w:rsidR="00860AC4" w:rsidRDefault="00860AC4" w:rsidP="00F22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22C5">
            <w:rPr>
              <w:i/>
              <w:noProof/>
              <w:sz w:val="18"/>
            </w:rPr>
            <w:t>4</w:t>
          </w:r>
          <w:r w:rsidRPr="00ED79B6">
            <w:rPr>
              <w:i/>
              <w:sz w:val="18"/>
            </w:rPr>
            <w:fldChar w:fldCharType="end"/>
          </w: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1383" w:type="dxa"/>
        </w:tcPr>
        <w:p w:rsidR="00860AC4" w:rsidRDefault="00860AC4" w:rsidP="00F22323">
          <w:pPr>
            <w:spacing w:line="0" w:lineRule="atLeast"/>
            <w:jc w:val="right"/>
            <w:rPr>
              <w:sz w:val="18"/>
            </w:rPr>
          </w:pPr>
        </w:p>
      </w:tc>
    </w:tr>
  </w:tbl>
  <w:p w:rsidR="00860AC4" w:rsidRPr="00ED79B6" w:rsidRDefault="00860AC4" w:rsidP="007A50F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7A50F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60AC4" w:rsidTr="00F22323">
      <w:tc>
        <w:tcPr>
          <w:tcW w:w="1383" w:type="dxa"/>
        </w:tcPr>
        <w:p w:rsidR="00860AC4" w:rsidRDefault="00860AC4" w:rsidP="00F22323">
          <w:pPr>
            <w:spacing w:line="0" w:lineRule="atLeast"/>
            <w:rPr>
              <w:sz w:val="18"/>
            </w:rPr>
          </w:pP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533" w:type="dxa"/>
        </w:tcPr>
        <w:p w:rsidR="00860AC4" w:rsidRDefault="00860AC4" w:rsidP="00F22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22C5">
            <w:rPr>
              <w:i/>
              <w:noProof/>
              <w:sz w:val="18"/>
            </w:rPr>
            <w:t>5</w:t>
          </w:r>
          <w:r w:rsidRPr="00ED79B6">
            <w:rPr>
              <w:i/>
              <w:sz w:val="18"/>
            </w:rPr>
            <w:fldChar w:fldCharType="end"/>
          </w:r>
        </w:p>
      </w:tc>
    </w:tr>
  </w:tbl>
  <w:p w:rsidR="00860AC4" w:rsidRPr="00ED79B6" w:rsidRDefault="00860AC4" w:rsidP="007A50F9">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7A50F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60AC4" w:rsidTr="00F22323">
      <w:tc>
        <w:tcPr>
          <w:tcW w:w="1383" w:type="dxa"/>
        </w:tcPr>
        <w:p w:rsidR="00860AC4" w:rsidRDefault="00860AC4" w:rsidP="00F22323">
          <w:pPr>
            <w:spacing w:line="0" w:lineRule="atLeast"/>
            <w:rPr>
              <w:sz w:val="18"/>
            </w:rPr>
          </w:pP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533" w:type="dxa"/>
        </w:tcPr>
        <w:p w:rsidR="00860AC4" w:rsidRDefault="00860AC4" w:rsidP="00F223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4E18">
            <w:rPr>
              <w:i/>
              <w:noProof/>
              <w:sz w:val="18"/>
            </w:rPr>
            <w:t>11</w:t>
          </w:r>
          <w:r w:rsidRPr="00ED79B6">
            <w:rPr>
              <w:i/>
              <w:sz w:val="18"/>
            </w:rPr>
            <w:fldChar w:fldCharType="end"/>
          </w:r>
        </w:p>
      </w:tc>
    </w:tr>
  </w:tbl>
  <w:p w:rsidR="00860AC4" w:rsidRPr="00ED79B6" w:rsidRDefault="00860AC4" w:rsidP="007A50F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2B0EA5" w:rsidRDefault="00860AC4" w:rsidP="004A0A9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60AC4" w:rsidTr="00F22323">
      <w:tc>
        <w:tcPr>
          <w:tcW w:w="533" w:type="dxa"/>
        </w:tcPr>
        <w:p w:rsidR="00860AC4" w:rsidRDefault="00860AC4" w:rsidP="00F223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22C5">
            <w:rPr>
              <w:i/>
              <w:noProof/>
              <w:sz w:val="18"/>
            </w:rPr>
            <w:t>12</w:t>
          </w:r>
          <w:r w:rsidRPr="00ED79B6">
            <w:rPr>
              <w:i/>
              <w:sz w:val="18"/>
            </w:rPr>
            <w:fldChar w:fldCharType="end"/>
          </w:r>
        </w:p>
      </w:tc>
      <w:tc>
        <w:tcPr>
          <w:tcW w:w="5387" w:type="dxa"/>
        </w:tcPr>
        <w:p w:rsidR="00860AC4" w:rsidRDefault="00860AC4" w:rsidP="00F223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255C">
            <w:rPr>
              <w:i/>
              <w:sz w:val="18"/>
            </w:rPr>
            <w:t>Therapeutic Goods (Charges) Regulations 1990</w:t>
          </w:r>
          <w:r w:rsidRPr="007A1328">
            <w:rPr>
              <w:i/>
              <w:sz w:val="18"/>
            </w:rPr>
            <w:fldChar w:fldCharType="end"/>
          </w:r>
        </w:p>
      </w:tc>
      <w:tc>
        <w:tcPr>
          <w:tcW w:w="1383" w:type="dxa"/>
        </w:tcPr>
        <w:p w:rsidR="00860AC4" w:rsidRDefault="00860AC4" w:rsidP="00F22323">
          <w:pPr>
            <w:spacing w:line="0" w:lineRule="atLeast"/>
            <w:jc w:val="right"/>
            <w:rPr>
              <w:sz w:val="18"/>
            </w:rPr>
          </w:pPr>
        </w:p>
      </w:tc>
    </w:tr>
  </w:tbl>
  <w:p w:rsidR="00860AC4" w:rsidRPr="00ED79B6" w:rsidRDefault="00860AC4" w:rsidP="007A50F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C4" w:rsidRDefault="00860AC4">
      <w:r>
        <w:separator/>
      </w:r>
    </w:p>
  </w:footnote>
  <w:footnote w:type="continuationSeparator" w:id="0">
    <w:p w:rsidR="00860AC4" w:rsidRDefault="0086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rsidP="00F22323">
    <w:pPr>
      <w:pStyle w:val="Header"/>
      <w:pBdr>
        <w:bottom w:val="single" w:sz="4" w:space="1" w:color="auto"/>
      </w:pBdr>
      <w:tabs>
        <w:tab w:val="clear" w:pos="4150"/>
        <w:tab w:val="clear" w:pos="8307"/>
      </w:tabs>
    </w:pPr>
  </w:p>
  <w:p w:rsidR="00860AC4" w:rsidRDefault="00860AC4" w:rsidP="00F22323">
    <w:pPr>
      <w:pStyle w:val="Header"/>
      <w:pBdr>
        <w:bottom w:val="single" w:sz="4" w:space="1" w:color="auto"/>
      </w:pBdr>
      <w:tabs>
        <w:tab w:val="clear" w:pos="4150"/>
        <w:tab w:val="clear" w:pos="8307"/>
      </w:tabs>
    </w:pPr>
  </w:p>
  <w:p w:rsidR="00860AC4" w:rsidRPr="005F1388" w:rsidRDefault="00860AC4" w:rsidP="00F22323">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BE5CD2" w:rsidRDefault="00860AC4" w:rsidP="00F22323">
    <w:pPr>
      <w:rPr>
        <w:sz w:val="26"/>
        <w:szCs w:val="26"/>
      </w:rPr>
    </w:pPr>
  </w:p>
  <w:p w:rsidR="00860AC4" w:rsidRPr="0020230A" w:rsidRDefault="00860AC4" w:rsidP="00F22323">
    <w:pPr>
      <w:rPr>
        <w:b/>
        <w:sz w:val="20"/>
      </w:rPr>
    </w:pPr>
    <w:r w:rsidRPr="0020230A">
      <w:rPr>
        <w:b/>
        <w:sz w:val="20"/>
      </w:rPr>
      <w:t>Endnotes</w:t>
    </w:r>
  </w:p>
  <w:p w:rsidR="00860AC4" w:rsidRPr="007A1328" w:rsidRDefault="00860AC4" w:rsidP="00F22323">
    <w:pPr>
      <w:rPr>
        <w:sz w:val="20"/>
      </w:rPr>
    </w:pPr>
  </w:p>
  <w:p w:rsidR="00860AC4" w:rsidRPr="007A1328" w:rsidRDefault="00860AC4" w:rsidP="00F22323">
    <w:pPr>
      <w:rPr>
        <w:b/>
        <w:sz w:val="24"/>
      </w:rPr>
    </w:pPr>
  </w:p>
  <w:p w:rsidR="00860AC4" w:rsidRPr="00BE5CD2" w:rsidRDefault="00860AC4" w:rsidP="00F2232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822C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BE5CD2" w:rsidRDefault="00860AC4" w:rsidP="00F22323">
    <w:pPr>
      <w:jc w:val="right"/>
      <w:rPr>
        <w:sz w:val="26"/>
        <w:szCs w:val="26"/>
      </w:rPr>
    </w:pPr>
  </w:p>
  <w:p w:rsidR="00860AC4" w:rsidRPr="0020230A" w:rsidRDefault="00860AC4" w:rsidP="00F22323">
    <w:pPr>
      <w:jc w:val="right"/>
      <w:rPr>
        <w:b/>
        <w:sz w:val="20"/>
      </w:rPr>
    </w:pPr>
    <w:r w:rsidRPr="0020230A">
      <w:rPr>
        <w:b/>
        <w:sz w:val="20"/>
      </w:rPr>
      <w:t>Endnotes</w:t>
    </w:r>
  </w:p>
  <w:p w:rsidR="00860AC4" w:rsidRPr="007A1328" w:rsidRDefault="00860AC4" w:rsidP="00F22323">
    <w:pPr>
      <w:jc w:val="right"/>
      <w:rPr>
        <w:sz w:val="20"/>
      </w:rPr>
    </w:pPr>
  </w:p>
  <w:p w:rsidR="00860AC4" w:rsidRPr="007A1328" w:rsidRDefault="00860AC4" w:rsidP="00F22323">
    <w:pPr>
      <w:jc w:val="right"/>
      <w:rPr>
        <w:b/>
        <w:sz w:val="24"/>
      </w:rPr>
    </w:pPr>
  </w:p>
  <w:p w:rsidR="00860AC4" w:rsidRPr="00BE5CD2" w:rsidRDefault="00860AC4" w:rsidP="00F2232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822C5">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BE5CD2" w:rsidRDefault="00860AC4" w:rsidP="00F22323">
    <w:pPr>
      <w:rPr>
        <w:sz w:val="26"/>
        <w:szCs w:val="26"/>
      </w:rPr>
    </w:pPr>
  </w:p>
  <w:p w:rsidR="00860AC4" w:rsidRPr="0020230A" w:rsidRDefault="00860AC4" w:rsidP="00F22323">
    <w:pPr>
      <w:rPr>
        <w:b/>
        <w:sz w:val="20"/>
      </w:rPr>
    </w:pPr>
    <w:r w:rsidRPr="0020230A">
      <w:rPr>
        <w:b/>
        <w:sz w:val="20"/>
      </w:rPr>
      <w:t>Endnotes</w:t>
    </w:r>
  </w:p>
  <w:p w:rsidR="00860AC4" w:rsidRPr="007A1328" w:rsidRDefault="00860AC4" w:rsidP="00F22323">
    <w:pPr>
      <w:rPr>
        <w:sz w:val="20"/>
      </w:rPr>
    </w:pPr>
  </w:p>
  <w:p w:rsidR="00860AC4" w:rsidRPr="007A1328" w:rsidRDefault="00860AC4" w:rsidP="00F22323">
    <w:pPr>
      <w:rPr>
        <w:b/>
        <w:sz w:val="24"/>
      </w:rPr>
    </w:pPr>
  </w:p>
  <w:p w:rsidR="00860AC4" w:rsidRPr="00BE5CD2" w:rsidRDefault="00860AC4" w:rsidP="00F2232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A255C">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BE5CD2" w:rsidRDefault="00860AC4" w:rsidP="00F22323">
    <w:pPr>
      <w:jc w:val="right"/>
      <w:rPr>
        <w:sz w:val="26"/>
        <w:szCs w:val="26"/>
      </w:rPr>
    </w:pPr>
  </w:p>
  <w:p w:rsidR="00860AC4" w:rsidRPr="0020230A" w:rsidRDefault="00860AC4" w:rsidP="00F22323">
    <w:pPr>
      <w:jc w:val="right"/>
      <w:rPr>
        <w:b/>
        <w:sz w:val="20"/>
      </w:rPr>
    </w:pPr>
    <w:r w:rsidRPr="0020230A">
      <w:rPr>
        <w:b/>
        <w:sz w:val="20"/>
      </w:rPr>
      <w:t>Endnotes</w:t>
    </w:r>
  </w:p>
  <w:p w:rsidR="00860AC4" w:rsidRPr="007A1328" w:rsidRDefault="00860AC4" w:rsidP="00F22323">
    <w:pPr>
      <w:jc w:val="right"/>
      <w:rPr>
        <w:sz w:val="20"/>
      </w:rPr>
    </w:pPr>
  </w:p>
  <w:p w:rsidR="00860AC4" w:rsidRPr="007A1328" w:rsidRDefault="00860AC4" w:rsidP="00F22323">
    <w:pPr>
      <w:jc w:val="right"/>
      <w:rPr>
        <w:b/>
        <w:sz w:val="24"/>
      </w:rPr>
    </w:pPr>
  </w:p>
  <w:p w:rsidR="00860AC4" w:rsidRPr="00BE5CD2" w:rsidRDefault="00860AC4" w:rsidP="00F2232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A255C">
      <w:rPr>
        <w:noProof/>
        <w:szCs w:val="22"/>
      </w:rPr>
      <w:t>Endnote 8—Miscellaneous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rsidP="00EA0056">
    <w:pPr>
      <w:pStyle w:val="Header"/>
    </w:pPr>
  </w:p>
  <w:p w:rsidR="00860AC4" w:rsidRPr="00EA0056" w:rsidRDefault="00860AC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rsidP="00F22323">
    <w:pPr>
      <w:pStyle w:val="Header"/>
      <w:pBdr>
        <w:bottom w:val="single" w:sz="4" w:space="1" w:color="auto"/>
      </w:pBdr>
    </w:pPr>
  </w:p>
  <w:p w:rsidR="00860AC4" w:rsidRDefault="00860AC4" w:rsidP="00F22323">
    <w:pPr>
      <w:pStyle w:val="Header"/>
      <w:pBdr>
        <w:bottom w:val="single" w:sz="4" w:space="1" w:color="auto"/>
      </w:pBdr>
    </w:pPr>
  </w:p>
  <w:p w:rsidR="00860AC4" w:rsidRDefault="00860AC4" w:rsidP="00F2232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C5" w:rsidRDefault="006822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ED79B6" w:rsidRDefault="00860AC4" w:rsidP="00F22323">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ED79B6" w:rsidRDefault="00860AC4" w:rsidP="004A0A99">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ED79B6" w:rsidRDefault="00860AC4" w:rsidP="00F2232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Default="00860AC4" w:rsidP="00F2232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60AC4" w:rsidRDefault="00860AC4" w:rsidP="00F2232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60AC4" w:rsidRPr="007A1328" w:rsidRDefault="00860AC4" w:rsidP="00F2232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0AC4" w:rsidRPr="007A1328" w:rsidRDefault="00860AC4" w:rsidP="00F22323">
    <w:pPr>
      <w:rPr>
        <w:b/>
        <w:sz w:val="24"/>
      </w:rPr>
    </w:pPr>
  </w:p>
  <w:p w:rsidR="00860AC4" w:rsidRPr="007A1328" w:rsidRDefault="00860AC4" w:rsidP="00F22323">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A255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22C5">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7A1328" w:rsidRDefault="00860AC4" w:rsidP="00F2232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60AC4" w:rsidRPr="007A1328" w:rsidRDefault="00860AC4" w:rsidP="00F2232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60AC4" w:rsidRPr="007A1328" w:rsidRDefault="00860AC4" w:rsidP="00F2232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0AC4" w:rsidRPr="007A1328" w:rsidRDefault="00860AC4" w:rsidP="00F22323">
    <w:pPr>
      <w:jc w:val="right"/>
      <w:rPr>
        <w:b/>
        <w:sz w:val="24"/>
      </w:rPr>
    </w:pPr>
  </w:p>
  <w:p w:rsidR="00860AC4" w:rsidRPr="007A1328" w:rsidRDefault="00860AC4" w:rsidP="00F22323">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A255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22C5">
      <w:rPr>
        <w:noProof/>
        <w:sz w:val="24"/>
      </w:rPr>
      <w:t>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C4" w:rsidRPr="007A1328" w:rsidRDefault="00860AC4" w:rsidP="00F22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17702"/>
    <w:rsid w:val="00023FD2"/>
    <w:rsid w:val="00024EB8"/>
    <w:rsid w:val="0003434D"/>
    <w:rsid w:val="0003498B"/>
    <w:rsid w:val="00055E25"/>
    <w:rsid w:val="00060004"/>
    <w:rsid w:val="00060219"/>
    <w:rsid w:val="00065A0E"/>
    <w:rsid w:val="000753EE"/>
    <w:rsid w:val="00075B3D"/>
    <w:rsid w:val="00092802"/>
    <w:rsid w:val="00095AFE"/>
    <w:rsid w:val="00095BF0"/>
    <w:rsid w:val="000B0A20"/>
    <w:rsid w:val="000B26C3"/>
    <w:rsid w:val="000B52F3"/>
    <w:rsid w:val="000C56FE"/>
    <w:rsid w:val="000D112D"/>
    <w:rsid w:val="000D363E"/>
    <w:rsid w:val="000E081D"/>
    <w:rsid w:val="000F140F"/>
    <w:rsid w:val="00111E48"/>
    <w:rsid w:val="00114286"/>
    <w:rsid w:val="00122CA1"/>
    <w:rsid w:val="00126C33"/>
    <w:rsid w:val="00126D00"/>
    <w:rsid w:val="00127681"/>
    <w:rsid w:val="00133419"/>
    <w:rsid w:val="001363F5"/>
    <w:rsid w:val="00144C0C"/>
    <w:rsid w:val="00145C33"/>
    <w:rsid w:val="0014660D"/>
    <w:rsid w:val="00152824"/>
    <w:rsid w:val="00153593"/>
    <w:rsid w:val="001544DD"/>
    <w:rsid w:val="00171C57"/>
    <w:rsid w:val="00173AD2"/>
    <w:rsid w:val="00176648"/>
    <w:rsid w:val="00180CD3"/>
    <w:rsid w:val="0018643C"/>
    <w:rsid w:val="001875A4"/>
    <w:rsid w:val="00191B57"/>
    <w:rsid w:val="00195953"/>
    <w:rsid w:val="001A25BD"/>
    <w:rsid w:val="001B1899"/>
    <w:rsid w:val="001B5A2F"/>
    <w:rsid w:val="001B680B"/>
    <w:rsid w:val="001B7079"/>
    <w:rsid w:val="001C0522"/>
    <w:rsid w:val="001C2D2D"/>
    <w:rsid w:val="001C3CFF"/>
    <w:rsid w:val="001C6C78"/>
    <w:rsid w:val="001C7B27"/>
    <w:rsid w:val="001D1730"/>
    <w:rsid w:val="001D49E7"/>
    <w:rsid w:val="001D53F8"/>
    <w:rsid w:val="001E0659"/>
    <w:rsid w:val="001E48C7"/>
    <w:rsid w:val="001E551F"/>
    <w:rsid w:val="001F204C"/>
    <w:rsid w:val="001F6BB6"/>
    <w:rsid w:val="0020488A"/>
    <w:rsid w:val="002125DA"/>
    <w:rsid w:val="00220EDA"/>
    <w:rsid w:val="00222DA1"/>
    <w:rsid w:val="00223A7F"/>
    <w:rsid w:val="002250FB"/>
    <w:rsid w:val="002259EB"/>
    <w:rsid w:val="002303A1"/>
    <w:rsid w:val="002530B9"/>
    <w:rsid w:val="00254B2F"/>
    <w:rsid w:val="00254C12"/>
    <w:rsid w:val="00261F08"/>
    <w:rsid w:val="00262431"/>
    <w:rsid w:val="002705A1"/>
    <w:rsid w:val="00270826"/>
    <w:rsid w:val="0027363B"/>
    <w:rsid w:val="00280B92"/>
    <w:rsid w:val="00292B00"/>
    <w:rsid w:val="00296435"/>
    <w:rsid w:val="0029646C"/>
    <w:rsid w:val="00296E69"/>
    <w:rsid w:val="00296ECB"/>
    <w:rsid w:val="002A3323"/>
    <w:rsid w:val="002A57A4"/>
    <w:rsid w:val="002A6A38"/>
    <w:rsid w:val="002B5E21"/>
    <w:rsid w:val="002C0E89"/>
    <w:rsid w:val="002C42F1"/>
    <w:rsid w:val="002C79E4"/>
    <w:rsid w:val="002C7F8D"/>
    <w:rsid w:val="002D35D3"/>
    <w:rsid w:val="002E04F8"/>
    <w:rsid w:val="002F149C"/>
    <w:rsid w:val="0030627F"/>
    <w:rsid w:val="00312648"/>
    <w:rsid w:val="00313589"/>
    <w:rsid w:val="003242D2"/>
    <w:rsid w:val="003250CC"/>
    <w:rsid w:val="003269CD"/>
    <w:rsid w:val="00327AAB"/>
    <w:rsid w:val="003328BD"/>
    <w:rsid w:val="00336768"/>
    <w:rsid w:val="003456D2"/>
    <w:rsid w:val="00347380"/>
    <w:rsid w:val="00347ABE"/>
    <w:rsid w:val="00351600"/>
    <w:rsid w:val="00354EC9"/>
    <w:rsid w:val="003567D5"/>
    <w:rsid w:val="003570F6"/>
    <w:rsid w:val="00365485"/>
    <w:rsid w:val="00366209"/>
    <w:rsid w:val="00366A84"/>
    <w:rsid w:val="00393A96"/>
    <w:rsid w:val="00396732"/>
    <w:rsid w:val="003A3291"/>
    <w:rsid w:val="003C0299"/>
    <w:rsid w:val="003C1D3B"/>
    <w:rsid w:val="003C700C"/>
    <w:rsid w:val="003D20DD"/>
    <w:rsid w:val="003D4FBF"/>
    <w:rsid w:val="003E18F2"/>
    <w:rsid w:val="003F1A97"/>
    <w:rsid w:val="003F1AF9"/>
    <w:rsid w:val="004207D7"/>
    <w:rsid w:val="00424431"/>
    <w:rsid w:val="00427249"/>
    <w:rsid w:val="00441257"/>
    <w:rsid w:val="00442444"/>
    <w:rsid w:val="00454D0B"/>
    <w:rsid w:val="00457AC5"/>
    <w:rsid w:val="00464C3F"/>
    <w:rsid w:val="004669DD"/>
    <w:rsid w:val="0047221D"/>
    <w:rsid w:val="00476F07"/>
    <w:rsid w:val="004823D7"/>
    <w:rsid w:val="004823ED"/>
    <w:rsid w:val="00482B0A"/>
    <w:rsid w:val="00482D66"/>
    <w:rsid w:val="00490956"/>
    <w:rsid w:val="00492AF6"/>
    <w:rsid w:val="0049476B"/>
    <w:rsid w:val="004A0A99"/>
    <w:rsid w:val="004A33ED"/>
    <w:rsid w:val="004B1E60"/>
    <w:rsid w:val="004B4ECD"/>
    <w:rsid w:val="004B717C"/>
    <w:rsid w:val="004C3A43"/>
    <w:rsid w:val="004C4116"/>
    <w:rsid w:val="004D0241"/>
    <w:rsid w:val="004D25B2"/>
    <w:rsid w:val="004D2CCB"/>
    <w:rsid w:val="004E01BE"/>
    <w:rsid w:val="004E0E6F"/>
    <w:rsid w:val="004E3375"/>
    <w:rsid w:val="004E4259"/>
    <w:rsid w:val="004E53FC"/>
    <w:rsid w:val="004E6672"/>
    <w:rsid w:val="004F0A32"/>
    <w:rsid w:val="004F0C49"/>
    <w:rsid w:val="004F586F"/>
    <w:rsid w:val="004F6EB2"/>
    <w:rsid w:val="004F6F63"/>
    <w:rsid w:val="00503C7C"/>
    <w:rsid w:val="00506AA7"/>
    <w:rsid w:val="0051543A"/>
    <w:rsid w:val="0052409F"/>
    <w:rsid w:val="00524BE1"/>
    <w:rsid w:val="00535BFA"/>
    <w:rsid w:val="00553BBD"/>
    <w:rsid w:val="00553CCE"/>
    <w:rsid w:val="005548F9"/>
    <w:rsid w:val="00555D41"/>
    <w:rsid w:val="00561460"/>
    <w:rsid w:val="00564001"/>
    <w:rsid w:val="00577475"/>
    <w:rsid w:val="00584A71"/>
    <w:rsid w:val="005867F2"/>
    <w:rsid w:val="00586E31"/>
    <w:rsid w:val="00590B66"/>
    <w:rsid w:val="00594F6A"/>
    <w:rsid w:val="005A04A5"/>
    <w:rsid w:val="005A0F53"/>
    <w:rsid w:val="005A2A56"/>
    <w:rsid w:val="005A2B5E"/>
    <w:rsid w:val="005B2BDF"/>
    <w:rsid w:val="005C20BB"/>
    <w:rsid w:val="005C7760"/>
    <w:rsid w:val="005C7BB8"/>
    <w:rsid w:val="005C7FBA"/>
    <w:rsid w:val="005D40F1"/>
    <w:rsid w:val="005D491C"/>
    <w:rsid w:val="005D5651"/>
    <w:rsid w:val="005D6F22"/>
    <w:rsid w:val="005E1640"/>
    <w:rsid w:val="005E42DE"/>
    <w:rsid w:val="005E4BDA"/>
    <w:rsid w:val="005E5309"/>
    <w:rsid w:val="005E6D7C"/>
    <w:rsid w:val="005F38C6"/>
    <w:rsid w:val="005F5365"/>
    <w:rsid w:val="0060499E"/>
    <w:rsid w:val="00610CB1"/>
    <w:rsid w:val="006133D2"/>
    <w:rsid w:val="00622C0A"/>
    <w:rsid w:val="00630C62"/>
    <w:rsid w:val="006334F8"/>
    <w:rsid w:val="006411E6"/>
    <w:rsid w:val="00645165"/>
    <w:rsid w:val="00645A49"/>
    <w:rsid w:val="00647421"/>
    <w:rsid w:val="006503AC"/>
    <w:rsid w:val="006548E6"/>
    <w:rsid w:val="00657047"/>
    <w:rsid w:val="0065794A"/>
    <w:rsid w:val="00664D54"/>
    <w:rsid w:val="00672003"/>
    <w:rsid w:val="00672979"/>
    <w:rsid w:val="00675602"/>
    <w:rsid w:val="006822C5"/>
    <w:rsid w:val="00686152"/>
    <w:rsid w:val="006A4BA5"/>
    <w:rsid w:val="006A672B"/>
    <w:rsid w:val="006B28EE"/>
    <w:rsid w:val="006C31CA"/>
    <w:rsid w:val="006C4BED"/>
    <w:rsid w:val="006C53D2"/>
    <w:rsid w:val="006C795D"/>
    <w:rsid w:val="006D0603"/>
    <w:rsid w:val="006D18DE"/>
    <w:rsid w:val="006D4B99"/>
    <w:rsid w:val="006E6477"/>
    <w:rsid w:val="006E6AF8"/>
    <w:rsid w:val="006F2504"/>
    <w:rsid w:val="006F4850"/>
    <w:rsid w:val="007037DD"/>
    <w:rsid w:val="007067C6"/>
    <w:rsid w:val="00716DAE"/>
    <w:rsid w:val="00717563"/>
    <w:rsid w:val="00730AB3"/>
    <w:rsid w:val="00732020"/>
    <w:rsid w:val="00732425"/>
    <w:rsid w:val="00733608"/>
    <w:rsid w:val="00733D1E"/>
    <w:rsid w:val="00733ED9"/>
    <w:rsid w:val="00735B24"/>
    <w:rsid w:val="0073761F"/>
    <w:rsid w:val="00742BE4"/>
    <w:rsid w:val="0074530F"/>
    <w:rsid w:val="00750F54"/>
    <w:rsid w:val="007576E3"/>
    <w:rsid w:val="00757D9D"/>
    <w:rsid w:val="007640FB"/>
    <w:rsid w:val="0078602D"/>
    <w:rsid w:val="00787D5F"/>
    <w:rsid w:val="00787E97"/>
    <w:rsid w:val="007916FB"/>
    <w:rsid w:val="00792C57"/>
    <w:rsid w:val="00792D08"/>
    <w:rsid w:val="007952D3"/>
    <w:rsid w:val="00795547"/>
    <w:rsid w:val="0079643C"/>
    <w:rsid w:val="0079710F"/>
    <w:rsid w:val="00797C09"/>
    <w:rsid w:val="007A1349"/>
    <w:rsid w:val="007A18FD"/>
    <w:rsid w:val="007A3567"/>
    <w:rsid w:val="007A50F9"/>
    <w:rsid w:val="007C012A"/>
    <w:rsid w:val="007C0378"/>
    <w:rsid w:val="007C23A0"/>
    <w:rsid w:val="007C378E"/>
    <w:rsid w:val="007C49D9"/>
    <w:rsid w:val="007D2042"/>
    <w:rsid w:val="007D7972"/>
    <w:rsid w:val="007E21C3"/>
    <w:rsid w:val="007F1FBC"/>
    <w:rsid w:val="007F233F"/>
    <w:rsid w:val="007F6B43"/>
    <w:rsid w:val="00800EE9"/>
    <w:rsid w:val="00802693"/>
    <w:rsid w:val="00814479"/>
    <w:rsid w:val="008200F1"/>
    <w:rsid w:val="00820E6A"/>
    <w:rsid w:val="00826454"/>
    <w:rsid w:val="00834026"/>
    <w:rsid w:val="008421EA"/>
    <w:rsid w:val="008529D0"/>
    <w:rsid w:val="00855B7C"/>
    <w:rsid w:val="0086067F"/>
    <w:rsid w:val="00860AC4"/>
    <w:rsid w:val="008621D6"/>
    <w:rsid w:val="00884A91"/>
    <w:rsid w:val="00890A16"/>
    <w:rsid w:val="00892778"/>
    <w:rsid w:val="008A0D3A"/>
    <w:rsid w:val="008A3D32"/>
    <w:rsid w:val="008A5870"/>
    <w:rsid w:val="008A5DD5"/>
    <w:rsid w:val="008B1A88"/>
    <w:rsid w:val="008B232B"/>
    <w:rsid w:val="008B7DD7"/>
    <w:rsid w:val="008C1D70"/>
    <w:rsid w:val="008C3210"/>
    <w:rsid w:val="008C38FE"/>
    <w:rsid w:val="008C6ACD"/>
    <w:rsid w:val="008D019D"/>
    <w:rsid w:val="008D64ED"/>
    <w:rsid w:val="008E02E5"/>
    <w:rsid w:val="008E5058"/>
    <w:rsid w:val="008E74ED"/>
    <w:rsid w:val="008E7D39"/>
    <w:rsid w:val="008F5EC2"/>
    <w:rsid w:val="00901D54"/>
    <w:rsid w:val="00901DA5"/>
    <w:rsid w:val="00902FB5"/>
    <w:rsid w:val="009070F5"/>
    <w:rsid w:val="00914CC9"/>
    <w:rsid w:val="0092760D"/>
    <w:rsid w:val="0093033C"/>
    <w:rsid w:val="00930679"/>
    <w:rsid w:val="009356C5"/>
    <w:rsid w:val="00943453"/>
    <w:rsid w:val="00944599"/>
    <w:rsid w:val="0095113D"/>
    <w:rsid w:val="0095322A"/>
    <w:rsid w:val="009553F5"/>
    <w:rsid w:val="009676B9"/>
    <w:rsid w:val="00982FFF"/>
    <w:rsid w:val="00987DF2"/>
    <w:rsid w:val="0099046F"/>
    <w:rsid w:val="00992087"/>
    <w:rsid w:val="00992710"/>
    <w:rsid w:val="009A595E"/>
    <w:rsid w:val="009A6B8D"/>
    <w:rsid w:val="009E3171"/>
    <w:rsid w:val="009F3211"/>
    <w:rsid w:val="00A01333"/>
    <w:rsid w:val="00A01FB2"/>
    <w:rsid w:val="00A03F84"/>
    <w:rsid w:val="00A1281A"/>
    <w:rsid w:val="00A17D1D"/>
    <w:rsid w:val="00A20966"/>
    <w:rsid w:val="00A21F56"/>
    <w:rsid w:val="00A26EC4"/>
    <w:rsid w:val="00A31BE9"/>
    <w:rsid w:val="00A34075"/>
    <w:rsid w:val="00A40923"/>
    <w:rsid w:val="00A419EE"/>
    <w:rsid w:val="00A45AB4"/>
    <w:rsid w:val="00A5339B"/>
    <w:rsid w:val="00A551C6"/>
    <w:rsid w:val="00A5794C"/>
    <w:rsid w:val="00A658C3"/>
    <w:rsid w:val="00A7238F"/>
    <w:rsid w:val="00A90216"/>
    <w:rsid w:val="00A91F48"/>
    <w:rsid w:val="00A939BC"/>
    <w:rsid w:val="00A954C1"/>
    <w:rsid w:val="00AA64FB"/>
    <w:rsid w:val="00AB3AB7"/>
    <w:rsid w:val="00AC2749"/>
    <w:rsid w:val="00AD4C82"/>
    <w:rsid w:val="00AE3BDB"/>
    <w:rsid w:val="00AE5649"/>
    <w:rsid w:val="00AF52E2"/>
    <w:rsid w:val="00B00EA0"/>
    <w:rsid w:val="00B01A01"/>
    <w:rsid w:val="00B02301"/>
    <w:rsid w:val="00B11FF4"/>
    <w:rsid w:val="00B267A3"/>
    <w:rsid w:val="00B2730F"/>
    <w:rsid w:val="00B3318B"/>
    <w:rsid w:val="00B341F1"/>
    <w:rsid w:val="00B41A08"/>
    <w:rsid w:val="00B41B52"/>
    <w:rsid w:val="00B4372D"/>
    <w:rsid w:val="00B440EB"/>
    <w:rsid w:val="00B469F9"/>
    <w:rsid w:val="00B50B2D"/>
    <w:rsid w:val="00B53BDC"/>
    <w:rsid w:val="00B564FE"/>
    <w:rsid w:val="00B56B8D"/>
    <w:rsid w:val="00B64636"/>
    <w:rsid w:val="00B64D46"/>
    <w:rsid w:val="00B65B18"/>
    <w:rsid w:val="00B6604D"/>
    <w:rsid w:val="00B66B48"/>
    <w:rsid w:val="00B70884"/>
    <w:rsid w:val="00B71C72"/>
    <w:rsid w:val="00B74EBD"/>
    <w:rsid w:val="00B750D0"/>
    <w:rsid w:val="00B75420"/>
    <w:rsid w:val="00B76F60"/>
    <w:rsid w:val="00B779A9"/>
    <w:rsid w:val="00B82EAA"/>
    <w:rsid w:val="00B9207A"/>
    <w:rsid w:val="00BA3AA3"/>
    <w:rsid w:val="00BA4CD6"/>
    <w:rsid w:val="00BA56DA"/>
    <w:rsid w:val="00BA5A9A"/>
    <w:rsid w:val="00BA61EE"/>
    <w:rsid w:val="00BA761C"/>
    <w:rsid w:val="00BC63F3"/>
    <w:rsid w:val="00BC6FCA"/>
    <w:rsid w:val="00BD0348"/>
    <w:rsid w:val="00BD12AB"/>
    <w:rsid w:val="00BE7291"/>
    <w:rsid w:val="00C02DBF"/>
    <w:rsid w:val="00C03332"/>
    <w:rsid w:val="00C13341"/>
    <w:rsid w:val="00C143E8"/>
    <w:rsid w:val="00C17668"/>
    <w:rsid w:val="00C24D82"/>
    <w:rsid w:val="00C31A5D"/>
    <w:rsid w:val="00C321EA"/>
    <w:rsid w:val="00C33891"/>
    <w:rsid w:val="00C34B2A"/>
    <w:rsid w:val="00C35033"/>
    <w:rsid w:val="00C402B8"/>
    <w:rsid w:val="00C452AC"/>
    <w:rsid w:val="00C50FB8"/>
    <w:rsid w:val="00C5641E"/>
    <w:rsid w:val="00C5685E"/>
    <w:rsid w:val="00C56C15"/>
    <w:rsid w:val="00C61D3C"/>
    <w:rsid w:val="00C65016"/>
    <w:rsid w:val="00C67AD4"/>
    <w:rsid w:val="00C70FAF"/>
    <w:rsid w:val="00C73929"/>
    <w:rsid w:val="00C763FB"/>
    <w:rsid w:val="00C82160"/>
    <w:rsid w:val="00C82911"/>
    <w:rsid w:val="00C82D38"/>
    <w:rsid w:val="00C85260"/>
    <w:rsid w:val="00C861D2"/>
    <w:rsid w:val="00C92281"/>
    <w:rsid w:val="00C92CDA"/>
    <w:rsid w:val="00C9472B"/>
    <w:rsid w:val="00C95375"/>
    <w:rsid w:val="00C95A4E"/>
    <w:rsid w:val="00C96597"/>
    <w:rsid w:val="00C969F3"/>
    <w:rsid w:val="00CA1EB2"/>
    <w:rsid w:val="00CC1FC2"/>
    <w:rsid w:val="00CC4EF4"/>
    <w:rsid w:val="00CC5A7E"/>
    <w:rsid w:val="00CC60E7"/>
    <w:rsid w:val="00CC7753"/>
    <w:rsid w:val="00CC79B9"/>
    <w:rsid w:val="00CC7CA2"/>
    <w:rsid w:val="00CD11C3"/>
    <w:rsid w:val="00CD6A05"/>
    <w:rsid w:val="00CE233A"/>
    <w:rsid w:val="00CF3C0A"/>
    <w:rsid w:val="00D02D62"/>
    <w:rsid w:val="00D06C91"/>
    <w:rsid w:val="00D10555"/>
    <w:rsid w:val="00D21FE8"/>
    <w:rsid w:val="00D222D8"/>
    <w:rsid w:val="00D231CE"/>
    <w:rsid w:val="00D23277"/>
    <w:rsid w:val="00D304D1"/>
    <w:rsid w:val="00D34E18"/>
    <w:rsid w:val="00D36966"/>
    <w:rsid w:val="00D43C47"/>
    <w:rsid w:val="00D4502B"/>
    <w:rsid w:val="00D464DE"/>
    <w:rsid w:val="00D47851"/>
    <w:rsid w:val="00D50A88"/>
    <w:rsid w:val="00D50D04"/>
    <w:rsid w:val="00D510D6"/>
    <w:rsid w:val="00D7154E"/>
    <w:rsid w:val="00D77ABB"/>
    <w:rsid w:val="00D80D44"/>
    <w:rsid w:val="00D9415C"/>
    <w:rsid w:val="00D9574F"/>
    <w:rsid w:val="00D96FAA"/>
    <w:rsid w:val="00D97C6A"/>
    <w:rsid w:val="00D97F3C"/>
    <w:rsid w:val="00DA255C"/>
    <w:rsid w:val="00DB2833"/>
    <w:rsid w:val="00DB38B3"/>
    <w:rsid w:val="00DB78AA"/>
    <w:rsid w:val="00DD3616"/>
    <w:rsid w:val="00DE0A50"/>
    <w:rsid w:val="00DF7A67"/>
    <w:rsid w:val="00E00F2E"/>
    <w:rsid w:val="00E0110D"/>
    <w:rsid w:val="00E0170F"/>
    <w:rsid w:val="00E115EE"/>
    <w:rsid w:val="00E164E6"/>
    <w:rsid w:val="00E17390"/>
    <w:rsid w:val="00E20B97"/>
    <w:rsid w:val="00E212D0"/>
    <w:rsid w:val="00E24E9B"/>
    <w:rsid w:val="00E25F36"/>
    <w:rsid w:val="00E371BB"/>
    <w:rsid w:val="00E476B6"/>
    <w:rsid w:val="00E47839"/>
    <w:rsid w:val="00E619EA"/>
    <w:rsid w:val="00E62BED"/>
    <w:rsid w:val="00E73A1B"/>
    <w:rsid w:val="00E75960"/>
    <w:rsid w:val="00E76310"/>
    <w:rsid w:val="00E774DD"/>
    <w:rsid w:val="00E83CB5"/>
    <w:rsid w:val="00E85C17"/>
    <w:rsid w:val="00E95A6B"/>
    <w:rsid w:val="00EA0056"/>
    <w:rsid w:val="00EA14B9"/>
    <w:rsid w:val="00EB00FD"/>
    <w:rsid w:val="00EB31CA"/>
    <w:rsid w:val="00EB6A10"/>
    <w:rsid w:val="00EC6938"/>
    <w:rsid w:val="00ED0722"/>
    <w:rsid w:val="00ED310D"/>
    <w:rsid w:val="00EE7651"/>
    <w:rsid w:val="00EF4F03"/>
    <w:rsid w:val="00F00C4C"/>
    <w:rsid w:val="00F03CB8"/>
    <w:rsid w:val="00F04553"/>
    <w:rsid w:val="00F10548"/>
    <w:rsid w:val="00F1343A"/>
    <w:rsid w:val="00F17A73"/>
    <w:rsid w:val="00F21027"/>
    <w:rsid w:val="00F22323"/>
    <w:rsid w:val="00F22BFA"/>
    <w:rsid w:val="00F33606"/>
    <w:rsid w:val="00F35903"/>
    <w:rsid w:val="00F3623A"/>
    <w:rsid w:val="00F4594E"/>
    <w:rsid w:val="00F52C29"/>
    <w:rsid w:val="00F5332E"/>
    <w:rsid w:val="00F54B0B"/>
    <w:rsid w:val="00F57858"/>
    <w:rsid w:val="00F60524"/>
    <w:rsid w:val="00F72662"/>
    <w:rsid w:val="00F8464C"/>
    <w:rsid w:val="00F84A87"/>
    <w:rsid w:val="00F85736"/>
    <w:rsid w:val="00F93977"/>
    <w:rsid w:val="00F93DA4"/>
    <w:rsid w:val="00FB2A3E"/>
    <w:rsid w:val="00FB515C"/>
    <w:rsid w:val="00FC1CF1"/>
    <w:rsid w:val="00FC785E"/>
    <w:rsid w:val="00FD212A"/>
    <w:rsid w:val="00FD41B2"/>
    <w:rsid w:val="00FD4915"/>
    <w:rsid w:val="00FD4B3A"/>
    <w:rsid w:val="00FE1ED6"/>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255C"/>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DA2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255C"/>
  </w:style>
  <w:style w:type="character" w:customStyle="1" w:styleId="CharSubPartTextCASA">
    <w:name w:val="CharSubPartText(CASA)"/>
    <w:basedOn w:val="OPCCharBase"/>
    <w:uiPriority w:val="1"/>
    <w:rsid w:val="00DA255C"/>
  </w:style>
  <w:style w:type="character" w:customStyle="1" w:styleId="CharSubPartNoCASA">
    <w:name w:val="CharSubPartNo(CASA)"/>
    <w:basedOn w:val="OPCCharBase"/>
    <w:uiPriority w:val="1"/>
    <w:rsid w:val="00DA255C"/>
  </w:style>
  <w:style w:type="paragraph" w:styleId="Footer">
    <w:name w:val="footer"/>
    <w:link w:val="FooterChar"/>
    <w:rsid w:val="00DA255C"/>
    <w:pPr>
      <w:tabs>
        <w:tab w:val="center" w:pos="4153"/>
        <w:tab w:val="right" w:pos="8306"/>
      </w:tabs>
    </w:pPr>
    <w:rPr>
      <w:sz w:val="22"/>
      <w:szCs w:val="24"/>
    </w:rPr>
  </w:style>
  <w:style w:type="paragraph" w:customStyle="1" w:styleId="ENoteTTIndentHeadingSub">
    <w:name w:val="ENoteTTIndentHeadingSub"/>
    <w:aliases w:val="enTTHis"/>
    <w:basedOn w:val="OPCParaBase"/>
    <w:rsid w:val="00DA255C"/>
    <w:pPr>
      <w:keepNext/>
      <w:spacing w:before="60" w:line="240" w:lineRule="atLeast"/>
      <w:ind w:left="340"/>
    </w:pPr>
    <w:rPr>
      <w:b/>
      <w:sz w:val="16"/>
    </w:rPr>
  </w:style>
  <w:style w:type="paragraph" w:customStyle="1" w:styleId="ENoteTTiSub">
    <w:name w:val="ENoteTTiSub"/>
    <w:aliases w:val="enttis"/>
    <w:basedOn w:val="OPCParaBase"/>
    <w:rsid w:val="00DA255C"/>
    <w:pPr>
      <w:keepNext/>
      <w:spacing w:before="60" w:line="240" w:lineRule="atLeast"/>
      <w:ind w:left="340"/>
    </w:pPr>
    <w:rPr>
      <w:sz w:val="16"/>
    </w:rPr>
  </w:style>
  <w:style w:type="paragraph" w:customStyle="1" w:styleId="SubDivisionMigration">
    <w:name w:val="SubDivisionMigration"/>
    <w:aliases w:val="sdm"/>
    <w:basedOn w:val="OPCParaBase"/>
    <w:rsid w:val="00DA25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255C"/>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A255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A255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255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A255C"/>
  </w:style>
  <w:style w:type="character" w:customStyle="1" w:styleId="CharAmSchText">
    <w:name w:val="CharAmSchText"/>
    <w:basedOn w:val="OPCCharBase"/>
    <w:uiPriority w:val="1"/>
    <w:qFormat/>
    <w:rsid w:val="00DA255C"/>
  </w:style>
  <w:style w:type="character" w:customStyle="1" w:styleId="CharChapNo">
    <w:name w:val="CharChapNo"/>
    <w:basedOn w:val="OPCCharBase"/>
    <w:qFormat/>
    <w:rsid w:val="00DA255C"/>
  </w:style>
  <w:style w:type="character" w:customStyle="1" w:styleId="CharChapText">
    <w:name w:val="CharChapText"/>
    <w:basedOn w:val="OPCCharBase"/>
    <w:qFormat/>
    <w:rsid w:val="00DA255C"/>
  </w:style>
  <w:style w:type="character" w:customStyle="1" w:styleId="CharDivNo">
    <w:name w:val="CharDivNo"/>
    <w:basedOn w:val="OPCCharBase"/>
    <w:qFormat/>
    <w:rsid w:val="00DA255C"/>
  </w:style>
  <w:style w:type="character" w:customStyle="1" w:styleId="CharDivText">
    <w:name w:val="CharDivText"/>
    <w:basedOn w:val="OPCCharBase"/>
    <w:qFormat/>
    <w:rsid w:val="00DA255C"/>
  </w:style>
  <w:style w:type="character" w:customStyle="1" w:styleId="CharPartNo">
    <w:name w:val="CharPartNo"/>
    <w:basedOn w:val="OPCCharBase"/>
    <w:qFormat/>
    <w:rsid w:val="00DA255C"/>
  </w:style>
  <w:style w:type="character" w:customStyle="1" w:styleId="CharPartText">
    <w:name w:val="CharPartText"/>
    <w:basedOn w:val="OPCCharBase"/>
    <w:qFormat/>
    <w:rsid w:val="00DA255C"/>
  </w:style>
  <w:style w:type="character" w:customStyle="1" w:styleId="OPCCharBase">
    <w:name w:val="OPCCharBase"/>
    <w:uiPriority w:val="1"/>
    <w:qFormat/>
    <w:rsid w:val="00DA255C"/>
  </w:style>
  <w:style w:type="paragraph" w:customStyle="1" w:styleId="OPCParaBase">
    <w:name w:val="OPCParaBase"/>
    <w:qFormat/>
    <w:rsid w:val="00DA255C"/>
    <w:pPr>
      <w:spacing w:line="260" w:lineRule="atLeast"/>
    </w:pPr>
    <w:rPr>
      <w:sz w:val="22"/>
    </w:rPr>
  </w:style>
  <w:style w:type="character" w:customStyle="1" w:styleId="CharSectno">
    <w:name w:val="CharSectno"/>
    <w:basedOn w:val="OPCCharBase"/>
    <w:qFormat/>
    <w:rsid w:val="00DA255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A255C"/>
    <w:pPr>
      <w:spacing w:line="240" w:lineRule="auto"/>
      <w:ind w:left="1134"/>
    </w:pPr>
    <w:rPr>
      <w:sz w:val="20"/>
    </w:rPr>
  </w:style>
  <w:style w:type="paragraph" w:customStyle="1" w:styleId="ShortT">
    <w:name w:val="ShortT"/>
    <w:basedOn w:val="OPCParaBase"/>
    <w:next w:val="Normal"/>
    <w:qFormat/>
    <w:rsid w:val="00DA255C"/>
    <w:pPr>
      <w:spacing w:line="240" w:lineRule="auto"/>
    </w:pPr>
    <w:rPr>
      <w:b/>
      <w:sz w:val="40"/>
    </w:rPr>
  </w:style>
  <w:style w:type="paragraph" w:customStyle="1" w:styleId="Penalty">
    <w:name w:val="Penalty"/>
    <w:basedOn w:val="OPCParaBase"/>
    <w:rsid w:val="00DA255C"/>
    <w:pPr>
      <w:tabs>
        <w:tab w:val="left" w:pos="2977"/>
      </w:tabs>
      <w:spacing w:before="180" w:line="240" w:lineRule="auto"/>
      <w:ind w:left="1985" w:hanging="851"/>
    </w:pPr>
  </w:style>
  <w:style w:type="paragraph" w:styleId="TOC1">
    <w:name w:val="toc 1"/>
    <w:basedOn w:val="OPCParaBase"/>
    <w:next w:val="Normal"/>
    <w:uiPriority w:val="39"/>
    <w:unhideWhenUsed/>
    <w:rsid w:val="00DA25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25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25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25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25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25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25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25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255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A255C"/>
    <w:pPr>
      <w:spacing w:line="240" w:lineRule="auto"/>
    </w:pPr>
    <w:rPr>
      <w:sz w:val="20"/>
    </w:rPr>
  </w:style>
  <w:style w:type="paragraph" w:customStyle="1" w:styleId="ActHead1">
    <w:name w:val="ActHead 1"/>
    <w:aliases w:val="c"/>
    <w:basedOn w:val="OPCParaBase"/>
    <w:next w:val="Normal"/>
    <w:qFormat/>
    <w:rsid w:val="00DA255C"/>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A255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DA25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25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25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25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25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25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25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25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255C"/>
  </w:style>
  <w:style w:type="paragraph" w:customStyle="1" w:styleId="Blocks">
    <w:name w:val="Blocks"/>
    <w:aliases w:val="bb"/>
    <w:basedOn w:val="OPCParaBase"/>
    <w:qFormat/>
    <w:rsid w:val="00DA255C"/>
    <w:pPr>
      <w:spacing w:line="240" w:lineRule="auto"/>
    </w:pPr>
    <w:rPr>
      <w:sz w:val="24"/>
    </w:rPr>
  </w:style>
  <w:style w:type="paragraph" w:customStyle="1" w:styleId="BoxText">
    <w:name w:val="BoxText"/>
    <w:aliases w:val="bt"/>
    <w:basedOn w:val="OPCParaBase"/>
    <w:qFormat/>
    <w:rsid w:val="00DA25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255C"/>
    <w:rPr>
      <w:b/>
    </w:rPr>
  </w:style>
  <w:style w:type="paragraph" w:customStyle="1" w:styleId="BoxHeadItalic">
    <w:name w:val="BoxHeadItalic"/>
    <w:aliases w:val="bhi"/>
    <w:basedOn w:val="BoxText"/>
    <w:next w:val="BoxStep"/>
    <w:qFormat/>
    <w:rsid w:val="00DA255C"/>
    <w:rPr>
      <w:i/>
    </w:rPr>
  </w:style>
  <w:style w:type="paragraph" w:customStyle="1" w:styleId="BoxList">
    <w:name w:val="BoxList"/>
    <w:aliases w:val="bl"/>
    <w:basedOn w:val="BoxText"/>
    <w:qFormat/>
    <w:rsid w:val="00DA255C"/>
    <w:pPr>
      <w:ind w:left="1559" w:hanging="425"/>
    </w:pPr>
  </w:style>
  <w:style w:type="paragraph" w:customStyle="1" w:styleId="BoxNote">
    <w:name w:val="BoxNote"/>
    <w:aliases w:val="bn"/>
    <w:basedOn w:val="BoxText"/>
    <w:qFormat/>
    <w:rsid w:val="00DA255C"/>
    <w:pPr>
      <w:tabs>
        <w:tab w:val="left" w:pos="1985"/>
      </w:tabs>
      <w:spacing w:before="122" w:line="198" w:lineRule="exact"/>
      <w:ind w:left="2948" w:hanging="1814"/>
    </w:pPr>
    <w:rPr>
      <w:sz w:val="18"/>
    </w:rPr>
  </w:style>
  <w:style w:type="paragraph" w:customStyle="1" w:styleId="BoxPara">
    <w:name w:val="BoxPara"/>
    <w:aliases w:val="bp"/>
    <w:basedOn w:val="BoxText"/>
    <w:qFormat/>
    <w:rsid w:val="00DA255C"/>
    <w:pPr>
      <w:tabs>
        <w:tab w:val="right" w:pos="2268"/>
      </w:tabs>
      <w:ind w:left="2552" w:hanging="1418"/>
    </w:pPr>
  </w:style>
  <w:style w:type="paragraph" w:customStyle="1" w:styleId="BoxStep">
    <w:name w:val="BoxStep"/>
    <w:aliases w:val="bs"/>
    <w:basedOn w:val="BoxText"/>
    <w:qFormat/>
    <w:rsid w:val="00DA255C"/>
    <w:pPr>
      <w:ind w:left="1985" w:hanging="851"/>
    </w:pPr>
  </w:style>
  <w:style w:type="character" w:customStyle="1" w:styleId="CharAmPartNo">
    <w:name w:val="CharAmPartNo"/>
    <w:basedOn w:val="OPCCharBase"/>
    <w:uiPriority w:val="1"/>
    <w:qFormat/>
    <w:rsid w:val="00DA255C"/>
  </w:style>
  <w:style w:type="character" w:customStyle="1" w:styleId="CharAmPartText">
    <w:name w:val="CharAmPartText"/>
    <w:basedOn w:val="OPCCharBase"/>
    <w:uiPriority w:val="1"/>
    <w:qFormat/>
    <w:rsid w:val="00DA255C"/>
  </w:style>
  <w:style w:type="character" w:customStyle="1" w:styleId="CharBoldItalic">
    <w:name w:val="CharBoldItalic"/>
    <w:basedOn w:val="OPCCharBase"/>
    <w:uiPriority w:val="1"/>
    <w:qFormat/>
    <w:rsid w:val="00DA255C"/>
    <w:rPr>
      <w:b/>
      <w:i/>
    </w:rPr>
  </w:style>
  <w:style w:type="character" w:customStyle="1" w:styleId="CharItalic">
    <w:name w:val="CharItalic"/>
    <w:basedOn w:val="OPCCharBase"/>
    <w:uiPriority w:val="1"/>
    <w:qFormat/>
    <w:rsid w:val="00DA255C"/>
    <w:rPr>
      <w:i/>
    </w:rPr>
  </w:style>
  <w:style w:type="character" w:customStyle="1" w:styleId="CharSubdNo">
    <w:name w:val="CharSubdNo"/>
    <w:basedOn w:val="OPCCharBase"/>
    <w:uiPriority w:val="1"/>
    <w:qFormat/>
    <w:rsid w:val="00DA255C"/>
  </w:style>
  <w:style w:type="character" w:customStyle="1" w:styleId="CharSubdText">
    <w:name w:val="CharSubdText"/>
    <w:basedOn w:val="OPCCharBase"/>
    <w:uiPriority w:val="1"/>
    <w:qFormat/>
    <w:rsid w:val="00DA255C"/>
  </w:style>
  <w:style w:type="paragraph" w:customStyle="1" w:styleId="CTA--">
    <w:name w:val="CTA --"/>
    <w:basedOn w:val="OPCParaBase"/>
    <w:next w:val="Normal"/>
    <w:rsid w:val="00DA255C"/>
    <w:pPr>
      <w:spacing w:before="60" w:line="240" w:lineRule="atLeast"/>
      <w:ind w:left="142" w:hanging="142"/>
    </w:pPr>
    <w:rPr>
      <w:sz w:val="20"/>
    </w:rPr>
  </w:style>
  <w:style w:type="paragraph" w:customStyle="1" w:styleId="CTA-">
    <w:name w:val="CTA -"/>
    <w:basedOn w:val="OPCParaBase"/>
    <w:rsid w:val="00DA255C"/>
    <w:pPr>
      <w:spacing w:before="60" w:line="240" w:lineRule="atLeast"/>
      <w:ind w:left="85" w:hanging="85"/>
    </w:pPr>
    <w:rPr>
      <w:sz w:val="20"/>
    </w:rPr>
  </w:style>
  <w:style w:type="paragraph" w:customStyle="1" w:styleId="CTA---">
    <w:name w:val="CTA ---"/>
    <w:basedOn w:val="OPCParaBase"/>
    <w:next w:val="Normal"/>
    <w:rsid w:val="00DA255C"/>
    <w:pPr>
      <w:spacing w:before="60" w:line="240" w:lineRule="atLeast"/>
      <w:ind w:left="198" w:hanging="198"/>
    </w:pPr>
    <w:rPr>
      <w:sz w:val="20"/>
    </w:rPr>
  </w:style>
  <w:style w:type="paragraph" w:customStyle="1" w:styleId="CTA----">
    <w:name w:val="CTA ----"/>
    <w:basedOn w:val="OPCParaBase"/>
    <w:next w:val="Normal"/>
    <w:rsid w:val="00DA255C"/>
    <w:pPr>
      <w:spacing w:before="60" w:line="240" w:lineRule="atLeast"/>
      <w:ind w:left="255" w:hanging="255"/>
    </w:pPr>
    <w:rPr>
      <w:sz w:val="20"/>
    </w:rPr>
  </w:style>
  <w:style w:type="paragraph" w:customStyle="1" w:styleId="CTA1a">
    <w:name w:val="CTA 1(a)"/>
    <w:basedOn w:val="OPCParaBase"/>
    <w:rsid w:val="00DA255C"/>
    <w:pPr>
      <w:tabs>
        <w:tab w:val="right" w:pos="414"/>
      </w:tabs>
      <w:spacing w:before="40" w:line="240" w:lineRule="atLeast"/>
      <w:ind w:left="675" w:hanging="675"/>
    </w:pPr>
    <w:rPr>
      <w:sz w:val="20"/>
    </w:rPr>
  </w:style>
  <w:style w:type="paragraph" w:customStyle="1" w:styleId="CTA1ai">
    <w:name w:val="CTA 1(a)(i)"/>
    <w:basedOn w:val="OPCParaBase"/>
    <w:rsid w:val="00DA255C"/>
    <w:pPr>
      <w:tabs>
        <w:tab w:val="right" w:pos="1004"/>
      </w:tabs>
      <w:spacing w:before="40" w:line="240" w:lineRule="atLeast"/>
      <w:ind w:left="1253" w:hanging="1253"/>
    </w:pPr>
    <w:rPr>
      <w:sz w:val="20"/>
    </w:rPr>
  </w:style>
  <w:style w:type="paragraph" w:customStyle="1" w:styleId="CTA2a">
    <w:name w:val="CTA 2(a)"/>
    <w:basedOn w:val="OPCParaBase"/>
    <w:rsid w:val="00DA255C"/>
    <w:pPr>
      <w:tabs>
        <w:tab w:val="right" w:pos="482"/>
      </w:tabs>
      <w:spacing w:before="40" w:line="240" w:lineRule="atLeast"/>
      <w:ind w:left="748" w:hanging="748"/>
    </w:pPr>
    <w:rPr>
      <w:sz w:val="20"/>
    </w:rPr>
  </w:style>
  <w:style w:type="paragraph" w:customStyle="1" w:styleId="CTA2ai">
    <w:name w:val="CTA 2(a)(i)"/>
    <w:basedOn w:val="OPCParaBase"/>
    <w:rsid w:val="00DA255C"/>
    <w:pPr>
      <w:tabs>
        <w:tab w:val="right" w:pos="1089"/>
      </w:tabs>
      <w:spacing w:before="40" w:line="240" w:lineRule="atLeast"/>
      <w:ind w:left="1327" w:hanging="1327"/>
    </w:pPr>
    <w:rPr>
      <w:sz w:val="20"/>
    </w:rPr>
  </w:style>
  <w:style w:type="paragraph" w:customStyle="1" w:styleId="CTA3a">
    <w:name w:val="CTA 3(a)"/>
    <w:basedOn w:val="OPCParaBase"/>
    <w:rsid w:val="00DA255C"/>
    <w:pPr>
      <w:tabs>
        <w:tab w:val="right" w:pos="556"/>
      </w:tabs>
      <w:spacing w:before="40" w:line="240" w:lineRule="atLeast"/>
      <w:ind w:left="805" w:hanging="805"/>
    </w:pPr>
    <w:rPr>
      <w:sz w:val="20"/>
    </w:rPr>
  </w:style>
  <w:style w:type="paragraph" w:customStyle="1" w:styleId="CTA3ai">
    <w:name w:val="CTA 3(a)(i)"/>
    <w:basedOn w:val="OPCParaBase"/>
    <w:rsid w:val="00DA255C"/>
    <w:pPr>
      <w:tabs>
        <w:tab w:val="right" w:pos="1140"/>
      </w:tabs>
      <w:spacing w:before="40" w:line="240" w:lineRule="atLeast"/>
      <w:ind w:left="1361" w:hanging="1361"/>
    </w:pPr>
    <w:rPr>
      <w:sz w:val="20"/>
    </w:rPr>
  </w:style>
  <w:style w:type="paragraph" w:customStyle="1" w:styleId="CTA4a">
    <w:name w:val="CTA 4(a)"/>
    <w:basedOn w:val="OPCParaBase"/>
    <w:rsid w:val="00DA255C"/>
    <w:pPr>
      <w:tabs>
        <w:tab w:val="right" w:pos="624"/>
      </w:tabs>
      <w:spacing w:before="40" w:line="240" w:lineRule="atLeast"/>
      <w:ind w:left="873" w:hanging="873"/>
    </w:pPr>
    <w:rPr>
      <w:sz w:val="20"/>
    </w:rPr>
  </w:style>
  <w:style w:type="paragraph" w:customStyle="1" w:styleId="CTA4ai">
    <w:name w:val="CTA 4(a)(i)"/>
    <w:basedOn w:val="OPCParaBase"/>
    <w:rsid w:val="00DA255C"/>
    <w:pPr>
      <w:tabs>
        <w:tab w:val="right" w:pos="1213"/>
      </w:tabs>
      <w:spacing w:before="40" w:line="240" w:lineRule="atLeast"/>
      <w:ind w:left="1452" w:hanging="1452"/>
    </w:pPr>
    <w:rPr>
      <w:sz w:val="20"/>
    </w:rPr>
  </w:style>
  <w:style w:type="paragraph" w:customStyle="1" w:styleId="CTACAPS">
    <w:name w:val="CTA CAPS"/>
    <w:basedOn w:val="OPCParaBase"/>
    <w:rsid w:val="00DA255C"/>
    <w:pPr>
      <w:spacing w:before="60" w:line="240" w:lineRule="atLeast"/>
    </w:pPr>
    <w:rPr>
      <w:sz w:val="20"/>
    </w:rPr>
  </w:style>
  <w:style w:type="paragraph" w:customStyle="1" w:styleId="CTAright">
    <w:name w:val="CTA right"/>
    <w:basedOn w:val="OPCParaBase"/>
    <w:rsid w:val="00DA255C"/>
    <w:pPr>
      <w:spacing w:before="60" w:line="240" w:lineRule="auto"/>
      <w:jc w:val="right"/>
    </w:pPr>
    <w:rPr>
      <w:sz w:val="20"/>
    </w:rPr>
  </w:style>
  <w:style w:type="paragraph" w:customStyle="1" w:styleId="subsection">
    <w:name w:val="subsection"/>
    <w:aliases w:val="ss"/>
    <w:basedOn w:val="OPCParaBase"/>
    <w:rsid w:val="00DA255C"/>
    <w:pPr>
      <w:tabs>
        <w:tab w:val="right" w:pos="1021"/>
      </w:tabs>
      <w:spacing w:before="180" w:line="240" w:lineRule="auto"/>
      <w:ind w:left="1134" w:hanging="1134"/>
    </w:pPr>
  </w:style>
  <w:style w:type="paragraph" w:customStyle="1" w:styleId="Definition">
    <w:name w:val="Definition"/>
    <w:aliases w:val="dd"/>
    <w:basedOn w:val="OPCParaBase"/>
    <w:rsid w:val="00DA255C"/>
    <w:pPr>
      <w:spacing w:before="180" w:line="240" w:lineRule="auto"/>
      <w:ind w:left="1134"/>
    </w:pPr>
  </w:style>
  <w:style w:type="paragraph" w:customStyle="1" w:styleId="EndNotespara">
    <w:name w:val="EndNotes(para)"/>
    <w:aliases w:val="eta"/>
    <w:basedOn w:val="OPCParaBase"/>
    <w:next w:val="EndNotessubpara"/>
    <w:rsid w:val="00DA25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25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25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255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A255C"/>
    <w:rPr>
      <w:sz w:val="16"/>
    </w:rPr>
  </w:style>
  <w:style w:type="paragraph" w:customStyle="1" w:styleId="House">
    <w:name w:val="House"/>
    <w:basedOn w:val="OPCParaBase"/>
    <w:rsid w:val="00DA255C"/>
    <w:pPr>
      <w:spacing w:line="240" w:lineRule="auto"/>
    </w:pPr>
    <w:rPr>
      <w:sz w:val="28"/>
    </w:rPr>
  </w:style>
  <w:style w:type="paragraph" w:customStyle="1" w:styleId="Item">
    <w:name w:val="Item"/>
    <w:aliases w:val="i"/>
    <w:basedOn w:val="OPCParaBase"/>
    <w:next w:val="ItemHead"/>
    <w:rsid w:val="00DA255C"/>
    <w:pPr>
      <w:keepLines/>
      <w:spacing w:before="80" w:line="240" w:lineRule="auto"/>
      <w:ind w:left="709"/>
    </w:pPr>
  </w:style>
  <w:style w:type="paragraph" w:customStyle="1" w:styleId="ItemHead">
    <w:name w:val="ItemHead"/>
    <w:aliases w:val="ih"/>
    <w:basedOn w:val="OPCParaBase"/>
    <w:next w:val="Item"/>
    <w:rsid w:val="00DA25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255C"/>
    <w:pPr>
      <w:spacing w:line="240" w:lineRule="auto"/>
    </w:pPr>
    <w:rPr>
      <w:b/>
      <w:sz w:val="32"/>
    </w:rPr>
  </w:style>
  <w:style w:type="paragraph" w:customStyle="1" w:styleId="notedraft">
    <w:name w:val="note(draft)"/>
    <w:aliases w:val="nd"/>
    <w:basedOn w:val="OPCParaBase"/>
    <w:rsid w:val="00DA255C"/>
    <w:pPr>
      <w:spacing w:before="240" w:line="240" w:lineRule="auto"/>
      <w:ind w:left="284" w:hanging="284"/>
    </w:pPr>
    <w:rPr>
      <w:i/>
      <w:sz w:val="24"/>
    </w:rPr>
  </w:style>
  <w:style w:type="paragraph" w:customStyle="1" w:styleId="notemargin">
    <w:name w:val="note(margin)"/>
    <w:aliases w:val="nm"/>
    <w:basedOn w:val="OPCParaBase"/>
    <w:rsid w:val="00DA255C"/>
    <w:pPr>
      <w:tabs>
        <w:tab w:val="left" w:pos="709"/>
      </w:tabs>
      <w:spacing w:before="122" w:line="198" w:lineRule="exact"/>
      <w:ind w:left="709" w:hanging="709"/>
    </w:pPr>
    <w:rPr>
      <w:sz w:val="18"/>
    </w:rPr>
  </w:style>
  <w:style w:type="paragraph" w:customStyle="1" w:styleId="noteToPara">
    <w:name w:val="noteToPara"/>
    <w:aliases w:val="ntp"/>
    <w:basedOn w:val="OPCParaBase"/>
    <w:rsid w:val="00DA255C"/>
    <w:pPr>
      <w:spacing w:before="122" w:line="198" w:lineRule="exact"/>
      <w:ind w:left="2353" w:hanging="709"/>
    </w:pPr>
    <w:rPr>
      <w:sz w:val="18"/>
    </w:rPr>
  </w:style>
  <w:style w:type="paragraph" w:customStyle="1" w:styleId="noteParlAmend">
    <w:name w:val="note(ParlAmend)"/>
    <w:aliases w:val="npp"/>
    <w:basedOn w:val="OPCParaBase"/>
    <w:next w:val="ParlAmend"/>
    <w:rsid w:val="00DA255C"/>
    <w:pPr>
      <w:spacing w:line="240" w:lineRule="auto"/>
      <w:jc w:val="right"/>
    </w:pPr>
    <w:rPr>
      <w:rFonts w:ascii="Arial" w:hAnsi="Arial"/>
      <w:b/>
      <w:i/>
    </w:rPr>
  </w:style>
  <w:style w:type="paragraph" w:customStyle="1" w:styleId="notetext">
    <w:name w:val="note(text)"/>
    <w:aliases w:val="n"/>
    <w:basedOn w:val="OPCParaBase"/>
    <w:rsid w:val="00DA255C"/>
    <w:pPr>
      <w:spacing w:before="122" w:line="240" w:lineRule="auto"/>
      <w:ind w:left="1985" w:hanging="851"/>
    </w:pPr>
    <w:rPr>
      <w:sz w:val="18"/>
    </w:rPr>
  </w:style>
  <w:style w:type="paragraph" w:customStyle="1" w:styleId="Page1">
    <w:name w:val="Page1"/>
    <w:basedOn w:val="OPCParaBase"/>
    <w:rsid w:val="00DA255C"/>
    <w:pPr>
      <w:spacing w:before="5600" w:line="240" w:lineRule="auto"/>
    </w:pPr>
    <w:rPr>
      <w:b/>
      <w:sz w:val="32"/>
    </w:rPr>
  </w:style>
  <w:style w:type="paragraph" w:customStyle="1" w:styleId="paragraphsub">
    <w:name w:val="paragraph(sub)"/>
    <w:aliases w:val="aa"/>
    <w:basedOn w:val="OPCParaBase"/>
    <w:rsid w:val="00DA255C"/>
    <w:pPr>
      <w:tabs>
        <w:tab w:val="right" w:pos="1985"/>
      </w:tabs>
      <w:spacing w:before="40" w:line="240" w:lineRule="auto"/>
      <w:ind w:left="2098" w:hanging="2098"/>
    </w:pPr>
  </w:style>
  <w:style w:type="paragraph" w:customStyle="1" w:styleId="paragraphsub-sub">
    <w:name w:val="paragraph(sub-sub)"/>
    <w:aliases w:val="aaa"/>
    <w:basedOn w:val="OPCParaBase"/>
    <w:rsid w:val="00DA255C"/>
    <w:pPr>
      <w:tabs>
        <w:tab w:val="right" w:pos="2722"/>
      </w:tabs>
      <w:spacing w:before="40" w:line="240" w:lineRule="auto"/>
      <w:ind w:left="2835" w:hanging="2835"/>
    </w:pPr>
  </w:style>
  <w:style w:type="paragraph" w:customStyle="1" w:styleId="paragraph">
    <w:name w:val="paragraph"/>
    <w:aliases w:val="a"/>
    <w:basedOn w:val="OPCParaBase"/>
    <w:rsid w:val="00DA255C"/>
    <w:pPr>
      <w:tabs>
        <w:tab w:val="right" w:pos="1531"/>
      </w:tabs>
      <w:spacing w:before="40" w:line="240" w:lineRule="auto"/>
      <w:ind w:left="1644" w:hanging="1644"/>
    </w:pPr>
  </w:style>
  <w:style w:type="paragraph" w:customStyle="1" w:styleId="ParlAmend">
    <w:name w:val="ParlAmend"/>
    <w:aliases w:val="pp"/>
    <w:basedOn w:val="OPCParaBase"/>
    <w:rsid w:val="00DA255C"/>
    <w:pPr>
      <w:spacing w:before="240" w:line="240" w:lineRule="atLeast"/>
      <w:ind w:hanging="567"/>
    </w:pPr>
    <w:rPr>
      <w:sz w:val="24"/>
    </w:rPr>
  </w:style>
  <w:style w:type="paragraph" w:customStyle="1" w:styleId="Portfolio">
    <w:name w:val="Portfolio"/>
    <w:basedOn w:val="OPCParaBase"/>
    <w:rsid w:val="00DA255C"/>
    <w:pPr>
      <w:spacing w:line="240" w:lineRule="auto"/>
    </w:pPr>
    <w:rPr>
      <w:i/>
      <w:sz w:val="20"/>
    </w:rPr>
  </w:style>
  <w:style w:type="paragraph" w:customStyle="1" w:styleId="Preamble">
    <w:name w:val="Preamble"/>
    <w:basedOn w:val="OPCParaBase"/>
    <w:next w:val="Normal"/>
    <w:rsid w:val="00DA25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255C"/>
    <w:pPr>
      <w:spacing w:line="240" w:lineRule="auto"/>
    </w:pPr>
    <w:rPr>
      <w:i/>
      <w:sz w:val="20"/>
    </w:rPr>
  </w:style>
  <w:style w:type="paragraph" w:customStyle="1" w:styleId="Session">
    <w:name w:val="Session"/>
    <w:basedOn w:val="OPCParaBase"/>
    <w:rsid w:val="00DA255C"/>
    <w:pPr>
      <w:spacing w:line="240" w:lineRule="auto"/>
    </w:pPr>
    <w:rPr>
      <w:sz w:val="28"/>
    </w:rPr>
  </w:style>
  <w:style w:type="paragraph" w:customStyle="1" w:styleId="Sponsor">
    <w:name w:val="Sponsor"/>
    <w:basedOn w:val="OPCParaBase"/>
    <w:rsid w:val="00DA255C"/>
    <w:pPr>
      <w:spacing w:line="240" w:lineRule="auto"/>
    </w:pPr>
    <w:rPr>
      <w:i/>
    </w:rPr>
  </w:style>
  <w:style w:type="paragraph" w:customStyle="1" w:styleId="Subitem">
    <w:name w:val="Subitem"/>
    <w:aliases w:val="iss"/>
    <w:basedOn w:val="OPCParaBase"/>
    <w:rsid w:val="00DA255C"/>
    <w:pPr>
      <w:spacing w:before="180" w:line="240" w:lineRule="auto"/>
      <w:ind w:left="709" w:hanging="709"/>
    </w:pPr>
  </w:style>
  <w:style w:type="paragraph" w:customStyle="1" w:styleId="SubitemHead">
    <w:name w:val="SubitemHead"/>
    <w:aliases w:val="issh"/>
    <w:basedOn w:val="OPCParaBase"/>
    <w:rsid w:val="00DA25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255C"/>
    <w:pPr>
      <w:spacing w:before="40" w:line="240" w:lineRule="auto"/>
      <w:ind w:left="1134"/>
    </w:pPr>
  </w:style>
  <w:style w:type="paragraph" w:customStyle="1" w:styleId="SubsectionHead">
    <w:name w:val="SubsectionHead"/>
    <w:aliases w:val="ssh"/>
    <w:basedOn w:val="OPCParaBase"/>
    <w:next w:val="subsection"/>
    <w:rsid w:val="00DA255C"/>
    <w:pPr>
      <w:keepNext/>
      <w:keepLines/>
      <w:spacing w:before="240" w:line="240" w:lineRule="auto"/>
      <w:ind w:left="1134"/>
    </w:pPr>
    <w:rPr>
      <w:i/>
    </w:rPr>
  </w:style>
  <w:style w:type="paragraph" w:customStyle="1" w:styleId="Tablea">
    <w:name w:val="Table(a)"/>
    <w:aliases w:val="ta"/>
    <w:basedOn w:val="OPCParaBase"/>
    <w:rsid w:val="00DA255C"/>
    <w:pPr>
      <w:spacing w:before="60" w:line="240" w:lineRule="auto"/>
      <w:ind w:left="284" w:hanging="284"/>
    </w:pPr>
    <w:rPr>
      <w:sz w:val="20"/>
    </w:rPr>
  </w:style>
  <w:style w:type="paragraph" w:customStyle="1" w:styleId="TableAA">
    <w:name w:val="Table(AA)"/>
    <w:aliases w:val="taaa"/>
    <w:basedOn w:val="OPCParaBase"/>
    <w:rsid w:val="00DA25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25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255C"/>
    <w:pPr>
      <w:spacing w:before="60" w:line="240" w:lineRule="atLeast"/>
    </w:pPr>
    <w:rPr>
      <w:sz w:val="20"/>
    </w:rPr>
  </w:style>
  <w:style w:type="paragraph" w:customStyle="1" w:styleId="TLPBoxTextnote">
    <w:name w:val="TLPBoxText(note"/>
    <w:aliases w:val="right)"/>
    <w:basedOn w:val="OPCParaBase"/>
    <w:rsid w:val="00DA25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255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255C"/>
    <w:pPr>
      <w:spacing w:before="122" w:line="198" w:lineRule="exact"/>
      <w:ind w:left="1985" w:hanging="851"/>
      <w:jc w:val="right"/>
    </w:pPr>
    <w:rPr>
      <w:sz w:val="18"/>
    </w:rPr>
  </w:style>
  <w:style w:type="paragraph" w:customStyle="1" w:styleId="TLPTableBullet">
    <w:name w:val="TLPTableBullet"/>
    <w:aliases w:val="ttb"/>
    <w:basedOn w:val="OPCParaBase"/>
    <w:rsid w:val="00DA255C"/>
    <w:pPr>
      <w:spacing w:line="240" w:lineRule="exact"/>
      <w:ind w:left="284" w:hanging="284"/>
    </w:pPr>
    <w:rPr>
      <w:sz w:val="20"/>
    </w:rPr>
  </w:style>
  <w:style w:type="paragraph" w:customStyle="1" w:styleId="TofSectsGroupHeading">
    <w:name w:val="TofSects(GroupHeading)"/>
    <w:basedOn w:val="OPCParaBase"/>
    <w:next w:val="TofSectsSection"/>
    <w:rsid w:val="00DA255C"/>
    <w:pPr>
      <w:keepLines/>
      <w:spacing w:before="240" w:after="120" w:line="240" w:lineRule="auto"/>
      <w:ind w:left="794"/>
    </w:pPr>
    <w:rPr>
      <w:b/>
      <w:kern w:val="28"/>
      <w:sz w:val="20"/>
    </w:rPr>
  </w:style>
  <w:style w:type="paragraph" w:customStyle="1" w:styleId="TofSectsHeading">
    <w:name w:val="TofSects(Heading)"/>
    <w:basedOn w:val="OPCParaBase"/>
    <w:rsid w:val="00DA255C"/>
    <w:pPr>
      <w:spacing w:before="240" w:after="120" w:line="240" w:lineRule="auto"/>
    </w:pPr>
    <w:rPr>
      <w:b/>
      <w:sz w:val="24"/>
    </w:rPr>
  </w:style>
  <w:style w:type="paragraph" w:customStyle="1" w:styleId="TofSectsSection">
    <w:name w:val="TofSects(Section)"/>
    <w:basedOn w:val="OPCParaBase"/>
    <w:rsid w:val="00DA255C"/>
    <w:pPr>
      <w:keepLines/>
      <w:spacing w:before="40" w:line="240" w:lineRule="auto"/>
      <w:ind w:left="1588" w:hanging="794"/>
    </w:pPr>
    <w:rPr>
      <w:kern w:val="28"/>
      <w:sz w:val="18"/>
    </w:rPr>
  </w:style>
  <w:style w:type="paragraph" w:customStyle="1" w:styleId="TofSectsSubdiv">
    <w:name w:val="TofSects(Subdiv)"/>
    <w:basedOn w:val="OPCParaBase"/>
    <w:rsid w:val="00DA255C"/>
    <w:pPr>
      <w:keepLines/>
      <w:spacing w:before="80" w:line="240" w:lineRule="auto"/>
      <w:ind w:left="1588" w:hanging="794"/>
    </w:pPr>
    <w:rPr>
      <w:kern w:val="28"/>
    </w:rPr>
  </w:style>
  <w:style w:type="paragraph" w:customStyle="1" w:styleId="WRStyle">
    <w:name w:val="WR Style"/>
    <w:aliases w:val="WR"/>
    <w:basedOn w:val="OPCParaBase"/>
    <w:rsid w:val="00DA255C"/>
    <w:pPr>
      <w:spacing w:before="240" w:line="240" w:lineRule="auto"/>
      <w:ind w:left="284" w:hanging="284"/>
    </w:pPr>
    <w:rPr>
      <w:b/>
      <w:i/>
      <w:kern w:val="28"/>
      <w:sz w:val="24"/>
    </w:rPr>
  </w:style>
  <w:style w:type="paragraph" w:customStyle="1" w:styleId="notepara">
    <w:name w:val="note(para)"/>
    <w:aliases w:val="na"/>
    <w:basedOn w:val="OPCParaBase"/>
    <w:rsid w:val="00DA255C"/>
    <w:pPr>
      <w:spacing w:before="40" w:line="198" w:lineRule="exact"/>
      <w:ind w:left="2354" w:hanging="369"/>
    </w:pPr>
    <w:rPr>
      <w:sz w:val="18"/>
    </w:rPr>
  </w:style>
  <w:style w:type="character" w:customStyle="1" w:styleId="FooterChar">
    <w:name w:val="Footer Char"/>
    <w:basedOn w:val="DefaultParagraphFont"/>
    <w:link w:val="Footer"/>
    <w:rsid w:val="00DA255C"/>
    <w:rPr>
      <w:sz w:val="22"/>
      <w:szCs w:val="24"/>
    </w:rPr>
  </w:style>
  <w:style w:type="table" w:customStyle="1" w:styleId="CFlag">
    <w:name w:val="CFlag"/>
    <w:basedOn w:val="TableNormal"/>
    <w:uiPriority w:val="99"/>
    <w:rsid w:val="00DA255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DA255C"/>
    <w:rPr>
      <w:rFonts w:ascii="Tahoma" w:eastAsiaTheme="minorHAnsi" w:hAnsi="Tahoma" w:cs="Tahoma"/>
      <w:sz w:val="16"/>
      <w:szCs w:val="16"/>
      <w:lang w:eastAsia="en-US"/>
    </w:rPr>
  </w:style>
  <w:style w:type="paragraph" w:customStyle="1" w:styleId="InstNo">
    <w:name w:val="InstNo"/>
    <w:basedOn w:val="OPCParaBase"/>
    <w:next w:val="Normal"/>
    <w:rsid w:val="00DA255C"/>
    <w:rPr>
      <w:b/>
      <w:sz w:val="28"/>
      <w:szCs w:val="32"/>
    </w:rPr>
  </w:style>
  <w:style w:type="paragraph" w:customStyle="1" w:styleId="TerritoryT">
    <w:name w:val="TerritoryT"/>
    <w:basedOn w:val="OPCParaBase"/>
    <w:next w:val="Normal"/>
    <w:rsid w:val="00DA255C"/>
    <w:rPr>
      <w:b/>
      <w:sz w:val="32"/>
    </w:rPr>
  </w:style>
  <w:style w:type="paragraph" w:customStyle="1" w:styleId="LegislationMadeUnder">
    <w:name w:val="LegislationMadeUnder"/>
    <w:basedOn w:val="OPCParaBase"/>
    <w:next w:val="Normal"/>
    <w:rsid w:val="00DA255C"/>
    <w:rPr>
      <w:i/>
      <w:sz w:val="32"/>
      <w:szCs w:val="32"/>
    </w:rPr>
  </w:style>
  <w:style w:type="paragraph" w:customStyle="1" w:styleId="ActHead10">
    <w:name w:val="ActHead 10"/>
    <w:aliases w:val="sp"/>
    <w:basedOn w:val="OPCParaBase"/>
    <w:next w:val="ActHead3"/>
    <w:rsid w:val="00DA255C"/>
    <w:pPr>
      <w:keepNext/>
      <w:spacing w:before="280" w:line="240" w:lineRule="auto"/>
      <w:outlineLvl w:val="1"/>
    </w:pPr>
    <w:rPr>
      <w:b/>
      <w:sz w:val="32"/>
      <w:szCs w:val="30"/>
    </w:rPr>
  </w:style>
  <w:style w:type="paragraph" w:customStyle="1" w:styleId="SignCoverPageEnd">
    <w:name w:val="SignCoverPageEnd"/>
    <w:basedOn w:val="OPCParaBase"/>
    <w:next w:val="Normal"/>
    <w:rsid w:val="00DA25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255C"/>
    <w:pPr>
      <w:pBdr>
        <w:top w:val="single" w:sz="4" w:space="1" w:color="auto"/>
      </w:pBdr>
      <w:spacing w:before="360"/>
      <w:ind w:right="397"/>
      <w:jc w:val="both"/>
    </w:pPr>
  </w:style>
  <w:style w:type="paragraph" w:customStyle="1" w:styleId="NotesHeading2">
    <w:name w:val="NotesHeading 2"/>
    <w:basedOn w:val="OPCParaBase"/>
    <w:next w:val="Normal"/>
    <w:rsid w:val="00DA255C"/>
    <w:rPr>
      <w:b/>
      <w:sz w:val="28"/>
      <w:szCs w:val="28"/>
    </w:rPr>
  </w:style>
  <w:style w:type="paragraph" w:customStyle="1" w:styleId="NotesHeading1">
    <w:name w:val="NotesHeading 1"/>
    <w:basedOn w:val="OPCParaBase"/>
    <w:next w:val="Normal"/>
    <w:rsid w:val="00DA255C"/>
    <w:rPr>
      <w:b/>
      <w:sz w:val="28"/>
      <w:szCs w:val="28"/>
    </w:rPr>
  </w:style>
  <w:style w:type="paragraph" w:customStyle="1" w:styleId="CompiledActNo">
    <w:name w:val="CompiledActNo"/>
    <w:basedOn w:val="OPCParaBase"/>
    <w:next w:val="Normal"/>
    <w:rsid w:val="00DA255C"/>
    <w:rPr>
      <w:b/>
      <w:sz w:val="24"/>
      <w:szCs w:val="24"/>
    </w:rPr>
  </w:style>
  <w:style w:type="paragraph" w:customStyle="1" w:styleId="ENotesText">
    <w:name w:val="ENotesText"/>
    <w:aliases w:val="Ent"/>
    <w:basedOn w:val="OPCParaBase"/>
    <w:next w:val="Normal"/>
    <w:rsid w:val="00DA255C"/>
    <w:pPr>
      <w:spacing w:before="120"/>
    </w:pPr>
  </w:style>
  <w:style w:type="paragraph" w:customStyle="1" w:styleId="CompiledMadeUnder">
    <w:name w:val="CompiledMadeUnder"/>
    <w:basedOn w:val="OPCParaBase"/>
    <w:next w:val="Normal"/>
    <w:rsid w:val="00DA255C"/>
    <w:rPr>
      <w:i/>
      <w:sz w:val="24"/>
      <w:szCs w:val="24"/>
    </w:rPr>
  </w:style>
  <w:style w:type="paragraph" w:customStyle="1" w:styleId="Paragraphsub-sub-sub">
    <w:name w:val="Paragraph(sub-sub-sub)"/>
    <w:aliases w:val="aaaa"/>
    <w:basedOn w:val="OPCParaBase"/>
    <w:rsid w:val="00DA255C"/>
    <w:pPr>
      <w:tabs>
        <w:tab w:val="right" w:pos="3402"/>
      </w:tabs>
      <w:spacing w:before="40" w:line="240" w:lineRule="auto"/>
      <w:ind w:left="3402" w:hanging="3402"/>
    </w:pPr>
  </w:style>
  <w:style w:type="paragraph" w:customStyle="1" w:styleId="TableTextEndNotes">
    <w:name w:val="TableTextEndNotes"/>
    <w:aliases w:val="Tten"/>
    <w:basedOn w:val="Normal"/>
    <w:rsid w:val="00DA255C"/>
    <w:pPr>
      <w:spacing w:before="60" w:line="240" w:lineRule="auto"/>
    </w:pPr>
    <w:rPr>
      <w:rFonts w:cs="Arial"/>
      <w:sz w:val="20"/>
      <w:szCs w:val="22"/>
    </w:rPr>
  </w:style>
  <w:style w:type="paragraph" w:customStyle="1" w:styleId="TableHeading">
    <w:name w:val="TableHeading"/>
    <w:aliases w:val="th"/>
    <w:basedOn w:val="OPCParaBase"/>
    <w:next w:val="Tabletext"/>
    <w:rsid w:val="00DA255C"/>
    <w:pPr>
      <w:keepNext/>
      <w:spacing w:before="60" w:line="240" w:lineRule="atLeast"/>
    </w:pPr>
    <w:rPr>
      <w:b/>
      <w:sz w:val="20"/>
    </w:rPr>
  </w:style>
  <w:style w:type="paragraph" w:customStyle="1" w:styleId="NoteToSubpara">
    <w:name w:val="NoteToSubpara"/>
    <w:aliases w:val="nts"/>
    <w:basedOn w:val="OPCParaBase"/>
    <w:rsid w:val="00DA255C"/>
    <w:pPr>
      <w:spacing w:before="40" w:line="198" w:lineRule="exact"/>
      <w:ind w:left="2835" w:hanging="709"/>
    </w:pPr>
    <w:rPr>
      <w:sz w:val="18"/>
    </w:rPr>
  </w:style>
  <w:style w:type="paragraph" w:customStyle="1" w:styleId="ENoteTableHeading">
    <w:name w:val="ENoteTableHeading"/>
    <w:aliases w:val="enth"/>
    <w:basedOn w:val="OPCParaBase"/>
    <w:rsid w:val="00DA255C"/>
    <w:pPr>
      <w:keepNext/>
      <w:spacing w:before="60" w:line="240" w:lineRule="atLeast"/>
    </w:pPr>
    <w:rPr>
      <w:rFonts w:ascii="Arial" w:hAnsi="Arial"/>
      <w:b/>
      <w:sz w:val="16"/>
    </w:rPr>
  </w:style>
  <w:style w:type="paragraph" w:customStyle="1" w:styleId="ENoteTTi">
    <w:name w:val="ENoteTTi"/>
    <w:aliases w:val="entti"/>
    <w:basedOn w:val="OPCParaBase"/>
    <w:rsid w:val="00DA255C"/>
    <w:pPr>
      <w:keepNext/>
      <w:spacing w:before="60" w:line="240" w:lineRule="atLeast"/>
      <w:ind w:left="170"/>
    </w:pPr>
    <w:rPr>
      <w:sz w:val="16"/>
    </w:rPr>
  </w:style>
  <w:style w:type="paragraph" w:customStyle="1" w:styleId="ENotesHeading1">
    <w:name w:val="ENotesHeading 1"/>
    <w:aliases w:val="Enh1"/>
    <w:basedOn w:val="OPCParaBase"/>
    <w:next w:val="Normal"/>
    <w:rsid w:val="00DA255C"/>
    <w:pPr>
      <w:spacing w:before="120"/>
      <w:outlineLvl w:val="1"/>
    </w:pPr>
    <w:rPr>
      <w:b/>
      <w:sz w:val="28"/>
      <w:szCs w:val="28"/>
    </w:rPr>
  </w:style>
  <w:style w:type="paragraph" w:customStyle="1" w:styleId="ENotesHeading2">
    <w:name w:val="ENotesHeading 2"/>
    <w:aliases w:val="Enh2"/>
    <w:basedOn w:val="OPCParaBase"/>
    <w:next w:val="Normal"/>
    <w:rsid w:val="00DA255C"/>
    <w:pPr>
      <w:spacing w:before="120" w:after="120"/>
      <w:outlineLvl w:val="2"/>
    </w:pPr>
    <w:rPr>
      <w:b/>
      <w:sz w:val="24"/>
      <w:szCs w:val="28"/>
    </w:rPr>
  </w:style>
  <w:style w:type="paragraph" w:customStyle="1" w:styleId="ENotesHeading3">
    <w:name w:val="ENotesHeading 3"/>
    <w:aliases w:val="Enh3"/>
    <w:basedOn w:val="OPCParaBase"/>
    <w:next w:val="Normal"/>
    <w:rsid w:val="00DA255C"/>
    <w:pPr>
      <w:keepNext/>
      <w:spacing w:before="120" w:line="240" w:lineRule="auto"/>
      <w:outlineLvl w:val="4"/>
    </w:pPr>
    <w:rPr>
      <w:b/>
      <w:szCs w:val="24"/>
    </w:rPr>
  </w:style>
  <w:style w:type="paragraph" w:customStyle="1" w:styleId="ENoteTTIndentHeading">
    <w:name w:val="ENoteTTIndentHeading"/>
    <w:aliases w:val="enTTHi"/>
    <w:basedOn w:val="OPCParaBase"/>
    <w:rsid w:val="00DA25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255C"/>
    <w:pPr>
      <w:spacing w:before="60" w:line="240" w:lineRule="atLeast"/>
    </w:pPr>
    <w:rPr>
      <w:sz w:val="16"/>
    </w:rPr>
  </w:style>
  <w:style w:type="paragraph" w:customStyle="1" w:styleId="MadeunderText">
    <w:name w:val="MadeunderText"/>
    <w:basedOn w:val="OPCParaBase"/>
    <w:next w:val="CompiledMadeUnder"/>
    <w:rsid w:val="00DA255C"/>
    <w:pPr>
      <w:spacing w:before="240"/>
    </w:pPr>
    <w:rPr>
      <w:sz w:val="24"/>
      <w:szCs w:val="24"/>
    </w:rPr>
  </w:style>
  <w:style w:type="paragraph" w:customStyle="1" w:styleId="SubPartCASA">
    <w:name w:val="SubPart(CASA)"/>
    <w:aliases w:val="csp"/>
    <w:basedOn w:val="OPCParaBase"/>
    <w:next w:val="ActHead3"/>
    <w:rsid w:val="00DA255C"/>
    <w:pPr>
      <w:keepNext/>
      <w:keepLines/>
      <w:spacing w:before="280"/>
      <w:ind w:left="1134" w:hanging="1134"/>
      <w:outlineLvl w:val="1"/>
    </w:pPr>
    <w:rPr>
      <w:b/>
      <w:kern w:val="28"/>
      <w:sz w:val="32"/>
    </w:rPr>
  </w:style>
  <w:style w:type="paragraph" w:styleId="Revision">
    <w:name w:val="Revision"/>
    <w:hidden/>
    <w:uiPriority w:val="99"/>
    <w:semiHidden/>
    <w:rsid w:val="00C35033"/>
    <w:rPr>
      <w:rFonts w:eastAsiaTheme="minorHAnsi" w:cstheme="minorBidi"/>
      <w:sz w:val="22"/>
      <w:lang w:eastAsia="en-US"/>
    </w:rPr>
  </w:style>
  <w:style w:type="paragraph" w:customStyle="1" w:styleId="SOText">
    <w:name w:val="SO Text"/>
    <w:aliases w:val="sot"/>
    <w:link w:val="SOTextChar"/>
    <w:rsid w:val="00DA255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A255C"/>
    <w:rPr>
      <w:rFonts w:eastAsiaTheme="minorHAnsi" w:cstheme="minorBidi"/>
      <w:sz w:val="22"/>
      <w:lang w:eastAsia="en-US"/>
    </w:rPr>
  </w:style>
  <w:style w:type="paragraph" w:customStyle="1" w:styleId="SOTextNote">
    <w:name w:val="SO TextNote"/>
    <w:aliases w:val="sont"/>
    <w:basedOn w:val="SOText"/>
    <w:qFormat/>
    <w:rsid w:val="00DA255C"/>
    <w:pPr>
      <w:spacing w:before="122" w:line="198" w:lineRule="exact"/>
      <w:ind w:left="1843" w:hanging="709"/>
    </w:pPr>
    <w:rPr>
      <w:sz w:val="18"/>
    </w:rPr>
  </w:style>
  <w:style w:type="paragraph" w:customStyle="1" w:styleId="SOPara">
    <w:name w:val="SO Para"/>
    <w:aliases w:val="soa"/>
    <w:basedOn w:val="SOText"/>
    <w:link w:val="SOParaChar"/>
    <w:qFormat/>
    <w:rsid w:val="00DA255C"/>
    <w:pPr>
      <w:tabs>
        <w:tab w:val="right" w:pos="1786"/>
      </w:tabs>
      <w:spacing w:before="40"/>
      <w:ind w:left="2070" w:hanging="936"/>
    </w:pPr>
  </w:style>
  <w:style w:type="character" w:customStyle="1" w:styleId="SOParaChar">
    <w:name w:val="SO Para Char"/>
    <w:aliases w:val="soa Char"/>
    <w:basedOn w:val="DefaultParagraphFont"/>
    <w:link w:val="SOPara"/>
    <w:rsid w:val="00DA255C"/>
    <w:rPr>
      <w:rFonts w:eastAsiaTheme="minorHAnsi" w:cstheme="minorBidi"/>
      <w:sz w:val="22"/>
      <w:lang w:eastAsia="en-US"/>
    </w:rPr>
  </w:style>
  <w:style w:type="paragraph" w:customStyle="1" w:styleId="FileName">
    <w:name w:val="FileName"/>
    <w:basedOn w:val="Normal"/>
    <w:rsid w:val="00DA255C"/>
  </w:style>
  <w:style w:type="paragraph" w:customStyle="1" w:styleId="SOHeadBold">
    <w:name w:val="SO HeadBold"/>
    <w:aliases w:val="sohb"/>
    <w:basedOn w:val="SOText"/>
    <w:next w:val="SOText"/>
    <w:link w:val="SOHeadBoldChar"/>
    <w:qFormat/>
    <w:rsid w:val="00DA255C"/>
    <w:rPr>
      <w:b/>
    </w:rPr>
  </w:style>
  <w:style w:type="character" w:customStyle="1" w:styleId="SOHeadBoldChar">
    <w:name w:val="SO HeadBold Char"/>
    <w:aliases w:val="sohb Char"/>
    <w:basedOn w:val="DefaultParagraphFont"/>
    <w:link w:val="SOHeadBold"/>
    <w:rsid w:val="00DA255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A255C"/>
    <w:rPr>
      <w:i/>
    </w:rPr>
  </w:style>
  <w:style w:type="character" w:customStyle="1" w:styleId="SOHeadItalicChar">
    <w:name w:val="SO HeadItalic Char"/>
    <w:aliases w:val="sohi Char"/>
    <w:basedOn w:val="DefaultParagraphFont"/>
    <w:link w:val="SOHeadItalic"/>
    <w:rsid w:val="00DA255C"/>
    <w:rPr>
      <w:rFonts w:eastAsiaTheme="minorHAnsi" w:cstheme="minorBidi"/>
      <w:i/>
      <w:sz w:val="22"/>
      <w:lang w:eastAsia="en-US"/>
    </w:rPr>
  </w:style>
  <w:style w:type="paragraph" w:customStyle="1" w:styleId="SOBullet">
    <w:name w:val="SO Bullet"/>
    <w:aliases w:val="sotb"/>
    <w:basedOn w:val="SOText"/>
    <w:link w:val="SOBulletChar"/>
    <w:qFormat/>
    <w:rsid w:val="00DA255C"/>
    <w:pPr>
      <w:ind w:left="1559" w:hanging="425"/>
    </w:pPr>
  </w:style>
  <w:style w:type="character" w:customStyle="1" w:styleId="SOBulletChar">
    <w:name w:val="SO Bullet Char"/>
    <w:aliases w:val="sotb Char"/>
    <w:basedOn w:val="DefaultParagraphFont"/>
    <w:link w:val="SOBullet"/>
    <w:rsid w:val="00DA255C"/>
    <w:rPr>
      <w:rFonts w:eastAsiaTheme="minorHAnsi" w:cstheme="minorBidi"/>
      <w:sz w:val="22"/>
      <w:lang w:eastAsia="en-US"/>
    </w:rPr>
  </w:style>
  <w:style w:type="paragraph" w:customStyle="1" w:styleId="SOBulletNote">
    <w:name w:val="SO BulletNote"/>
    <w:aliases w:val="sonb"/>
    <w:basedOn w:val="SOTextNote"/>
    <w:link w:val="SOBulletNoteChar"/>
    <w:qFormat/>
    <w:rsid w:val="00DA255C"/>
    <w:pPr>
      <w:tabs>
        <w:tab w:val="left" w:pos="1560"/>
      </w:tabs>
      <w:ind w:left="2268" w:hanging="1134"/>
    </w:pPr>
  </w:style>
  <w:style w:type="character" w:customStyle="1" w:styleId="SOBulletNoteChar">
    <w:name w:val="SO BulletNote Char"/>
    <w:aliases w:val="sonb Char"/>
    <w:basedOn w:val="DefaultParagraphFont"/>
    <w:link w:val="SOBulletNote"/>
    <w:rsid w:val="00DA255C"/>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255C"/>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DA2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255C"/>
  </w:style>
  <w:style w:type="character" w:customStyle="1" w:styleId="CharSubPartTextCASA">
    <w:name w:val="CharSubPartText(CASA)"/>
    <w:basedOn w:val="OPCCharBase"/>
    <w:uiPriority w:val="1"/>
    <w:rsid w:val="00DA255C"/>
  </w:style>
  <w:style w:type="character" w:customStyle="1" w:styleId="CharSubPartNoCASA">
    <w:name w:val="CharSubPartNo(CASA)"/>
    <w:basedOn w:val="OPCCharBase"/>
    <w:uiPriority w:val="1"/>
    <w:rsid w:val="00DA255C"/>
  </w:style>
  <w:style w:type="paragraph" w:styleId="Footer">
    <w:name w:val="footer"/>
    <w:link w:val="FooterChar"/>
    <w:rsid w:val="00DA255C"/>
    <w:pPr>
      <w:tabs>
        <w:tab w:val="center" w:pos="4153"/>
        <w:tab w:val="right" w:pos="8306"/>
      </w:tabs>
    </w:pPr>
    <w:rPr>
      <w:sz w:val="22"/>
      <w:szCs w:val="24"/>
    </w:rPr>
  </w:style>
  <w:style w:type="paragraph" w:customStyle="1" w:styleId="ENoteTTIndentHeadingSub">
    <w:name w:val="ENoteTTIndentHeadingSub"/>
    <w:aliases w:val="enTTHis"/>
    <w:basedOn w:val="OPCParaBase"/>
    <w:rsid w:val="00DA255C"/>
    <w:pPr>
      <w:keepNext/>
      <w:spacing w:before="60" w:line="240" w:lineRule="atLeast"/>
      <w:ind w:left="340"/>
    </w:pPr>
    <w:rPr>
      <w:b/>
      <w:sz w:val="16"/>
    </w:rPr>
  </w:style>
  <w:style w:type="paragraph" w:customStyle="1" w:styleId="ENoteTTiSub">
    <w:name w:val="ENoteTTiSub"/>
    <w:aliases w:val="enttis"/>
    <w:basedOn w:val="OPCParaBase"/>
    <w:rsid w:val="00DA255C"/>
    <w:pPr>
      <w:keepNext/>
      <w:spacing w:before="60" w:line="240" w:lineRule="atLeast"/>
      <w:ind w:left="340"/>
    </w:pPr>
    <w:rPr>
      <w:sz w:val="16"/>
    </w:rPr>
  </w:style>
  <w:style w:type="paragraph" w:customStyle="1" w:styleId="SubDivisionMigration">
    <w:name w:val="SubDivisionMigration"/>
    <w:aliases w:val="sdm"/>
    <w:basedOn w:val="OPCParaBase"/>
    <w:rsid w:val="00DA25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255C"/>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A255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A255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255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A255C"/>
  </w:style>
  <w:style w:type="character" w:customStyle="1" w:styleId="CharAmSchText">
    <w:name w:val="CharAmSchText"/>
    <w:basedOn w:val="OPCCharBase"/>
    <w:uiPriority w:val="1"/>
    <w:qFormat/>
    <w:rsid w:val="00DA255C"/>
  </w:style>
  <w:style w:type="character" w:customStyle="1" w:styleId="CharChapNo">
    <w:name w:val="CharChapNo"/>
    <w:basedOn w:val="OPCCharBase"/>
    <w:qFormat/>
    <w:rsid w:val="00DA255C"/>
  </w:style>
  <w:style w:type="character" w:customStyle="1" w:styleId="CharChapText">
    <w:name w:val="CharChapText"/>
    <w:basedOn w:val="OPCCharBase"/>
    <w:qFormat/>
    <w:rsid w:val="00DA255C"/>
  </w:style>
  <w:style w:type="character" w:customStyle="1" w:styleId="CharDivNo">
    <w:name w:val="CharDivNo"/>
    <w:basedOn w:val="OPCCharBase"/>
    <w:qFormat/>
    <w:rsid w:val="00DA255C"/>
  </w:style>
  <w:style w:type="character" w:customStyle="1" w:styleId="CharDivText">
    <w:name w:val="CharDivText"/>
    <w:basedOn w:val="OPCCharBase"/>
    <w:qFormat/>
    <w:rsid w:val="00DA255C"/>
  </w:style>
  <w:style w:type="character" w:customStyle="1" w:styleId="CharPartNo">
    <w:name w:val="CharPartNo"/>
    <w:basedOn w:val="OPCCharBase"/>
    <w:qFormat/>
    <w:rsid w:val="00DA255C"/>
  </w:style>
  <w:style w:type="character" w:customStyle="1" w:styleId="CharPartText">
    <w:name w:val="CharPartText"/>
    <w:basedOn w:val="OPCCharBase"/>
    <w:qFormat/>
    <w:rsid w:val="00DA255C"/>
  </w:style>
  <w:style w:type="character" w:customStyle="1" w:styleId="OPCCharBase">
    <w:name w:val="OPCCharBase"/>
    <w:uiPriority w:val="1"/>
    <w:qFormat/>
    <w:rsid w:val="00DA255C"/>
  </w:style>
  <w:style w:type="paragraph" w:customStyle="1" w:styleId="OPCParaBase">
    <w:name w:val="OPCParaBase"/>
    <w:qFormat/>
    <w:rsid w:val="00DA255C"/>
    <w:pPr>
      <w:spacing w:line="260" w:lineRule="atLeast"/>
    </w:pPr>
    <w:rPr>
      <w:sz w:val="22"/>
    </w:rPr>
  </w:style>
  <w:style w:type="character" w:customStyle="1" w:styleId="CharSectno">
    <w:name w:val="CharSectno"/>
    <w:basedOn w:val="OPCCharBase"/>
    <w:qFormat/>
    <w:rsid w:val="00DA255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A255C"/>
    <w:pPr>
      <w:spacing w:line="240" w:lineRule="auto"/>
      <w:ind w:left="1134"/>
    </w:pPr>
    <w:rPr>
      <w:sz w:val="20"/>
    </w:rPr>
  </w:style>
  <w:style w:type="paragraph" w:customStyle="1" w:styleId="ShortT">
    <w:name w:val="ShortT"/>
    <w:basedOn w:val="OPCParaBase"/>
    <w:next w:val="Normal"/>
    <w:qFormat/>
    <w:rsid w:val="00DA255C"/>
    <w:pPr>
      <w:spacing w:line="240" w:lineRule="auto"/>
    </w:pPr>
    <w:rPr>
      <w:b/>
      <w:sz w:val="40"/>
    </w:rPr>
  </w:style>
  <w:style w:type="paragraph" w:customStyle="1" w:styleId="Penalty">
    <w:name w:val="Penalty"/>
    <w:basedOn w:val="OPCParaBase"/>
    <w:rsid w:val="00DA255C"/>
    <w:pPr>
      <w:tabs>
        <w:tab w:val="left" w:pos="2977"/>
      </w:tabs>
      <w:spacing w:before="180" w:line="240" w:lineRule="auto"/>
      <w:ind w:left="1985" w:hanging="851"/>
    </w:pPr>
  </w:style>
  <w:style w:type="paragraph" w:styleId="TOC1">
    <w:name w:val="toc 1"/>
    <w:basedOn w:val="OPCParaBase"/>
    <w:next w:val="Normal"/>
    <w:uiPriority w:val="39"/>
    <w:unhideWhenUsed/>
    <w:rsid w:val="00DA25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25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25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25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25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25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25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25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255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A255C"/>
    <w:pPr>
      <w:spacing w:line="240" w:lineRule="auto"/>
    </w:pPr>
    <w:rPr>
      <w:sz w:val="20"/>
    </w:rPr>
  </w:style>
  <w:style w:type="paragraph" w:customStyle="1" w:styleId="ActHead1">
    <w:name w:val="ActHead 1"/>
    <w:aliases w:val="c"/>
    <w:basedOn w:val="OPCParaBase"/>
    <w:next w:val="Normal"/>
    <w:qFormat/>
    <w:rsid w:val="00DA255C"/>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A255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DA25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25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25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25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25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25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25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25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255C"/>
  </w:style>
  <w:style w:type="paragraph" w:customStyle="1" w:styleId="Blocks">
    <w:name w:val="Blocks"/>
    <w:aliases w:val="bb"/>
    <w:basedOn w:val="OPCParaBase"/>
    <w:qFormat/>
    <w:rsid w:val="00DA255C"/>
    <w:pPr>
      <w:spacing w:line="240" w:lineRule="auto"/>
    </w:pPr>
    <w:rPr>
      <w:sz w:val="24"/>
    </w:rPr>
  </w:style>
  <w:style w:type="paragraph" w:customStyle="1" w:styleId="BoxText">
    <w:name w:val="BoxText"/>
    <w:aliases w:val="bt"/>
    <w:basedOn w:val="OPCParaBase"/>
    <w:qFormat/>
    <w:rsid w:val="00DA25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255C"/>
    <w:rPr>
      <w:b/>
    </w:rPr>
  </w:style>
  <w:style w:type="paragraph" w:customStyle="1" w:styleId="BoxHeadItalic">
    <w:name w:val="BoxHeadItalic"/>
    <w:aliases w:val="bhi"/>
    <w:basedOn w:val="BoxText"/>
    <w:next w:val="BoxStep"/>
    <w:qFormat/>
    <w:rsid w:val="00DA255C"/>
    <w:rPr>
      <w:i/>
    </w:rPr>
  </w:style>
  <w:style w:type="paragraph" w:customStyle="1" w:styleId="BoxList">
    <w:name w:val="BoxList"/>
    <w:aliases w:val="bl"/>
    <w:basedOn w:val="BoxText"/>
    <w:qFormat/>
    <w:rsid w:val="00DA255C"/>
    <w:pPr>
      <w:ind w:left="1559" w:hanging="425"/>
    </w:pPr>
  </w:style>
  <w:style w:type="paragraph" w:customStyle="1" w:styleId="BoxNote">
    <w:name w:val="BoxNote"/>
    <w:aliases w:val="bn"/>
    <w:basedOn w:val="BoxText"/>
    <w:qFormat/>
    <w:rsid w:val="00DA255C"/>
    <w:pPr>
      <w:tabs>
        <w:tab w:val="left" w:pos="1985"/>
      </w:tabs>
      <w:spacing w:before="122" w:line="198" w:lineRule="exact"/>
      <w:ind w:left="2948" w:hanging="1814"/>
    </w:pPr>
    <w:rPr>
      <w:sz w:val="18"/>
    </w:rPr>
  </w:style>
  <w:style w:type="paragraph" w:customStyle="1" w:styleId="BoxPara">
    <w:name w:val="BoxPara"/>
    <w:aliases w:val="bp"/>
    <w:basedOn w:val="BoxText"/>
    <w:qFormat/>
    <w:rsid w:val="00DA255C"/>
    <w:pPr>
      <w:tabs>
        <w:tab w:val="right" w:pos="2268"/>
      </w:tabs>
      <w:ind w:left="2552" w:hanging="1418"/>
    </w:pPr>
  </w:style>
  <w:style w:type="paragraph" w:customStyle="1" w:styleId="BoxStep">
    <w:name w:val="BoxStep"/>
    <w:aliases w:val="bs"/>
    <w:basedOn w:val="BoxText"/>
    <w:qFormat/>
    <w:rsid w:val="00DA255C"/>
    <w:pPr>
      <w:ind w:left="1985" w:hanging="851"/>
    </w:pPr>
  </w:style>
  <w:style w:type="character" w:customStyle="1" w:styleId="CharAmPartNo">
    <w:name w:val="CharAmPartNo"/>
    <w:basedOn w:val="OPCCharBase"/>
    <w:uiPriority w:val="1"/>
    <w:qFormat/>
    <w:rsid w:val="00DA255C"/>
  </w:style>
  <w:style w:type="character" w:customStyle="1" w:styleId="CharAmPartText">
    <w:name w:val="CharAmPartText"/>
    <w:basedOn w:val="OPCCharBase"/>
    <w:uiPriority w:val="1"/>
    <w:qFormat/>
    <w:rsid w:val="00DA255C"/>
  </w:style>
  <w:style w:type="character" w:customStyle="1" w:styleId="CharBoldItalic">
    <w:name w:val="CharBoldItalic"/>
    <w:basedOn w:val="OPCCharBase"/>
    <w:uiPriority w:val="1"/>
    <w:qFormat/>
    <w:rsid w:val="00DA255C"/>
    <w:rPr>
      <w:b/>
      <w:i/>
    </w:rPr>
  </w:style>
  <w:style w:type="character" w:customStyle="1" w:styleId="CharItalic">
    <w:name w:val="CharItalic"/>
    <w:basedOn w:val="OPCCharBase"/>
    <w:uiPriority w:val="1"/>
    <w:qFormat/>
    <w:rsid w:val="00DA255C"/>
    <w:rPr>
      <w:i/>
    </w:rPr>
  </w:style>
  <w:style w:type="character" w:customStyle="1" w:styleId="CharSubdNo">
    <w:name w:val="CharSubdNo"/>
    <w:basedOn w:val="OPCCharBase"/>
    <w:uiPriority w:val="1"/>
    <w:qFormat/>
    <w:rsid w:val="00DA255C"/>
  </w:style>
  <w:style w:type="character" w:customStyle="1" w:styleId="CharSubdText">
    <w:name w:val="CharSubdText"/>
    <w:basedOn w:val="OPCCharBase"/>
    <w:uiPriority w:val="1"/>
    <w:qFormat/>
    <w:rsid w:val="00DA255C"/>
  </w:style>
  <w:style w:type="paragraph" w:customStyle="1" w:styleId="CTA--">
    <w:name w:val="CTA --"/>
    <w:basedOn w:val="OPCParaBase"/>
    <w:next w:val="Normal"/>
    <w:rsid w:val="00DA255C"/>
    <w:pPr>
      <w:spacing w:before="60" w:line="240" w:lineRule="atLeast"/>
      <w:ind w:left="142" w:hanging="142"/>
    </w:pPr>
    <w:rPr>
      <w:sz w:val="20"/>
    </w:rPr>
  </w:style>
  <w:style w:type="paragraph" w:customStyle="1" w:styleId="CTA-">
    <w:name w:val="CTA -"/>
    <w:basedOn w:val="OPCParaBase"/>
    <w:rsid w:val="00DA255C"/>
    <w:pPr>
      <w:spacing w:before="60" w:line="240" w:lineRule="atLeast"/>
      <w:ind w:left="85" w:hanging="85"/>
    </w:pPr>
    <w:rPr>
      <w:sz w:val="20"/>
    </w:rPr>
  </w:style>
  <w:style w:type="paragraph" w:customStyle="1" w:styleId="CTA---">
    <w:name w:val="CTA ---"/>
    <w:basedOn w:val="OPCParaBase"/>
    <w:next w:val="Normal"/>
    <w:rsid w:val="00DA255C"/>
    <w:pPr>
      <w:spacing w:before="60" w:line="240" w:lineRule="atLeast"/>
      <w:ind w:left="198" w:hanging="198"/>
    </w:pPr>
    <w:rPr>
      <w:sz w:val="20"/>
    </w:rPr>
  </w:style>
  <w:style w:type="paragraph" w:customStyle="1" w:styleId="CTA----">
    <w:name w:val="CTA ----"/>
    <w:basedOn w:val="OPCParaBase"/>
    <w:next w:val="Normal"/>
    <w:rsid w:val="00DA255C"/>
    <w:pPr>
      <w:spacing w:before="60" w:line="240" w:lineRule="atLeast"/>
      <w:ind w:left="255" w:hanging="255"/>
    </w:pPr>
    <w:rPr>
      <w:sz w:val="20"/>
    </w:rPr>
  </w:style>
  <w:style w:type="paragraph" w:customStyle="1" w:styleId="CTA1a">
    <w:name w:val="CTA 1(a)"/>
    <w:basedOn w:val="OPCParaBase"/>
    <w:rsid w:val="00DA255C"/>
    <w:pPr>
      <w:tabs>
        <w:tab w:val="right" w:pos="414"/>
      </w:tabs>
      <w:spacing w:before="40" w:line="240" w:lineRule="atLeast"/>
      <w:ind w:left="675" w:hanging="675"/>
    </w:pPr>
    <w:rPr>
      <w:sz w:val="20"/>
    </w:rPr>
  </w:style>
  <w:style w:type="paragraph" w:customStyle="1" w:styleId="CTA1ai">
    <w:name w:val="CTA 1(a)(i)"/>
    <w:basedOn w:val="OPCParaBase"/>
    <w:rsid w:val="00DA255C"/>
    <w:pPr>
      <w:tabs>
        <w:tab w:val="right" w:pos="1004"/>
      </w:tabs>
      <w:spacing w:before="40" w:line="240" w:lineRule="atLeast"/>
      <w:ind w:left="1253" w:hanging="1253"/>
    </w:pPr>
    <w:rPr>
      <w:sz w:val="20"/>
    </w:rPr>
  </w:style>
  <w:style w:type="paragraph" w:customStyle="1" w:styleId="CTA2a">
    <w:name w:val="CTA 2(a)"/>
    <w:basedOn w:val="OPCParaBase"/>
    <w:rsid w:val="00DA255C"/>
    <w:pPr>
      <w:tabs>
        <w:tab w:val="right" w:pos="482"/>
      </w:tabs>
      <w:spacing w:before="40" w:line="240" w:lineRule="atLeast"/>
      <w:ind w:left="748" w:hanging="748"/>
    </w:pPr>
    <w:rPr>
      <w:sz w:val="20"/>
    </w:rPr>
  </w:style>
  <w:style w:type="paragraph" w:customStyle="1" w:styleId="CTA2ai">
    <w:name w:val="CTA 2(a)(i)"/>
    <w:basedOn w:val="OPCParaBase"/>
    <w:rsid w:val="00DA255C"/>
    <w:pPr>
      <w:tabs>
        <w:tab w:val="right" w:pos="1089"/>
      </w:tabs>
      <w:spacing w:before="40" w:line="240" w:lineRule="atLeast"/>
      <w:ind w:left="1327" w:hanging="1327"/>
    </w:pPr>
    <w:rPr>
      <w:sz w:val="20"/>
    </w:rPr>
  </w:style>
  <w:style w:type="paragraph" w:customStyle="1" w:styleId="CTA3a">
    <w:name w:val="CTA 3(a)"/>
    <w:basedOn w:val="OPCParaBase"/>
    <w:rsid w:val="00DA255C"/>
    <w:pPr>
      <w:tabs>
        <w:tab w:val="right" w:pos="556"/>
      </w:tabs>
      <w:spacing w:before="40" w:line="240" w:lineRule="atLeast"/>
      <w:ind w:left="805" w:hanging="805"/>
    </w:pPr>
    <w:rPr>
      <w:sz w:val="20"/>
    </w:rPr>
  </w:style>
  <w:style w:type="paragraph" w:customStyle="1" w:styleId="CTA3ai">
    <w:name w:val="CTA 3(a)(i)"/>
    <w:basedOn w:val="OPCParaBase"/>
    <w:rsid w:val="00DA255C"/>
    <w:pPr>
      <w:tabs>
        <w:tab w:val="right" w:pos="1140"/>
      </w:tabs>
      <w:spacing w:before="40" w:line="240" w:lineRule="atLeast"/>
      <w:ind w:left="1361" w:hanging="1361"/>
    </w:pPr>
    <w:rPr>
      <w:sz w:val="20"/>
    </w:rPr>
  </w:style>
  <w:style w:type="paragraph" w:customStyle="1" w:styleId="CTA4a">
    <w:name w:val="CTA 4(a)"/>
    <w:basedOn w:val="OPCParaBase"/>
    <w:rsid w:val="00DA255C"/>
    <w:pPr>
      <w:tabs>
        <w:tab w:val="right" w:pos="624"/>
      </w:tabs>
      <w:spacing w:before="40" w:line="240" w:lineRule="atLeast"/>
      <w:ind w:left="873" w:hanging="873"/>
    </w:pPr>
    <w:rPr>
      <w:sz w:val="20"/>
    </w:rPr>
  </w:style>
  <w:style w:type="paragraph" w:customStyle="1" w:styleId="CTA4ai">
    <w:name w:val="CTA 4(a)(i)"/>
    <w:basedOn w:val="OPCParaBase"/>
    <w:rsid w:val="00DA255C"/>
    <w:pPr>
      <w:tabs>
        <w:tab w:val="right" w:pos="1213"/>
      </w:tabs>
      <w:spacing w:before="40" w:line="240" w:lineRule="atLeast"/>
      <w:ind w:left="1452" w:hanging="1452"/>
    </w:pPr>
    <w:rPr>
      <w:sz w:val="20"/>
    </w:rPr>
  </w:style>
  <w:style w:type="paragraph" w:customStyle="1" w:styleId="CTACAPS">
    <w:name w:val="CTA CAPS"/>
    <w:basedOn w:val="OPCParaBase"/>
    <w:rsid w:val="00DA255C"/>
    <w:pPr>
      <w:spacing w:before="60" w:line="240" w:lineRule="atLeast"/>
    </w:pPr>
    <w:rPr>
      <w:sz w:val="20"/>
    </w:rPr>
  </w:style>
  <w:style w:type="paragraph" w:customStyle="1" w:styleId="CTAright">
    <w:name w:val="CTA right"/>
    <w:basedOn w:val="OPCParaBase"/>
    <w:rsid w:val="00DA255C"/>
    <w:pPr>
      <w:spacing w:before="60" w:line="240" w:lineRule="auto"/>
      <w:jc w:val="right"/>
    </w:pPr>
    <w:rPr>
      <w:sz w:val="20"/>
    </w:rPr>
  </w:style>
  <w:style w:type="paragraph" w:customStyle="1" w:styleId="subsection">
    <w:name w:val="subsection"/>
    <w:aliases w:val="ss"/>
    <w:basedOn w:val="OPCParaBase"/>
    <w:rsid w:val="00DA255C"/>
    <w:pPr>
      <w:tabs>
        <w:tab w:val="right" w:pos="1021"/>
      </w:tabs>
      <w:spacing w:before="180" w:line="240" w:lineRule="auto"/>
      <w:ind w:left="1134" w:hanging="1134"/>
    </w:pPr>
  </w:style>
  <w:style w:type="paragraph" w:customStyle="1" w:styleId="Definition">
    <w:name w:val="Definition"/>
    <w:aliases w:val="dd"/>
    <w:basedOn w:val="OPCParaBase"/>
    <w:rsid w:val="00DA255C"/>
    <w:pPr>
      <w:spacing w:before="180" w:line="240" w:lineRule="auto"/>
      <w:ind w:left="1134"/>
    </w:pPr>
  </w:style>
  <w:style w:type="paragraph" w:customStyle="1" w:styleId="EndNotespara">
    <w:name w:val="EndNotes(para)"/>
    <w:aliases w:val="eta"/>
    <w:basedOn w:val="OPCParaBase"/>
    <w:next w:val="EndNotessubpara"/>
    <w:rsid w:val="00DA25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25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25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255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A255C"/>
    <w:rPr>
      <w:sz w:val="16"/>
    </w:rPr>
  </w:style>
  <w:style w:type="paragraph" w:customStyle="1" w:styleId="House">
    <w:name w:val="House"/>
    <w:basedOn w:val="OPCParaBase"/>
    <w:rsid w:val="00DA255C"/>
    <w:pPr>
      <w:spacing w:line="240" w:lineRule="auto"/>
    </w:pPr>
    <w:rPr>
      <w:sz w:val="28"/>
    </w:rPr>
  </w:style>
  <w:style w:type="paragraph" w:customStyle="1" w:styleId="Item">
    <w:name w:val="Item"/>
    <w:aliases w:val="i"/>
    <w:basedOn w:val="OPCParaBase"/>
    <w:next w:val="ItemHead"/>
    <w:rsid w:val="00DA255C"/>
    <w:pPr>
      <w:keepLines/>
      <w:spacing w:before="80" w:line="240" w:lineRule="auto"/>
      <w:ind w:left="709"/>
    </w:pPr>
  </w:style>
  <w:style w:type="paragraph" w:customStyle="1" w:styleId="ItemHead">
    <w:name w:val="ItemHead"/>
    <w:aliases w:val="ih"/>
    <w:basedOn w:val="OPCParaBase"/>
    <w:next w:val="Item"/>
    <w:rsid w:val="00DA25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255C"/>
    <w:pPr>
      <w:spacing w:line="240" w:lineRule="auto"/>
    </w:pPr>
    <w:rPr>
      <w:b/>
      <w:sz w:val="32"/>
    </w:rPr>
  </w:style>
  <w:style w:type="paragraph" w:customStyle="1" w:styleId="notedraft">
    <w:name w:val="note(draft)"/>
    <w:aliases w:val="nd"/>
    <w:basedOn w:val="OPCParaBase"/>
    <w:rsid w:val="00DA255C"/>
    <w:pPr>
      <w:spacing w:before="240" w:line="240" w:lineRule="auto"/>
      <w:ind w:left="284" w:hanging="284"/>
    </w:pPr>
    <w:rPr>
      <w:i/>
      <w:sz w:val="24"/>
    </w:rPr>
  </w:style>
  <w:style w:type="paragraph" w:customStyle="1" w:styleId="notemargin">
    <w:name w:val="note(margin)"/>
    <w:aliases w:val="nm"/>
    <w:basedOn w:val="OPCParaBase"/>
    <w:rsid w:val="00DA255C"/>
    <w:pPr>
      <w:tabs>
        <w:tab w:val="left" w:pos="709"/>
      </w:tabs>
      <w:spacing w:before="122" w:line="198" w:lineRule="exact"/>
      <w:ind w:left="709" w:hanging="709"/>
    </w:pPr>
    <w:rPr>
      <w:sz w:val="18"/>
    </w:rPr>
  </w:style>
  <w:style w:type="paragraph" w:customStyle="1" w:styleId="noteToPara">
    <w:name w:val="noteToPara"/>
    <w:aliases w:val="ntp"/>
    <w:basedOn w:val="OPCParaBase"/>
    <w:rsid w:val="00DA255C"/>
    <w:pPr>
      <w:spacing w:before="122" w:line="198" w:lineRule="exact"/>
      <w:ind w:left="2353" w:hanging="709"/>
    </w:pPr>
    <w:rPr>
      <w:sz w:val="18"/>
    </w:rPr>
  </w:style>
  <w:style w:type="paragraph" w:customStyle="1" w:styleId="noteParlAmend">
    <w:name w:val="note(ParlAmend)"/>
    <w:aliases w:val="npp"/>
    <w:basedOn w:val="OPCParaBase"/>
    <w:next w:val="ParlAmend"/>
    <w:rsid w:val="00DA255C"/>
    <w:pPr>
      <w:spacing w:line="240" w:lineRule="auto"/>
      <w:jc w:val="right"/>
    </w:pPr>
    <w:rPr>
      <w:rFonts w:ascii="Arial" w:hAnsi="Arial"/>
      <w:b/>
      <w:i/>
    </w:rPr>
  </w:style>
  <w:style w:type="paragraph" w:customStyle="1" w:styleId="notetext">
    <w:name w:val="note(text)"/>
    <w:aliases w:val="n"/>
    <w:basedOn w:val="OPCParaBase"/>
    <w:rsid w:val="00DA255C"/>
    <w:pPr>
      <w:spacing w:before="122" w:line="240" w:lineRule="auto"/>
      <w:ind w:left="1985" w:hanging="851"/>
    </w:pPr>
    <w:rPr>
      <w:sz w:val="18"/>
    </w:rPr>
  </w:style>
  <w:style w:type="paragraph" w:customStyle="1" w:styleId="Page1">
    <w:name w:val="Page1"/>
    <w:basedOn w:val="OPCParaBase"/>
    <w:rsid w:val="00DA255C"/>
    <w:pPr>
      <w:spacing w:before="5600" w:line="240" w:lineRule="auto"/>
    </w:pPr>
    <w:rPr>
      <w:b/>
      <w:sz w:val="32"/>
    </w:rPr>
  </w:style>
  <w:style w:type="paragraph" w:customStyle="1" w:styleId="paragraphsub">
    <w:name w:val="paragraph(sub)"/>
    <w:aliases w:val="aa"/>
    <w:basedOn w:val="OPCParaBase"/>
    <w:rsid w:val="00DA255C"/>
    <w:pPr>
      <w:tabs>
        <w:tab w:val="right" w:pos="1985"/>
      </w:tabs>
      <w:spacing w:before="40" w:line="240" w:lineRule="auto"/>
      <w:ind w:left="2098" w:hanging="2098"/>
    </w:pPr>
  </w:style>
  <w:style w:type="paragraph" w:customStyle="1" w:styleId="paragraphsub-sub">
    <w:name w:val="paragraph(sub-sub)"/>
    <w:aliases w:val="aaa"/>
    <w:basedOn w:val="OPCParaBase"/>
    <w:rsid w:val="00DA255C"/>
    <w:pPr>
      <w:tabs>
        <w:tab w:val="right" w:pos="2722"/>
      </w:tabs>
      <w:spacing w:before="40" w:line="240" w:lineRule="auto"/>
      <w:ind w:left="2835" w:hanging="2835"/>
    </w:pPr>
  </w:style>
  <w:style w:type="paragraph" w:customStyle="1" w:styleId="paragraph">
    <w:name w:val="paragraph"/>
    <w:aliases w:val="a"/>
    <w:basedOn w:val="OPCParaBase"/>
    <w:rsid w:val="00DA255C"/>
    <w:pPr>
      <w:tabs>
        <w:tab w:val="right" w:pos="1531"/>
      </w:tabs>
      <w:spacing w:before="40" w:line="240" w:lineRule="auto"/>
      <w:ind w:left="1644" w:hanging="1644"/>
    </w:pPr>
  </w:style>
  <w:style w:type="paragraph" w:customStyle="1" w:styleId="ParlAmend">
    <w:name w:val="ParlAmend"/>
    <w:aliases w:val="pp"/>
    <w:basedOn w:val="OPCParaBase"/>
    <w:rsid w:val="00DA255C"/>
    <w:pPr>
      <w:spacing w:before="240" w:line="240" w:lineRule="atLeast"/>
      <w:ind w:hanging="567"/>
    </w:pPr>
    <w:rPr>
      <w:sz w:val="24"/>
    </w:rPr>
  </w:style>
  <w:style w:type="paragraph" w:customStyle="1" w:styleId="Portfolio">
    <w:name w:val="Portfolio"/>
    <w:basedOn w:val="OPCParaBase"/>
    <w:rsid w:val="00DA255C"/>
    <w:pPr>
      <w:spacing w:line="240" w:lineRule="auto"/>
    </w:pPr>
    <w:rPr>
      <w:i/>
      <w:sz w:val="20"/>
    </w:rPr>
  </w:style>
  <w:style w:type="paragraph" w:customStyle="1" w:styleId="Preamble">
    <w:name w:val="Preamble"/>
    <w:basedOn w:val="OPCParaBase"/>
    <w:next w:val="Normal"/>
    <w:rsid w:val="00DA25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255C"/>
    <w:pPr>
      <w:spacing w:line="240" w:lineRule="auto"/>
    </w:pPr>
    <w:rPr>
      <w:i/>
      <w:sz w:val="20"/>
    </w:rPr>
  </w:style>
  <w:style w:type="paragraph" w:customStyle="1" w:styleId="Session">
    <w:name w:val="Session"/>
    <w:basedOn w:val="OPCParaBase"/>
    <w:rsid w:val="00DA255C"/>
    <w:pPr>
      <w:spacing w:line="240" w:lineRule="auto"/>
    </w:pPr>
    <w:rPr>
      <w:sz w:val="28"/>
    </w:rPr>
  </w:style>
  <w:style w:type="paragraph" w:customStyle="1" w:styleId="Sponsor">
    <w:name w:val="Sponsor"/>
    <w:basedOn w:val="OPCParaBase"/>
    <w:rsid w:val="00DA255C"/>
    <w:pPr>
      <w:spacing w:line="240" w:lineRule="auto"/>
    </w:pPr>
    <w:rPr>
      <w:i/>
    </w:rPr>
  </w:style>
  <w:style w:type="paragraph" w:customStyle="1" w:styleId="Subitem">
    <w:name w:val="Subitem"/>
    <w:aliases w:val="iss"/>
    <w:basedOn w:val="OPCParaBase"/>
    <w:rsid w:val="00DA255C"/>
    <w:pPr>
      <w:spacing w:before="180" w:line="240" w:lineRule="auto"/>
      <w:ind w:left="709" w:hanging="709"/>
    </w:pPr>
  </w:style>
  <w:style w:type="paragraph" w:customStyle="1" w:styleId="SubitemHead">
    <w:name w:val="SubitemHead"/>
    <w:aliases w:val="issh"/>
    <w:basedOn w:val="OPCParaBase"/>
    <w:rsid w:val="00DA25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255C"/>
    <w:pPr>
      <w:spacing w:before="40" w:line="240" w:lineRule="auto"/>
      <w:ind w:left="1134"/>
    </w:pPr>
  </w:style>
  <w:style w:type="paragraph" w:customStyle="1" w:styleId="SubsectionHead">
    <w:name w:val="SubsectionHead"/>
    <w:aliases w:val="ssh"/>
    <w:basedOn w:val="OPCParaBase"/>
    <w:next w:val="subsection"/>
    <w:rsid w:val="00DA255C"/>
    <w:pPr>
      <w:keepNext/>
      <w:keepLines/>
      <w:spacing w:before="240" w:line="240" w:lineRule="auto"/>
      <w:ind w:left="1134"/>
    </w:pPr>
    <w:rPr>
      <w:i/>
    </w:rPr>
  </w:style>
  <w:style w:type="paragraph" w:customStyle="1" w:styleId="Tablea">
    <w:name w:val="Table(a)"/>
    <w:aliases w:val="ta"/>
    <w:basedOn w:val="OPCParaBase"/>
    <w:rsid w:val="00DA255C"/>
    <w:pPr>
      <w:spacing w:before="60" w:line="240" w:lineRule="auto"/>
      <w:ind w:left="284" w:hanging="284"/>
    </w:pPr>
    <w:rPr>
      <w:sz w:val="20"/>
    </w:rPr>
  </w:style>
  <w:style w:type="paragraph" w:customStyle="1" w:styleId="TableAA">
    <w:name w:val="Table(AA)"/>
    <w:aliases w:val="taaa"/>
    <w:basedOn w:val="OPCParaBase"/>
    <w:rsid w:val="00DA25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25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255C"/>
    <w:pPr>
      <w:spacing w:before="60" w:line="240" w:lineRule="atLeast"/>
    </w:pPr>
    <w:rPr>
      <w:sz w:val="20"/>
    </w:rPr>
  </w:style>
  <w:style w:type="paragraph" w:customStyle="1" w:styleId="TLPBoxTextnote">
    <w:name w:val="TLPBoxText(note"/>
    <w:aliases w:val="right)"/>
    <w:basedOn w:val="OPCParaBase"/>
    <w:rsid w:val="00DA25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255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255C"/>
    <w:pPr>
      <w:spacing w:before="122" w:line="198" w:lineRule="exact"/>
      <w:ind w:left="1985" w:hanging="851"/>
      <w:jc w:val="right"/>
    </w:pPr>
    <w:rPr>
      <w:sz w:val="18"/>
    </w:rPr>
  </w:style>
  <w:style w:type="paragraph" w:customStyle="1" w:styleId="TLPTableBullet">
    <w:name w:val="TLPTableBullet"/>
    <w:aliases w:val="ttb"/>
    <w:basedOn w:val="OPCParaBase"/>
    <w:rsid w:val="00DA255C"/>
    <w:pPr>
      <w:spacing w:line="240" w:lineRule="exact"/>
      <w:ind w:left="284" w:hanging="284"/>
    </w:pPr>
    <w:rPr>
      <w:sz w:val="20"/>
    </w:rPr>
  </w:style>
  <w:style w:type="paragraph" w:customStyle="1" w:styleId="TofSectsGroupHeading">
    <w:name w:val="TofSects(GroupHeading)"/>
    <w:basedOn w:val="OPCParaBase"/>
    <w:next w:val="TofSectsSection"/>
    <w:rsid w:val="00DA255C"/>
    <w:pPr>
      <w:keepLines/>
      <w:spacing w:before="240" w:after="120" w:line="240" w:lineRule="auto"/>
      <w:ind w:left="794"/>
    </w:pPr>
    <w:rPr>
      <w:b/>
      <w:kern w:val="28"/>
      <w:sz w:val="20"/>
    </w:rPr>
  </w:style>
  <w:style w:type="paragraph" w:customStyle="1" w:styleId="TofSectsHeading">
    <w:name w:val="TofSects(Heading)"/>
    <w:basedOn w:val="OPCParaBase"/>
    <w:rsid w:val="00DA255C"/>
    <w:pPr>
      <w:spacing w:before="240" w:after="120" w:line="240" w:lineRule="auto"/>
    </w:pPr>
    <w:rPr>
      <w:b/>
      <w:sz w:val="24"/>
    </w:rPr>
  </w:style>
  <w:style w:type="paragraph" w:customStyle="1" w:styleId="TofSectsSection">
    <w:name w:val="TofSects(Section)"/>
    <w:basedOn w:val="OPCParaBase"/>
    <w:rsid w:val="00DA255C"/>
    <w:pPr>
      <w:keepLines/>
      <w:spacing w:before="40" w:line="240" w:lineRule="auto"/>
      <w:ind w:left="1588" w:hanging="794"/>
    </w:pPr>
    <w:rPr>
      <w:kern w:val="28"/>
      <w:sz w:val="18"/>
    </w:rPr>
  </w:style>
  <w:style w:type="paragraph" w:customStyle="1" w:styleId="TofSectsSubdiv">
    <w:name w:val="TofSects(Subdiv)"/>
    <w:basedOn w:val="OPCParaBase"/>
    <w:rsid w:val="00DA255C"/>
    <w:pPr>
      <w:keepLines/>
      <w:spacing w:before="80" w:line="240" w:lineRule="auto"/>
      <w:ind w:left="1588" w:hanging="794"/>
    </w:pPr>
    <w:rPr>
      <w:kern w:val="28"/>
    </w:rPr>
  </w:style>
  <w:style w:type="paragraph" w:customStyle="1" w:styleId="WRStyle">
    <w:name w:val="WR Style"/>
    <w:aliases w:val="WR"/>
    <w:basedOn w:val="OPCParaBase"/>
    <w:rsid w:val="00DA255C"/>
    <w:pPr>
      <w:spacing w:before="240" w:line="240" w:lineRule="auto"/>
      <w:ind w:left="284" w:hanging="284"/>
    </w:pPr>
    <w:rPr>
      <w:b/>
      <w:i/>
      <w:kern w:val="28"/>
      <w:sz w:val="24"/>
    </w:rPr>
  </w:style>
  <w:style w:type="paragraph" w:customStyle="1" w:styleId="notepara">
    <w:name w:val="note(para)"/>
    <w:aliases w:val="na"/>
    <w:basedOn w:val="OPCParaBase"/>
    <w:rsid w:val="00DA255C"/>
    <w:pPr>
      <w:spacing w:before="40" w:line="198" w:lineRule="exact"/>
      <w:ind w:left="2354" w:hanging="369"/>
    </w:pPr>
    <w:rPr>
      <w:sz w:val="18"/>
    </w:rPr>
  </w:style>
  <w:style w:type="character" w:customStyle="1" w:styleId="FooterChar">
    <w:name w:val="Footer Char"/>
    <w:basedOn w:val="DefaultParagraphFont"/>
    <w:link w:val="Footer"/>
    <w:rsid w:val="00DA255C"/>
    <w:rPr>
      <w:sz w:val="22"/>
      <w:szCs w:val="24"/>
    </w:rPr>
  </w:style>
  <w:style w:type="table" w:customStyle="1" w:styleId="CFlag">
    <w:name w:val="CFlag"/>
    <w:basedOn w:val="TableNormal"/>
    <w:uiPriority w:val="99"/>
    <w:rsid w:val="00DA255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DA255C"/>
    <w:rPr>
      <w:rFonts w:ascii="Tahoma" w:eastAsiaTheme="minorHAnsi" w:hAnsi="Tahoma" w:cs="Tahoma"/>
      <w:sz w:val="16"/>
      <w:szCs w:val="16"/>
      <w:lang w:eastAsia="en-US"/>
    </w:rPr>
  </w:style>
  <w:style w:type="paragraph" w:customStyle="1" w:styleId="InstNo">
    <w:name w:val="InstNo"/>
    <w:basedOn w:val="OPCParaBase"/>
    <w:next w:val="Normal"/>
    <w:rsid w:val="00DA255C"/>
    <w:rPr>
      <w:b/>
      <w:sz w:val="28"/>
      <w:szCs w:val="32"/>
    </w:rPr>
  </w:style>
  <w:style w:type="paragraph" w:customStyle="1" w:styleId="TerritoryT">
    <w:name w:val="TerritoryT"/>
    <w:basedOn w:val="OPCParaBase"/>
    <w:next w:val="Normal"/>
    <w:rsid w:val="00DA255C"/>
    <w:rPr>
      <w:b/>
      <w:sz w:val="32"/>
    </w:rPr>
  </w:style>
  <w:style w:type="paragraph" w:customStyle="1" w:styleId="LegislationMadeUnder">
    <w:name w:val="LegislationMadeUnder"/>
    <w:basedOn w:val="OPCParaBase"/>
    <w:next w:val="Normal"/>
    <w:rsid w:val="00DA255C"/>
    <w:rPr>
      <w:i/>
      <w:sz w:val="32"/>
      <w:szCs w:val="32"/>
    </w:rPr>
  </w:style>
  <w:style w:type="paragraph" w:customStyle="1" w:styleId="ActHead10">
    <w:name w:val="ActHead 10"/>
    <w:aliases w:val="sp"/>
    <w:basedOn w:val="OPCParaBase"/>
    <w:next w:val="ActHead3"/>
    <w:rsid w:val="00DA255C"/>
    <w:pPr>
      <w:keepNext/>
      <w:spacing w:before="280" w:line="240" w:lineRule="auto"/>
      <w:outlineLvl w:val="1"/>
    </w:pPr>
    <w:rPr>
      <w:b/>
      <w:sz w:val="32"/>
      <w:szCs w:val="30"/>
    </w:rPr>
  </w:style>
  <w:style w:type="paragraph" w:customStyle="1" w:styleId="SignCoverPageEnd">
    <w:name w:val="SignCoverPageEnd"/>
    <w:basedOn w:val="OPCParaBase"/>
    <w:next w:val="Normal"/>
    <w:rsid w:val="00DA25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255C"/>
    <w:pPr>
      <w:pBdr>
        <w:top w:val="single" w:sz="4" w:space="1" w:color="auto"/>
      </w:pBdr>
      <w:spacing w:before="360"/>
      <w:ind w:right="397"/>
      <w:jc w:val="both"/>
    </w:pPr>
  </w:style>
  <w:style w:type="paragraph" w:customStyle="1" w:styleId="NotesHeading2">
    <w:name w:val="NotesHeading 2"/>
    <w:basedOn w:val="OPCParaBase"/>
    <w:next w:val="Normal"/>
    <w:rsid w:val="00DA255C"/>
    <w:rPr>
      <w:b/>
      <w:sz w:val="28"/>
      <w:szCs w:val="28"/>
    </w:rPr>
  </w:style>
  <w:style w:type="paragraph" w:customStyle="1" w:styleId="NotesHeading1">
    <w:name w:val="NotesHeading 1"/>
    <w:basedOn w:val="OPCParaBase"/>
    <w:next w:val="Normal"/>
    <w:rsid w:val="00DA255C"/>
    <w:rPr>
      <w:b/>
      <w:sz w:val="28"/>
      <w:szCs w:val="28"/>
    </w:rPr>
  </w:style>
  <w:style w:type="paragraph" w:customStyle="1" w:styleId="CompiledActNo">
    <w:name w:val="CompiledActNo"/>
    <w:basedOn w:val="OPCParaBase"/>
    <w:next w:val="Normal"/>
    <w:rsid w:val="00DA255C"/>
    <w:rPr>
      <w:b/>
      <w:sz w:val="24"/>
      <w:szCs w:val="24"/>
    </w:rPr>
  </w:style>
  <w:style w:type="paragraph" w:customStyle="1" w:styleId="ENotesText">
    <w:name w:val="ENotesText"/>
    <w:aliases w:val="Ent"/>
    <w:basedOn w:val="OPCParaBase"/>
    <w:next w:val="Normal"/>
    <w:rsid w:val="00DA255C"/>
    <w:pPr>
      <w:spacing w:before="120"/>
    </w:pPr>
  </w:style>
  <w:style w:type="paragraph" w:customStyle="1" w:styleId="CompiledMadeUnder">
    <w:name w:val="CompiledMadeUnder"/>
    <w:basedOn w:val="OPCParaBase"/>
    <w:next w:val="Normal"/>
    <w:rsid w:val="00DA255C"/>
    <w:rPr>
      <w:i/>
      <w:sz w:val="24"/>
      <w:szCs w:val="24"/>
    </w:rPr>
  </w:style>
  <w:style w:type="paragraph" w:customStyle="1" w:styleId="Paragraphsub-sub-sub">
    <w:name w:val="Paragraph(sub-sub-sub)"/>
    <w:aliases w:val="aaaa"/>
    <w:basedOn w:val="OPCParaBase"/>
    <w:rsid w:val="00DA255C"/>
    <w:pPr>
      <w:tabs>
        <w:tab w:val="right" w:pos="3402"/>
      </w:tabs>
      <w:spacing w:before="40" w:line="240" w:lineRule="auto"/>
      <w:ind w:left="3402" w:hanging="3402"/>
    </w:pPr>
  </w:style>
  <w:style w:type="paragraph" w:customStyle="1" w:styleId="TableTextEndNotes">
    <w:name w:val="TableTextEndNotes"/>
    <w:aliases w:val="Tten"/>
    <w:basedOn w:val="Normal"/>
    <w:rsid w:val="00DA255C"/>
    <w:pPr>
      <w:spacing w:before="60" w:line="240" w:lineRule="auto"/>
    </w:pPr>
    <w:rPr>
      <w:rFonts w:cs="Arial"/>
      <w:sz w:val="20"/>
      <w:szCs w:val="22"/>
    </w:rPr>
  </w:style>
  <w:style w:type="paragraph" w:customStyle="1" w:styleId="TableHeading">
    <w:name w:val="TableHeading"/>
    <w:aliases w:val="th"/>
    <w:basedOn w:val="OPCParaBase"/>
    <w:next w:val="Tabletext"/>
    <w:rsid w:val="00DA255C"/>
    <w:pPr>
      <w:keepNext/>
      <w:spacing w:before="60" w:line="240" w:lineRule="atLeast"/>
    </w:pPr>
    <w:rPr>
      <w:b/>
      <w:sz w:val="20"/>
    </w:rPr>
  </w:style>
  <w:style w:type="paragraph" w:customStyle="1" w:styleId="NoteToSubpara">
    <w:name w:val="NoteToSubpara"/>
    <w:aliases w:val="nts"/>
    <w:basedOn w:val="OPCParaBase"/>
    <w:rsid w:val="00DA255C"/>
    <w:pPr>
      <w:spacing w:before="40" w:line="198" w:lineRule="exact"/>
      <w:ind w:left="2835" w:hanging="709"/>
    </w:pPr>
    <w:rPr>
      <w:sz w:val="18"/>
    </w:rPr>
  </w:style>
  <w:style w:type="paragraph" w:customStyle="1" w:styleId="ENoteTableHeading">
    <w:name w:val="ENoteTableHeading"/>
    <w:aliases w:val="enth"/>
    <w:basedOn w:val="OPCParaBase"/>
    <w:rsid w:val="00DA255C"/>
    <w:pPr>
      <w:keepNext/>
      <w:spacing w:before="60" w:line="240" w:lineRule="atLeast"/>
    </w:pPr>
    <w:rPr>
      <w:rFonts w:ascii="Arial" w:hAnsi="Arial"/>
      <w:b/>
      <w:sz w:val="16"/>
    </w:rPr>
  </w:style>
  <w:style w:type="paragraph" w:customStyle="1" w:styleId="ENoteTTi">
    <w:name w:val="ENoteTTi"/>
    <w:aliases w:val="entti"/>
    <w:basedOn w:val="OPCParaBase"/>
    <w:rsid w:val="00DA255C"/>
    <w:pPr>
      <w:keepNext/>
      <w:spacing w:before="60" w:line="240" w:lineRule="atLeast"/>
      <w:ind w:left="170"/>
    </w:pPr>
    <w:rPr>
      <w:sz w:val="16"/>
    </w:rPr>
  </w:style>
  <w:style w:type="paragraph" w:customStyle="1" w:styleId="ENotesHeading1">
    <w:name w:val="ENotesHeading 1"/>
    <w:aliases w:val="Enh1"/>
    <w:basedOn w:val="OPCParaBase"/>
    <w:next w:val="Normal"/>
    <w:rsid w:val="00DA255C"/>
    <w:pPr>
      <w:spacing w:before="120"/>
      <w:outlineLvl w:val="1"/>
    </w:pPr>
    <w:rPr>
      <w:b/>
      <w:sz w:val="28"/>
      <w:szCs w:val="28"/>
    </w:rPr>
  </w:style>
  <w:style w:type="paragraph" w:customStyle="1" w:styleId="ENotesHeading2">
    <w:name w:val="ENotesHeading 2"/>
    <w:aliases w:val="Enh2"/>
    <w:basedOn w:val="OPCParaBase"/>
    <w:next w:val="Normal"/>
    <w:rsid w:val="00DA255C"/>
    <w:pPr>
      <w:spacing w:before="120" w:after="120"/>
      <w:outlineLvl w:val="2"/>
    </w:pPr>
    <w:rPr>
      <w:b/>
      <w:sz w:val="24"/>
      <w:szCs w:val="28"/>
    </w:rPr>
  </w:style>
  <w:style w:type="paragraph" w:customStyle="1" w:styleId="ENotesHeading3">
    <w:name w:val="ENotesHeading 3"/>
    <w:aliases w:val="Enh3"/>
    <w:basedOn w:val="OPCParaBase"/>
    <w:next w:val="Normal"/>
    <w:rsid w:val="00DA255C"/>
    <w:pPr>
      <w:keepNext/>
      <w:spacing w:before="120" w:line="240" w:lineRule="auto"/>
      <w:outlineLvl w:val="4"/>
    </w:pPr>
    <w:rPr>
      <w:b/>
      <w:szCs w:val="24"/>
    </w:rPr>
  </w:style>
  <w:style w:type="paragraph" w:customStyle="1" w:styleId="ENoteTTIndentHeading">
    <w:name w:val="ENoteTTIndentHeading"/>
    <w:aliases w:val="enTTHi"/>
    <w:basedOn w:val="OPCParaBase"/>
    <w:rsid w:val="00DA25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255C"/>
    <w:pPr>
      <w:spacing w:before="60" w:line="240" w:lineRule="atLeast"/>
    </w:pPr>
    <w:rPr>
      <w:sz w:val="16"/>
    </w:rPr>
  </w:style>
  <w:style w:type="paragraph" w:customStyle="1" w:styleId="MadeunderText">
    <w:name w:val="MadeunderText"/>
    <w:basedOn w:val="OPCParaBase"/>
    <w:next w:val="CompiledMadeUnder"/>
    <w:rsid w:val="00DA255C"/>
    <w:pPr>
      <w:spacing w:before="240"/>
    </w:pPr>
    <w:rPr>
      <w:sz w:val="24"/>
      <w:szCs w:val="24"/>
    </w:rPr>
  </w:style>
  <w:style w:type="paragraph" w:customStyle="1" w:styleId="SubPartCASA">
    <w:name w:val="SubPart(CASA)"/>
    <w:aliases w:val="csp"/>
    <w:basedOn w:val="OPCParaBase"/>
    <w:next w:val="ActHead3"/>
    <w:rsid w:val="00DA255C"/>
    <w:pPr>
      <w:keepNext/>
      <w:keepLines/>
      <w:spacing w:before="280"/>
      <w:ind w:left="1134" w:hanging="1134"/>
      <w:outlineLvl w:val="1"/>
    </w:pPr>
    <w:rPr>
      <w:b/>
      <w:kern w:val="28"/>
      <w:sz w:val="32"/>
    </w:rPr>
  </w:style>
  <w:style w:type="paragraph" w:styleId="Revision">
    <w:name w:val="Revision"/>
    <w:hidden/>
    <w:uiPriority w:val="99"/>
    <w:semiHidden/>
    <w:rsid w:val="00C35033"/>
    <w:rPr>
      <w:rFonts w:eastAsiaTheme="minorHAnsi" w:cstheme="minorBidi"/>
      <w:sz w:val="22"/>
      <w:lang w:eastAsia="en-US"/>
    </w:rPr>
  </w:style>
  <w:style w:type="paragraph" w:customStyle="1" w:styleId="SOText">
    <w:name w:val="SO Text"/>
    <w:aliases w:val="sot"/>
    <w:link w:val="SOTextChar"/>
    <w:rsid w:val="00DA255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A255C"/>
    <w:rPr>
      <w:rFonts w:eastAsiaTheme="minorHAnsi" w:cstheme="minorBidi"/>
      <w:sz w:val="22"/>
      <w:lang w:eastAsia="en-US"/>
    </w:rPr>
  </w:style>
  <w:style w:type="paragraph" w:customStyle="1" w:styleId="SOTextNote">
    <w:name w:val="SO TextNote"/>
    <w:aliases w:val="sont"/>
    <w:basedOn w:val="SOText"/>
    <w:qFormat/>
    <w:rsid w:val="00DA255C"/>
    <w:pPr>
      <w:spacing w:before="122" w:line="198" w:lineRule="exact"/>
      <w:ind w:left="1843" w:hanging="709"/>
    </w:pPr>
    <w:rPr>
      <w:sz w:val="18"/>
    </w:rPr>
  </w:style>
  <w:style w:type="paragraph" w:customStyle="1" w:styleId="SOPara">
    <w:name w:val="SO Para"/>
    <w:aliases w:val="soa"/>
    <w:basedOn w:val="SOText"/>
    <w:link w:val="SOParaChar"/>
    <w:qFormat/>
    <w:rsid w:val="00DA255C"/>
    <w:pPr>
      <w:tabs>
        <w:tab w:val="right" w:pos="1786"/>
      </w:tabs>
      <w:spacing w:before="40"/>
      <w:ind w:left="2070" w:hanging="936"/>
    </w:pPr>
  </w:style>
  <w:style w:type="character" w:customStyle="1" w:styleId="SOParaChar">
    <w:name w:val="SO Para Char"/>
    <w:aliases w:val="soa Char"/>
    <w:basedOn w:val="DefaultParagraphFont"/>
    <w:link w:val="SOPara"/>
    <w:rsid w:val="00DA255C"/>
    <w:rPr>
      <w:rFonts w:eastAsiaTheme="minorHAnsi" w:cstheme="minorBidi"/>
      <w:sz w:val="22"/>
      <w:lang w:eastAsia="en-US"/>
    </w:rPr>
  </w:style>
  <w:style w:type="paragraph" w:customStyle="1" w:styleId="FileName">
    <w:name w:val="FileName"/>
    <w:basedOn w:val="Normal"/>
    <w:rsid w:val="00DA255C"/>
  </w:style>
  <w:style w:type="paragraph" w:customStyle="1" w:styleId="SOHeadBold">
    <w:name w:val="SO HeadBold"/>
    <w:aliases w:val="sohb"/>
    <w:basedOn w:val="SOText"/>
    <w:next w:val="SOText"/>
    <w:link w:val="SOHeadBoldChar"/>
    <w:qFormat/>
    <w:rsid w:val="00DA255C"/>
    <w:rPr>
      <w:b/>
    </w:rPr>
  </w:style>
  <w:style w:type="character" w:customStyle="1" w:styleId="SOHeadBoldChar">
    <w:name w:val="SO HeadBold Char"/>
    <w:aliases w:val="sohb Char"/>
    <w:basedOn w:val="DefaultParagraphFont"/>
    <w:link w:val="SOHeadBold"/>
    <w:rsid w:val="00DA255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A255C"/>
    <w:rPr>
      <w:i/>
    </w:rPr>
  </w:style>
  <w:style w:type="character" w:customStyle="1" w:styleId="SOHeadItalicChar">
    <w:name w:val="SO HeadItalic Char"/>
    <w:aliases w:val="sohi Char"/>
    <w:basedOn w:val="DefaultParagraphFont"/>
    <w:link w:val="SOHeadItalic"/>
    <w:rsid w:val="00DA255C"/>
    <w:rPr>
      <w:rFonts w:eastAsiaTheme="minorHAnsi" w:cstheme="minorBidi"/>
      <w:i/>
      <w:sz w:val="22"/>
      <w:lang w:eastAsia="en-US"/>
    </w:rPr>
  </w:style>
  <w:style w:type="paragraph" w:customStyle="1" w:styleId="SOBullet">
    <w:name w:val="SO Bullet"/>
    <w:aliases w:val="sotb"/>
    <w:basedOn w:val="SOText"/>
    <w:link w:val="SOBulletChar"/>
    <w:qFormat/>
    <w:rsid w:val="00DA255C"/>
    <w:pPr>
      <w:ind w:left="1559" w:hanging="425"/>
    </w:pPr>
  </w:style>
  <w:style w:type="character" w:customStyle="1" w:styleId="SOBulletChar">
    <w:name w:val="SO Bullet Char"/>
    <w:aliases w:val="sotb Char"/>
    <w:basedOn w:val="DefaultParagraphFont"/>
    <w:link w:val="SOBullet"/>
    <w:rsid w:val="00DA255C"/>
    <w:rPr>
      <w:rFonts w:eastAsiaTheme="minorHAnsi" w:cstheme="minorBidi"/>
      <w:sz w:val="22"/>
      <w:lang w:eastAsia="en-US"/>
    </w:rPr>
  </w:style>
  <w:style w:type="paragraph" w:customStyle="1" w:styleId="SOBulletNote">
    <w:name w:val="SO BulletNote"/>
    <w:aliases w:val="sonb"/>
    <w:basedOn w:val="SOTextNote"/>
    <w:link w:val="SOBulletNoteChar"/>
    <w:qFormat/>
    <w:rsid w:val="00DA255C"/>
    <w:pPr>
      <w:tabs>
        <w:tab w:val="left" w:pos="1560"/>
      </w:tabs>
      <w:ind w:left="2268" w:hanging="1134"/>
    </w:pPr>
  </w:style>
  <w:style w:type="character" w:customStyle="1" w:styleId="SOBulletNoteChar">
    <w:name w:val="SO BulletNote Char"/>
    <w:aliases w:val="sonb Char"/>
    <w:basedOn w:val="DefaultParagraphFont"/>
    <w:link w:val="SOBulletNote"/>
    <w:rsid w:val="00DA255C"/>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9599-D814-42E9-BFB5-F58AD8E0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17</Pages>
  <Words>2767</Words>
  <Characters>12962</Characters>
  <Application>Microsoft Office Word</Application>
  <DocSecurity>0</DocSecurity>
  <PresentationFormat/>
  <Lines>524</Lines>
  <Paragraphs>316</Paragraphs>
  <ScaleCrop>false</ScaleCrop>
  <HeadingPairs>
    <vt:vector size="2" baseType="variant">
      <vt:variant>
        <vt:lpstr>Title</vt:lpstr>
      </vt:variant>
      <vt:variant>
        <vt:i4>1</vt:i4>
      </vt:variant>
    </vt:vector>
  </HeadingPairs>
  <TitlesOfParts>
    <vt:vector size="1" baseType="lpstr">
      <vt:lpstr>Therapeutic Goods (Charges) Regulations 1990</vt:lpstr>
    </vt:vector>
  </TitlesOfParts>
  <Manager/>
  <Company/>
  <LinksUpToDate>false</LinksUpToDate>
  <CharactersWithSpaces>15427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(Charges) Regulations 1990</dc:title>
  <dc:subject/>
  <dc:creator/>
  <cp:keywords/>
  <dc:description/>
  <cp:lastModifiedBy/>
  <cp:revision>1</cp:revision>
  <cp:lastPrinted>2012-07-03T04:00:00Z</cp:lastPrinted>
  <dcterms:created xsi:type="dcterms:W3CDTF">2014-07-07T01:05:00Z</dcterms:created>
  <dcterms:modified xsi:type="dcterms:W3CDTF">2014-07-07T01:05:00Z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Therapeutic Goods (Charges) Regulations 1990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ies>
</file>