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46" w:rsidRPr="00F00002" w:rsidRDefault="00EF4546" w:rsidP="00EF4546">
      <w:r w:rsidRPr="00F0000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1903920" r:id="rId10"/>
        </w:object>
      </w:r>
    </w:p>
    <w:p w:rsidR="00EF4546" w:rsidRPr="00F00002" w:rsidRDefault="00EF4546" w:rsidP="00EF4546">
      <w:pPr>
        <w:pStyle w:val="ShortT"/>
        <w:spacing w:before="240"/>
      </w:pPr>
      <w:r w:rsidRPr="00F00002">
        <w:t>Income Tax Assessment Regulations</w:t>
      </w:r>
      <w:r w:rsidR="00F00002">
        <w:t> </w:t>
      </w:r>
      <w:r w:rsidRPr="00F00002">
        <w:t>1997</w:t>
      </w:r>
    </w:p>
    <w:p w:rsidR="00EF4546" w:rsidRPr="00F00002" w:rsidRDefault="00EF4546" w:rsidP="00EF4546">
      <w:pPr>
        <w:pStyle w:val="CompiledActNo"/>
        <w:spacing w:before="240"/>
      </w:pPr>
      <w:r w:rsidRPr="00F00002">
        <w:t>Statutory Rules No.</w:t>
      </w:r>
      <w:r w:rsidR="00F00002">
        <w:t> </w:t>
      </w:r>
      <w:r w:rsidRPr="00F00002">
        <w:t>198, 1997</w:t>
      </w:r>
    </w:p>
    <w:p w:rsidR="009738E9" w:rsidRPr="00F00002" w:rsidRDefault="009738E9" w:rsidP="009738E9">
      <w:pPr>
        <w:spacing w:before="240"/>
        <w:rPr>
          <w:lang w:eastAsia="en-AU"/>
        </w:rPr>
      </w:pPr>
      <w:r w:rsidRPr="00F00002">
        <w:rPr>
          <w:lang w:eastAsia="en-AU"/>
        </w:rPr>
        <w:t>made under the</w:t>
      </w:r>
    </w:p>
    <w:p w:rsidR="009738E9" w:rsidRPr="00F00002" w:rsidRDefault="009738E9" w:rsidP="009738E9">
      <w:pPr>
        <w:spacing w:before="240"/>
        <w:rPr>
          <w:i/>
          <w:sz w:val="24"/>
          <w:szCs w:val="24"/>
          <w:lang w:eastAsia="en-AU"/>
        </w:rPr>
      </w:pPr>
      <w:r w:rsidRPr="00F00002">
        <w:rPr>
          <w:i/>
          <w:sz w:val="24"/>
          <w:szCs w:val="24"/>
          <w:lang w:eastAsia="en-AU"/>
        </w:rPr>
        <w:t>Income Tax Assessment Act 1997</w:t>
      </w:r>
    </w:p>
    <w:p w:rsidR="00EF4546" w:rsidRPr="00F00002" w:rsidRDefault="00EF4546" w:rsidP="00EF4546">
      <w:pPr>
        <w:spacing w:before="1000"/>
        <w:rPr>
          <w:rFonts w:cs="Arial"/>
          <w:b/>
          <w:sz w:val="32"/>
          <w:szCs w:val="32"/>
        </w:rPr>
      </w:pPr>
      <w:r w:rsidRPr="00F00002">
        <w:rPr>
          <w:rFonts w:cs="Arial"/>
          <w:b/>
          <w:sz w:val="32"/>
          <w:szCs w:val="32"/>
        </w:rPr>
        <w:t>Compilation No.</w:t>
      </w:r>
      <w:r w:rsidR="00F00002">
        <w:rPr>
          <w:rFonts w:cs="Arial"/>
          <w:b/>
          <w:sz w:val="32"/>
          <w:szCs w:val="32"/>
        </w:rPr>
        <w:t> </w:t>
      </w:r>
      <w:r w:rsidRPr="00F00002">
        <w:rPr>
          <w:rFonts w:cs="Arial"/>
          <w:b/>
          <w:sz w:val="32"/>
          <w:szCs w:val="32"/>
        </w:rPr>
        <w:fldChar w:fldCharType="begin"/>
      </w:r>
      <w:r w:rsidRPr="00F00002">
        <w:rPr>
          <w:rFonts w:cs="Arial"/>
          <w:b/>
          <w:sz w:val="32"/>
          <w:szCs w:val="32"/>
        </w:rPr>
        <w:instrText xml:space="preserve"> DOCPROPERTY  CompilationNumber </w:instrText>
      </w:r>
      <w:r w:rsidRPr="00F00002">
        <w:rPr>
          <w:rFonts w:cs="Arial"/>
          <w:b/>
          <w:sz w:val="32"/>
          <w:szCs w:val="32"/>
        </w:rPr>
        <w:fldChar w:fldCharType="separate"/>
      </w:r>
      <w:r w:rsidR="0030184D">
        <w:rPr>
          <w:rFonts w:cs="Arial"/>
          <w:b/>
          <w:sz w:val="32"/>
          <w:szCs w:val="32"/>
        </w:rPr>
        <w:t>84</w:t>
      </w:r>
      <w:r w:rsidRPr="00F00002">
        <w:rPr>
          <w:rFonts w:cs="Arial"/>
          <w:b/>
          <w:sz w:val="32"/>
          <w:szCs w:val="32"/>
        </w:rPr>
        <w:fldChar w:fldCharType="end"/>
      </w:r>
    </w:p>
    <w:p w:rsidR="00EF4546" w:rsidRPr="00F00002" w:rsidRDefault="00EF4546" w:rsidP="00EF4546">
      <w:pPr>
        <w:spacing w:before="480"/>
        <w:rPr>
          <w:rFonts w:cs="Arial"/>
          <w:sz w:val="24"/>
        </w:rPr>
      </w:pPr>
      <w:r w:rsidRPr="00F00002">
        <w:rPr>
          <w:rFonts w:cs="Arial"/>
          <w:b/>
          <w:sz w:val="24"/>
        </w:rPr>
        <w:t>Compilation date:</w:t>
      </w:r>
      <w:r w:rsidRPr="00F00002">
        <w:rPr>
          <w:rFonts w:cs="Arial"/>
          <w:b/>
          <w:sz w:val="24"/>
        </w:rPr>
        <w:tab/>
      </w:r>
      <w:r w:rsidRPr="00F00002">
        <w:rPr>
          <w:rFonts w:cs="Arial"/>
          <w:b/>
          <w:sz w:val="24"/>
        </w:rPr>
        <w:tab/>
      </w:r>
      <w:r w:rsidRPr="00F00002">
        <w:rPr>
          <w:rFonts w:cs="Arial"/>
          <w:b/>
          <w:sz w:val="24"/>
        </w:rPr>
        <w:tab/>
      </w:r>
      <w:r w:rsidRPr="0030184D">
        <w:rPr>
          <w:rFonts w:cs="Arial"/>
          <w:sz w:val="24"/>
        </w:rPr>
        <w:fldChar w:fldCharType="begin"/>
      </w:r>
      <w:r w:rsidRPr="0030184D">
        <w:rPr>
          <w:rFonts w:cs="Arial"/>
          <w:sz w:val="24"/>
        </w:rPr>
        <w:instrText xml:space="preserve"> DOCPROPERTY StartDate \@ "d MMMM yyyy" \*MERGEFORMAT </w:instrText>
      </w:r>
      <w:r w:rsidRPr="0030184D">
        <w:rPr>
          <w:rFonts w:cs="Arial"/>
          <w:sz w:val="24"/>
        </w:rPr>
        <w:fldChar w:fldCharType="separate"/>
      </w:r>
      <w:r w:rsidR="0030184D" w:rsidRPr="0030184D">
        <w:rPr>
          <w:rFonts w:cs="Arial"/>
          <w:bCs/>
          <w:sz w:val="24"/>
        </w:rPr>
        <w:t>18</w:t>
      </w:r>
      <w:r w:rsidR="0030184D">
        <w:rPr>
          <w:rFonts w:cs="Arial"/>
          <w:sz w:val="24"/>
        </w:rPr>
        <w:t xml:space="preserve"> December 2019</w:t>
      </w:r>
      <w:r w:rsidRPr="0030184D">
        <w:rPr>
          <w:rFonts w:cs="Arial"/>
          <w:sz w:val="24"/>
        </w:rPr>
        <w:fldChar w:fldCharType="end"/>
      </w:r>
    </w:p>
    <w:p w:rsidR="00DB21B2" w:rsidRPr="00F00002" w:rsidRDefault="00DB21B2" w:rsidP="00DB21B2">
      <w:pPr>
        <w:spacing w:before="240"/>
        <w:rPr>
          <w:rFonts w:cs="Arial"/>
          <w:sz w:val="24"/>
        </w:rPr>
      </w:pPr>
      <w:r w:rsidRPr="00F00002">
        <w:rPr>
          <w:rFonts w:cs="Arial"/>
          <w:b/>
          <w:sz w:val="24"/>
        </w:rPr>
        <w:t>Includes amendments up to:</w:t>
      </w:r>
      <w:r w:rsidRPr="00F00002">
        <w:rPr>
          <w:rFonts w:cs="Arial"/>
          <w:b/>
          <w:sz w:val="24"/>
        </w:rPr>
        <w:tab/>
      </w:r>
      <w:r w:rsidRPr="0030184D">
        <w:rPr>
          <w:rFonts w:cs="Arial"/>
          <w:sz w:val="24"/>
        </w:rPr>
        <w:fldChar w:fldCharType="begin"/>
      </w:r>
      <w:r w:rsidRPr="0030184D">
        <w:rPr>
          <w:rFonts w:cs="Arial"/>
          <w:sz w:val="24"/>
        </w:rPr>
        <w:instrText xml:space="preserve"> DOCPROPERTY IncludesUpTo </w:instrText>
      </w:r>
      <w:r w:rsidRPr="0030184D">
        <w:rPr>
          <w:rFonts w:cs="Arial"/>
          <w:sz w:val="24"/>
        </w:rPr>
        <w:fldChar w:fldCharType="separate"/>
      </w:r>
      <w:r w:rsidR="0030184D">
        <w:rPr>
          <w:rFonts w:cs="Arial"/>
          <w:sz w:val="24"/>
        </w:rPr>
        <w:t>F2019L01641</w:t>
      </w:r>
      <w:r w:rsidRPr="0030184D">
        <w:rPr>
          <w:rFonts w:cs="Arial"/>
          <w:sz w:val="24"/>
        </w:rPr>
        <w:fldChar w:fldCharType="end"/>
      </w:r>
    </w:p>
    <w:p w:rsidR="00EF4546" w:rsidRPr="00F00002" w:rsidRDefault="00EF4546" w:rsidP="00EF4546">
      <w:pPr>
        <w:spacing w:before="240"/>
        <w:rPr>
          <w:rFonts w:cs="Arial"/>
          <w:sz w:val="28"/>
          <w:szCs w:val="28"/>
        </w:rPr>
      </w:pPr>
      <w:r w:rsidRPr="00F00002">
        <w:rPr>
          <w:rFonts w:cs="Arial"/>
          <w:b/>
          <w:sz w:val="24"/>
        </w:rPr>
        <w:t>Registered:</w:t>
      </w:r>
      <w:r w:rsidRPr="00F00002">
        <w:rPr>
          <w:rFonts w:cs="Arial"/>
          <w:b/>
          <w:sz w:val="24"/>
        </w:rPr>
        <w:tab/>
      </w:r>
      <w:r w:rsidRPr="00F00002">
        <w:rPr>
          <w:rFonts w:cs="Arial"/>
          <w:b/>
          <w:sz w:val="24"/>
        </w:rPr>
        <w:tab/>
      </w:r>
      <w:r w:rsidRPr="00F00002">
        <w:rPr>
          <w:rFonts w:cs="Arial"/>
          <w:b/>
          <w:sz w:val="24"/>
        </w:rPr>
        <w:tab/>
      </w:r>
      <w:r w:rsidRPr="00F00002">
        <w:rPr>
          <w:rFonts w:cs="Arial"/>
          <w:b/>
          <w:sz w:val="24"/>
        </w:rPr>
        <w:tab/>
      </w:r>
      <w:r w:rsidRPr="0030184D">
        <w:rPr>
          <w:rFonts w:cs="Arial"/>
          <w:sz w:val="24"/>
        </w:rPr>
        <w:fldChar w:fldCharType="begin"/>
      </w:r>
      <w:r w:rsidRPr="0030184D">
        <w:rPr>
          <w:rFonts w:cs="Arial"/>
          <w:sz w:val="24"/>
        </w:rPr>
        <w:instrText xml:space="preserve"> IF </w:instrText>
      </w:r>
      <w:r w:rsidRPr="0030184D">
        <w:rPr>
          <w:rFonts w:cs="Arial"/>
          <w:sz w:val="24"/>
        </w:rPr>
        <w:fldChar w:fldCharType="begin"/>
      </w:r>
      <w:r w:rsidRPr="0030184D">
        <w:rPr>
          <w:rFonts w:cs="Arial"/>
          <w:sz w:val="24"/>
        </w:rPr>
        <w:instrText xml:space="preserve"> DOCPROPERTY RegisteredDate </w:instrText>
      </w:r>
      <w:r w:rsidRPr="0030184D">
        <w:rPr>
          <w:rFonts w:cs="Arial"/>
          <w:sz w:val="24"/>
        </w:rPr>
        <w:fldChar w:fldCharType="separate"/>
      </w:r>
      <w:r w:rsidR="0030184D">
        <w:rPr>
          <w:rFonts w:cs="Arial"/>
          <w:sz w:val="24"/>
        </w:rPr>
        <w:instrText>30/01/2020</w:instrText>
      </w:r>
      <w:r w:rsidRPr="0030184D">
        <w:rPr>
          <w:rFonts w:cs="Arial"/>
          <w:sz w:val="24"/>
        </w:rPr>
        <w:fldChar w:fldCharType="end"/>
      </w:r>
      <w:r w:rsidRPr="0030184D">
        <w:rPr>
          <w:rFonts w:cs="Arial"/>
          <w:sz w:val="24"/>
        </w:rPr>
        <w:instrText xml:space="preserve"> = #1/1/1901# "Unknown" </w:instrText>
      </w:r>
      <w:r w:rsidRPr="0030184D">
        <w:rPr>
          <w:rFonts w:cs="Arial"/>
          <w:sz w:val="24"/>
        </w:rPr>
        <w:fldChar w:fldCharType="begin"/>
      </w:r>
      <w:r w:rsidRPr="0030184D">
        <w:rPr>
          <w:rFonts w:cs="Arial"/>
          <w:sz w:val="24"/>
        </w:rPr>
        <w:instrText xml:space="preserve"> DOCPROPERTY RegisteredDate \@ "d MMMM yyyy" </w:instrText>
      </w:r>
      <w:r w:rsidRPr="0030184D">
        <w:rPr>
          <w:rFonts w:cs="Arial"/>
          <w:sz w:val="24"/>
        </w:rPr>
        <w:fldChar w:fldCharType="separate"/>
      </w:r>
      <w:r w:rsidR="0030184D">
        <w:rPr>
          <w:rFonts w:cs="Arial"/>
          <w:sz w:val="24"/>
        </w:rPr>
        <w:instrText>30 January 2020</w:instrText>
      </w:r>
      <w:r w:rsidRPr="0030184D">
        <w:rPr>
          <w:rFonts w:cs="Arial"/>
          <w:sz w:val="24"/>
        </w:rPr>
        <w:fldChar w:fldCharType="end"/>
      </w:r>
      <w:r w:rsidRPr="0030184D">
        <w:rPr>
          <w:rFonts w:cs="Arial"/>
          <w:sz w:val="24"/>
        </w:rPr>
        <w:instrText xml:space="preserve"> \*MERGEFORMAT </w:instrText>
      </w:r>
      <w:r w:rsidRPr="0030184D">
        <w:rPr>
          <w:rFonts w:cs="Arial"/>
          <w:sz w:val="24"/>
        </w:rPr>
        <w:fldChar w:fldCharType="separate"/>
      </w:r>
      <w:r w:rsidR="0030184D" w:rsidRPr="0030184D">
        <w:rPr>
          <w:rFonts w:cs="Arial"/>
          <w:bCs/>
          <w:noProof/>
          <w:sz w:val="24"/>
        </w:rPr>
        <w:t>30</w:t>
      </w:r>
      <w:r w:rsidR="0030184D">
        <w:rPr>
          <w:rFonts w:cs="Arial"/>
          <w:noProof/>
          <w:sz w:val="24"/>
        </w:rPr>
        <w:t xml:space="preserve"> January 2020</w:t>
      </w:r>
      <w:r w:rsidRPr="0030184D">
        <w:rPr>
          <w:rFonts w:cs="Arial"/>
          <w:sz w:val="24"/>
        </w:rPr>
        <w:fldChar w:fldCharType="end"/>
      </w:r>
    </w:p>
    <w:p w:rsidR="00EF4546" w:rsidRPr="00F00002" w:rsidRDefault="00EF4546" w:rsidP="00EF4546">
      <w:pPr>
        <w:rPr>
          <w:b/>
          <w:szCs w:val="22"/>
        </w:rPr>
      </w:pPr>
    </w:p>
    <w:p w:rsidR="00EF4546" w:rsidRPr="00F00002" w:rsidRDefault="00EF4546" w:rsidP="00EF4546">
      <w:pPr>
        <w:pageBreakBefore/>
        <w:rPr>
          <w:rFonts w:cs="Arial"/>
          <w:b/>
          <w:sz w:val="32"/>
          <w:szCs w:val="32"/>
        </w:rPr>
      </w:pPr>
      <w:r w:rsidRPr="00F00002">
        <w:rPr>
          <w:rFonts w:cs="Arial"/>
          <w:b/>
          <w:sz w:val="32"/>
          <w:szCs w:val="32"/>
        </w:rPr>
        <w:lastRenderedPageBreak/>
        <w:t>About this compilation</w:t>
      </w:r>
    </w:p>
    <w:p w:rsidR="00EF4546" w:rsidRPr="00F00002" w:rsidRDefault="00EF4546" w:rsidP="00EF4546">
      <w:pPr>
        <w:spacing w:before="240"/>
        <w:rPr>
          <w:rFonts w:cs="Arial"/>
        </w:rPr>
      </w:pPr>
      <w:r w:rsidRPr="00F00002">
        <w:rPr>
          <w:rFonts w:cs="Arial"/>
          <w:b/>
          <w:szCs w:val="22"/>
        </w:rPr>
        <w:t>This compilation</w:t>
      </w:r>
    </w:p>
    <w:p w:rsidR="00EF4546" w:rsidRPr="00F00002" w:rsidRDefault="00EF4546" w:rsidP="00EF4546">
      <w:pPr>
        <w:spacing w:before="120" w:after="120"/>
        <w:rPr>
          <w:rFonts w:cs="Arial"/>
          <w:szCs w:val="22"/>
        </w:rPr>
      </w:pPr>
      <w:r w:rsidRPr="00F00002">
        <w:rPr>
          <w:rFonts w:cs="Arial"/>
          <w:szCs w:val="22"/>
        </w:rPr>
        <w:t xml:space="preserve">This is a compilation of the </w:t>
      </w:r>
      <w:r w:rsidRPr="00F00002">
        <w:rPr>
          <w:rFonts w:cs="Arial"/>
          <w:i/>
          <w:szCs w:val="22"/>
        </w:rPr>
        <w:fldChar w:fldCharType="begin"/>
      </w:r>
      <w:r w:rsidRPr="00F00002">
        <w:rPr>
          <w:rFonts w:cs="Arial"/>
          <w:i/>
          <w:szCs w:val="22"/>
        </w:rPr>
        <w:instrText xml:space="preserve"> STYLEREF  ShortT </w:instrText>
      </w:r>
      <w:r w:rsidRPr="00F00002">
        <w:rPr>
          <w:rFonts w:cs="Arial"/>
          <w:i/>
          <w:szCs w:val="22"/>
        </w:rPr>
        <w:fldChar w:fldCharType="separate"/>
      </w:r>
      <w:r w:rsidR="0030184D">
        <w:rPr>
          <w:rFonts w:cs="Arial"/>
          <w:i/>
          <w:noProof/>
          <w:szCs w:val="22"/>
        </w:rPr>
        <w:t>Income Tax Assessment Regulations 1997</w:t>
      </w:r>
      <w:r w:rsidRPr="00F00002">
        <w:rPr>
          <w:rFonts w:cs="Arial"/>
          <w:i/>
          <w:szCs w:val="22"/>
        </w:rPr>
        <w:fldChar w:fldCharType="end"/>
      </w:r>
      <w:r w:rsidRPr="00F00002">
        <w:rPr>
          <w:rFonts w:cs="Arial"/>
          <w:szCs w:val="22"/>
        </w:rPr>
        <w:t xml:space="preserve"> that shows the text of the law as amended and in force on </w:t>
      </w:r>
      <w:r w:rsidRPr="0030184D">
        <w:rPr>
          <w:rFonts w:cs="Arial"/>
          <w:szCs w:val="22"/>
        </w:rPr>
        <w:fldChar w:fldCharType="begin"/>
      </w:r>
      <w:r w:rsidRPr="0030184D">
        <w:rPr>
          <w:rFonts w:cs="Arial"/>
          <w:szCs w:val="22"/>
        </w:rPr>
        <w:instrText xml:space="preserve"> DOCPROPERTY StartDate \@ "d MMMM yyyy" </w:instrText>
      </w:r>
      <w:r w:rsidRPr="0030184D">
        <w:rPr>
          <w:rFonts w:cs="Arial"/>
          <w:szCs w:val="22"/>
        </w:rPr>
        <w:fldChar w:fldCharType="separate"/>
      </w:r>
      <w:r w:rsidR="0030184D">
        <w:rPr>
          <w:rFonts w:cs="Arial"/>
          <w:szCs w:val="22"/>
        </w:rPr>
        <w:t>18 December 2019</w:t>
      </w:r>
      <w:r w:rsidRPr="0030184D">
        <w:rPr>
          <w:rFonts w:cs="Arial"/>
          <w:szCs w:val="22"/>
        </w:rPr>
        <w:fldChar w:fldCharType="end"/>
      </w:r>
      <w:r w:rsidRPr="00F00002">
        <w:rPr>
          <w:rFonts w:cs="Arial"/>
          <w:szCs w:val="22"/>
        </w:rPr>
        <w:t xml:space="preserve"> (the </w:t>
      </w:r>
      <w:r w:rsidRPr="00F00002">
        <w:rPr>
          <w:rFonts w:cs="Arial"/>
          <w:b/>
          <w:i/>
          <w:szCs w:val="22"/>
        </w:rPr>
        <w:t>compilation date</w:t>
      </w:r>
      <w:r w:rsidRPr="00F00002">
        <w:rPr>
          <w:rFonts w:cs="Arial"/>
          <w:szCs w:val="22"/>
        </w:rPr>
        <w:t>).</w:t>
      </w:r>
    </w:p>
    <w:p w:rsidR="00EF4546" w:rsidRPr="00F00002" w:rsidRDefault="00EF4546" w:rsidP="00EF4546">
      <w:pPr>
        <w:spacing w:after="120"/>
        <w:rPr>
          <w:rFonts w:cs="Arial"/>
          <w:szCs w:val="22"/>
        </w:rPr>
      </w:pPr>
      <w:r w:rsidRPr="00F00002">
        <w:rPr>
          <w:rFonts w:cs="Arial"/>
          <w:szCs w:val="22"/>
        </w:rPr>
        <w:t xml:space="preserve">The notes at the end of this compilation (the </w:t>
      </w:r>
      <w:r w:rsidRPr="00F00002">
        <w:rPr>
          <w:rFonts w:cs="Arial"/>
          <w:b/>
          <w:i/>
          <w:szCs w:val="22"/>
        </w:rPr>
        <w:t>endnotes</w:t>
      </w:r>
      <w:r w:rsidRPr="00F00002">
        <w:rPr>
          <w:rFonts w:cs="Arial"/>
          <w:szCs w:val="22"/>
        </w:rPr>
        <w:t>) include information about amending laws and the amendment history of provisions of the compiled law.</w:t>
      </w:r>
    </w:p>
    <w:p w:rsidR="00EF4546" w:rsidRPr="00F00002" w:rsidRDefault="00EF4546" w:rsidP="00EF4546">
      <w:pPr>
        <w:tabs>
          <w:tab w:val="left" w:pos="5640"/>
        </w:tabs>
        <w:spacing w:before="120" w:after="120"/>
        <w:rPr>
          <w:rFonts w:cs="Arial"/>
          <w:b/>
          <w:szCs w:val="22"/>
        </w:rPr>
      </w:pPr>
      <w:r w:rsidRPr="00F00002">
        <w:rPr>
          <w:rFonts w:cs="Arial"/>
          <w:b/>
          <w:szCs w:val="22"/>
        </w:rPr>
        <w:t>Uncommenced amendments</w:t>
      </w:r>
    </w:p>
    <w:p w:rsidR="00EF4546" w:rsidRPr="00F00002" w:rsidRDefault="00EF4546" w:rsidP="00EF4546">
      <w:pPr>
        <w:spacing w:after="120"/>
        <w:rPr>
          <w:rFonts w:cs="Arial"/>
          <w:szCs w:val="22"/>
        </w:rPr>
      </w:pPr>
      <w:r w:rsidRPr="00F0000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F4546" w:rsidRPr="00F00002" w:rsidRDefault="00EF4546" w:rsidP="00EF4546">
      <w:pPr>
        <w:spacing w:before="120" w:after="120"/>
        <w:rPr>
          <w:rFonts w:cs="Arial"/>
          <w:b/>
          <w:szCs w:val="22"/>
        </w:rPr>
      </w:pPr>
      <w:r w:rsidRPr="00F00002">
        <w:rPr>
          <w:rFonts w:cs="Arial"/>
          <w:b/>
          <w:szCs w:val="22"/>
        </w:rPr>
        <w:t>Application, saving and transitional provisions for provisions and amendments</w:t>
      </w:r>
    </w:p>
    <w:p w:rsidR="00EF4546" w:rsidRPr="00F00002" w:rsidRDefault="00EF4546" w:rsidP="00EF4546">
      <w:pPr>
        <w:spacing w:after="120"/>
        <w:rPr>
          <w:rFonts w:cs="Arial"/>
          <w:szCs w:val="22"/>
        </w:rPr>
      </w:pPr>
      <w:r w:rsidRPr="00F00002">
        <w:rPr>
          <w:rFonts w:cs="Arial"/>
          <w:szCs w:val="22"/>
        </w:rPr>
        <w:t>If the operation of a provision or amendment of the compiled law is affected by an application, saving or transitional provision that is not included in this compilation, details are included in the endnotes.</w:t>
      </w:r>
    </w:p>
    <w:p w:rsidR="00EF4546" w:rsidRPr="00F00002" w:rsidRDefault="00EF4546" w:rsidP="00EF4546">
      <w:pPr>
        <w:spacing w:after="120"/>
        <w:rPr>
          <w:rFonts w:cs="Arial"/>
          <w:b/>
          <w:szCs w:val="22"/>
        </w:rPr>
      </w:pPr>
      <w:r w:rsidRPr="00F00002">
        <w:rPr>
          <w:rFonts w:cs="Arial"/>
          <w:b/>
          <w:szCs w:val="22"/>
        </w:rPr>
        <w:t>Editorial changes</w:t>
      </w:r>
    </w:p>
    <w:p w:rsidR="00EF4546" w:rsidRPr="00F00002" w:rsidRDefault="00EF4546" w:rsidP="00EF4546">
      <w:pPr>
        <w:spacing w:after="120"/>
        <w:rPr>
          <w:rFonts w:cs="Arial"/>
          <w:szCs w:val="22"/>
        </w:rPr>
      </w:pPr>
      <w:r w:rsidRPr="00F00002">
        <w:rPr>
          <w:rFonts w:cs="Arial"/>
          <w:szCs w:val="22"/>
        </w:rPr>
        <w:t>For more information about any editorial changes made in this compilation, see the endnotes.</w:t>
      </w:r>
    </w:p>
    <w:p w:rsidR="00EF4546" w:rsidRPr="00F00002" w:rsidRDefault="00EF4546" w:rsidP="00EF4546">
      <w:pPr>
        <w:spacing w:before="120" w:after="120"/>
        <w:rPr>
          <w:rFonts w:cs="Arial"/>
          <w:b/>
          <w:szCs w:val="22"/>
        </w:rPr>
      </w:pPr>
      <w:r w:rsidRPr="00F00002">
        <w:rPr>
          <w:rFonts w:cs="Arial"/>
          <w:b/>
          <w:szCs w:val="22"/>
        </w:rPr>
        <w:t>Modifications</w:t>
      </w:r>
    </w:p>
    <w:p w:rsidR="00EF4546" w:rsidRPr="00F00002" w:rsidRDefault="00EF4546" w:rsidP="00EF4546">
      <w:pPr>
        <w:spacing w:after="120"/>
        <w:rPr>
          <w:rFonts w:cs="Arial"/>
          <w:szCs w:val="22"/>
        </w:rPr>
      </w:pPr>
      <w:r w:rsidRPr="00F0000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F4546" w:rsidRPr="00F00002" w:rsidRDefault="00EF4546" w:rsidP="00EF4546">
      <w:pPr>
        <w:spacing w:before="80" w:after="120"/>
        <w:rPr>
          <w:rFonts w:cs="Arial"/>
          <w:b/>
          <w:szCs w:val="22"/>
        </w:rPr>
      </w:pPr>
      <w:r w:rsidRPr="00F00002">
        <w:rPr>
          <w:rFonts w:cs="Arial"/>
          <w:b/>
          <w:szCs w:val="22"/>
        </w:rPr>
        <w:t>Self</w:t>
      </w:r>
      <w:r w:rsidR="00F00002">
        <w:rPr>
          <w:rFonts w:cs="Arial"/>
          <w:b/>
          <w:szCs w:val="22"/>
        </w:rPr>
        <w:noBreakHyphen/>
      </w:r>
      <w:r w:rsidRPr="00F00002">
        <w:rPr>
          <w:rFonts w:cs="Arial"/>
          <w:b/>
          <w:szCs w:val="22"/>
        </w:rPr>
        <w:t>repealing provisions</w:t>
      </w:r>
    </w:p>
    <w:p w:rsidR="00EF4546" w:rsidRPr="00F00002" w:rsidRDefault="00EF4546" w:rsidP="00EF4546">
      <w:pPr>
        <w:spacing w:after="120"/>
        <w:rPr>
          <w:rFonts w:cs="Arial"/>
          <w:szCs w:val="22"/>
        </w:rPr>
      </w:pPr>
      <w:r w:rsidRPr="00F00002">
        <w:rPr>
          <w:rFonts w:cs="Arial"/>
          <w:szCs w:val="22"/>
        </w:rPr>
        <w:t>If a provision of the compiled law has been repealed in accordance with a provision of the law, details are included in the endnotes.</w:t>
      </w:r>
    </w:p>
    <w:p w:rsidR="00EF4546" w:rsidRPr="00A26088" w:rsidRDefault="00EF4546" w:rsidP="00EF4546">
      <w:pPr>
        <w:pStyle w:val="Header"/>
        <w:tabs>
          <w:tab w:val="clear" w:pos="4150"/>
          <w:tab w:val="clear" w:pos="8307"/>
        </w:tabs>
      </w:pPr>
      <w:r w:rsidRPr="00A26088">
        <w:rPr>
          <w:rStyle w:val="CharChapNo"/>
        </w:rPr>
        <w:t xml:space="preserve"> </w:t>
      </w:r>
      <w:r w:rsidRPr="00A26088">
        <w:rPr>
          <w:rStyle w:val="CharChapText"/>
        </w:rPr>
        <w:t xml:space="preserve"> </w:t>
      </w:r>
    </w:p>
    <w:p w:rsidR="00EF4546" w:rsidRPr="00A26088" w:rsidRDefault="00EF4546" w:rsidP="00EF4546">
      <w:pPr>
        <w:pStyle w:val="Header"/>
        <w:tabs>
          <w:tab w:val="clear" w:pos="4150"/>
          <w:tab w:val="clear" w:pos="8307"/>
        </w:tabs>
      </w:pPr>
      <w:r w:rsidRPr="00A26088">
        <w:rPr>
          <w:rStyle w:val="CharPartNo"/>
        </w:rPr>
        <w:t xml:space="preserve"> </w:t>
      </w:r>
      <w:r w:rsidRPr="00A26088">
        <w:rPr>
          <w:rStyle w:val="CharPartText"/>
        </w:rPr>
        <w:t xml:space="preserve"> </w:t>
      </w:r>
    </w:p>
    <w:p w:rsidR="00EF4546" w:rsidRPr="00A26088" w:rsidRDefault="00EF4546" w:rsidP="00EF4546">
      <w:pPr>
        <w:pStyle w:val="Header"/>
        <w:tabs>
          <w:tab w:val="clear" w:pos="4150"/>
          <w:tab w:val="clear" w:pos="8307"/>
        </w:tabs>
      </w:pPr>
      <w:r w:rsidRPr="00A26088">
        <w:rPr>
          <w:rStyle w:val="CharDivNo"/>
        </w:rPr>
        <w:t xml:space="preserve"> </w:t>
      </w:r>
      <w:r w:rsidRPr="00A26088">
        <w:rPr>
          <w:rStyle w:val="CharDivText"/>
        </w:rPr>
        <w:t xml:space="preserve"> </w:t>
      </w:r>
    </w:p>
    <w:p w:rsidR="00EF4546" w:rsidRPr="00F00002" w:rsidRDefault="00EF4546" w:rsidP="00EF4546">
      <w:pPr>
        <w:sectPr w:rsidR="00EF4546" w:rsidRPr="00F00002" w:rsidSect="008035BA">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D150ED" w:rsidRPr="00F00002" w:rsidRDefault="00D150ED" w:rsidP="006F1B06">
      <w:pPr>
        <w:ind w:right="1792"/>
        <w:rPr>
          <w:sz w:val="36"/>
        </w:rPr>
      </w:pPr>
      <w:r w:rsidRPr="00F00002">
        <w:rPr>
          <w:sz w:val="36"/>
        </w:rPr>
        <w:lastRenderedPageBreak/>
        <w:t>Contents</w:t>
      </w:r>
    </w:p>
    <w:bookmarkStart w:id="0" w:name="OPCSB_ContentsB5"/>
    <w:p w:rsidR="00F00002" w:rsidRDefault="00542A5D" w:rsidP="00F57B37">
      <w:pPr>
        <w:pStyle w:val="TOC2"/>
        <w:ind w:right="1792"/>
        <w:rPr>
          <w:rFonts w:asciiTheme="minorHAnsi" w:eastAsiaTheme="minorEastAsia" w:hAnsiTheme="minorHAnsi" w:cstheme="minorBidi"/>
          <w:b w:val="0"/>
          <w:noProof/>
          <w:kern w:val="0"/>
          <w:sz w:val="22"/>
          <w:szCs w:val="22"/>
        </w:rPr>
      </w:pPr>
      <w:r w:rsidRPr="00F00002">
        <w:fldChar w:fldCharType="begin"/>
      </w:r>
      <w:r w:rsidRPr="00F00002">
        <w:instrText xml:space="preserve"> TOC \o "1-9" \t "ItemHead,4" </w:instrText>
      </w:r>
      <w:r w:rsidRPr="00F00002">
        <w:fldChar w:fldCharType="separate"/>
      </w:r>
      <w:r w:rsidR="00F00002">
        <w:rPr>
          <w:noProof/>
        </w:rPr>
        <w:t>Part 1—Preliminary</w:t>
      </w:r>
      <w:r w:rsidR="00F00002" w:rsidRPr="00F00002">
        <w:rPr>
          <w:b w:val="0"/>
          <w:noProof/>
          <w:sz w:val="18"/>
        </w:rPr>
        <w:tab/>
      </w:r>
      <w:r w:rsidR="00F00002" w:rsidRPr="00F00002">
        <w:rPr>
          <w:b w:val="0"/>
          <w:noProof/>
          <w:sz w:val="18"/>
        </w:rPr>
        <w:fldChar w:fldCharType="begin"/>
      </w:r>
      <w:r w:rsidR="00F00002" w:rsidRPr="00F00002">
        <w:rPr>
          <w:b w:val="0"/>
          <w:noProof/>
          <w:sz w:val="18"/>
        </w:rPr>
        <w:instrText xml:space="preserve"> PAGEREF _Toc31109585 \h </w:instrText>
      </w:r>
      <w:r w:rsidR="00F00002" w:rsidRPr="00F00002">
        <w:rPr>
          <w:b w:val="0"/>
          <w:noProof/>
          <w:sz w:val="18"/>
        </w:rPr>
      </w:r>
      <w:r w:rsidR="00F00002" w:rsidRPr="00F00002">
        <w:rPr>
          <w:b w:val="0"/>
          <w:noProof/>
          <w:sz w:val="18"/>
        </w:rPr>
        <w:fldChar w:fldCharType="separate"/>
      </w:r>
      <w:r w:rsidR="0030184D">
        <w:rPr>
          <w:b w:val="0"/>
          <w:noProof/>
          <w:sz w:val="18"/>
        </w:rPr>
        <w:t>1</w:t>
      </w:r>
      <w:r w:rsidR="00F00002"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F00002">
        <w:rPr>
          <w:noProof/>
        </w:rPr>
        <w:tab/>
      </w:r>
      <w:r w:rsidRPr="00F00002">
        <w:rPr>
          <w:noProof/>
        </w:rPr>
        <w:fldChar w:fldCharType="begin"/>
      </w:r>
      <w:r w:rsidRPr="00F00002">
        <w:rPr>
          <w:noProof/>
        </w:rPr>
        <w:instrText xml:space="preserve"> PAGEREF _Toc31109586 \h </w:instrText>
      </w:r>
      <w:r w:rsidRPr="00F00002">
        <w:rPr>
          <w:noProof/>
        </w:rPr>
      </w:r>
      <w:r w:rsidRPr="00F00002">
        <w:rPr>
          <w:noProof/>
        </w:rPr>
        <w:fldChar w:fldCharType="separate"/>
      </w:r>
      <w:r w:rsidR="0030184D">
        <w:rPr>
          <w:noProof/>
        </w:rPr>
        <w:t>1</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2—Liability rules of general application</w:t>
      </w:r>
      <w:r w:rsidRPr="00F00002">
        <w:rPr>
          <w:b w:val="0"/>
          <w:noProof/>
          <w:sz w:val="18"/>
        </w:rPr>
        <w:tab/>
      </w:r>
      <w:r w:rsidRPr="00F00002">
        <w:rPr>
          <w:b w:val="0"/>
          <w:noProof/>
          <w:sz w:val="18"/>
        </w:rPr>
        <w:fldChar w:fldCharType="begin"/>
      </w:r>
      <w:r w:rsidRPr="00F00002">
        <w:rPr>
          <w:b w:val="0"/>
          <w:noProof/>
          <w:sz w:val="18"/>
        </w:rPr>
        <w:instrText xml:space="preserve"> PAGEREF _Toc31109587 \h </w:instrText>
      </w:r>
      <w:r w:rsidRPr="00F00002">
        <w:rPr>
          <w:b w:val="0"/>
          <w:noProof/>
          <w:sz w:val="18"/>
        </w:rPr>
      </w:r>
      <w:r w:rsidRPr="00F00002">
        <w:rPr>
          <w:b w:val="0"/>
          <w:noProof/>
          <w:sz w:val="18"/>
        </w:rPr>
        <w:fldChar w:fldCharType="separate"/>
      </w:r>
      <w:r w:rsidR="0030184D">
        <w:rPr>
          <w:b w:val="0"/>
          <w:noProof/>
          <w:sz w:val="18"/>
        </w:rPr>
        <w:t>2</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26</w:t>
      </w:r>
      <w:r w:rsidRPr="0016279D">
        <w:rPr>
          <w:noProof/>
          <w:color w:val="000000"/>
        </w:rPr>
        <w:t>—</w:t>
      </w:r>
      <w:r>
        <w:rPr>
          <w:noProof/>
        </w:rPr>
        <w:t>Some amounts you cannot deduct, or cannot deduct in full</w:t>
      </w:r>
      <w:r w:rsidRPr="00F00002">
        <w:rPr>
          <w:b w:val="0"/>
          <w:noProof/>
          <w:sz w:val="18"/>
        </w:rPr>
        <w:tab/>
      </w:r>
      <w:r w:rsidRPr="00F00002">
        <w:rPr>
          <w:b w:val="0"/>
          <w:noProof/>
          <w:sz w:val="18"/>
        </w:rPr>
        <w:fldChar w:fldCharType="begin"/>
      </w:r>
      <w:r w:rsidRPr="00F00002">
        <w:rPr>
          <w:b w:val="0"/>
          <w:noProof/>
          <w:sz w:val="18"/>
        </w:rPr>
        <w:instrText xml:space="preserve"> PAGEREF _Toc31109588 \h </w:instrText>
      </w:r>
      <w:r w:rsidRPr="00F00002">
        <w:rPr>
          <w:b w:val="0"/>
          <w:noProof/>
          <w:sz w:val="18"/>
        </w:rPr>
      </w:r>
      <w:r w:rsidRPr="00F00002">
        <w:rPr>
          <w:b w:val="0"/>
          <w:noProof/>
          <w:sz w:val="18"/>
        </w:rPr>
        <w:fldChar w:fldCharType="separate"/>
      </w:r>
      <w:r w:rsidR="0030184D">
        <w:rPr>
          <w:b w:val="0"/>
          <w:noProof/>
          <w:sz w:val="18"/>
        </w:rPr>
        <w:t>2</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26</w:t>
      </w:r>
      <w:r>
        <w:rPr>
          <w:noProof/>
        </w:rPr>
        <w:noBreakHyphen/>
        <w:t>85.01</w:t>
      </w:r>
      <w:r>
        <w:rPr>
          <w:noProof/>
        </w:rPr>
        <w:tab/>
        <w:t>Borrowing costs on loans to pay life insurance premiums—term insurance policy</w:t>
      </w:r>
      <w:r w:rsidRPr="00F00002">
        <w:rPr>
          <w:noProof/>
        </w:rPr>
        <w:tab/>
      </w:r>
      <w:r w:rsidRPr="00F00002">
        <w:rPr>
          <w:noProof/>
        </w:rPr>
        <w:fldChar w:fldCharType="begin"/>
      </w:r>
      <w:r w:rsidRPr="00F00002">
        <w:rPr>
          <w:noProof/>
        </w:rPr>
        <w:instrText xml:space="preserve"> PAGEREF _Toc31109589 \h </w:instrText>
      </w:r>
      <w:r w:rsidRPr="00F00002">
        <w:rPr>
          <w:noProof/>
        </w:rPr>
      </w:r>
      <w:r w:rsidRPr="00F00002">
        <w:rPr>
          <w:noProof/>
        </w:rPr>
        <w:fldChar w:fldCharType="separate"/>
      </w:r>
      <w:r w:rsidR="0030184D">
        <w:rPr>
          <w:noProof/>
        </w:rPr>
        <w:t>2</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30—Valuation of particular gifts of property</w:t>
      </w:r>
      <w:r w:rsidRPr="00F00002">
        <w:rPr>
          <w:b w:val="0"/>
          <w:noProof/>
          <w:sz w:val="18"/>
        </w:rPr>
        <w:tab/>
      </w:r>
      <w:r w:rsidRPr="00F00002">
        <w:rPr>
          <w:b w:val="0"/>
          <w:noProof/>
          <w:sz w:val="18"/>
        </w:rPr>
        <w:fldChar w:fldCharType="begin"/>
      </w:r>
      <w:r w:rsidRPr="00F00002">
        <w:rPr>
          <w:b w:val="0"/>
          <w:noProof/>
          <w:sz w:val="18"/>
        </w:rPr>
        <w:instrText xml:space="preserve"> PAGEREF _Toc31109590 \h </w:instrText>
      </w:r>
      <w:r w:rsidRPr="00F00002">
        <w:rPr>
          <w:b w:val="0"/>
          <w:noProof/>
          <w:sz w:val="18"/>
        </w:rPr>
      </w:r>
      <w:r w:rsidRPr="00F00002">
        <w:rPr>
          <w:b w:val="0"/>
          <w:noProof/>
          <w:sz w:val="18"/>
        </w:rPr>
        <w:fldChar w:fldCharType="separate"/>
      </w:r>
      <w:r w:rsidR="0030184D">
        <w:rPr>
          <w:b w:val="0"/>
          <w:noProof/>
          <w:sz w:val="18"/>
        </w:rPr>
        <w:t>3</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212.01</w:t>
      </w:r>
      <w:r>
        <w:rPr>
          <w:noProof/>
        </w:rPr>
        <w:tab/>
        <w:t>Valuation of gifts</w:t>
      </w:r>
      <w:r w:rsidRPr="00F00002">
        <w:rPr>
          <w:noProof/>
        </w:rPr>
        <w:tab/>
      </w:r>
      <w:r w:rsidRPr="00F00002">
        <w:rPr>
          <w:noProof/>
        </w:rPr>
        <w:fldChar w:fldCharType="begin"/>
      </w:r>
      <w:r w:rsidRPr="00F00002">
        <w:rPr>
          <w:noProof/>
        </w:rPr>
        <w:instrText xml:space="preserve"> PAGEREF _Toc31109591 \h </w:instrText>
      </w:r>
      <w:r w:rsidRPr="00F00002">
        <w:rPr>
          <w:noProof/>
        </w:rPr>
      </w:r>
      <w:r w:rsidRPr="00F00002">
        <w:rPr>
          <w:noProof/>
        </w:rPr>
        <w:fldChar w:fldCharType="separate"/>
      </w:r>
      <w:r w:rsidR="0030184D">
        <w:rPr>
          <w:noProof/>
        </w:rPr>
        <w:t>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212.02</w:t>
      </w:r>
      <w:r>
        <w:rPr>
          <w:noProof/>
        </w:rPr>
        <w:tab/>
        <w:t>Application for valuation</w:t>
      </w:r>
      <w:r w:rsidRPr="00F00002">
        <w:rPr>
          <w:noProof/>
        </w:rPr>
        <w:tab/>
      </w:r>
      <w:r w:rsidRPr="00F00002">
        <w:rPr>
          <w:noProof/>
        </w:rPr>
        <w:fldChar w:fldCharType="begin"/>
      </w:r>
      <w:r w:rsidRPr="00F00002">
        <w:rPr>
          <w:noProof/>
        </w:rPr>
        <w:instrText xml:space="preserve"> PAGEREF _Toc31109592 \h </w:instrText>
      </w:r>
      <w:r w:rsidRPr="00F00002">
        <w:rPr>
          <w:noProof/>
        </w:rPr>
      </w:r>
      <w:r w:rsidRPr="00F00002">
        <w:rPr>
          <w:noProof/>
        </w:rPr>
        <w:fldChar w:fldCharType="separate"/>
      </w:r>
      <w:r w:rsidR="0030184D">
        <w:rPr>
          <w:noProof/>
        </w:rPr>
        <w:t>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212.05</w:t>
      </w:r>
      <w:r>
        <w:rPr>
          <w:noProof/>
        </w:rPr>
        <w:tab/>
        <w:t>Certificates of authenticity</w:t>
      </w:r>
      <w:r w:rsidRPr="00F00002">
        <w:rPr>
          <w:noProof/>
        </w:rPr>
        <w:tab/>
      </w:r>
      <w:r w:rsidRPr="00F00002">
        <w:rPr>
          <w:noProof/>
        </w:rPr>
        <w:fldChar w:fldCharType="begin"/>
      </w:r>
      <w:r w:rsidRPr="00F00002">
        <w:rPr>
          <w:noProof/>
        </w:rPr>
        <w:instrText xml:space="preserve"> PAGEREF _Toc31109593 \h </w:instrText>
      </w:r>
      <w:r w:rsidRPr="00F00002">
        <w:rPr>
          <w:noProof/>
        </w:rPr>
      </w:r>
      <w:r w:rsidRPr="00F00002">
        <w:rPr>
          <w:noProof/>
        </w:rPr>
        <w:fldChar w:fldCharType="separate"/>
      </w:r>
      <w:r w:rsidR="0030184D">
        <w:rPr>
          <w:noProof/>
        </w:rPr>
        <w:t>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212.06</w:t>
      </w:r>
      <w:r>
        <w:rPr>
          <w:noProof/>
        </w:rPr>
        <w:tab/>
        <w:t>Estimates of fees</w:t>
      </w:r>
      <w:r w:rsidRPr="00F00002">
        <w:rPr>
          <w:noProof/>
        </w:rPr>
        <w:tab/>
      </w:r>
      <w:r w:rsidRPr="00F00002">
        <w:rPr>
          <w:noProof/>
        </w:rPr>
        <w:fldChar w:fldCharType="begin"/>
      </w:r>
      <w:r w:rsidRPr="00F00002">
        <w:rPr>
          <w:noProof/>
        </w:rPr>
        <w:instrText xml:space="preserve"> PAGEREF _Toc31109594 \h </w:instrText>
      </w:r>
      <w:r w:rsidRPr="00F00002">
        <w:rPr>
          <w:noProof/>
        </w:rPr>
      </w:r>
      <w:r w:rsidRPr="00F00002">
        <w:rPr>
          <w:noProof/>
        </w:rPr>
        <w:fldChar w:fldCharType="separate"/>
      </w:r>
      <w:r w:rsidR="0030184D">
        <w:rPr>
          <w:noProof/>
        </w:rPr>
        <w:t>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212.07</w:t>
      </w:r>
      <w:r>
        <w:rPr>
          <w:noProof/>
        </w:rPr>
        <w:tab/>
        <w:t>Advance payment of fees</w:t>
      </w:r>
      <w:r w:rsidRPr="00F00002">
        <w:rPr>
          <w:noProof/>
        </w:rPr>
        <w:tab/>
      </w:r>
      <w:r w:rsidRPr="00F00002">
        <w:rPr>
          <w:noProof/>
        </w:rPr>
        <w:fldChar w:fldCharType="begin"/>
      </w:r>
      <w:r w:rsidRPr="00F00002">
        <w:rPr>
          <w:noProof/>
        </w:rPr>
        <w:instrText xml:space="preserve"> PAGEREF _Toc31109595 \h </w:instrText>
      </w:r>
      <w:r w:rsidRPr="00F00002">
        <w:rPr>
          <w:noProof/>
        </w:rPr>
      </w:r>
      <w:r w:rsidRPr="00F00002">
        <w:rPr>
          <w:noProof/>
        </w:rPr>
        <w:fldChar w:fldCharType="separate"/>
      </w:r>
      <w:r w:rsidR="0030184D">
        <w:rPr>
          <w:noProof/>
        </w:rPr>
        <w:t>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212.08</w:t>
      </w:r>
      <w:r>
        <w:rPr>
          <w:noProof/>
        </w:rPr>
        <w:tab/>
        <w:t>Commissioner not required to consider certain applications</w:t>
      </w:r>
      <w:r w:rsidRPr="00F00002">
        <w:rPr>
          <w:noProof/>
        </w:rPr>
        <w:tab/>
      </w:r>
      <w:r w:rsidRPr="00F00002">
        <w:rPr>
          <w:noProof/>
        </w:rPr>
        <w:fldChar w:fldCharType="begin"/>
      </w:r>
      <w:r w:rsidRPr="00F00002">
        <w:rPr>
          <w:noProof/>
        </w:rPr>
        <w:instrText xml:space="preserve"> PAGEREF _Toc31109596 \h </w:instrText>
      </w:r>
      <w:r w:rsidRPr="00F00002">
        <w:rPr>
          <w:noProof/>
        </w:rPr>
      </w:r>
      <w:r w:rsidRPr="00F00002">
        <w:rPr>
          <w:noProof/>
        </w:rPr>
        <w:fldChar w:fldCharType="separate"/>
      </w:r>
      <w:r w:rsidR="0030184D">
        <w:rPr>
          <w:noProof/>
        </w:rPr>
        <w:t>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212.09</w:t>
      </w:r>
      <w:r>
        <w:rPr>
          <w:noProof/>
        </w:rPr>
        <w:tab/>
        <w:t>Applications treated as having no effect</w:t>
      </w:r>
      <w:r w:rsidRPr="00F00002">
        <w:rPr>
          <w:noProof/>
        </w:rPr>
        <w:tab/>
      </w:r>
      <w:r w:rsidRPr="00F00002">
        <w:rPr>
          <w:noProof/>
        </w:rPr>
        <w:fldChar w:fldCharType="begin"/>
      </w:r>
      <w:r w:rsidRPr="00F00002">
        <w:rPr>
          <w:noProof/>
        </w:rPr>
        <w:instrText xml:space="preserve"> PAGEREF _Toc31109597 \h </w:instrText>
      </w:r>
      <w:r w:rsidRPr="00F00002">
        <w:rPr>
          <w:noProof/>
        </w:rPr>
      </w:r>
      <w:r w:rsidRPr="00F00002">
        <w:rPr>
          <w:noProof/>
        </w:rPr>
        <w:fldChar w:fldCharType="separate"/>
      </w:r>
      <w:r w:rsidR="0030184D">
        <w:rPr>
          <w:noProof/>
        </w:rPr>
        <w:t>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212.10</w:t>
      </w:r>
      <w:r>
        <w:rPr>
          <w:noProof/>
        </w:rPr>
        <w:tab/>
        <w:t>Fees for carrying out valuations</w:t>
      </w:r>
      <w:r w:rsidRPr="00F00002">
        <w:rPr>
          <w:noProof/>
        </w:rPr>
        <w:tab/>
      </w:r>
      <w:r w:rsidRPr="00F00002">
        <w:rPr>
          <w:noProof/>
        </w:rPr>
        <w:fldChar w:fldCharType="begin"/>
      </w:r>
      <w:r w:rsidRPr="00F00002">
        <w:rPr>
          <w:noProof/>
        </w:rPr>
        <w:instrText xml:space="preserve"> PAGEREF _Toc31109598 \h </w:instrText>
      </w:r>
      <w:r w:rsidRPr="00F00002">
        <w:rPr>
          <w:noProof/>
        </w:rPr>
      </w:r>
      <w:r w:rsidRPr="00F00002">
        <w:rPr>
          <w:noProof/>
        </w:rPr>
        <w:fldChar w:fldCharType="separate"/>
      </w:r>
      <w:r w:rsidR="0030184D">
        <w:rPr>
          <w:noProof/>
        </w:rPr>
        <w:t>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212.11</w:t>
      </w:r>
      <w:r>
        <w:rPr>
          <w:noProof/>
        </w:rPr>
        <w:tab/>
        <w:t>Crediting and repaying valuation fees</w:t>
      </w:r>
      <w:r w:rsidRPr="00F00002">
        <w:rPr>
          <w:noProof/>
        </w:rPr>
        <w:tab/>
      </w:r>
      <w:r w:rsidRPr="00F00002">
        <w:rPr>
          <w:noProof/>
        </w:rPr>
        <w:fldChar w:fldCharType="begin"/>
      </w:r>
      <w:r w:rsidRPr="00F00002">
        <w:rPr>
          <w:noProof/>
        </w:rPr>
        <w:instrText xml:space="preserve"> PAGEREF _Toc31109599 \h </w:instrText>
      </w:r>
      <w:r w:rsidRPr="00F00002">
        <w:rPr>
          <w:noProof/>
        </w:rPr>
      </w:r>
      <w:r w:rsidRPr="00F00002">
        <w:rPr>
          <w:noProof/>
        </w:rPr>
        <w:fldChar w:fldCharType="separate"/>
      </w:r>
      <w:r w:rsidR="0030184D">
        <w:rPr>
          <w:noProof/>
        </w:rPr>
        <w:t>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w:t>
      </w:r>
      <w:r>
        <w:rPr>
          <w:noProof/>
        </w:rPr>
        <w:noBreakHyphen/>
        <w:t>212.12</w:t>
      </w:r>
      <w:r>
        <w:rPr>
          <w:noProof/>
        </w:rPr>
        <w:tab/>
        <w:t>Valuation certificates</w:t>
      </w:r>
      <w:r w:rsidRPr="00F00002">
        <w:rPr>
          <w:noProof/>
        </w:rPr>
        <w:tab/>
      </w:r>
      <w:r w:rsidRPr="00F00002">
        <w:rPr>
          <w:noProof/>
        </w:rPr>
        <w:fldChar w:fldCharType="begin"/>
      </w:r>
      <w:r w:rsidRPr="00F00002">
        <w:rPr>
          <w:noProof/>
        </w:rPr>
        <w:instrText xml:space="preserve"> PAGEREF _Toc31109600 \h </w:instrText>
      </w:r>
      <w:r w:rsidRPr="00F00002">
        <w:rPr>
          <w:noProof/>
        </w:rPr>
      </w:r>
      <w:r w:rsidRPr="00F00002">
        <w:rPr>
          <w:noProof/>
        </w:rPr>
        <w:fldChar w:fldCharType="separate"/>
      </w:r>
      <w:r w:rsidR="0030184D">
        <w:rPr>
          <w:noProof/>
        </w:rPr>
        <w:t>5</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31—Conservation covenants</w:t>
      </w:r>
      <w:r w:rsidRPr="00F00002">
        <w:rPr>
          <w:b w:val="0"/>
          <w:noProof/>
          <w:sz w:val="18"/>
        </w:rPr>
        <w:tab/>
      </w:r>
      <w:r w:rsidRPr="00F00002">
        <w:rPr>
          <w:b w:val="0"/>
          <w:noProof/>
          <w:sz w:val="18"/>
        </w:rPr>
        <w:fldChar w:fldCharType="begin"/>
      </w:r>
      <w:r w:rsidRPr="00F00002">
        <w:rPr>
          <w:b w:val="0"/>
          <w:noProof/>
          <w:sz w:val="18"/>
        </w:rPr>
        <w:instrText xml:space="preserve"> PAGEREF _Toc31109601 \h </w:instrText>
      </w:r>
      <w:r w:rsidRPr="00F00002">
        <w:rPr>
          <w:b w:val="0"/>
          <w:noProof/>
          <w:sz w:val="18"/>
        </w:rPr>
      </w:r>
      <w:r w:rsidRPr="00F00002">
        <w:rPr>
          <w:b w:val="0"/>
          <w:noProof/>
          <w:sz w:val="18"/>
        </w:rPr>
        <w:fldChar w:fldCharType="separate"/>
      </w:r>
      <w:r w:rsidR="0030184D">
        <w:rPr>
          <w:b w:val="0"/>
          <w:noProof/>
          <w:sz w:val="18"/>
        </w:rPr>
        <w:t>7</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15.01</w:t>
      </w:r>
      <w:r>
        <w:rPr>
          <w:noProof/>
        </w:rPr>
        <w:tab/>
        <w:t>Valuation of land</w:t>
      </w:r>
      <w:r w:rsidRPr="00F00002">
        <w:rPr>
          <w:noProof/>
        </w:rPr>
        <w:tab/>
      </w:r>
      <w:r w:rsidRPr="00F00002">
        <w:rPr>
          <w:noProof/>
        </w:rPr>
        <w:fldChar w:fldCharType="begin"/>
      </w:r>
      <w:r w:rsidRPr="00F00002">
        <w:rPr>
          <w:noProof/>
        </w:rPr>
        <w:instrText xml:space="preserve"> PAGEREF _Toc31109602 \h </w:instrText>
      </w:r>
      <w:r w:rsidRPr="00F00002">
        <w:rPr>
          <w:noProof/>
        </w:rPr>
      </w:r>
      <w:r w:rsidRPr="00F00002">
        <w:rPr>
          <w:noProof/>
        </w:rPr>
        <w:fldChar w:fldCharType="separate"/>
      </w:r>
      <w:r w:rsidR="0030184D">
        <w:rPr>
          <w:noProof/>
        </w:rPr>
        <w:t>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15.02</w:t>
      </w:r>
      <w:r>
        <w:rPr>
          <w:noProof/>
        </w:rPr>
        <w:tab/>
        <w:t>Application for valuation</w:t>
      </w:r>
      <w:r w:rsidRPr="00F00002">
        <w:rPr>
          <w:noProof/>
        </w:rPr>
        <w:tab/>
      </w:r>
      <w:r w:rsidRPr="00F00002">
        <w:rPr>
          <w:noProof/>
        </w:rPr>
        <w:fldChar w:fldCharType="begin"/>
      </w:r>
      <w:r w:rsidRPr="00F00002">
        <w:rPr>
          <w:noProof/>
        </w:rPr>
        <w:instrText xml:space="preserve"> PAGEREF _Toc31109603 \h </w:instrText>
      </w:r>
      <w:r w:rsidRPr="00F00002">
        <w:rPr>
          <w:noProof/>
        </w:rPr>
      </w:r>
      <w:r w:rsidRPr="00F00002">
        <w:rPr>
          <w:noProof/>
        </w:rPr>
        <w:fldChar w:fldCharType="separate"/>
      </w:r>
      <w:r w:rsidR="0030184D">
        <w:rPr>
          <w:noProof/>
        </w:rPr>
        <w:t>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15.03</w:t>
      </w:r>
      <w:r>
        <w:rPr>
          <w:noProof/>
        </w:rPr>
        <w:tab/>
        <w:t>Estimates of fees—request by applicant</w:t>
      </w:r>
      <w:r w:rsidRPr="00F00002">
        <w:rPr>
          <w:noProof/>
        </w:rPr>
        <w:tab/>
      </w:r>
      <w:r w:rsidRPr="00F00002">
        <w:rPr>
          <w:noProof/>
        </w:rPr>
        <w:fldChar w:fldCharType="begin"/>
      </w:r>
      <w:r w:rsidRPr="00F00002">
        <w:rPr>
          <w:noProof/>
        </w:rPr>
        <w:instrText xml:space="preserve"> PAGEREF _Toc31109604 \h </w:instrText>
      </w:r>
      <w:r w:rsidRPr="00F00002">
        <w:rPr>
          <w:noProof/>
        </w:rPr>
      </w:r>
      <w:r w:rsidRPr="00F00002">
        <w:rPr>
          <w:noProof/>
        </w:rPr>
        <w:fldChar w:fldCharType="separate"/>
      </w:r>
      <w:r w:rsidR="0030184D">
        <w:rPr>
          <w:noProof/>
        </w:rPr>
        <w:t>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15.04</w:t>
      </w:r>
      <w:r>
        <w:rPr>
          <w:noProof/>
        </w:rPr>
        <w:tab/>
        <w:t>Advance payment of fees</w:t>
      </w:r>
      <w:r w:rsidRPr="00F00002">
        <w:rPr>
          <w:noProof/>
        </w:rPr>
        <w:tab/>
      </w:r>
      <w:r w:rsidRPr="00F00002">
        <w:rPr>
          <w:noProof/>
        </w:rPr>
        <w:fldChar w:fldCharType="begin"/>
      </w:r>
      <w:r w:rsidRPr="00F00002">
        <w:rPr>
          <w:noProof/>
        </w:rPr>
        <w:instrText xml:space="preserve"> PAGEREF _Toc31109605 \h </w:instrText>
      </w:r>
      <w:r w:rsidRPr="00F00002">
        <w:rPr>
          <w:noProof/>
        </w:rPr>
      </w:r>
      <w:r w:rsidRPr="00F00002">
        <w:rPr>
          <w:noProof/>
        </w:rPr>
        <w:fldChar w:fldCharType="separate"/>
      </w:r>
      <w:r w:rsidR="0030184D">
        <w:rPr>
          <w:noProof/>
        </w:rPr>
        <w:t>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15.05</w:t>
      </w:r>
      <w:r>
        <w:rPr>
          <w:noProof/>
        </w:rPr>
        <w:tab/>
        <w:t>Commissioner not required to consider certain applications</w:t>
      </w:r>
      <w:r w:rsidRPr="00F00002">
        <w:rPr>
          <w:noProof/>
        </w:rPr>
        <w:tab/>
      </w:r>
      <w:r w:rsidRPr="00F00002">
        <w:rPr>
          <w:noProof/>
        </w:rPr>
        <w:fldChar w:fldCharType="begin"/>
      </w:r>
      <w:r w:rsidRPr="00F00002">
        <w:rPr>
          <w:noProof/>
        </w:rPr>
        <w:instrText xml:space="preserve"> PAGEREF _Toc31109606 \h </w:instrText>
      </w:r>
      <w:r w:rsidRPr="00F00002">
        <w:rPr>
          <w:noProof/>
        </w:rPr>
      </w:r>
      <w:r w:rsidRPr="00F00002">
        <w:rPr>
          <w:noProof/>
        </w:rPr>
        <w:fldChar w:fldCharType="separate"/>
      </w:r>
      <w:r w:rsidR="0030184D">
        <w:rPr>
          <w:noProof/>
        </w:rPr>
        <w:t>8</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15.06</w:t>
      </w:r>
      <w:r>
        <w:rPr>
          <w:noProof/>
        </w:rPr>
        <w:tab/>
        <w:t>Applications treated as having no effect</w:t>
      </w:r>
      <w:r w:rsidRPr="00F00002">
        <w:rPr>
          <w:noProof/>
        </w:rPr>
        <w:tab/>
      </w:r>
      <w:r w:rsidRPr="00F00002">
        <w:rPr>
          <w:noProof/>
        </w:rPr>
        <w:fldChar w:fldCharType="begin"/>
      </w:r>
      <w:r w:rsidRPr="00F00002">
        <w:rPr>
          <w:noProof/>
        </w:rPr>
        <w:instrText xml:space="preserve"> PAGEREF _Toc31109607 \h </w:instrText>
      </w:r>
      <w:r w:rsidRPr="00F00002">
        <w:rPr>
          <w:noProof/>
        </w:rPr>
      </w:r>
      <w:r w:rsidRPr="00F00002">
        <w:rPr>
          <w:noProof/>
        </w:rPr>
        <w:fldChar w:fldCharType="separate"/>
      </w:r>
      <w:r w:rsidR="0030184D">
        <w:rPr>
          <w:noProof/>
        </w:rPr>
        <w:t>8</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15.07</w:t>
      </w:r>
      <w:r>
        <w:rPr>
          <w:noProof/>
        </w:rPr>
        <w:tab/>
        <w:t>Fees for carrying out valuations</w:t>
      </w:r>
      <w:r w:rsidRPr="00F00002">
        <w:rPr>
          <w:noProof/>
        </w:rPr>
        <w:tab/>
      </w:r>
      <w:r w:rsidRPr="00F00002">
        <w:rPr>
          <w:noProof/>
        </w:rPr>
        <w:fldChar w:fldCharType="begin"/>
      </w:r>
      <w:r w:rsidRPr="00F00002">
        <w:rPr>
          <w:noProof/>
        </w:rPr>
        <w:instrText xml:space="preserve"> PAGEREF _Toc31109608 \h </w:instrText>
      </w:r>
      <w:r w:rsidRPr="00F00002">
        <w:rPr>
          <w:noProof/>
        </w:rPr>
      </w:r>
      <w:r w:rsidRPr="00F00002">
        <w:rPr>
          <w:noProof/>
        </w:rPr>
        <w:fldChar w:fldCharType="separate"/>
      </w:r>
      <w:r w:rsidR="0030184D">
        <w:rPr>
          <w:noProof/>
        </w:rPr>
        <w:t>8</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15.08</w:t>
      </w:r>
      <w:r>
        <w:rPr>
          <w:noProof/>
        </w:rPr>
        <w:tab/>
        <w:t>Crediting and repaying valuation fees</w:t>
      </w:r>
      <w:r w:rsidRPr="00F00002">
        <w:rPr>
          <w:noProof/>
        </w:rPr>
        <w:tab/>
      </w:r>
      <w:r w:rsidRPr="00F00002">
        <w:rPr>
          <w:noProof/>
        </w:rPr>
        <w:fldChar w:fldCharType="begin"/>
      </w:r>
      <w:r w:rsidRPr="00F00002">
        <w:rPr>
          <w:noProof/>
        </w:rPr>
        <w:instrText xml:space="preserve"> PAGEREF _Toc31109609 \h </w:instrText>
      </w:r>
      <w:r w:rsidRPr="00F00002">
        <w:rPr>
          <w:noProof/>
        </w:rPr>
      </w:r>
      <w:r w:rsidRPr="00F00002">
        <w:rPr>
          <w:noProof/>
        </w:rPr>
        <w:fldChar w:fldCharType="separate"/>
      </w:r>
      <w:r w:rsidR="0030184D">
        <w:rPr>
          <w:noProof/>
        </w:rPr>
        <w:t>9</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31</w:t>
      </w:r>
      <w:r>
        <w:rPr>
          <w:noProof/>
        </w:rPr>
        <w:noBreakHyphen/>
        <w:t>15.09</w:t>
      </w:r>
      <w:r>
        <w:rPr>
          <w:noProof/>
        </w:rPr>
        <w:tab/>
        <w:t>Valuation certificates</w:t>
      </w:r>
      <w:r w:rsidRPr="00F00002">
        <w:rPr>
          <w:noProof/>
        </w:rPr>
        <w:tab/>
      </w:r>
      <w:r w:rsidRPr="00F00002">
        <w:rPr>
          <w:noProof/>
        </w:rPr>
        <w:fldChar w:fldCharType="begin"/>
      </w:r>
      <w:r w:rsidRPr="00F00002">
        <w:rPr>
          <w:noProof/>
        </w:rPr>
        <w:instrText xml:space="preserve"> PAGEREF _Toc31109610 \h </w:instrText>
      </w:r>
      <w:r w:rsidRPr="00F00002">
        <w:rPr>
          <w:noProof/>
        </w:rPr>
      </w:r>
      <w:r w:rsidRPr="00F00002">
        <w:rPr>
          <w:noProof/>
        </w:rPr>
        <w:fldChar w:fldCharType="separate"/>
      </w:r>
      <w:r w:rsidR="0030184D">
        <w:rPr>
          <w:noProof/>
        </w:rPr>
        <w:t>9</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50—Exempt entities</w:t>
      </w:r>
      <w:r w:rsidRPr="00F00002">
        <w:rPr>
          <w:b w:val="0"/>
          <w:noProof/>
          <w:sz w:val="18"/>
        </w:rPr>
        <w:tab/>
      </w:r>
      <w:r w:rsidRPr="00F00002">
        <w:rPr>
          <w:b w:val="0"/>
          <w:noProof/>
          <w:sz w:val="18"/>
        </w:rPr>
        <w:fldChar w:fldCharType="begin"/>
      </w:r>
      <w:r w:rsidRPr="00F00002">
        <w:rPr>
          <w:b w:val="0"/>
          <w:noProof/>
          <w:sz w:val="18"/>
        </w:rPr>
        <w:instrText xml:space="preserve"> PAGEREF _Toc31109611 \h </w:instrText>
      </w:r>
      <w:r w:rsidRPr="00F00002">
        <w:rPr>
          <w:b w:val="0"/>
          <w:noProof/>
          <w:sz w:val="18"/>
        </w:rPr>
      </w:r>
      <w:r w:rsidRPr="00F00002">
        <w:rPr>
          <w:b w:val="0"/>
          <w:noProof/>
          <w:sz w:val="18"/>
        </w:rPr>
        <w:fldChar w:fldCharType="separate"/>
      </w:r>
      <w:r w:rsidR="0030184D">
        <w:rPr>
          <w:b w:val="0"/>
          <w:noProof/>
          <w:sz w:val="18"/>
        </w:rPr>
        <w:t>10</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50</w:t>
      </w:r>
      <w:r>
        <w:rPr>
          <w:noProof/>
        </w:rPr>
        <w:noBreakHyphen/>
        <w:t>50.01</w:t>
      </w:r>
      <w:r>
        <w:rPr>
          <w:noProof/>
        </w:rPr>
        <w:tab/>
        <w:t>Prescribed institutions located outside Australia</w:t>
      </w:r>
      <w:r w:rsidRPr="00F00002">
        <w:rPr>
          <w:noProof/>
        </w:rPr>
        <w:tab/>
      </w:r>
      <w:r w:rsidRPr="00F00002">
        <w:rPr>
          <w:noProof/>
        </w:rPr>
        <w:fldChar w:fldCharType="begin"/>
      </w:r>
      <w:r w:rsidRPr="00F00002">
        <w:rPr>
          <w:noProof/>
        </w:rPr>
        <w:instrText xml:space="preserve"> PAGEREF _Toc31109612 \h </w:instrText>
      </w:r>
      <w:r w:rsidRPr="00F00002">
        <w:rPr>
          <w:noProof/>
        </w:rPr>
      </w:r>
      <w:r w:rsidRPr="00F00002">
        <w:rPr>
          <w:noProof/>
        </w:rPr>
        <w:fldChar w:fldCharType="separate"/>
      </w:r>
      <w:r w:rsidR="0030184D">
        <w:rPr>
          <w:noProof/>
        </w:rPr>
        <w:t>10</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50</w:t>
      </w:r>
      <w:r>
        <w:rPr>
          <w:noProof/>
        </w:rPr>
        <w:noBreakHyphen/>
        <w:t>50.02</w:t>
      </w:r>
      <w:r>
        <w:rPr>
          <w:noProof/>
        </w:rPr>
        <w:tab/>
        <w:t>Prescribed institutions pursuing objectives principally outside Australia</w:t>
      </w:r>
      <w:r w:rsidRPr="00F00002">
        <w:rPr>
          <w:noProof/>
        </w:rPr>
        <w:tab/>
      </w:r>
      <w:r w:rsidRPr="00F00002">
        <w:rPr>
          <w:noProof/>
        </w:rPr>
        <w:fldChar w:fldCharType="begin"/>
      </w:r>
      <w:r w:rsidRPr="00F00002">
        <w:rPr>
          <w:noProof/>
        </w:rPr>
        <w:instrText xml:space="preserve"> PAGEREF _Toc31109613 \h </w:instrText>
      </w:r>
      <w:r w:rsidRPr="00F00002">
        <w:rPr>
          <w:noProof/>
        </w:rPr>
      </w:r>
      <w:r w:rsidRPr="00F00002">
        <w:rPr>
          <w:noProof/>
        </w:rPr>
        <w:fldChar w:fldCharType="separate"/>
      </w:r>
      <w:r w:rsidR="0030184D">
        <w:rPr>
          <w:noProof/>
        </w:rPr>
        <w:t>10</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50</w:t>
      </w:r>
      <w:r>
        <w:rPr>
          <w:noProof/>
        </w:rPr>
        <w:noBreakHyphen/>
        <w:t>50.03</w:t>
      </w:r>
      <w:r>
        <w:rPr>
          <w:noProof/>
        </w:rPr>
        <w:tab/>
        <w:t>Prescribed sporting society, association or club</w:t>
      </w:r>
      <w:r w:rsidRPr="00F00002">
        <w:rPr>
          <w:noProof/>
        </w:rPr>
        <w:tab/>
      </w:r>
      <w:r w:rsidRPr="00F00002">
        <w:rPr>
          <w:noProof/>
        </w:rPr>
        <w:fldChar w:fldCharType="begin"/>
      </w:r>
      <w:r w:rsidRPr="00F00002">
        <w:rPr>
          <w:noProof/>
        </w:rPr>
        <w:instrText xml:space="preserve"> PAGEREF _Toc31109614 \h </w:instrText>
      </w:r>
      <w:r w:rsidRPr="00F00002">
        <w:rPr>
          <w:noProof/>
        </w:rPr>
      </w:r>
      <w:r w:rsidRPr="00F00002">
        <w:rPr>
          <w:noProof/>
        </w:rPr>
        <w:fldChar w:fldCharType="separate"/>
      </w:r>
      <w:r w:rsidR="0030184D">
        <w:rPr>
          <w:noProof/>
        </w:rPr>
        <w:t>11</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50</w:t>
      </w:r>
      <w:r>
        <w:rPr>
          <w:noProof/>
        </w:rPr>
        <w:noBreakHyphen/>
        <w:t>55.01</w:t>
      </w:r>
      <w:r>
        <w:rPr>
          <w:noProof/>
        </w:rPr>
        <w:tab/>
        <w:t>Prescribed institutions for items 1.3, 1.4, 6.1 and 6.2 in Division 50</w:t>
      </w:r>
      <w:r w:rsidRPr="00F00002">
        <w:rPr>
          <w:noProof/>
        </w:rPr>
        <w:tab/>
      </w:r>
      <w:r w:rsidRPr="00F00002">
        <w:rPr>
          <w:noProof/>
        </w:rPr>
        <w:fldChar w:fldCharType="begin"/>
      </w:r>
      <w:r w:rsidRPr="00F00002">
        <w:rPr>
          <w:noProof/>
        </w:rPr>
        <w:instrText xml:space="preserve"> PAGEREF _Toc31109615 \h </w:instrText>
      </w:r>
      <w:r w:rsidRPr="00F00002">
        <w:rPr>
          <w:noProof/>
        </w:rPr>
      </w:r>
      <w:r w:rsidRPr="00F00002">
        <w:rPr>
          <w:noProof/>
        </w:rPr>
        <w:fldChar w:fldCharType="separate"/>
      </w:r>
      <w:r w:rsidR="0030184D">
        <w:rPr>
          <w:noProof/>
        </w:rPr>
        <w:t>11</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51—Exempt amounts</w:t>
      </w:r>
      <w:r w:rsidRPr="00F00002">
        <w:rPr>
          <w:b w:val="0"/>
          <w:noProof/>
          <w:sz w:val="18"/>
        </w:rPr>
        <w:tab/>
      </w:r>
      <w:r w:rsidRPr="00F00002">
        <w:rPr>
          <w:b w:val="0"/>
          <w:noProof/>
          <w:sz w:val="18"/>
        </w:rPr>
        <w:fldChar w:fldCharType="begin"/>
      </w:r>
      <w:r w:rsidRPr="00F00002">
        <w:rPr>
          <w:b w:val="0"/>
          <w:noProof/>
          <w:sz w:val="18"/>
        </w:rPr>
        <w:instrText xml:space="preserve"> PAGEREF _Toc31109616 \h </w:instrText>
      </w:r>
      <w:r w:rsidRPr="00F00002">
        <w:rPr>
          <w:b w:val="0"/>
          <w:noProof/>
          <w:sz w:val="18"/>
        </w:rPr>
      </w:r>
      <w:r w:rsidRPr="00F00002">
        <w:rPr>
          <w:b w:val="0"/>
          <w:noProof/>
          <w:sz w:val="18"/>
        </w:rPr>
        <w:fldChar w:fldCharType="separate"/>
      </w:r>
      <w:r w:rsidR="0030184D">
        <w:rPr>
          <w:b w:val="0"/>
          <w:noProof/>
          <w:sz w:val="18"/>
        </w:rPr>
        <w:t>12</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51</w:t>
      </w:r>
      <w:r>
        <w:rPr>
          <w:noProof/>
        </w:rPr>
        <w:noBreakHyphen/>
        <w:t>5.01</w:t>
      </w:r>
      <w:r>
        <w:rPr>
          <w:noProof/>
        </w:rPr>
        <w:tab/>
        <w:t>Defence allowances</w:t>
      </w:r>
      <w:r w:rsidRPr="00F00002">
        <w:rPr>
          <w:noProof/>
        </w:rPr>
        <w:tab/>
      </w:r>
      <w:r w:rsidRPr="00F00002">
        <w:rPr>
          <w:noProof/>
        </w:rPr>
        <w:fldChar w:fldCharType="begin"/>
      </w:r>
      <w:r w:rsidRPr="00F00002">
        <w:rPr>
          <w:noProof/>
        </w:rPr>
        <w:instrText xml:space="preserve"> PAGEREF _Toc31109617 \h </w:instrText>
      </w:r>
      <w:r w:rsidRPr="00F00002">
        <w:rPr>
          <w:noProof/>
        </w:rPr>
      </w:r>
      <w:r w:rsidRPr="00F00002">
        <w:rPr>
          <w:noProof/>
        </w:rPr>
        <w:fldChar w:fldCharType="separate"/>
      </w:r>
      <w:r w:rsidR="0030184D">
        <w:rPr>
          <w:noProof/>
        </w:rPr>
        <w:t>12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51</w:t>
      </w:r>
      <w:r>
        <w:rPr>
          <w:noProof/>
        </w:rPr>
        <w:noBreakHyphen/>
        <w:t>42.01</w:t>
      </w:r>
      <w:r>
        <w:rPr>
          <w:noProof/>
        </w:rPr>
        <w:tab/>
        <w:t>Bonuses for early completion of an apprenticeship</w:t>
      </w:r>
      <w:r w:rsidRPr="00F00002">
        <w:rPr>
          <w:noProof/>
        </w:rPr>
        <w:tab/>
      </w:r>
      <w:r w:rsidRPr="00F00002">
        <w:rPr>
          <w:noProof/>
        </w:rPr>
        <w:fldChar w:fldCharType="begin"/>
      </w:r>
      <w:r w:rsidRPr="00F00002">
        <w:rPr>
          <w:noProof/>
        </w:rPr>
        <w:instrText xml:space="preserve"> PAGEREF _Toc31109618 \h </w:instrText>
      </w:r>
      <w:r w:rsidRPr="00F00002">
        <w:rPr>
          <w:noProof/>
        </w:rPr>
      </w:r>
      <w:r w:rsidRPr="00F00002">
        <w:rPr>
          <w:noProof/>
        </w:rPr>
        <w:fldChar w:fldCharType="separate"/>
      </w:r>
      <w:r w:rsidR="0030184D">
        <w:rPr>
          <w:noProof/>
        </w:rPr>
        <w:t>13</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61—Generally applicable tax offsets</w:t>
      </w:r>
      <w:r w:rsidRPr="00F00002">
        <w:rPr>
          <w:b w:val="0"/>
          <w:noProof/>
          <w:sz w:val="18"/>
        </w:rPr>
        <w:tab/>
      </w:r>
      <w:r w:rsidRPr="00F00002">
        <w:rPr>
          <w:b w:val="0"/>
          <w:noProof/>
          <w:sz w:val="18"/>
        </w:rPr>
        <w:fldChar w:fldCharType="begin"/>
      </w:r>
      <w:r w:rsidRPr="00F00002">
        <w:rPr>
          <w:b w:val="0"/>
          <w:noProof/>
          <w:sz w:val="18"/>
        </w:rPr>
        <w:instrText xml:space="preserve"> PAGEREF _Toc31109619 \h </w:instrText>
      </w:r>
      <w:r w:rsidRPr="00F00002">
        <w:rPr>
          <w:b w:val="0"/>
          <w:noProof/>
          <w:sz w:val="18"/>
        </w:rPr>
      </w:r>
      <w:r w:rsidRPr="00F00002">
        <w:rPr>
          <w:b w:val="0"/>
          <w:noProof/>
          <w:sz w:val="18"/>
        </w:rPr>
        <w:fldChar w:fldCharType="separate"/>
      </w:r>
      <w:r w:rsidR="0030184D">
        <w:rPr>
          <w:b w:val="0"/>
          <w:noProof/>
          <w:sz w:val="18"/>
        </w:rPr>
        <w:t>14</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61</w:t>
      </w:r>
      <w:r>
        <w:rPr>
          <w:noProof/>
        </w:rPr>
        <w:noBreakHyphen/>
        <w:t>G—Private health insurance offset complementary to Part 2</w:t>
      </w:r>
      <w:r>
        <w:rPr>
          <w:noProof/>
        </w:rPr>
        <w:noBreakHyphen/>
        <w:t>2 of the Private Health Insurance Act 2007</w:t>
      </w:r>
      <w:r w:rsidRPr="00F00002">
        <w:rPr>
          <w:b w:val="0"/>
          <w:noProof/>
          <w:sz w:val="18"/>
        </w:rPr>
        <w:tab/>
      </w:r>
      <w:r w:rsidRPr="00F00002">
        <w:rPr>
          <w:b w:val="0"/>
          <w:noProof/>
          <w:sz w:val="18"/>
        </w:rPr>
        <w:fldChar w:fldCharType="begin"/>
      </w:r>
      <w:r w:rsidRPr="00F00002">
        <w:rPr>
          <w:b w:val="0"/>
          <w:noProof/>
          <w:sz w:val="18"/>
        </w:rPr>
        <w:instrText xml:space="preserve"> PAGEREF _Toc31109620 \h </w:instrText>
      </w:r>
      <w:r w:rsidRPr="00F00002">
        <w:rPr>
          <w:b w:val="0"/>
          <w:noProof/>
          <w:sz w:val="18"/>
        </w:rPr>
      </w:r>
      <w:r w:rsidRPr="00F00002">
        <w:rPr>
          <w:b w:val="0"/>
          <w:noProof/>
          <w:sz w:val="18"/>
        </w:rPr>
        <w:fldChar w:fldCharType="separate"/>
      </w:r>
      <w:r w:rsidR="0030184D">
        <w:rPr>
          <w:b w:val="0"/>
          <w:noProof/>
          <w:sz w:val="18"/>
        </w:rPr>
        <w:t>14</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61</w:t>
      </w:r>
      <w:r>
        <w:rPr>
          <w:noProof/>
        </w:rPr>
        <w:noBreakHyphen/>
        <w:t>220.01</w:t>
      </w:r>
      <w:r>
        <w:rPr>
          <w:noProof/>
        </w:rPr>
        <w:tab/>
        <w:t>Definitions for Subdivision 61</w:t>
      </w:r>
      <w:r>
        <w:rPr>
          <w:noProof/>
        </w:rPr>
        <w:noBreakHyphen/>
        <w:t>G</w:t>
      </w:r>
      <w:r w:rsidRPr="00F00002">
        <w:rPr>
          <w:noProof/>
        </w:rPr>
        <w:tab/>
      </w:r>
      <w:r w:rsidRPr="00F00002">
        <w:rPr>
          <w:noProof/>
        </w:rPr>
        <w:fldChar w:fldCharType="begin"/>
      </w:r>
      <w:r w:rsidRPr="00F00002">
        <w:rPr>
          <w:noProof/>
        </w:rPr>
        <w:instrText xml:space="preserve"> PAGEREF _Toc31109621 \h </w:instrText>
      </w:r>
      <w:r w:rsidRPr="00F00002">
        <w:rPr>
          <w:noProof/>
        </w:rPr>
      </w:r>
      <w:r w:rsidRPr="00F00002">
        <w:rPr>
          <w:noProof/>
        </w:rPr>
        <w:fldChar w:fldCharType="separate"/>
      </w:r>
      <w:r w:rsidR="0030184D">
        <w:rPr>
          <w:noProof/>
        </w:rPr>
        <w:t>14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61</w:t>
      </w:r>
      <w:r>
        <w:rPr>
          <w:noProof/>
        </w:rPr>
        <w:noBreakHyphen/>
        <w:t>220.02</w:t>
      </w:r>
      <w:r>
        <w:rPr>
          <w:noProof/>
        </w:rPr>
        <w:tab/>
        <w:t>Private health insurer to provide annual statement to PHIIB if requested</w:t>
      </w:r>
      <w:r w:rsidRPr="00F00002">
        <w:rPr>
          <w:noProof/>
        </w:rPr>
        <w:tab/>
      </w:r>
      <w:r w:rsidRPr="00F00002">
        <w:rPr>
          <w:noProof/>
        </w:rPr>
        <w:fldChar w:fldCharType="begin"/>
      </w:r>
      <w:r w:rsidRPr="00F00002">
        <w:rPr>
          <w:noProof/>
        </w:rPr>
        <w:instrText xml:space="preserve"> PAGEREF _Toc31109622 \h </w:instrText>
      </w:r>
      <w:r w:rsidRPr="00F00002">
        <w:rPr>
          <w:noProof/>
        </w:rPr>
      </w:r>
      <w:r w:rsidRPr="00F00002">
        <w:rPr>
          <w:noProof/>
        </w:rPr>
        <w:fldChar w:fldCharType="separate"/>
      </w:r>
      <w:r w:rsidR="0030184D">
        <w:rPr>
          <w:noProof/>
        </w:rPr>
        <w:t>14</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70—Trading stock</w:t>
      </w:r>
      <w:r w:rsidRPr="00F00002">
        <w:rPr>
          <w:b w:val="0"/>
          <w:noProof/>
          <w:sz w:val="18"/>
        </w:rPr>
        <w:tab/>
      </w:r>
      <w:r w:rsidRPr="00F00002">
        <w:rPr>
          <w:b w:val="0"/>
          <w:noProof/>
          <w:sz w:val="18"/>
        </w:rPr>
        <w:fldChar w:fldCharType="begin"/>
      </w:r>
      <w:r w:rsidRPr="00F00002">
        <w:rPr>
          <w:b w:val="0"/>
          <w:noProof/>
          <w:sz w:val="18"/>
        </w:rPr>
        <w:instrText xml:space="preserve"> PAGEREF _Toc31109623 \h </w:instrText>
      </w:r>
      <w:r w:rsidRPr="00F00002">
        <w:rPr>
          <w:b w:val="0"/>
          <w:noProof/>
          <w:sz w:val="18"/>
        </w:rPr>
      </w:r>
      <w:r w:rsidRPr="00F00002">
        <w:rPr>
          <w:b w:val="0"/>
          <w:noProof/>
          <w:sz w:val="18"/>
        </w:rPr>
        <w:fldChar w:fldCharType="separate"/>
      </w:r>
      <w:r w:rsidR="0030184D">
        <w:rPr>
          <w:b w:val="0"/>
          <w:noProof/>
          <w:sz w:val="18"/>
        </w:rPr>
        <w:t>15</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70</w:t>
      </w:r>
      <w:r>
        <w:rPr>
          <w:noProof/>
        </w:rPr>
        <w:noBreakHyphen/>
        <w:t>55.01</w:t>
      </w:r>
      <w:r>
        <w:rPr>
          <w:noProof/>
        </w:rPr>
        <w:tab/>
        <w:t>Cost of natural increase of live stock—paragraph 70</w:t>
      </w:r>
      <w:r>
        <w:rPr>
          <w:noProof/>
        </w:rPr>
        <w:noBreakHyphen/>
        <w:t>55(1)(b) of Act</w:t>
      </w:r>
      <w:r w:rsidRPr="00F00002">
        <w:rPr>
          <w:noProof/>
        </w:rPr>
        <w:tab/>
      </w:r>
      <w:r w:rsidRPr="00F00002">
        <w:rPr>
          <w:noProof/>
        </w:rPr>
        <w:fldChar w:fldCharType="begin"/>
      </w:r>
      <w:r w:rsidRPr="00F00002">
        <w:rPr>
          <w:noProof/>
        </w:rPr>
        <w:instrText xml:space="preserve"> PAGEREF _Toc31109624 \h </w:instrText>
      </w:r>
      <w:r w:rsidRPr="00F00002">
        <w:rPr>
          <w:noProof/>
        </w:rPr>
      </w:r>
      <w:r w:rsidRPr="00F00002">
        <w:rPr>
          <w:noProof/>
        </w:rPr>
        <w:fldChar w:fldCharType="separate"/>
      </w:r>
      <w:r w:rsidR="0030184D">
        <w:rPr>
          <w:noProof/>
        </w:rPr>
        <w:t>15</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83A—Employee share schemes</w:t>
      </w:r>
      <w:r w:rsidRPr="00F00002">
        <w:rPr>
          <w:b w:val="0"/>
          <w:noProof/>
          <w:sz w:val="18"/>
        </w:rPr>
        <w:tab/>
      </w:r>
      <w:r w:rsidRPr="00F00002">
        <w:rPr>
          <w:b w:val="0"/>
          <w:noProof/>
          <w:sz w:val="18"/>
        </w:rPr>
        <w:fldChar w:fldCharType="begin"/>
      </w:r>
      <w:r w:rsidRPr="00F00002">
        <w:rPr>
          <w:b w:val="0"/>
          <w:noProof/>
          <w:sz w:val="18"/>
        </w:rPr>
        <w:instrText xml:space="preserve"> PAGEREF _Toc31109625 \h </w:instrText>
      </w:r>
      <w:r w:rsidRPr="00F00002">
        <w:rPr>
          <w:b w:val="0"/>
          <w:noProof/>
          <w:sz w:val="18"/>
        </w:rPr>
      </w:r>
      <w:r w:rsidRPr="00F00002">
        <w:rPr>
          <w:b w:val="0"/>
          <w:noProof/>
          <w:sz w:val="18"/>
        </w:rPr>
        <w:fldChar w:fldCharType="separate"/>
      </w:r>
      <w:r w:rsidR="0030184D">
        <w:rPr>
          <w:b w:val="0"/>
          <w:noProof/>
          <w:sz w:val="18"/>
        </w:rPr>
        <w:t>16</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5.01</w:t>
      </w:r>
      <w:r>
        <w:rPr>
          <w:noProof/>
        </w:rPr>
        <w:tab/>
        <w:t>Object of Division 83A</w:t>
      </w:r>
      <w:r w:rsidRPr="00F00002">
        <w:rPr>
          <w:noProof/>
        </w:rPr>
        <w:tab/>
      </w:r>
      <w:r w:rsidRPr="00F00002">
        <w:rPr>
          <w:noProof/>
        </w:rPr>
        <w:fldChar w:fldCharType="begin"/>
      </w:r>
      <w:r w:rsidRPr="00F00002">
        <w:rPr>
          <w:noProof/>
        </w:rPr>
        <w:instrText xml:space="preserve"> PAGEREF _Toc31109626 \h </w:instrText>
      </w:r>
      <w:r w:rsidRPr="00F00002">
        <w:rPr>
          <w:noProof/>
        </w:rPr>
      </w:r>
      <w:r w:rsidRPr="00F00002">
        <w:rPr>
          <w:noProof/>
        </w:rPr>
        <w:fldChar w:fldCharType="separate"/>
      </w:r>
      <w:r w:rsidR="0030184D">
        <w:rPr>
          <w:noProof/>
        </w:rPr>
        <w:t>16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315.01</w:t>
      </w:r>
      <w:r>
        <w:rPr>
          <w:noProof/>
        </w:rPr>
        <w:tab/>
        <w:t>Determining the value of a right</w:t>
      </w:r>
      <w:r w:rsidRPr="00F00002">
        <w:rPr>
          <w:noProof/>
        </w:rPr>
        <w:tab/>
      </w:r>
      <w:r w:rsidRPr="00F00002">
        <w:rPr>
          <w:noProof/>
        </w:rPr>
        <w:fldChar w:fldCharType="begin"/>
      </w:r>
      <w:r w:rsidRPr="00F00002">
        <w:rPr>
          <w:noProof/>
        </w:rPr>
        <w:instrText xml:space="preserve"> PAGEREF _Toc31109627 \h </w:instrText>
      </w:r>
      <w:r w:rsidRPr="00F00002">
        <w:rPr>
          <w:noProof/>
        </w:rPr>
      </w:r>
      <w:r w:rsidRPr="00F00002">
        <w:rPr>
          <w:noProof/>
        </w:rPr>
        <w:fldChar w:fldCharType="separate"/>
      </w:r>
      <w:r w:rsidR="0030184D">
        <w:rPr>
          <w:noProof/>
        </w:rPr>
        <w:t>16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315.02</w:t>
      </w:r>
      <w:r>
        <w:rPr>
          <w:noProof/>
        </w:rPr>
        <w:tab/>
        <w:t>Valuing unlisted rights</w:t>
      </w:r>
      <w:r w:rsidRPr="00F00002">
        <w:rPr>
          <w:noProof/>
        </w:rPr>
        <w:tab/>
      </w:r>
      <w:r w:rsidRPr="00F00002">
        <w:rPr>
          <w:noProof/>
        </w:rPr>
        <w:fldChar w:fldCharType="begin"/>
      </w:r>
      <w:r w:rsidRPr="00F00002">
        <w:rPr>
          <w:noProof/>
        </w:rPr>
        <w:instrText xml:space="preserve"> PAGEREF _Toc31109628 \h </w:instrText>
      </w:r>
      <w:r w:rsidRPr="00F00002">
        <w:rPr>
          <w:noProof/>
        </w:rPr>
      </w:r>
      <w:r w:rsidRPr="00F00002">
        <w:rPr>
          <w:noProof/>
        </w:rPr>
        <w:fldChar w:fldCharType="separate"/>
      </w:r>
      <w:r w:rsidR="0030184D">
        <w:rPr>
          <w:noProof/>
        </w:rPr>
        <w:t>16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315.03</w:t>
      </w:r>
      <w:r>
        <w:rPr>
          <w:noProof/>
        </w:rPr>
        <w:tab/>
        <w:t>Exercise price of right nil or can not be determined</w:t>
      </w:r>
      <w:r w:rsidRPr="00F00002">
        <w:rPr>
          <w:noProof/>
        </w:rPr>
        <w:tab/>
      </w:r>
      <w:r w:rsidRPr="00F00002">
        <w:rPr>
          <w:noProof/>
        </w:rPr>
        <w:fldChar w:fldCharType="begin"/>
      </w:r>
      <w:r w:rsidRPr="00F00002">
        <w:rPr>
          <w:noProof/>
        </w:rPr>
        <w:instrText xml:space="preserve"> PAGEREF _Toc31109629 \h </w:instrText>
      </w:r>
      <w:r w:rsidRPr="00F00002">
        <w:rPr>
          <w:noProof/>
        </w:rPr>
      </w:r>
      <w:r w:rsidRPr="00F00002">
        <w:rPr>
          <w:noProof/>
        </w:rPr>
        <w:fldChar w:fldCharType="separate"/>
      </w:r>
      <w:r w:rsidR="0030184D">
        <w:rPr>
          <w:noProof/>
        </w:rPr>
        <w:t>16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315.04</w:t>
      </w:r>
      <w:r>
        <w:rPr>
          <w:noProof/>
        </w:rPr>
        <w:tab/>
        <w:t>Value of beneficial interests</w:t>
      </w:r>
      <w:r w:rsidRPr="00F00002">
        <w:rPr>
          <w:noProof/>
        </w:rPr>
        <w:tab/>
      </w:r>
      <w:r w:rsidRPr="00F00002">
        <w:rPr>
          <w:noProof/>
        </w:rPr>
        <w:fldChar w:fldCharType="begin"/>
      </w:r>
      <w:r w:rsidRPr="00F00002">
        <w:rPr>
          <w:noProof/>
        </w:rPr>
        <w:instrText xml:space="preserve"> PAGEREF _Toc31109630 \h </w:instrText>
      </w:r>
      <w:r w:rsidRPr="00F00002">
        <w:rPr>
          <w:noProof/>
        </w:rPr>
      </w:r>
      <w:r w:rsidRPr="00F00002">
        <w:rPr>
          <w:noProof/>
        </w:rPr>
        <w:fldChar w:fldCharType="separate"/>
      </w:r>
      <w:r w:rsidR="0030184D">
        <w:rPr>
          <w:noProof/>
        </w:rPr>
        <w:t>16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315.05</w:t>
      </w:r>
      <w:r>
        <w:rPr>
          <w:noProof/>
        </w:rPr>
        <w:tab/>
        <w:t>Outline of remainder of Division</w:t>
      </w:r>
      <w:r w:rsidRPr="00F00002">
        <w:rPr>
          <w:noProof/>
        </w:rPr>
        <w:tab/>
      </w:r>
      <w:r w:rsidRPr="00F00002">
        <w:rPr>
          <w:noProof/>
        </w:rPr>
        <w:fldChar w:fldCharType="begin"/>
      </w:r>
      <w:r w:rsidRPr="00F00002">
        <w:rPr>
          <w:noProof/>
        </w:rPr>
        <w:instrText xml:space="preserve"> PAGEREF _Toc31109631 \h </w:instrText>
      </w:r>
      <w:r w:rsidRPr="00F00002">
        <w:rPr>
          <w:noProof/>
        </w:rPr>
      </w:r>
      <w:r w:rsidRPr="00F00002">
        <w:rPr>
          <w:noProof/>
        </w:rPr>
        <w:fldChar w:fldCharType="separate"/>
      </w:r>
      <w:r w:rsidR="0030184D">
        <w:rPr>
          <w:noProof/>
        </w:rPr>
        <w:t>17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315.06</w:t>
      </w:r>
      <w:r>
        <w:rPr>
          <w:noProof/>
        </w:rPr>
        <w:tab/>
        <w:t>Step 1—calculate the calculation percentage</w:t>
      </w:r>
      <w:r w:rsidRPr="00F00002">
        <w:rPr>
          <w:noProof/>
        </w:rPr>
        <w:tab/>
      </w:r>
      <w:r w:rsidRPr="00F00002">
        <w:rPr>
          <w:noProof/>
        </w:rPr>
        <w:fldChar w:fldCharType="begin"/>
      </w:r>
      <w:r w:rsidRPr="00F00002">
        <w:rPr>
          <w:noProof/>
        </w:rPr>
        <w:instrText xml:space="preserve"> PAGEREF _Toc31109632 \h </w:instrText>
      </w:r>
      <w:r w:rsidRPr="00F00002">
        <w:rPr>
          <w:noProof/>
        </w:rPr>
      </w:r>
      <w:r w:rsidRPr="00F00002">
        <w:rPr>
          <w:noProof/>
        </w:rPr>
        <w:fldChar w:fldCharType="separate"/>
      </w:r>
      <w:r w:rsidR="0030184D">
        <w:rPr>
          <w:noProof/>
        </w:rPr>
        <w:t>17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315.07</w:t>
      </w:r>
      <w:r>
        <w:rPr>
          <w:noProof/>
        </w:rPr>
        <w:tab/>
        <w:t>Step 2—how to use calculation percentage</w:t>
      </w:r>
      <w:r w:rsidRPr="00F00002">
        <w:rPr>
          <w:noProof/>
        </w:rPr>
        <w:tab/>
      </w:r>
      <w:r w:rsidRPr="00F00002">
        <w:rPr>
          <w:noProof/>
        </w:rPr>
        <w:fldChar w:fldCharType="begin"/>
      </w:r>
      <w:r w:rsidRPr="00F00002">
        <w:rPr>
          <w:noProof/>
        </w:rPr>
        <w:instrText xml:space="preserve"> PAGEREF _Toc31109633 \h </w:instrText>
      </w:r>
      <w:r w:rsidRPr="00F00002">
        <w:rPr>
          <w:noProof/>
        </w:rPr>
      </w:r>
      <w:r w:rsidRPr="00F00002">
        <w:rPr>
          <w:noProof/>
        </w:rPr>
        <w:fldChar w:fldCharType="separate"/>
      </w:r>
      <w:r w:rsidR="0030184D">
        <w:rPr>
          <w:noProof/>
        </w:rPr>
        <w:t>17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315.08</w:t>
      </w:r>
      <w:r>
        <w:rPr>
          <w:noProof/>
        </w:rPr>
        <w:tab/>
        <w:t>Table 1 and instructions</w:t>
      </w:r>
      <w:r w:rsidRPr="00F00002">
        <w:rPr>
          <w:noProof/>
        </w:rPr>
        <w:tab/>
      </w:r>
      <w:r w:rsidRPr="00F00002">
        <w:rPr>
          <w:noProof/>
        </w:rPr>
        <w:fldChar w:fldCharType="begin"/>
      </w:r>
      <w:r w:rsidRPr="00F00002">
        <w:rPr>
          <w:noProof/>
        </w:rPr>
        <w:instrText xml:space="preserve"> PAGEREF _Toc31109634 \h </w:instrText>
      </w:r>
      <w:r w:rsidRPr="00F00002">
        <w:rPr>
          <w:noProof/>
        </w:rPr>
      </w:r>
      <w:r w:rsidRPr="00F00002">
        <w:rPr>
          <w:noProof/>
        </w:rPr>
        <w:fldChar w:fldCharType="separate"/>
      </w:r>
      <w:r w:rsidR="0030184D">
        <w:rPr>
          <w:noProof/>
        </w:rPr>
        <w:t>17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83A</w:t>
      </w:r>
      <w:r>
        <w:rPr>
          <w:noProof/>
        </w:rPr>
        <w:noBreakHyphen/>
        <w:t>315.09</w:t>
      </w:r>
      <w:r>
        <w:rPr>
          <w:noProof/>
        </w:rPr>
        <w:tab/>
        <w:t>Table 2 and instructions</w:t>
      </w:r>
      <w:r w:rsidRPr="00F00002">
        <w:rPr>
          <w:noProof/>
        </w:rPr>
        <w:tab/>
      </w:r>
      <w:r w:rsidRPr="00F00002">
        <w:rPr>
          <w:noProof/>
        </w:rPr>
        <w:fldChar w:fldCharType="begin"/>
      </w:r>
      <w:r w:rsidRPr="00F00002">
        <w:rPr>
          <w:noProof/>
        </w:rPr>
        <w:instrText xml:space="preserve"> PAGEREF _Toc31109635 \h </w:instrText>
      </w:r>
      <w:r w:rsidRPr="00F00002">
        <w:rPr>
          <w:noProof/>
        </w:rPr>
      </w:r>
      <w:r w:rsidRPr="00F00002">
        <w:rPr>
          <w:noProof/>
        </w:rPr>
        <w:fldChar w:fldCharType="separate"/>
      </w:r>
      <w:r w:rsidR="0030184D">
        <w:rPr>
          <w:noProof/>
        </w:rPr>
        <w:t>19</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2A—Specialist liability rules</w:t>
      </w:r>
      <w:r w:rsidRPr="00F00002">
        <w:rPr>
          <w:b w:val="0"/>
          <w:noProof/>
          <w:sz w:val="18"/>
        </w:rPr>
        <w:tab/>
      </w:r>
      <w:r w:rsidRPr="00F00002">
        <w:rPr>
          <w:b w:val="0"/>
          <w:noProof/>
          <w:sz w:val="18"/>
        </w:rPr>
        <w:fldChar w:fldCharType="begin"/>
      </w:r>
      <w:r w:rsidRPr="00F00002">
        <w:rPr>
          <w:b w:val="0"/>
          <w:noProof/>
          <w:sz w:val="18"/>
        </w:rPr>
        <w:instrText xml:space="preserve"> PAGEREF _Toc31109636 \h </w:instrText>
      </w:r>
      <w:r w:rsidRPr="00F00002">
        <w:rPr>
          <w:b w:val="0"/>
          <w:noProof/>
          <w:sz w:val="18"/>
        </w:rPr>
      </w:r>
      <w:r w:rsidRPr="00F00002">
        <w:rPr>
          <w:b w:val="0"/>
          <w:noProof/>
          <w:sz w:val="18"/>
        </w:rPr>
        <w:fldChar w:fldCharType="separate"/>
      </w:r>
      <w:r w:rsidR="0030184D">
        <w:rPr>
          <w:b w:val="0"/>
          <w:noProof/>
          <w:sz w:val="18"/>
        </w:rPr>
        <w:t>21</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230—Taxation of financial arrangements</w:t>
      </w:r>
      <w:r w:rsidRPr="00F00002">
        <w:rPr>
          <w:b w:val="0"/>
          <w:noProof/>
          <w:sz w:val="18"/>
        </w:rPr>
        <w:tab/>
      </w:r>
      <w:r w:rsidRPr="00F00002">
        <w:rPr>
          <w:b w:val="0"/>
          <w:noProof/>
          <w:sz w:val="18"/>
        </w:rPr>
        <w:fldChar w:fldCharType="begin"/>
      </w:r>
      <w:r w:rsidRPr="00F00002">
        <w:rPr>
          <w:b w:val="0"/>
          <w:noProof/>
          <w:sz w:val="18"/>
        </w:rPr>
        <w:instrText xml:space="preserve"> PAGEREF _Toc31109637 \h </w:instrText>
      </w:r>
      <w:r w:rsidRPr="00F00002">
        <w:rPr>
          <w:b w:val="0"/>
          <w:noProof/>
          <w:sz w:val="18"/>
        </w:rPr>
      </w:r>
      <w:r w:rsidRPr="00F00002">
        <w:rPr>
          <w:b w:val="0"/>
          <w:noProof/>
          <w:sz w:val="18"/>
        </w:rPr>
        <w:fldChar w:fldCharType="separate"/>
      </w:r>
      <w:r w:rsidR="0030184D">
        <w:rPr>
          <w:b w:val="0"/>
          <w:noProof/>
          <w:sz w:val="18"/>
        </w:rPr>
        <w:t>21</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230</w:t>
      </w:r>
      <w:r>
        <w:rPr>
          <w:noProof/>
        </w:rPr>
        <w:noBreakHyphen/>
        <w:t>355.01</w:t>
      </w:r>
      <w:r>
        <w:rPr>
          <w:noProof/>
        </w:rPr>
        <w:tab/>
        <w:t>Recording requirements</w:t>
      </w:r>
      <w:r w:rsidRPr="00F00002">
        <w:rPr>
          <w:noProof/>
        </w:rPr>
        <w:tab/>
      </w:r>
      <w:r w:rsidRPr="00F00002">
        <w:rPr>
          <w:noProof/>
        </w:rPr>
        <w:fldChar w:fldCharType="begin"/>
      </w:r>
      <w:r w:rsidRPr="00F00002">
        <w:rPr>
          <w:noProof/>
        </w:rPr>
        <w:instrText xml:space="preserve"> PAGEREF _Toc31109638 \h </w:instrText>
      </w:r>
      <w:r w:rsidRPr="00F00002">
        <w:rPr>
          <w:noProof/>
        </w:rPr>
      </w:r>
      <w:r w:rsidRPr="00F00002">
        <w:rPr>
          <w:noProof/>
        </w:rPr>
        <w:fldChar w:fldCharType="separate"/>
      </w:r>
      <w:r w:rsidR="0030184D">
        <w:rPr>
          <w:noProof/>
        </w:rPr>
        <w:t>21</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290</w:t>
      </w:r>
      <w:r w:rsidRPr="0016279D">
        <w:rPr>
          <w:noProof/>
          <w:color w:val="000000"/>
        </w:rPr>
        <w:t>—</w:t>
      </w:r>
      <w:r>
        <w:rPr>
          <w:noProof/>
        </w:rPr>
        <w:t>Contributions to superannuation funds</w:t>
      </w:r>
      <w:r w:rsidRPr="00F00002">
        <w:rPr>
          <w:b w:val="0"/>
          <w:noProof/>
          <w:sz w:val="18"/>
        </w:rPr>
        <w:tab/>
      </w:r>
      <w:r w:rsidRPr="00F00002">
        <w:rPr>
          <w:b w:val="0"/>
          <w:noProof/>
          <w:sz w:val="18"/>
        </w:rPr>
        <w:fldChar w:fldCharType="begin"/>
      </w:r>
      <w:r w:rsidRPr="00F00002">
        <w:rPr>
          <w:b w:val="0"/>
          <w:noProof/>
          <w:sz w:val="18"/>
        </w:rPr>
        <w:instrText xml:space="preserve"> PAGEREF _Toc31109639 \h </w:instrText>
      </w:r>
      <w:r w:rsidRPr="00F00002">
        <w:rPr>
          <w:b w:val="0"/>
          <w:noProof/>
          <w:sz w:val="18"/>
        </w:rPr>
      </w:r>
      <w:r w:rsidRPr="00F00002">
        <w:rPr>
          <w:b w:val="0"/>
          <w:noProof/>
          <w:sz w:val="18"/>
        </w:rPr>
        <w:fldChar w:fldCharType="separate"/>
      </w:r>
      <w:r w:rsidR="0030184D">
        <w:rPr>
          <w:b w:val="0"/>
          <w:noProof/>
          <w:sz w:val="18"/>
        </w:rPr>
        <w:t>22</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290</w:t>
      </w:r>
      <w:r>
        <w:rPr>
          <w:noProof/>
        </w:rPr>
        <w:noBreakHyphen/>
        <w:t>C—Deducting personal contributions</w:t>
      </w:r>
      <w:r w:rsidRPr="00F00002">
        <w:rPr>
          <w:b w:val="0"/>
          <w:noProof/>
          <w:sz w:val="18"/>
        </w:rPr>
        <w:tab/>
      </w:r>
      <w:r w:rsidRPr="00F00002">
        <w:rPr>
          <w:b w:val="0"/>
          <w:noProof/>
          <w:sz w:val="18"/>
        </w:rPr>
        <w:fldChar w:fldCharType="begin"/>
      </w:r>
      <w:r w:rsidRPr="00F00002">
        <w:rPr>
          <w:b w:val="0"/>
          <w:noProof/>
          <w:sz w:val="18"/>
        </w:rPr>
        <w:instrText xml:space="preserve"> PAGEREF _Toc31109640 \h </w:instrText>
      </w:r>
      <w:r w:rsidRPr="00F00002">
        <w:rPr>
          <w:b w:val="0"/>
          <w:noProof/>
          <w:sz w:val="18"/>
        </w:rPr>
      </w:r>
      <w:r w:rsidRPr="00F00002">
        <w:rPr>
          <w:b w:val="0"/>
          <w:noProof/>
          <w:sz w:val="18"/>
        </w:rPr>
        <w:fldChar w:fldCharType="separate"/>
      </w:r>
      <w:r w:rsidR="0030184D">
        <w:rPr>
          <w:b w:val="0"/>
          <w:noProof/>
          <w:sz w:val="18"/>
        </w:rPr>
        <w:t>22</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290</w:t>
      </w:r>
      <w:r>
        <w:rPr>
          <w:noProof/>
        </w:rPr>
        <w:noBreakHyphen/>
        <w:t>155.01</w:t>
      </w:r>
      <w:r>
        <w:rPr>
          <w:noProof/>
        </w:rPr>
        <w:tab/>
        <w:t>Complying superannuation fund condition—prescribed superannuation funds</w:t>
      </w:r>
      <w:r w:rsidRPr="00F00002">
        <w:rPr>
          <w:noProof/>
        </w:rPr>
        <w:tab/>
      </w:r>
      <w:r w:rsidRPr="00F00002">
        <w:rPr>
          <w:noProof/>
        </w:rPr>
        <w:fldChar w:fldCharType="begin"/>
      </w:r>
      <w:r w:rsidRPr="00F00002">
        <w:rPr>
          <w:noProof/>
        </w:rPr>
        <w:instrText xml:space="preserve"> PAGEREF _Toc31109641 \h </w:instrText>
      </w:r>
      <w:r w:rsidRPr="00F00002">
        <w:rPr>
          <w:noProof/>
        </w:rPr>
      </w:r>
      <w:r w:rsidRPr="00F00002">
        <w:rPr>
          <w:noProof/>
        </w:rPr>
        <w:fldChar w:fldCharType="separate"/>
      </w:r>
      <w:r w:rsidR="0030184D">
        <w:rPr>
          <w:noProof/>
        </w:rPr>
        <w:t>22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290</w:t>
      </w:r>
      <w:r>
        <w:rPr>
          <w:noProof/>
        </w:rPr>
        <w:noBreakHyphen/>
        <w:t>155.05</w:t>
      </w:r>
      <w:r>
        <w:rPr>
          <w:noProof/>
        </w:rPr>
        <w:tab/>
        <w:t>Complying superannuation fund condition—prescribed contributions and superannuation funds</w:t>
      </w:r>
      <w:r w:rsidRPr="00F00002">
        <w:rPr>
          <w:noProof/>
        </w:rPr>
        <w:tab/>
      </w:r>
      <w:r w:rsidRPr="00F00002">
        <w:rPr>
          <w:noProof/>
        </w:rPr>
        <w:fldChar w:fldCharType="begin"/>
      </w:r>
      <w:r w:rsidRPr="00F00002">
        <w:rPr>
          <w:noProof/>
        </w:rPr>
        <w:instrText xml:space="preserve"> PAGEREF _Toc31109642 \h </w:instrText>
      </w:r>
      <w:r w:rsidRPr="00F00002">
        <w:rPr>
          <w:noProof/>
        </w:rPr>
      </w:r>
      <w:r w:rsidRPr="00F00002">
        <w:rPr>
          <w:noProof/>
        </w:rPr>
        <w:fldChar w:fldCharType="separate"/>
      </w:r>
      <w:r w:rsidR="0030184D">
        <w:rPr>
          <w:noProof/>
        </w:rPr>
        <w:t>22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290</w:t>
      </w:r>
      <w:r>
        <w:rPr>
          <w:noProof/>
        </w:rPr>
        <w:noBreakHyphen/>
        <w:t>170.01</w:t>
      </w:r>
      <w:r>
        <w:rPr>
          <w:noProof/>
        </w:rPr>
        <w:tab/>
        <w:t>Notice of intent to deduct contributions—contributions</w:t>
      </w:r>
      <w:r>
        <w:rPr>
          <w:noProof/>
        </w:rPr>
        <w:noBreakHyphen/>
        <w:t>splitting applications</w:t>
      </w:r>
      <w:r w:rsidRPr="00F00002">
        <w:rPr>
          <w:noProof/>
        </w:rPr>
        <w:tab/>
      </w:r>
      <w:r w:rsidRPr="00F00002">
        <w:rPr>
          <w:noProof/>
        </w:rPr>
        <w:fldChar w:fldCharType="begin"/>
      </w:r>
      <w:r w:rsidRPr="00F00002">
        <w:rPr>
          <w:noProof/>
        </w:rPr>
        <w:instrText xml:space="preserve"> PAGEREF _Toc31109643 \h </w:instrText>
      </w:r>
      <w:r w:rsidRPr="00F00002">
        <w:rPr>
          <w:noProof/>
        </w:rPr>
      </w:r>
      <w:r w:rsidRPr="00F00002">
        <w:rPr>
          <w:noProof/>
        </w:rPr>
        <w:fldChar w:fldCharType="separate"/>
      </w:r>
      <w:r w:rsidR="0030184D">
        <w:rPr>
          <w:noProof/>
        </w:rPr>
        <w:t>22</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291—Excess concessional contributions</w:t>
      </w:r>
      <w:r w:rsidRPr="00F00002">
        <w:rPr>
          <w:b w:val="0"/>
          <w:noProof/>
          <w:sz w:val="18"/>
        </w:rPr>
        <w:tab/>
      </w:r>
      <w:r w:rsidRPr="00F00002">
        <w:rPr>
          <w:b w:val="0"/>
          <w:noProof/>
          <w:sz w:val="18"/>
        </w:rPr>
        <w:fldChar w:fldCharType="begin"/>
      </w:r>
      <w:r w:rsidRPr="00F00002">
        <w:rPr>
          <w:b w:val="0"/>
          <w:noProof/>
          <w:sz w:val="18"/>
        </w:rPr>
        <w:instrText xml:space="preserve"> PAGEREF _Toc31109644 \h </w:instrText>
      </w:r>
      <w:r w:rsidRPr="00F00002">
        <w:rPr>
          <w:b w:val="0"/>
          <w:noProof/>
          <w:sz w:val="18"/>
        </w:rPr>
      </w:r>
      <w:r w:rsidRPr="00F00002">
        <w:rPr>
          <w:b w:val="0"/>
          <w:noProof/>
          <w:sz w:val="18"/>
        </w:rPr>
        <w:fldChar w:fldCharType="separate"/>
      </w:r>
      <w:r w:rsidR="0030184D">
        <w:rPr>
          <w:b w:val="0"/>
          <w:noProof/>
          <w:sz w:val="18"/>
        </w:rPr>
        <w:t>23</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F00002">
        <w:rPr>
          <w:b w:val="0"/>
          <w:noProof/>
          <w:sz w:val="18"/>
        </w:rPr>
        <w:tab/>
      </w:r>
      <w:r w:rsidRPr="00F00002">
        <w:rPr>
          <w:b w:val="0"/>
          <w:noProof/>
          <w:sz w:val="18"/>
        </w:rPr>
        <w:fldChar w:fldCharType="begin"/>
      </w:r>
      <w:r w:rsidRPr="00F00002">
        <w:rPr>
          <w:b w:val="0"/>
          <w:noProof/>
          <w:sz w:val="18"/>
        </w:rPr>
        <w:instrText xml:space="preserve"> PAGEREF _Toc31109645 \h </w:instrText>
      </w:r>
      <w:r w:rsidRPr="00F00002">
        <w:rPr>
          <w:b w:val="0"/>
          <w:noProof/>
          <w:sz w:val="18"/>
        </w:rPr>
      </w:r>
      <w:r w:rsidRPr="00F00002">
        <w:rPr>
          <w:b w:val="0"/>
          <w:noProof/>
          <w:sz w:val="18"/>
        </w:rPr>
        <w:fldChar w:fldCharType="separate"/>
      </w:r>
      <w:r w:rsidR="0030184D">
        <w:rPr>
          <w:b w:val="0"/>
          <w:noProof/>
          <w:sz w:val="18"/>
        </w:rPr>
        <w:t>23</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291</w:t>
      </w:r>
      <w:r>
        <w:rPr>
          <w:noProof/>
        </w:rPr>
        <w:noBreakHyphen/>
        <w:t>25.01</w:t>
      </w:r>
      <w:r>
        <w:rPr>
          <w:noProof/>
        </w:rPr>
        <w:tab/>
        <w:t>Concessional contributions for a financial year</w:t>
      </w:r>
      <w:r w:rsidRPr="00F00002">
        <w:rPr>
          <w:noProof/>
        </w:rPr>
        <w:tab/>
      </w:r>
      <w:r w:rsidRPr="00F00002">
        <w:rPr>
          <w:noProof/>
        </w:rPr>
        <w:fldChar w:fldCharType="begin"/>
      </w:r>
      <w:r w:rsidRPr="00F00002">
        <w:rPr>
          <w:noProof/>
        </w:rPr>
        <w:instrText xml:space="preserve"> PAGEREF _Toc31109646 \h </w:instrText>
      </w:r>
      <w:r w:rsidRPr="00F00002">
        <w:rPr>
          <w:noProof/>
        </w:rPr>
      </w:r>
      <w:r w:rsidRPr="00F00002">
        <w:rPr>
          <w:noProof/>
        </w:rPr>
        <w:fldChar w:fldCharType="separate"/>
      </w:r>
      <w:r w:rsidR="0030184D">
        <w:rPr>
          <w:noProof/>
        </w:rPr>
        <w:t>23</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F00002">
        <w:rPr>
          <w:b w:val="0"/>
          <w:noProof/>
          <w:sz w:val="18"/>
        </w:rPr>
        <w:tab/>
      </w:r>
      <w:r w:rsidRPr="00F00002">
        <w:rPr>
          <w:b w:val="0"/>
          <w:noProof/>
          <w:sz w:val="18"/>
        </w:rPr>
        <w:fldChar w:fldCharType="begin"/>
      </w:r>
      <w:r w:rsidRPr="00F00002">
        <w:rPr>
          <w:b w:val="0"/>
          <w:noProof/>
          <w:sz w:val="18"/>
        </w:rPr>
        <w:instrText xml:space="preserve"> PAGEREF _Toc31109647 \h </w:instrText>
      </w:r>
      <w:r w:rsidRPr="00F00002">
        <w:rPr>
          <w:b w:val="0"/>
          <w:noProof/>
          <w:sz w:val="18"/>
        </w:rPr>
      </w:r>
      <w:r w:rsidRPr="00F00002">
        <w:rPr>
          <w:b w:val="0"/>
          <w:noProof/>
          <w:sz w:val="18"/>
        </w:rPr>
        <w:fldChar w:fldCharType="separate"/>
      </w:r>
      <w:r w:rsidR="0030184D">
        <w:rPr>
          <w:b w:val="0"/>
          <w:noProof/>
          <w:sz w:val="18"/>
        </w:rPr>
        <w:t>25</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292</w:t>
      </w:r>
      <w:r>
        <w:rPr>
          <w:noProof/>
        </w:rPr>
        <w:noBreakHyphen/>
        <w:t>C—Excess non</w:t>
      </w:r>
      <w:r>
        <w:rPr>
          <w:noProof/>
        </w:rPr>
        <w:noBreakHyphen/>
        <w:t>concessional contributions tax</w:t>
      </w:r>
      <w:r w:rsidRPr="00F00002">
        <w:rPr>
          <w:b w:val="0"/>
          <w:noProof/>
          <w:sz w:val="18"/>
        </w:rPr>
        <w:tab/>
      </w:r>
      <w:r w:rsidRPr="00F00002">
        <w:rPr>
          <w:b w:val="0"/>
          <w:noProof/>
          <w:sz w:val="18"/>
        </w:rPr>
        <w:fldChar w:fldCharType="begin"/>
      </w:r>
      <w:r w:rsidRPr="00F00002">
        <w:rPr>
          <w:b w:val="0"/>
          <w:noProof/>
          <w:sz w:val="18"/>
        </w:rPr>
        <w:instrText xml:space="preserve"> PAGEREF _Toc31109648 \h </w:instrText>
      </w:r>
      <w:r w:rsidRPr="00F00002">
        <w:rPr>
          <w:b w:val="0"/>
          <w:noProof/>
          <w:sz w:val="18"/>
        </w:rPr>
      </w:r>
      <w:r w:rsidRPr="00F00002">
        <w:rPr>
          <w:b w:val="0"/>
          <w:noProof/>
          <w:sz w:val="18"/>
        </w:rPr>
        <w:fldChar w:fldCharType="separate"/>
      </w:r>
      <w:r w:rsidR="0030184D">
        <w:rPr>
          <w:b w:val="0"/>
          <w:noProof/>
          <w:sz w:val="18"/>
        </w:rPr>
        <w:t>25</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90.01</w:t>
      </w:r>
      <w:r>
        <w:rPr>
          <w:noProof/>
        </w:rPr>
        <w:tab/>
        <w:t>Non</w:t>
      </w:r>
      <w:r>
        <w:rPr>
          <w:noProof/>
        </w:rPr>
        <w:noBreakHyphen/>
        <w:t>concessional contributions for a financial year</w:t>
      </w:r>
      <w:r w:rsidRPr="00F00002">
        <w:rPr>
          <w:noProof/>
        </w:rPr>
        <w:tab/>
      </w:r>
      <w:r w:rsidRPr="00F00002">
        <w:rPr>
          <w:noProof/>
        </w:rPr>
        <w:fldChar w:fldCharType="begin"/>
      </w:r>
      <w:r w:rsidRPr="00F00002">
        <w:rPr>
          <w:noProof/>
        </w:rPr>
        <w:instrText xml:space="preserve"> PAGEREF _Toc31109649 \h </w:instrText>
      </w:r>
      <w:r w:rsidRPr="00F00002">
        <w:rPr>
          <w:noProof/>
        </w:rPr>
      </w:r>
      <w:r w:rsidRPr="00F00002">
        <w:rPr>
          <w:noProof/>
        </w:rPr>
        <w:fldChar w:fldCharType="separate"/>
      </w:r>
      <w:r w:rsidR="0030184D">
        <w:rPr>
          <w:noProof/>
        </w:rPr>
        <w:t>25</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292</w:t>
      </w:r>
      <w:r>
        <w:rPr>
          <w:noProof/>
        </w:rPr>
        <w:noBreakHyphen/>
        <w:t>D—Modifications for defined benefit interests</w:t>
      </w:r>
      <w:r w:rsidRPr="00F00002">
        <w:rPr>
          <w:b w:val="0"/>
          <w:noProof/>
          <w:sz w:val="18"/>
        </w:rPr>
        <w:tab/>
      </w:r>
      <w:r w:rsidRPr="00F00002">
        <w:rPr>
          <w:b w:val="0"/>
          <w:noProof/>
          <w:sz w:val="18"/>
        </w:rPr>
        <w:fldChar w:fldCharType="begin"/>
      </w:r>
      <w:r w:rsidRPr="00F00002">
        <w:rPr>
          <w:b w:val="0"/>
          <w:noProof/>
          <w:sz w:val="18"/>
        </w:rPr>
        <w:instrText xml:space="preserve"> PAGEREF _Toc31109650 \h </w:instrText>
      </w:r>
      <w:r w:rsidRPr="00F00002">
        <w:rPr>
          <w:b w:val="0"/>
          <w:noProof/>
          <w:sz w:val="18"/>
        </w:rPr>
      </w:r>
      <w:r w:rsidRPr="00F00002">
        <w:rPr>
          <w:b w:val="0"/>
          <w:noProof/>
          <w:sz w:val="18"/>
        </w:rPr>
        <w:fldChar w:fldCharType="separate"/>
      </w:r>
      <w:r w:rsidR="0030184D">
        <w:rPr>
          <w:b w:val="0"/>
          <w:noProof/>
          <w:sz w:val="18"/>
        </w:rPr>
        <w:t>25</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170.01</w:t>
      </w:r>
      <w:r>
        <w:rPr>
          <w:noProof/>
        </w:rPr>
        <w:tab/>
        <w:t>Definitions</w:t>
      </w:r>
      <w:r w:rsidRPr="00F00002">
        <w:rPr>
          <w:noProof/>
        </w:rPr>
        <w:tab/>
      </w:r>
      <w:r w:rsidRPr="00F00002">
        <w:rPr>
          <w:noProof/>
        </w:rPr>
        <w:fldChar w:fldCharType="begin"/>
      </w:r>
      <w:r w:rsidRPr="00F00002">
        <w:rPr>
          <w:noProof/>
        </w:rPr>
        <w:instrText xml:space="preserve"> PAGEREF _Toc31109651 \h </w:instrText>
      </w:r>
      <w:r w:rsidRPr="00F00002">
        <w:rPr>
          <w:noProof/>
        </w:rPr>
      </w:r>
      <w:r w:rsidRPr="00F00002">
        <w:rPr>
          <w:noProof/>
        </w:rPr>
        <w:fldChar w:fldCharType="separate"/>
      </w:r>
      <w:r w:rsidR="0030184D">
        <w:rPr>
          <w:noProof/>
        </w:rPr>
        <w:t>25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170.02</w:t>
      </w:r>
      <w:r>
        <w:rPr>
          <w:noProof/>
        </w:rPr>
        <w:tab/>
        <w:t>Notional taxed contributions—contributions for funds with 5 or more defined benefit members</w:t>
      </w:r>
      <w:r w:rsidRPr="00F00002">
        <w:rPr>
          <w:noProof/>
        </w:rPr>
        <w:tab/>
      </w:r>
      <w:r w:rsidRPr="00F00002">
        <w:rPr>
          <w:noProof/>
        </w:rPr>
        <w:fldChar w:fldCharType="begin"/>
      </w:r>
      <w:r w:rsidRPr="00F00002">
        <w:rPr>
          <w:noProof/>
        </w:rPr>
        <w:instrText xml:space="preserve"> PAGEREF _Toc31109652 \h </w:instrText>
      </w:r>
      <w:r w:rsidRPr="00F00002">
        <w:rPr>
          <w:noProof/>
        </w:rPr>
      </w:r>
      <w:r w:rsidRPr="00F00002">
        <w:rPr>
          <w:noProof/>
        </w:rPr>
        <w:fldChar w:fldCharType="separate"/>
      </w:r>
      <w:r w:rsidR="0030184D">
        <w:rPr>
          <w:noProof/>
        </w:rPr>
        <w:t>26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170.03</w:t>
      </w:r>
      <w:r>
        <w:rPr>
          <w:noProof/>
        </w:rPr>
        <w:tab/>
        <w:t>Notional taxed contributions—contributions for funds where regulation 292</w:t>
      </w:r>
      <w:r>
        <w:rPr>
          <w:noProof/>
        </w:rPr>
        <w:noBreakHyphen/>
        <w:t>170.02 does not apply</w:t>
      </w:r>
      <w:r w:rsidRPr="00F00002">
        <w:rPr>
          <w:noProof/>
        </w:rPr>
        <w:tab/>
      </w:r>
      <w:r w:rsidRPr="00F00002">
        <w:rPr>
          <w:noProof/>
        </w:rPr>
        <w:fldChar w:fldCharType="begin"/>
      </w:r>
      <w:r w:rsidRPr="00F00002">
        <w:rPr>
          <w:noProof/>
        </w:rPr>
        <w:instrText xml:space="preserve"> PAGEREF _Toc31109653 \h </w:instrText>
      </w:r>
      <w:r w:rsidRPr="00F00002">
        <w:rPr>
          <w:noProof/>
        </w:rPr>
      </w:r>
      <w:r w:rsidRPr="00F00002">
        <w:rPr>
          <w:noProof/>
        </w:rPr>
        <w:fldChar w:fldCharType="separate"/>
      </w:r>
      <w:r w:rsidR="0030184D">
        <w:rPr>
          <w:noProof/>
        </w:rPr>
        <w:t>27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170.04</w:t>
      </w:r>
      <w:r>
        <w:rPr>
          <w:noProof/>
        </w:rPr>
        <w:tab/>
        <w:t>Notional taxed contributions—nil amount</w:t>
      </w:r>
      <w:r w:rsidRPr="00F00002">
        <w:rPr>
          <w:noProof/>
        </w:rPr>
        <w:tab/>
      </w:r>
      <w:r w:rsidRPr="00F00002">
        <w:rPr>
          <w:noProof/>
        </w:rPr>
        <w:fldChar w:fldCharType="begin"/>
      </w:r>
      <w:r w:rsidRPr="00F00002">
        <w:rPr>
          <w:noProof/>
        </w:rPr>
        <w:instrText xml:space="preserve"> PAGEREF _Toc31109654 \h </w:instrText>
      </w:r>
      <w:r w:rsidRPr="00F00002">
        <w:rPr>
          <w:noProof/>
        </w:rPr>
      </w:r>
      <w:r w:rsidRPr="00F00002">
        <w:rPr>
          <w:noProof/>
        </w:rPr>
        <w:fldChar w:fldCharType="separate"/>
      </w:r>
      <w:r w:rsidR="0030184D">
        <w:rPr>
          <w:noProof/>
        </w:rPr>
        <w:t>28</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170.05</w:t>
      </w:r>
      <w:r>
        <w:rPr>
          <w:noProof/>
        </w:rPr>
        <w:tab/>
        <w:t>Notional taxed contributions—other conditions (paragraph 292</w:t>
      </w:r>
      <w:r>
        <w:rPr>
          <w:noProof/>
        </w:rPr>
        <w:noBreakHyphen/>
        <w:t>170(6)(d) of the Act)</w:t>
      </w:r>
      <w:r w:rsidRPr="00F00002">
        <w:rPr>
          <w:noProof/>
        </w:rPr>
        <w:tab/>
      </w:r>
      <w:r w:rsidRPr="00F00002">
        <w:rPr>
          <w:noProof/>
        </w:rPr>
        <w:fldChar w:fldCharType="begin"/>
      </w:r>
      <w:r w:rsidRPr="00F00002">
        <w:rPr>
          <w:noProof/>
        </w:rPr>
        <w:instrText xml:space="preserve"> PAGEREF _Toc31109655 \h </w:instrText>
      </w:r>
      <w:r w:rsidRPr="00F00002">
        <w:rPr>
          <w:noProof/>
        </w:rPr>
      </w:r>
      <w:r w:rsidRPr="00F00002">
        <w:rPr>
          <w:noProof/>
        </w:rPr>
        <w:fldChar w:fldCharType="separate"/>
      </w:r>
      <w:r w:rsidR="0030184D">
        <w:rPr>
          <w:noProof/>
        </w:rPr>
        <w:t>29</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170.06</w:t>
      </w:r>
      <w:r>
        <w:rPr>
          <w:noProof/>
        </w:rPr>
        <w:tab/>
        <w:t>Notional taxed contributions—other conditions (subparagraph 292</w:t>
      </w:r>
      <w:r>
        <w:rPr>
          <w:noProof/>
        </w:rPr>
        <w:noBreakHyphen/>
        <w:t>170(7)(e)(ii) of the Act)</w:t>
      </w:r>
      <w:r w:rsidRPr="00F00002">
        <w:rPr>
          <w:noProof/>
        </w:rPr>
        <w:tab/>
      </w:r>
      <w:r w:rsidRPr="00F00002">
        <w:rPr>
          <w:noProof/>
        </w:rPr>
        <w:fldChar w:fldCharType="begin"/>
      </w:r>
      <w:r w:rsidRPr="00F00002">
        <w:rPr>
          <w:noProof/>
        </w:rPr>
        <w:instrText xml:space="preserve"> PAGEREF _Toc31109656 \h </w:instrText>
      </w:r>
      <w:r w:rsidRPr="00F00002">
        <w:rPr>
          <w:noProof/>
        </w:rPr>
      </w:r>
      <w:r w:rsidRPr="00F00002">
        <w:rPr>
          <w:noProof/>
        </w:rPr>
        <w:fldChar w:fldCharType="separate"/>
      </w:r>
      <w:r w:rsidR="0030184D">
        <w:rPr>
          <w:noProof/>
        </w:rPr>
        <w:t>31</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170.07</w:t>
      </w:r>
      <w:r>
        <w:rPr>
          <w:noProof/>
        </w:rPr>
        <w:tab/>
        <w:t>Notional taxed contributions—other conditions (paragraph 292</w:t>
      </w:r>
      <w:r>
        <w:rPr>
          <w:noProof/>
        </w:rPr>
        <w:noBreakHyphen/>
        <w:t>170(8)(d) of the Act)</w:t>
      </w:r>
      <w:r w:rsidRPr="00F00002">
        <w:rPr>
          <w:noProof/>
        </w:rPr>
        <w:tab/>
      </w:r>
      <w:r w:rsidRPr="00F00002">
        <w:rPr>
          <w:noProof/>
        </w:rPr>
        <w:fldChar w:fldCharType="begin"/>
      </w:r>
      <w:r w:rsidRPr="00F00002">
        <w:rPr>
          <w:noProof/>
        </w:rPr>
        <w:instrText xml:space="preserve"> PAGEREF _Toc31109657 \h </w:instrText>
      </w:r>
      <w:r w:rsidRPr="00F00002">
        <w:rPr>
          <w:noProof/>
        </w:rPr>
      </w:r>
      <w:r w:rsidRPr="00F00002">
        <w:rPr>
          <w:noProof/>
        </w:rPr>
        <w:fldChar w:fldCharType="separate"/>
      </w:r>
      <w:r w:rsidR="0030184D">
        <w:rPr>
          <w:noProof/>
        </w:rPr>
        <w:t>32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292</w:t>
      </w:r>
      <w:r>
        <w:rPr>
          <w:noProof/>
        </w:rPr>
        <w:noBreakHyphen/>
        <w:t>170.08</w:t>
      </w:r>
      <w:r>
        <w:rPr>
          <w:noProof/>
        </w:rPr>
        <w:tab/>
        <w:t>Notional taxed contributions—other conditions (subparagraph 292</w:t>
      </w:r>
      <w:r>
        <w:rPr>
          <w:noProof/>
        </w:rPr>
        <w:noBreakHyphen/>
        <w:t>170(9)(e)(ii) of the Act)</w:t>
      </w:r>
      <w:r w:rsidRPr="00F00002">
        <w:rPr>
          <w:noProof/>
        </w:rPr>
        <w:tab/>
      </w:r>
      <w:r w:rsidRPr="00F00002">
        <w:rPr>
          <w:noProof/>
        </w:rPr>
        <w:fldChar w:fldCharType="begin"/>
      </w:r>
      <w:r w:rsidRPr="00F00002">
        <w:rPr>
          <w:noProof/>
        </w:rPr>
        <w:instrText xml:space="preserve"> PAGEREF _Toc31109658 \h </w:instrText>
      </w:r>
      <w:r w:rsidRPr="00F00002">
        <w:rPr>
          <w:noProof/>
        </w:rPr>
      </w:r>
      <w:r w:rsidRPr="00F00002">
        <w:rPr>
          <w:noProof/>
        </w:rPr>
        <w:fldChar w:fldCharType="separate"/>
      </w:r>
      <w:r w:rsidR="0030184D">
        <w:rPr>
          <w:noProof/>
        </w:rPr>
        <w:t>34</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293—Sustaining the superannuation contribution concession</w:t>
      </w:r>
      <w:r w:rsidRPr="00F00002">
        <w:rPr>
          <w:b w:val="0"/>
          <w:noProof/>
          <w:sz w:val="18"/>
        </w:rPr>
        <w:tab/>
      </w:r>
      <w:r w:rsidRPr="00F00002">
        <w:rPr>
          <w:b w:val="0"/>
          <w:noProof/>
          <w:sz w:val="18"/>
        </w:rPr>
        <w:fldChar w:fldCharType="begin"/>
      </w:r>
      <w:r w:rsidRPr="00F00002">
        <w:rPr>
          <w:b w:val="0"/>
          <w:noProof/>
          <w:sz w:val="18"/>
        </w:rPr>
        <w:instrText xml:space="preserve"> PAGEREF _Toc31109659 \h </w:instrText>
      </w:r>
      <w:r w:rsidRPr="00F00002">
        <w:rPr>
          <w:b w:val="0"/>
          <w:noProof/>
          <w:sz w:val="18"/>
        </w:rPr>
      </w:r>
      <w:r w:rsidRPr="00F00002">
        <w:rPr>
          <w:b w:val="0"/>
          <w:noProof/>
          <w:sz w:val="18"/>
        </w:rPr>
        <w:fldChar w:fldCharType="separate"/>
      </w:r>
      <w:r w:rsidR="0030184D">
        <w:rPr>
          <w:b w:val="0"/>
          <w:noProof/>
          <w:sz w:val="18"/>
        </w:rPr>
        <w:t>36</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F00002">
        <w:rPr>
          <w:b w:val="0"/>
          <w:noProof/>
          <w:sz w:val="18"/>
        </w:rPr>
        <w:tab/>
      </w:r>
      <w:r w:rsidRPr="00F00002">
        <w:rPr>
          <w:b w:val="0"/>
          <w:noProof/>
          <w:sz w:val="18"/>
        </w:rPr>
        <w:fldChar w:fldCharType="begin"/>
      </w:r>
      <w:r w:rsidRPr="00F00002">
        <w:rPr>
          <w:b w:val="0"/>
          <w:noProof/>
          <w:sz w:val="18"/>
        </w:rPr>
        <w:instrText xml:space="preserve"> PAGEREF _Toc31109660 \h </w:instrText>
      </w:r>
      <w:r w:rsidRPr="00F00002">
        <w:rPr>
          <w:b w:val="0"/>
          <w:noProof/>
          <w:sz w:val="18"/>
        </w:rPr>
      </w:r>
      <w:r w:rsidRPr="00F00002">
        <w:rPr>
          <w:b w:val="0"/>
          <w:noProof/>
          <w:sz w:val="18"/>
        </w:rPr>
        <w:fldChar w:fldCharType="separate"/>
      </w:r>
      <w:r w:rsidR="0030184D">
        <w:rPr>
          <w:b w:val="0"/>
          <w:noProof/>
          <w:sz w:val="18"/>
        </w:rPr>
        <w:t>36</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293</w:t>
      </w:r>
      <w:r>
        <w:rPr>
          <w:noProof/>
        </w:rPr>
        <w:noBreakHyphen/>
        <w:t>115.01</w:t>
      </w:r>
      <w:r>
        <w:rPr>
          <w:noProof/>
        </w:rPr>
        <w:tab/>
        <w:t>Method of determining amount of defined benefit contributions</w:t>
      </w:r>
      <w:r w:rsidRPr="00F00002">
        <w:rPr>
          <w:noProof/>
        </w:rPr>
        <w:tab/>
      </w:r>
      <w:r w:rsidRPr="00F00002">
        <w:rPr>
          <w:noProof/>
        </w:rPr>
        <w:fldChar w:fldCharType="begin"/>
      </w:r>
      <w:r w:rsidRPr="00F00002">
        <w:rPr>
          <w:noProof/>
        </w:rPr>
        <w:instrText xml:space="preserve"> PAGEREF _Toc31109661 \h </w:instrText>
      </w:r>
      <w:r w:rsidRPr="00F00002">
        <w:rPr>
          <w:noProof/>
        </w:rPr>
      </w:r>
      <w:r w:rsidRPr="00F00002">
        <w:rPr>
          <w:noProof/>
        </w:rPr>
        <w:fldChar w:fldCharType="separate"/>
      </w:r>
      <w:r w:rsidR="0030184D">
        <w:rPr>
          <w:noProof/>
        </w:rPr>
        <w:t>36</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293</w:t>
      </w:r>
      <w:r>
        <w:rPr>
          <w:noProof/>
        </w:rPr>
        <w:noBreakHyphen/>
        <w:t>DA—Further modifications for defined benefit interests</w:t>
      </w:r>
      <w:r w:rsidRPr="00F00002">
        <w:rPr>
          <w:b w:val="0"/>
          <w:noProof/>
          <w:sz w:val="18"/>
        </w:rPr>
        <w:tab/>
      </w:r>
      <w:r w:rsidRPr="00F00002">
        <w:rPr>
          <w:b w:val="0"/>
          <w:noProof/>
          <w:sz w:val="18"/>
        </w:rPr>
        <w:fldChar w:fldCharType="begin"/>
      </w:r>
      <w:r w:rsidRPr="00F00002">
        <w:rPr>
          <w:b w:val="0"/>
          <w:noProof/>
          <w:sz w:val="18"/>
        </w:rPr>
        <w:instrText xml:space="preserve"> PAGEREF _Toc31109662 \h </w:instrText>
      </w:r>
      <w:r w:rsidRPr="00F00002">
        <w:rPr>
          <w:b w:val="0"/>
          <w:noProof/>
          <w:sz w:val="18"/>
        </w:rPr>
      </w:r>
      <w:r w:rsidRPr="00F00002">
        <w:rPr>
          <w:b w:val="0"/>
          <w:noProof/>
          <w:sz w:val="18"/>
        </w:rPr>
        <w:fldChar w:fldCharType="separate"/>
      </w:r>
      <w:r w:rsidR="0030184D">
        <w:rPr>
          <w:b w:val="0"/>
          <w:noProof/>
          <w:sz w:val="18"/>
        </w:rPr>
        <w:t>36</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293</w:t>
      </w:r>
      <w:r>
        <w:rPr>
          <w:noProof/>
        </w:rPr>
        <w:noBreakHyphen/>
        <w:t>115.05</w:t>
      </w:r>
      <w:r>
        <w:rPr>
          <w:noProof/>
        </w:rPr>
        <w:tab/>
        <w:t>Preliminary</w:t>
      </w:r>
      <w:r w:rsidRPr="00F00002">
        <w:rPr>
          <w:noProof/>
        </w:rPr>
        <w:tab/>
      </w:r>
      <w:r w:rsidRPr="00F00002">
        <w:rPr>
          <w:noProof/>
        </w:rPr>
        <w:fldChar w:fldCharType="begin"/>
      </w:r>
      <w:r w:rsidRPr="00F00002">
        <w:rPr>
          <w:noProof/>
        </w:rPr>
        <w:instrText xml:space="preserve"> PAGEREF _Toc31109663 \h </w:instrText>
      </w:r>
      <w:r w:rsidRPr="00F00002">
        <w:rPr>
          <w:noProof/>
        </w:rPr>
      </w:r>
      <w:r w:rsidRPr="00F00002">
        <w:rPr>
          <w:noProof/>
        </w:rPr>
        <w:fldChar w:fldCharType="separate"/>
      </w:r>
      <w:r w:rsidR="0030184D">
        <w:rPr>
          <w:noProof/>
        </w:rPr>
        <w:t>36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293</w:t>
      </w:r>
      <w:r>
        <w:rPr>
          <w:noProof/>
        </w:rPr>
        <w:noBreakHyphen/>
        <w:t>115.10</w:t>
      </w:r>
      <w:r>
        <w:rPr>
          <w:noProof/>
        </w:rPr>
        <w:tab/>
        <w:t>Defined benefit contributions—non</w:t>
      </w:r>
      <w:r>
        <w:rPr>
          <w:noProof/>
        </w:rPr>
        <w:noBreakHyphen/>
        <w:t>accruing members</w:t>
      </w:r>
      <w:r w:rsidRPr="00F00002">
        <w:rPr>
          <w:noProof/>
        </w:rPr>
        <w:tab/>
      </w:r>
      <w:r w:rsidRPr="00F00002">
        <w:rPr>
          <w:noProof/>
        </w:rPr>
        <w:fldChar w:fldCharType="begin"/>
      </w:r>
      <w:r w:rsidRPr="00F00002">
        <w:rPr>
          <w:noProof/>
        </w:rPr>
        <w:instrText xml:space="preserve"> PAGEREF _Toc31109664 \h </w:instrText>
      </w:r>
      <w:r w:rsidRPr="00F00002">
        <w:rPr>
          <w:noProof/>
        </w:rPr>
      </w:r>
      <w:r w:rsidRPr="00F00002">
        <w:rPr>
          <w:noProof/>
        </w:rPr>
        <w:fldChar w:fldCharType="separate"/>
      </w:r>
      <w:r w:rsidR="0030184D">
        <w:rPr>
          <w:noProof/>
        </w:rPr>
        <w:t>36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293</w:t>
      </w:r>
      <w:r>
        <w:rPr>
          <w:noProof/>
        </w:rPr>
        <w:noBreakHyphen/>
        <w:t>115.15</w:t>
      </w:r>
      <w:r>
        <w:rPr>
          <w:noProof/>
        </w:rPr>
        <w:tab/>
        <w:t>Defined benefit contributions—accruing members with funded benefit interest</w:t>
      </w:r>
      <w:r>
        <w:rPr>
          <w:noProof/>
          <w:lang w:eastAsia="en-US"/>
        </w:rPr>
        <w:t>s</w:t>
      </w:r>
      <w:r w:rsidRPr="00F00002">
        <w:rPr>
          <w:noProof/>
        </w:rPr>
        <w:tab/>
      </w:r>
      <w:r w:rsidRPr="00F00002">
        <w:rPr>
          <w:noProof/>
        </w:rPr>
        <w:fldChar w:fldCharType="begin"/>
      </w:r>
      <w:r w:rsidRPr="00F00002">
        <w:rPr>
          <w:noProof/>
        </w:rPr>
        <w:instrText xml:space="preserve"> PAGEREF _Toc31109665 \h </w:instrText>
      </w:r>
      <w:r w:rsidRPr="00F00002">
        <w:rPr>
          <w:noProof/>
        </w:rPr>
      </w:r>
      <w:r w:rsidRPr="00F00002">
        <w:rPr>
          <w:noProof/>
        </w:rPr>
        <w:fldChar w:fldCharType="separate"/>
      </w:r>
      <w:r w:rsidR="0030184D">
        <w:rPr>
          <w:noProof/>
        </w:rPr>
        <w:t>36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293</w:t>
      </w:r>
      <w:r>
        <w:rPr>
          <w:noProof/>
        </w:rPr>
        <w:noBreakHyphen/>
        <w:t>115.20</w:t>
      </w:r>
      <w:r>
        <w:rPr>
          <w:noProof/>
        </w:rPr>
        <w:tab/>
        <w:t>Defined benefit contributions—accruing members with other interests</w:t>
      </w:r>
      <w:r w:rsidRPr="00F00002">
        <w:rPr>
          <w:noProof/>
        </w:rPr>
        <w:tab/>
      </w:r>
      <w:r w:rsidRPr="00F00002">
        <w:rPr>
          <w:noProof/>
        </w:rPr>
        <w:fldChar w:fldCharType="begin"/>
      </w:r>
      <w:r w:rsidRPr="00F00002">
        <w:rPr>
          <w:noProof/>
        </w:rPr>
        <w:instrText xml:space="preserve"> PAGEREF _Toc31109666 \h </w:instrText>
      </w:r>
      <w:r w:rsidRPr="00F00002">
        <w:rPr>
          <w:noProof/>
        </w:rPr>
      </w:r>
      <w:r w:rsidRPr="00F00002">
        <w:rPr>
          <w:noProof/>
        </w:rPr>
        <w:fldChar w:fldCharType="separate"/>
      </w:r>
      <w:r w:rsidR="0030184D">
        <w:rPr>
          <w:noProof/>
        </w:rPr>
        <w:t>37</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F00002">
        <w:rPr>
          <w:b w:val="0"/>
          <w:noProof/>
          <w:sz w:val="18"/>
        </w:rPr>
        <w:tab/>
      </w:r>
      <w:r w:rsidRPr="00F00002">
        <w:rPr>
          <w:b w:val="0"/>
          <w:noProof/>
          <w:sz w:val="18"/>
        </w:rPr>
        <w:fldChar w:fldCharType="begin"/>
      </w:r>
      <w:r w:rsidRPr="00F00002">
        <w:rPr>
          <w:b w:val="0"/>
          <w:noProof/>
          <w:sz w:val="18"/>
        </w:rPr>
        <w:instrText xml:space="preserve"> PAGEREF _Toc31109667 \h </w:instrText>
      </w:r>
      <w:r w:rsidRPr="00F00002">
        <w:rPr>
          <w:b w:val="0"/>
          <w:noProof/>
          <w:sz w:val="18"/>
        </w:rPr>
      </w:r>
      <w:r w:rsidRPr="00F00002">
        <w:rPr>
          <w:b w:val="0"/>
          <w:noProof/>
          <w:sz w:val="18"/>
        </w:rPr>
        <w:fldChar w:fldCharType="separate"/>
      </w:r>
      <w:r w:rsidR="0030184D">
        <w:rPr>
          <w:b w:val="0"/>
          <w:noProof/>
          <w:sz w:val="18"/>
        </w:rPr>
        <w:t>37</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293</w:t>
      </w:r>
      <w:r>
        <w:rPr>
          <w:noProof/>
        </w:rPr>
        <w:noBreakHyphen/>
        <w:t>145.01</w:t>
      </w:r>
      <w:r>
        <w:rPr>
          <w:noProof/>
        </w:rPr>
        <w:tab/>
        <w:t>Constitutionally protected State higher level office holders</w:t>
      </w:r>
      <w:r w:rsidRPr="00F00002">
        <w:rPr>
          <w:noProof/>
        </w:rPr>
        <w:tab/>
      </w:r>
      <w:r w:rsidRPr="00F00002">
        <w:rPr>
          <w:noProof/>
        </w:rPr>
        <w:fldChar w:fldCharType="begin"/>
      </w:r>
      <w:r w:rsidRPr="00F00002">
        <w:rPr>
          <w:noProof/>
        </w:rPr>
        <w:instrText xml:space="preserve"> PAGEREF _Toc31109668 \h </w:instrText>
      </w:r>
      <w:r w:rsidRPr="00F00002">
        <w:rPr>
          <w:noProof/>
        </w:rPr>
      </w:r>
      <w:r w:rsidRPr="00F00002">
        <w:rPr>
          <w:noProof/>
        </w:rPr>
        <w:fldChar w:fldCharType="separate"/>
      </w:r>
      <w:r w:rsidR="0030184D">
        <w:rPr>
          <w:noProof/>
        </w:rPr>
        <w:t>37</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294—Transfer balance cap</w:t>
      </w:r>
      <w:r w:rsidRPr="00F00002">
        <w:rPr>
          <w:b w:val="0"/>
          <w:noProof/>
          <w:sz w:val="18"/>
        </w:rPr>
        <w:tab/>
      </w:r>
      <w:r w:rsidRPr="00F00002">
        <w:rPr>
          <w:b w:val="0"/>
          <w:noProof/>
          <w:sz w:val="18"/>
        </w:rPr>
        <w:fldChar w:fldCharType="begin"/>
      </w:r>
      <w:r w:rsidRPr="00F00002">
        <w:rPr>
          <w:b w:val="0"/>
          <w:noProof/>
          <w:sz w:val="18"/>
        </w:rPr>
        <w:instrText xml:space="preserve"> PAGEREF _Toc31109669 \h </w:instrText>
      </w:r>
      <w:r w:rsidRPr="00F00002">
        <w:rPr>
          <w:b w:val="0"/>
          <w:noProof/>
          <w:sz w:val="18"/>
        </w:rPr>
      </w:r>
      <w:r w:rsidRPr="00F00002">
        <w:rPr>
          <w:b w:val="0"/>
          <w:noProof/>
          <w:sz w:val="18"/>
        </w:rPr>
        <w:fldChar w:fldCharType="separate"/>
      </w:r>
      <w:r w:rsidR="0030184D">
        <w:rPr>
          <w:b w:val="0"/>
          <w:noProof/>
          <w:sz w:val="18"/>
        </w:rPr>
        <w:t>39</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F00002">
        <w:rPr>
          <w:b w:val="0"/>
          <w:noProof/>
          <w:sz w:val="18"/>
        </w:rPr>
        <w:tab/>
      </w:r>
      <w:r w:rsidRPr="00F00002">
        <w:rPr>
          <w:b w:val="0"/>
          <w:noProof/>
          <w:sz w:val="18"/>
        </w:rPr>
        <w:fldChar w:fldCharType="begin"/>
      </w:r>
      <w:r w:rsidRPr="00F00002">
        <w:rPr>
          <w:b w:val="0"/>
          <w:noProof/>
          <w:sz w:val="18"/>
        </w:rPr>
        <w:instrText xml:space="preserve"> PAGEREF _Toc31109670 \h </w:instrText>
      </w:r>
      <w:r w:rsidRPr="00F00002">
        <w:rPr>
          <w:b w:val="0"/>
          <w:noProof/>
          <w:sz w:val="18"/>
        </w:rPr>
      </w:r>
      <w:r w:rsidRPr="00F00002">
        <w:rPr>
          <w:b w:val="0"/>
          <w:noProof/>
          <w:sz w:val="18"/>
        </w:rPr>
        <w:fldChar w:fldCharType="separate"/>
      </w:r>
      <w:r w:rsidR="0030184D">
        <w:rPr>
          <w:b w:val="0"/>
          <w:noProof/>
          <w:sz w:val="18"/>
        </w:rPr>
        <w:t>39</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25.01</w:t>
      </w:r>
      <w:r>
        <w:rPr>
          <w:noProof/>
        </w:rPr>
        <w:tab/>
        <w:t>Credit in transfer balance account—payment of consideration for interest supporting deferred superannuation income stream</w:t>
      </w:r>
      <w:r w:rsidRPr="00F00002">
        <w:rPr>
          <w:noProof/>
        </w:rPr>
        <w:tab/>
      </w:r>
      <w:r w:rsidRPr="00F00002">
        <w:rPr>
          <w:noProof/>
        </w:rPr>
        <w:fldChar w:fldCharType="begin"/>
      </w:r>
      <w:r w:rsidRPr="00F00002">
        <w:rPr>
          <w:noProof/>
        </w:rPr>
        <w:instrText xml:space="preserve"> PAGEREF _Toc31109671 \h </w:instrText>
      </w:r>
      <w:r w:rsidRPr="00F00002">
        <w:rPr>
          <w:noProof/>
        </w:rPr>
      </w:r>
      <w:r w:rsidRPr="00F00002">
        <w:rPr>
          <w:noProof/>
        </w:rPr>
        <w:fldChar w:fldCharType="separate"/>
      </w:r>
      <w:r w:rsidR="0030184D">
        <w:rPr>
          <w:noProof/>
        </w:rPr>
        <w:t>39</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F00002">
        <w:rPr>
          <w:b w:val="0"/>
          <w:noProof/>
          <w:sz w:val="18"/>
        </w:rPr>
        <w:tab/>
      </w:r>
      <w:r w:rsidRPr="00F00002">
        <w:rPr>
          <w:b w:val="0"/>
          <w:noProof/>
          <w:sz w:val="18"/>
        </w:rPr>
        <w:fldChar w:fldCharType="begin"/>
      </w:r>
      <w:r w:rsidRPr="00F00002">
        <w:rPr>
          <w:b w:val="0"/>
          <w:noProof/>
          <w:sz w:val="18"/>
        </w:rPr>
        <w:instrText xml:space="preserve"> PAGEREF _Toc31109672 \h </w:instrText>
      </w:r>
      <w:r w:rsidRPr="00F00002">
        <w:rPr>
          <w:b w:val="0"/>
          <w:noProof/>
          <w:sz w:val="18"/>
        </w:rPr>
      </w:r>
      <w:r w:rsidRPr="00F00002">
        <w:rPr>
          <w:b w:val="0"/>
          <w:noProof/>
          <w:sz w:val="18"/>
        </w:rPr>
        <w:fldChar w:fldCharType="separate"/>
      </w:r>
      <w:r w:rsidR="0030184D">
        <w:rPr>
          <w:b w:val="0"/>
          <w:noProof/>
          <w:sz w:val="18"/>
        </w:rPr>
        <w:t>39</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80.01</w:t>
      </w:r>
      <w:r>
        <w:rPr>
          <w:noProof/>
        </w:rPr>
        <w:tab/>
        <w:t>Debit in transfer balance account—reduction in amount of superannuation income stream benefit</w:t>
      </w:r>
      <w:r w:rsidRPr="00F00002">
        <w:rPr>
          <w:noProof/>
        </w:rPr>
        <w:tab/>
      </w:r>
      <w:r w:rsidRPr="00F00002">
        <w:rPr>
          <w:noProof/>
        </w:rPr>
        <w:fldChar w:fldCharType="begin"/>
      </w:r>
      <w:r w:rsidRPr="00F00002">
        <w:rPr>
          <w:noProof/>
        </w:rPr>
        <w:instrText xml:space="preserve"> PAGEREF _Toc31109673 \h </w:instrText>
      </w:r>
      <w:r w:rsidRPr="00F00002">
        <w:rPr>
          <w:noProof/>
        </w:rPr>
      </w:r>
      <w:r w:rsidRPr="00F00002">
        <w:rPr>
          <w:noProof/>
        </w:rPr>
        <w:fldChar w:fldCharType="separate"/>
      </w:r>
      <w:r w:rsidR="0030184D">
        <w:rPr>
          <w:noProof/>
        </w:rPr>
        <w:t>39</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80.02</w:t>
      </w:r>
      <w:r>
        <w:rPr>
          <w:noProof/>
        </w:rPr>
        <w:tab/>
        <w:t>Debit in transfer balance account—reduction in amount of superannuation income stream benefit</w:t>
      </w:r>
      <w:r w:rsidRPr="00F00002">
        <w:rPr>
          <w:noProof/>
        </w:rPr>
        <w:tab/>
      </w:r>
      <w:r w:rsidRPr="00F00002">
        <w:rPr>
          <w:noProof/>
        </w:rPr>
        <w:fldChar w:fldCharType="begin"/>
      </w:r>
      <w:r w:rsidRPr="00F00002">
        <w:rPr>
          <w:noProof/>
        </w:rPr>
        <w:instrText xml:space="preserve"> PAGEREF _Toc31109674 \h </w:instrText>
      </w:r>
      <w:r w:rsidRPr="00F00002">
        <w:rPr>
          <w:noProof/>
        </w:rPr>
      </w:r>
      <w:r w:rsidRPr="00F00002">
        <w:rPr>
          <w:noProof/>
        </w:rPr>
        <w:fldChar w:fldCharType="separate"/>
      </w:r>
      <w:r w:rsidR="0030184D">
        <w:rPr>
          <w:noProof/>
        </w:rPr>
        <w:t>40</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80.03</w:t>
      </w:r>
      <w:r>
        <w:rPr>
          <w:noProof/>
        </w:rPr>
        <w:tab/>
        <w:t>Debit in transfer balance account—certain items of table in subsection 294</w:t>
      </w:r>
      <w:r>
        <w:rPr>
          <w:noProof/>
        </w:rPr>
        <w:noBreakHyphen/>
        <w:t>80(1) of the Act do not apply to certain superannuation income streams</w:t>
      </w:r>
      <w:r w:rsidRPr="00F00002">
        <w:rPr>
          <w:noProof/>
        </w:rPr>
        <w:tab/>
      </w:r>
      <w:r w:rsidRPr="00F00002">
        <w:rPr>
          <w:noProof/>
        </w:rPr>
        <w:fldChar w:fldCharType="begin"/>
      </w:r>
      <w:r w:rsidRPr="00F00002">
        <w:rPr>
          <w:noProof/>
        </w:rPr>
        <w:instrText xml:space="preserve"> PAGEREF _Toc31109675 \h </w:instrText>
      </w:r>
      <w:r w:rsidRPr="00F00002">
        <w:rPr>
          <w:noProof/>
        </w:rPr>
      </w:r>
      <w:r w:rsidRPr="00F00002">
        <w:rPr>
          <w:noProof/>
        </w:rPr>
        <w:fldChar w:fldCharType="separate"/>
      </w:r>
      <w:r w:rsidR="0030184D">
        <w:rPr>
          <w:noProof/>
        </w:rPr>
        <w:t>40</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F00002">
        <w:rPr>
          <w:b w:val="0"/>
          <w:noProof/>
          <w:sz w:val="18"/>
        </w:rPr>
        <w:tab/>
      </w:r>
      <w:r w:rsidRPr="00F00002">
        <w:rPr>
          <w:b w:val="0"/>
          <w:noProof/>
          <w:sz w:val="18"/>
        </w:rPr>
        <w:fldChar w:fldCharType="begin"/>
      </w:r>
      <w:r w:rsidRPr="00F00002">
        <w:rPr>
          <w:b w:val="0"/>
          <w:noProof/>
          <w:sz w:val="18"/>
        </w:rPr>
        <w:instrText xml:space="preserve"> PAGEREF _Toc31109676 \h </w:instrText>
      </w:r>
      <w:r w:rsidRPr="00F00002">
        <w:rPr>
          <w:b w:val="0"/>
          <w:noProof/>
          <w:sz w:val="18"/>
        </w:rPr>
      </w:r>
      <w:r w:rsidRPr="00F00002">
        <w:rPr>
          <w:b w:val="0"/>
          <w:noProof/>
          <w:sz w:val="18"/>
        </w:rPr>
        <w:fldChar w:fldCharType="separate"/>
      </w:r>
      <w:r w:rsidR="0030184D">
        <w:rPr>
          <w:b w:val="0"/>
          <w:noProof/>
          <w:sz w:val="18"/>
        </w:rPr>
        <w:t>41</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130.01</w:t>
      </w:r>
      <w:r>
        <w:rPr>
          <w:noProof/>
        </w:rPr>
        <w:tab/>
        <w:t>Meaning of capped defined benefit income stream</w:t>
      </w:r>
      <w:r w:rsidRPr="00F00002">
        <w:rPr>
          <w:noProof/>
        </w:rPr>
        <w:tab/>
      </w:r>
      <w:r w:rsidRPr="00F00002">
        <w:rPr>
          <w:noProof/>
        </w:rPr>
        <w:fldChar w:fldCharType="begin"/>
      </w:r>
      <w:r w:rsidRPr="00F00002">
        <w:rPr>
          <w:noProof/>
        </w:rPr>
        <w:instrText xml:space="preserve"> PAGEREF _Toc31109677 \h </w:instrText>
      </w:r>
      <w:r w:rsidRPr="00F00002">
        <w:rPr>
          <w:noProof/>
        </w:rPr>
      </w:r>
      <w:r w:rsidRPr="00F00002">
        <w:rPr>
          <w:noProof/>
        </w:rPr>
        <w:fldChar w:fldCharType="separate"/>
      </w:r>
      <w:r w:rsidR="0030184D">
        <w:rPr>
          <w:noProof/>
        </w:rPr>
        <w:t>41</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135.01</w:t>
      </w:r>
      <w:r>
        <w:rPr>
          <w:noProof/>
        </w:rPr>
        <w:tab/>
        <w:t>Transfer balance credit—determining special value of a superannuation interest</w:t>
      </w:r>
      <w:r w:rsidRPr="00F00002">
        <w:rPr>
          <w:noProof/>
        </w:rPr>
        <w:tab/>
      </w:r>
      <w:r w:rsidRPr="00F00002">
        <w:rPr>
          <w:noProof/>
        </w:rPr>
        <w:fldChar w:fldCharType="begin"/>
      </w:r>
      <w:r w:rsidRPr="00F00002">
        <w:rPr>
          <w:noProof/>
        </w:rPr>
        <w:instrText xml:space="preserve"> PAGEREF _Toc31109678 \h </w:instrText>
      </w:r>
      <w:r w:rsidRPr="00F00002">
        <w:rPr>
          <w:noProof/>
        </w:rPr>
      </w:r>
      <w:r w:rsidRPr="00F00002">
        <w:rPr>
          <w:noProof/>
        </w:rPr>
        <w:fldChar w:fldCharType="separate"/>
      </w:r>
      <w:r w:rsidR="0030184D">
        <w:rPr>
          <w:noProof/>
        </w:rPr>
        <w:t>42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294</w:t>
      </w:r>
      <w:r>
        <w:rPr>
          <w:noProof/>
        </w:rPr>
        <w:noBreakHyphen/>
        <w:t>145.01</w:t>
      </w:r>
      <w:r>
        <w:rPr>
          <w:noProof/>
        </w:rPr>
        <w:tab/>
        <w:t>Transfer balance debits—determining debit value of a superannuation interest</w:t>
      </w:r>
      <w:r w:rsidRPr="00F00002">
        <w:rPr>
          <w:noProof/>
        </w:rPr>
        <w:tab/>
      </w:r>
      <w:r w:rsidRPr="00F00002">
        <w:rPr>
          <w:noProof/>
        </w:rPr>
        <w:fldChar w:fldCharType="begin"/>
      </w:r>
      <w:r w:rsidRPr="00F00002">
        <w:rPr>
          <w:noProof/>
        </w:rPr>
        <w:instrText xml:space="preserve"> PAGEREF _Toc31109679 \h </w:instrText>
      </w:r>
      <w:r w:rsidRPr="00F00002">
        <w:rPr>
          <w:noProof/>
        </w:rPr>
      </w:r>
      <w:r w:rsidRPr="00F00002">
        <w:rPr>
          <w:noProof/>
        </w:rPr>
        <w:fldChar w:fldCharType="separate"/>
      </w:r>
      <w:r w:rsidR="0030184D">
        <w:rPr>
          <w:noProof/>
        </w:rPr>
        <w:t>42</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295</w:t>
      </w:r>
      <w:r w:rsidRPr="0016279D">
        <w:rPr>
          <w:noProof/>
          <w:color w:val="000000"/>
        </w:rPr>
        <w:t>—</w:t>
      </w:r>
      <w:r>
        <w:rPr>
          <w:noProof/>
        </w:rPr>
        <w:t>Taxation of superannuation entities</w:t>
      </w:r>
      <w:r w:rsidRPr="00F00002">
        <w:rPr>
          <w:b w:val="0"/>
          <w:noProof/>
          <w:sz w:val="18"/>
        </w:rPr>
        <w:tab/>
      </w:r>
      <w:r w:rsidRPr="00F00002">
        <w:rPr>
          <w:b w:val="0"/>
          <w:noProof/>
          <w:sz w:val="18"/>
        </w:rPr>
        <w:fldChar w:fldCharType="begin"/>
      </w:r>
      <w:r w:rsidRPr="00F00002">
        <w:rPr>
          <w:b w:val="0"/>
          <w:noProof/>
          <w:sz w:val="18"/>
        </w:rPr>
        <w:instrText xml:space="preserve"> PAGEREF _Toc31109680 \h </w:instrText>
      </w:r>
      <w:r w:rsidRPr="00F00002">
        <w:rPr>
          <w:b w:val="0"/>
          <w:noProof/>
          <w:sz w:val="18"/>
        </w:rPr>
      </w:r>
      <w:r w:rsidRPr="00F00002">
        <w:rPr>
          <w:b w:val="0"/>
          <w:noProof/>
          <w:sz w:val="18"/>
        </w:rPr>
        <w:fldChar w:fldCharType="separate"/>
      </w:r>
      <w:r w:rsidR="0030184D">
        <w:rPr>
          <w:b w:val="0"/>
          <w:noProof/>
          <w:sz w:val="18"/>
        </w:rPr>
        <w:t>44</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295</w:t>
      </w:r>
      <w:r>
        <w:rPr>
          <w:noProof/>
        </w:rPr>
        <w:noBreakHyphen/>
        <w:t>D—Contributions excluded</w:t>
      </w:r>
      <w:r w:rsidRPr="00F00002">
        <w:rPr>
          <w:b w:val="0"/>
          <w:noProof/>
          <w:sz w:val="18"/>
        </w:rPr>
        <w:tab/>
      </w:r>
      <w:r w:rsidRPr="00F00002">
        <w:rPr>
          <w:b w:val="0"/>
          <w:noProof/>
          <w:sz w:val="18"/>
        </w:rPr>
        <w:fldChar w:fldCharType="begin"/>
      </w:r>
      <w:r w:rsidRPr="00F00002">
        <w:rPr>
          <w:b w:val="0"/>
          <w:noProof/>
          <w:sz w:val="18"/>
        </w:rPr>
        <w:instrText xml:space="preserve"> PAGEREF _Toc31109681 \h </w:instrText>
      </w:r>
      <w:r w:rsidRPr="00F00002">
        <w:rPr>
          <w:b w:val="0"/>
          <w:noProof/>
          <w:sz w:val="18"/>
        </w:rPr>
      </w:r>
      <w:r w:rsidRPr="00F00002">
        <w:rPr>
          <w:b w:val="0"/>
          <w:noProof/>
          <w:sz w:val="18"/>
        </w:rPr>
        <w:fldChar w:fldCharType="separate"/>
      </w:r>
      <w:r w:rsidR="0030184D">
        <w:rPr>
          <w:b w:val="0"/>
          <w:noProof/>
          <w:sz w:val="18"/>
        </w:rPr>
        <w:t>44</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sidRPr="0016279D">
        <w:rPr>
          <w:rFonts w:eastAsia="MS Mincho"/>
          <w:noProof/>
        </w:rPr>
        <w:t>295</w:t>
      </w:r>
      <w:r w:rsidRPr="0016279D">
        <w:rPr>
          <w:rFonts w:eastAsia="MS Mincho"/>
          <w:noProof/>
        </w:rPr>
        <w:noBreakHyphen/>
        <w:t>265.01</w:t>
      </w:r>
      <w:r>
        <w:rPr>
          <w:rFonts w:eastAsia="MS Mincho"/>
          <w:noProof/>
        </w:rPr>
        <w:tab/>
      </w:r>
      <w:r w:rsidRPr="0016279D">
        <w:rPr>
          <w:rFonts w:eastAsia="MS Mincho"/>
          <w:noProof/>
        </w:rPr>
        <w:t>Application of pre</w:t>
      </w:r>
      <w:r w:rsidRPr="0016279D">
        <w:rPr>
          <w:rFonts w:eastAsia="MS Mincho"/>
          <w:noProof/>
        </w:rPr>
        <w:noBreakHyphen/>
        <w:t>1 July 1988 funding credits—limit on choice</w:t>
      </w:r>
      <w:r w:rsidRPr="00F00002">
        <w:rPr>
          <w:noProof/>
        </w:rPr>
        <w:tab/>
      </w:r>
      <w:r w:rsidRPr="00F00002">
        <w:rPr>
          <w:noProof/>
        </w:rPr>
        <w:fldChar w:fldCharType="begin"/>
      </w:r>
      <w:r w:rsidRPr="00F00002">
        <w:rPr>
          <w:noProof/>
        </w:rPr>
        <w:instrText xml:space="preserve"> PAGEREF _Toc31109682 \h </w:instrText>
      </w:r>
      <w:r w:rsidRPr="00F00002">
        <w:rPr>
          <w:noProof/>
        </w:rPr>
      </w:r>
      <w:r w:rsidRPr="00F00002">
        <w:rPr>
          <w:noProof/>
        </w:rPr>
        <w:fldChar w:fldCharType="separate"/>
      </w:r>
      <w:r w:rsidR="0030184D">
        <w:rPr>
          <w:noProof/>
        </w:rPr>
        <w:t>44</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295</w:t>
      </w:r>
      <w:r>
        <w:rPr>
          <w:noProof/>
        </w:rPr>
        <w:noBreakHyphen/>
        <w:t>F—Exempt income</w:t>
      </w:r>
      <w:r w:rsidRPr="00F00002">
        <w:rPr>
          <w:b w:val="0"/>
          <w:noProof/>
          <w:sz w:val="18"/>
        </w:rPr>
        <w:tab/>
      </w:r>
      <w:r w:rsidRPr="00F00002">
        <w:rPr>
          <w:b w:val="0"/>
          <w:noProof/>
          <w:sz w:val="18"/>
        </w:rPr>
        <w:fldChar w:fldCharType="begin"/>
      </w:r>
      <w:r w:rsidRPr="00F00002">
        <w:rPr>
          <w:b w:val="0"/>
          <w:noProof/>
          <w:sz w:val="18"/>
        </w:rPr>
        <w:instrText xml:space="preserve"> PAGEREF _Toc31109683 \h </w:instrText>
      </w:r>
      <w:r w:rsidRPr="00F00002">
        <w:rPr>
          <w:b w:val="0"/>
          <w:noProof/>
          <w:sz w:val="18"/>
        </w:rPr>
      </w:r>
      <w:r w:rsidRPr="00F00002">
        <w:rPr>
          <w:b w:val="0"/>
          <w:noProof/>
          <w:sz w:val="18"/>
        </w:rPr>
        <w:fldChar w:fldCharType="separate"/>
      </w:r>
      <w:r w:rsidR="0030184D">
        <w:rPr>
          <w:b w:val="0"/>
          <w:noProof/>
          <w:sz w:val="18"/>
        </w:rPr>
        <w:t>48</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295</w:t>
      </w:r>
      <w:r>
        <w:rPr>
          <w:noProof/>
        </w:rPr>
        <w:noBreakHyphen/>
        <w:t>385.01</w:t>
      </w:r>
      <w:r>
        <w:rPr>
          <w:noProof/>
        </w:rPr>
        <w:tab/>
        <w:t>Segregated current pension assets—prescribed superannuation income stream benefits</w:t>
      </w:r>
      <w:r w:rsidRPr="00F00002">
        <w:rPr>
          <w:noProof/>
        </w:rPr>
        <w:tab/>
      </w:r>
      <w:r w:rsidRPr="00F00002">
        <w:rPr>
          <w:noProof/>
        </w:rPr>
        <w:fldChar w:fldCharType="begin"/>
      </w:r>
      <w:r w:rsidRPr="00F00002">
        <w:rPr>
          <w:noProof/>
        </w:rPr>
        <w:instrText xml:space="preserve"> PAGEREF _Toc31109684 \h </w:instrText>
      </w:r>
      <w:r w:rsidRPr="00F00002">
        <w:rPr>
          <w:noProof/>
        </w:rPr>
      </w:r>
      <w:r w:rsidRPr="00F00002">
        <w:rPr>
          <w:noProof/>
        </w:rPr>
        <w:fldChar w:fldCharType="separate"/>
      </w:r>
      <w:r w:rsidR="0030184D">
        <w:rPr>
          <w:noProof/>
        </w:rPr>
        <w:t>48</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295</w:t>
      </w:r>
      <w:r>
        <w:rPr>
          <w:noProof/>
        </w:rPr>
        <w:noBreakHyphen/>
        <w:t>G—Deductions</w:t>
      </w:r>
      <w:r w:rsidRPr="00F00002">
        <w:rPr>
          <w:b w:val="0"/>
          <w:noProof/>
          <w:sz w:val="18"/>
        </w:rPr>
        <w:tab/>
      </w:r>
      <w:r w:rsidRPr="00F00002">
        <w:rPr>
          <w:b w:val="0"/>
          <w:noProof/>
          <w:sz w:val="18"/>
        </w:rPr>
        <w:fldChar w:fldCharType="begin"/>
      </w:r>
      <w:r w:rsidRPr="00F00002">
        <w:rPr>
          <w:b w:val="0"/>
          <w:noProof/>
          <w:sz w:val="18"/>
        </w:rPr>
        <w:instrText xml:space="preserve"> PAGEREF _Toc31109685 \h </w:instrText>
      </w:r>
      <w:r w:rsidRPr="00F00002">
        <w:rPr>
          <w:b w:val="0"/>
          <w:noProof/>
          <w:sz w:val="18"/>
        </w:rPr>
      </w:r>
      <w:r w:rsidRPr="00F00002">
        <w:rPr>
          <w:b w:val="0"/>
          <w:noProof/>
          <w:sz w:val="18"/>
        </w:rPr>
        <w:fldChar w:fldCharType="separate"/>
      </w:r>
      <w:r w:rsidR="0030184D">
        <w:rPr>
          <w:b w:val="0"/>
          <w:noProof/>
          <w:sz w:val="18"/>
        </w:rPr>
        <w:t>48</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295</w:t>
      </w:r>
      <w:r>
        <w:rPr>
          <w:noProof/>
        </w:rPr>
        <w:noBreakHyphen/>
        <w:t>465.01</w:t>
      </w:r>
      <w:r>
        <w:rPr>
          <w:noProof/>
        </w:rPr>
        <w:tab/>
        <w:t>Deductible portion of premiums</w:t>
      </w:r>
      <w:r w:rsidRPr="00F00002">
        <w:rPr>
          <w:noProof/>
        </w:rPr>
        <w:tab/>
      </w:r>
      <w:r w:rsidRPr="00F00002">
        <w:rPr>
          <w:noProof/>
        </w:rPr>
        <w:fldChar w:fldCharType="begin"/>
      </w:r>
      <w:r w:rsidRPr="00F00002">
        <w:rPr>
          <w:noProof/>
        </w:rPr>
        <w:instrText xml:space="preserve"> PAGEREF _Toc31109686 \h </w:instrText>
      </w:r>
      <w:r w:rsidRPr="00F00002">
        <w:rPr>
          <w:noProof/>
        </w:rPr>
      </w:r>
      <w:r w:rsidRPr="00F00002">
        <w:rPr>
          <w:noProof/>
        </w:rPr>
        <w:fldChar w:fldCharType="separate"/>
      </w:r>
      <w:r w:rsidR="0030184D">
        <w:rPr>
          <w:noProof/>
        </w:rPr>
        <w:t>48</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3—Superannuation benefits paid from complying plans etc</w:t>
      </w:r>
      <w:r w:rsidRPr="00F00002">
        <w:rPr>
          <w:b w:val="0"/>
          <w:noProof/>
          <w:sz w:val="18"/>
        </w:rPr>
        <w:tab/>
      </w:r>
      <w:r w:rsidRPr="00F00002">
        <w:rPr>
          <w:b w:val="0"/>
          <w:noProof/>
          <w:sz w:val="18"/>
        </w:rPr>
        <w:fldChar w:fldCharType="begin"/>
      </w:r>
      <w:r w:rsidRPr="00F00002">
        <w:rPr>
          <w:b w:val="0"/>
          <w:noProof/>
          <w:sz w:val="18"/>
        </w:rPr>
        <w:instrText xml:space="preserve"> PAGEREF _Toc31109687 \h </w:instrText>
      </w:r>
      <w:r w:rsidRPr="00F00002">
        <w:rPr>
          <w:b w:val="0"/>
          <w:noProof/>
          <w:sz w:val="18"/>
        </w:rPr>
      </w:r>
      <w:r w:rsidRPr="00F00002">
        <w:rPr>
          <w:b w:val="0"/>
          <w:noProof/>
          <w:sz w:val="18"/>
        </w:rPr>
        <w:fldChar w:fldCharType="separate"/>
      </w:r>
      <w:r w:rsidR="0030184D">
        <w:rPr>
          <w:b w:val="0"/>
          <w:noProof/>
          <w:sz w:val="18"/>
        </w:rPr>
        <w:t>52</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301</w:t>
      </w:r>
      <w:r w:rsidRPr="0016279D">
        <w:rPr>
          <w:noProof/>
          <w:color w:val="000000"/>
        </w:rPr>
        <w:t>—</w:t>
      </w:r>
      <w:r>
        <w:rPr>
          <w:noProof/>
        </w:rPr>
        <w:t>Superannuation member benefits paid from complying plans etc</w:t>
      </w:r>
      <w:r w:rsidRPr="00F00002">
        <w:rPr>
          <w:b w:val="0"/>
          <w:noProof/>
          <w:sz w:val="18"/>
        </w:rPr>
        <w:tab/>
      </w:r>
      <w:r w:rsidRPr="00F00002">
        <w:rPr>
          <w:b w:val="0"/>
          <w:noProof/>
          <w:sz w:val="18"/>
        </w:rPr>
        <w:fldChar w:fldCharType="begin"/>
      </w:r>
      <w:r w:rsidRPr="00F00002">
        <w:rPr>
          <w:b w:val="0"/>
          <w:noProof/>
          <w:sz w:val="18"/>
        </w:rPr>
        <w:instrText xml:space="preserve"> PAGEREF _Toc31109688 \h </w:instrText>
      </w:r>
      <w:r w:rsidRPr="00F00002">
        <w:rPr>
          <w:b w:val="0"/>
          <w:noProof/>
          <w:sz w:val="18"/>
        </w:rPr>
      </w:r>
      <w:r w:rsidRPr="00F00002">
        <w:rPr>
          <w:b w:val="0"/>
          <w:noProof/>
          <w:sz w:val="18"/>
        </w:rPr>
        <w:fldChar w:fldCharType="separate"/>
      </w:r>
      <w:r w:rsidR="0030184D">
        <w:rPr>
          <w:b w:val="0"/>
          <w:noProof/>
          <w:sz w:val="18"/>
        </w:rPr>
        <w:t>52</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F00002">
        <w:rPr>
          <w:b w:val="0"/>
          <w:noProof/>
          <w:sz w:val="18"/>
        </w:rPr>
        <w:tab/>
      </w:r>
      <w:r w:rsidRPr="00F00002">
        <w:rPr>
          <w:b w:val="0"/>
          <w:noProof/>
          <w:sz w:val="18"/>
        </w:rPr>
        <w:fldChar w:fldCharType="begin"/>
      </w:r>
      <w:r w:rsidRPr="00F00002">
        <w:rPr>
          <w:b w:val="0"/>
          <w:noProof/>
          <w:sz w:val="18"/>
        </w:rPr>
        <w:instrText xml:space="preserve"> PAGEREF _Toc31109689 \h </w:instrText>
      </w:r>
      <w:r w:rsidRPr="00F00002">
        <w:rPr>
          <w:b w:val="0"/>
          <w:noProof/>
          <w:sz w:val="18"/>
        </w:rPr>
      </w:r>
      <w:r w:rsidRPr="00F00002">
        <w:rPr>
          <w:b w:val="0"/>
          <w:noProof/>
          <w:sz w:val="18"/>
        </w:rPr>
        <w:fldChar w:fldCharType="separate"/>
      </w:r>
      <w:r w:rsidR="0030184D">
        <w:rPr>
          <w:b w:val="0"/>
          <w:noProof/>
          <w:sz w:val="18"/>
        </w:rPr>
        <w:t>52</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301</w:t>
      </w:r>
      <w:r>
        <w:rPr>
          <w:noProof/>
        </w:rPr>
        <w:noBreakHyphen/>
        <w:t>170.01</w:t>
      </w:r>
      <w:r>
        <w:rPr>
          <w:noProof/>
        </w:rPr>
        <w:tab/>
        <w:t>Departing Australia superannuation payments</w:t>
      </w:r>
      <w:r w:rsidRPr="00F00002">
        <w:rPr>
          <w:noProof/>
        </w:rPr>
        <w:tab/>
      </w:r>
      <w:r w:rsidRPr="00F00002">
        <w:rPr>
          <w:noProof/>
        </w:rPr>
        <w:fldChar w:fldCharType="begin"/>
      </w:r>
      <w:r w:rsidRPr="00F00002">
        <w:rPr>
          <w:noProof/>
        </w:rPr>
        <w:instrText xml:space="preserve"> PAGEREF _Toc31109690 \h </w:instrText>
      </w:r>
      <w:r w:rsidRPr="00F00002">
        <w:rPr>
          <w:noProof/>
        </w:rPr>
      </w:r>
      <w:r w:rsidRPr="00F00002">
        <w:rPr>
          <w:noProof/>
        </w:rPr>
        <w:fldChar w:fldCharType="separate"/>
      </w:r>
      <w:r w:rsidR="0030184D">
        <w:rPr>
          <w:noProof/>
        </w:rPr>
        <w:t>52</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F00002">
        <w:rPr>
          <w:b w:val="0"/>
          <w:noProof/>
          <w:sz w:val="18"/>
        </w:rPr>
        <w:tab/>
      </w:r>
      <w:r w:rsidRPr="00F00002">
        <w:rPr>
          <w:b w:val="0"/>
          <w:noProof/>
          <w:sz w:val="18"/>
        </w:rPr>
        <w:fldChar w:fldCharType="begin"/>
      </w:r>
      <w:r w:rsidRPr="00F00002">
        <w:rPr>
          <w:b w:val="0"/>
          <w:noProof/>
          <w:sz w:val="18"/>
        </w:rPr>
        <w:instrText xml:space="preserve"> PAGEREF _Toc31109691 \h </w:instrText>
      </w:r>
      <w:r w:rsidRPr="00F00002">
        <w:rPr>
          <w:b w:val="0"/>
          <w:noProof/>
          <w:sz w:val="18"/>
        </w:rPr>
      </w:r>
      <w:r w:rsidRPr="00F00002">
        <w:rPr>
          <w:b w:val="0"/>
          <w:noProof/>
          <w:sz w:val="18"/>
        </w:rPr>
        <w:fldChar w:fldCharType="separate"/>
      </w:r>
      <w:r w:rsidR="0030184D">
        <w:rPr>
          <w:b w:val="0"/>
          <w:noProof/>
          <w:sz w:val="18"/>
        </w:rPr>
        <w:t>52</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301</w:t>
      </w:r>
      <w:r>
        <w:rPr>
          <w:noProof/>
        </w:rPr>
        <w:noBreakHyphen/>
        <w:t>225.01</w:t>
      </w:r>
      <w:r>
        <w:rPr>
          <w:noProof/>
        </w:rPr>
        <w:tab/>
        <w:t>Superannuation lump sum member benefits less than $200 are tax free</w:t>
      </w:r>
      <w:r w:rsidRPr="00F00002">
        <w:rPr>
          <w:noProof/>
        </w:rPr>
        <w:tab/>
      </w:r>
      <w:r w:rsidRPr="00F00002">
        <w:rPr>
          <w:noProof/>
        </w:rPr>
        <w:fldChar w:fldCharType="begin"/>
      </w:r>
      <w:r w:rsidRPr="00F00002">
        <w:rPr>
          <w:noProof/>
        </w:rPr>
        <w:instrText xml:space="preserve"> PAGEREF _Toc31109692 \h </w:instrText>
      </w:r>
      <w:r w:rsidRPr="00F00002">
        <w:rPr>
          <w:noProof/>
        </w:rPr>
      </w:r>
      <w:r w:rsidRPr="00F00002">
        <w:rPr>
          <w:noProof/>
        </w:rPr>
        <w:fldChar w:fldCharType="separate"/>
      </w:r>
      <w:r w:rsidR="0030184D">
        <w:rPr>
          <w:noProof/>
        </w:rPr>
        <w:t>52</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302</w:t>
      </w:r>
      <w:r w:rsidRPr="0016279D">
        <w:rPr>
          <w:noProof/>
          <w:color w:val="000000"/>
        </w:rPr>
        <w:t>—</w:t>
      </w:r>
      <w:r>
        <w:rPr>
          <w:noProof/>
        </w:rPr>
        <w:t>Superannuation death benefits paid from complying plans etc</w:t>
      </w:r>
      <w:r w:rsidRPr="00F00002">
        <w:rPr>
          <w:b w:val="0"/>
          <w:noProof/>
          <w:sz w:val="18"/>
        </w:rPr>
        <w:tab/>
      </w:r>
      <w:r w:rsidRPr="00F00002">
        <w:rPr>
          <w:b w:val="0"/>
          <w:noProof/>
          <w:sz w:val="18"/>
        </w:rPr>
        <w:fldChar w:fldCharType="begin"/>
      </w:r>
      <w:r w:rsidRPr="00F00002">
        <w:rPr>
          <w:b w:val="0"/>
          <w:noProof/>
          <w:sz w:val="18"/>
        </w:rPr>
        <w:instrText xml:space="preserve"> PAGEREF _Toc31109693 \h </w:instrText>
      </w:r>
      <w:r w:rsidRPr="00F00002">
        <w:rPr>
          <w:b w:val="0"/>
          <w:noProof/>
          <w:sz w:val="18"/>
        </w:rPr>
      </w:r>
      <w:r w:rsidRPr="00F00002">
        <w:rPr>
          <w:b w:val="0"/>
          <w:noProof/>
          <w:sz w:val="18"/>
        </w:rPr>
        <w:fldChar w:fldCharType="separate"/>
      </w:r>
      <w:r w:rsidR="0030184D">
        <w:rPr>
          <w:b w:val="0"/>
          <w:noProof/>
          <w:sz w:val="18"/>
        </w:rPr>
        <w:t>53</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F00002">
        <w:rPr>
          <w:b w:val="0"/>
          <w:noProof/>
          <w:sz w:val="18"/>
        </w:rPr>
        <w:tab/>
      </w:r>
      <w:r w:rsidRPr="00F00002">
        <w:rPr>
          <w:b w:val="0"/>
          <w:noProof/>
          <w:sz w:val="18"/>
        </w:rPr>
        <w:fldChar w:fldCharType="begin"/>
      </w:r>
      <w:r w:rsidRPr="00F00002">
        <w:rPr>
          <w:b w:val="0"/>
          <w:noProof/>
          <w:sz w:val="18"/>
        </w:rPr>
        <w:instrText xml:space="preserve"> PAGEREF _Toc31109694 \h </w:instrText>
      </w:r>
      <w:r w:rsidRPr="00F00002">
        <w:rPr>
          <w:b w:val="0"/>
          <w:noProof/>
          <w:sz w:val="18"/>
        </w:rPr>
      </w:r>
      <w:r w:rsidRPr="00F00002">
        <w:rPr>
          <w:b w:val="0"/>
          <w:noProof/>
          <w:sz w:val="18"/>
        </w:rPr>
        <w:fldChar w:fldCharType="separate"/>
      </w:r>
      <w:r w:rsidR="0030184D">
        <w:rPr>
          <w:b w:val="0"/>
          <w:noProof/>
          <w:sz w:val="18"/>
        </w:rPr>
        <w:t>53</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302</w:t>
      </w:r>
      <w:r>
        <w:rPr>
          <w:noProof/>
        </w:rPr>
        <w:noBreakHyphen/>
        <w:t>195</w:t>
      </w:r>
      <w:r>
        <w:rPr>
          <w:noProof/>
        </w:rPr>
        <w:tab/>
        <w:t>Circumstances in which a person died in the line of duty</w:t>
      </w:r>
      <w:r w:rsidRPr="00F00002">
        <w:rPr>
          <w:noProof/>
        </w:rPr>
        <w:tab/>
      </w:r>
      <w:r w:rsidRPr="00F00002">
        <w:rPr>
          <w:noProof/>
        </w:rPr>
        <w:fldChar w:fldCharType="begin"/>
      </w:r>
      <w:r w:rsidRPr="00F00002">
        <w:rPr>
          <w:noProof/>
        </w:rPr>
        <w:instrText xml:space="preserve"> PAGEREF _Toc31109695 \h </w:instrText>
      </w:r>
      <w:r w:rsidRPr="00F00002">
        <w:rPr>
          <w:noProof/>
        </w:rPr>
      </w:r>
      <w:r w:rsidRPr="00F00002">
        <w:rPr>
          <w:noProof/>
        </w:rPr>
        <w:fldChar w:fldCharType="separate"/>
      </w:r>
      <w:r w:rsidR="0030184D">
        <w:rPr>
          <w:noProof/>
        </w:rPr>
        <w:t>53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302</w:t>
      </w:r>
      <w:r>
        <w:rPr>
          <w:noProof/>
        </w:rPr>
        <w:noBreakHyphen/>
        <w:t>195A</w:t>
      </w:r>
      <w:r>
        <w:rPr>
          <w:noProof/>
        </w:rPr>
        <w:tab/>
        <w:t>Circumstances in which a person is taken not to have died in the line of duty</w:t>
      </w:r>
      <w:r w:rsidRPr="00F00002">
        <w:rPr>
          <w:noProof/>
        </w:rPr>
        <w:tab/>
      </w:r>
      <w:r w:rsidRPr="00F00002">
        <w:rPr>
          <w:noProof/>
        </w:rPr>
        <w:fldChar w:fldCharType="begin"/>
      </w:r>
      <w:r w:rsidRPr="00F00002">
        <w:rPr>
          <w:noProof/>
        </w:rPr>
        <w:instrText xml:space="preserve"> PAGEREF _Toc31109696 \h </w:instrText>
      </w:r>
      <w:r w:rsidRPr="00F00002">
        <w:rPr>
          <w:noProof/>
        </w:rPr>
      </w:r>
      <w:r w:rsidRPr="00F00002">
        <w:rPr>
          <w:noProof/>
        </w:rPr>
        <w:fldChar w:fldCharType="separate"/>
      </w:r>
      <w:r w:rsidR="0030184D">
        <w:rPr>
          <w:noProof/>
        </w:rPr>
        <w:t>55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302</w:t>
      </w:r>
      <w:r>
        <w:rPr>
          <w:noProof/>
        </w:rPr>
        <w:noBreakHyphen/>
        <w:t>200.01</w:t>
      </w:r>
      <w:r>
        <w:rPr>
          <w:noProof/>
        </w:rPr>
        <w:tab/>
        <w:t xml:space="preserve">What is an </w:t>
      </w:r>
      <w:r w:rsidRPr="0016279D">
        <w:rPr>
          <w:i/>
          <w:noProof/>
        </w:rPr>
        <w:t>interdependency relationship—</w:t>
      </w:r>
      <w:r>
        <w:rPr>
          <w:noProof/>
        </w:rPr>
        <w:t>matters to be taken into account</w:t>
      </w:r>
      <w:r w:rsidRPr="00F00002">
        <w:rPr>
          <w:noProof/>
        </w:rPr>
        <w:tab/>
      </w:r>
      <w:r w:rsidRPr="00F00002">
        <w:rPr>
          <w:noProof/>
        </w:rPr>
        <w:fldChar w:fldCharType="begin"/>
      </w:r>
      <w:r w:rsidRPr="00F00002">
        <w:rPr>
          <w:noProof/>
        </w:rPr>
        <w:instrText xml:space="preserve"> PAGEREF _Toc31109697 \h </w:instrText>
      </w:r>
      <w:r w:rsidRPr="00F00002">
        <w:rPr>
          <w:noProof/>
        </w:rPr>
      </w:r>
      <w:r w:rsidRPr="00F00002">
        <w:rPr>
          <w:noProof/>
        </w:rPr>
        <w:fldChar w:fldCharType="separate"/>
      </w:r>
      <w:r w:rsidR="0030184D">
        <w:rPr>
          <w:noProof/>
        </w:rPr>
        <w:t>56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302</w:t>
      </w:r>
      <w:r>
        <w:rPr>
          <w:noProof/>
        </w:rPr>
        <w:noBreakHyphen/>
        <w:t>200.02</w:t>
      </w:r>
      <w:r>
        <w:rPr>
          <w:noProof/>
        </w:rPr>
        <w:tab/>
        <w:t xml:space="preserve">What is an </w:t>
      </w:r>
      <w:r w:rsidRPr="0016279D">
        <w:rPr>
          <w:i/>
          <w:noProof/>
        </w:rPr>
        <w:t>interdependency relationship—</w:t>
      </w:r>
      <w:r>
        <w:rPr>
          <w:noProof/>
        </w:rPr>
        <w:t>existence of relationship</w:t>
      </w:r>
      <w:r w:rsidRPr="00F00002">
        <w:rPr>
          <w:noProof/>
        </w:rPr>
        <w:tab/>
      </w:r>
      <w:r w:rsidRPr="00F00002">
        <w:rPr>
          <w:noProof/>
        </w:rPr>
        <w:fldChar w:fldCharType="begin"/>
      </w:r>
      <w:r w:rsidRPr="00F00002">
        <w:rPr>
          <w:noProof/>
        </w:rPr>
        <w:instrText xml:space="preserve"> PAGEREF _Toc31109698 \h </w:instrText>
      </w:r>
      <w:r w:rsidRPr="00F00002">
        <w:rPr>
          <w:noProof/>
        </w:rPr>
      </w:r>
      <w:r w:rsidRPr="00F00002">
        <w:rPr>
          <w:noProof/>
        </w:rPr>
        <w:fldChar w:fldCharType="separate"/>
      </w:r>
      <w:r w:rsidR="0030184D">
        <w:rPr>
          <w:noProof/>
        </w:rPr>
        <w:t>57</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303</w:t>
      </w:r>
      <w:r w:rsidRPr="0016279D">
        <w:rPr>
          <w:noProof/>
          <w:color w:val="000000"/>
        </w:rPr>
        <w:t>—</w:t>
      </w:r>
      <w:r>
        <w:rPr>
          <w:noProof/>
        </w:rPr>
        <w:t>Superannuation benefits paid in special circumstances</w:t>
      </w:r>
      <w:r w:rsidRPr="00F00002">
        <w:rPr>
          <w:b w:val="0"/>
          <w:noProof/>
          <w:sz w:val="18"/>
        </w:rPr>
        <w:tab/>
      </w:r>
      <w:r w:rsidRPr="00F00002">
        <w:rPr>
          <w:b w:val="0"/>
          <w:noProof/>
          <w:sz w:val="18"/>
        </w:rPr>
        <w:fldChar w:fldCharType="begin"/>
      </w:r>
      <w:r w:rsidRPr="00F00002">
        <w:rPr>
          <w:b w:val="0"/>
          <w:noProof/>
          <w:sz w:val="18"/>
        </w:rPr>
        <w:instrText xml:space="preserve"> PAGEREF _Toc31109699 \h </w:instrText>
      </w:r>
      <w:r w:rsidRPr="00F00002">
        <w:rPr>
          <w:b w:val="0"/>
          <w:noProof/>
          <w:sz w:val="18"/>
        </w:rPr>
      </w:r>
      <w:r w:rsidRPr="00F00002">
        <w:rPr>
          <w:b w:val="0"/>
          <w:noProof/>
          <w:sz w:val="18"/>
        </w:rPr>
        <w:fldChar w:fldCharType="separate"/>
      </w:r>
      <w:r w:rsidR="0030184D">
        <w:rPr>
          <w:b w:val="0"/>
          <w:noProof/>
          <w:sz w:val="18"/>
        </w:rPr>
        <w:t>58</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303</w:t>
      </w:r>
      <w:r>
        <w:rPr>
          <w:noProof/>
        </w:rPr>
        <w:noBreakHyphen/>
        <w:t>10.01</w:t>
      </w:r>
      <w:r>
        <w:rPr>
          <w:noProof/>
          <w:color w:val="000000"/>
        </w:rPr>
        <w:tab/>
      </w:r>
      <w:r>
        <w:rPr>
          <w:noProof/>
        </w:rPr>
        <w:t xml:space="preserve">Meaning of </w:t>
      </w:r>
      <w:r w:rsidRPr="0016279D">
        <w:rPr>
          <w:i/>
          <w:noProof/>
        </w:rPr>
        <w:t>terminal medical condition</w:t>
      </w:r>
      <w:r w:rsidRPr="00F00002">
        <w:rPr>
          <w:noProof/>
        </w:rPr>
        <w:tab/>
      </w:r>
      <w:r w:rsidRPr="00F00002">
        <w:rPr>
          <w:noProof/>
        </w:rPr>
        <w:fldChar w:fldCharType="begin"/>
      </w:r>
      <w:r w:rsidRPr="00F00002">
        <w:rPr>
          <w:noProof/>
        </w:rPr>
        <w:instrText xml:space="preserve"> PAGEREF _Toc31109700 \h </w:instrText>
      </w:r>
      <w:r w:rsidRPr="00F00002">
        <w:rPr>
          <w:noProof/>
        </w:rPr>
      </w:r>
      <w:r w:rsidRPr="00F00002">
        <w:rPr>
          <w:noProof/>
        </w:rPr>
        <w:fldChar w:fldCharType="separate"/>
      </w:r>
      <w:r w:rsidR="0030184D">
        <w:rPr>
          <w:noProof/>
        </w:rPr>
        <w:t>58</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306</w:t>
      </w:r>
      <w:r w:rsidRPr="0016279D">
        <w:rPr>
          <w:noProof/>
          <w:color w:val="000000"/>
        </w:rPr>
        <w:t>—</w:t>
      </w:r>
      <w:r>
        <w:rPr>
          <w:noProof/>
        </w:rPr>
        <w:t>Roll</w:t>
      </w:r>
      <w:r>
        <w:rPr>
          <w:noProof/>
        </w:rPr>
        <w:noBreakHyphen/>
        <w:t>overs etc</w:t>
      </w:r>
      <w:r w:rsidRPr="00F00002">
        <w:rPr>
          <w:b w:val="0"/>
          <w:noProof/>
          <w:sz w:val="18"/>
        </w:rPr>
        <w:tab/>
      </w:r>
      <w:r w:rsidRPr="00F00002">
        <w:rPr>
          <w:b w:val="0"/>
          <w:noProof/>
          <w:sz w:val="18"/>
        </w:rPr>
        <w:fldChar w:fldCharType="begin"/>
      </w:r>
      <w:r w:rsidRPr="00F00002">
        <w:rPr>
          <w:b w:val="0"/>
          <w:noProof/>
          <w:sz w:val="18"/>
        </w:rPr>
        <w:instrText xml:space="preserve"> PAGEREF _Toc31109701 \h </w:instrText>
      </w:r>
      <w:r w:rsidRPr="00F00002">
        <w:rPr>
          <w:b w:val="0"/>
          <w:noProof/>
          <w:sz w:val="18"/>
        </w:rPr>
      </w:r>
      <w:r w:rsidRPr="00F00002">
        <w:rPr>
          <w:b w:val="0"/>
          <w:noProof/>
          <w:sz w:val="18"/>
        </w:rPr>
        <w:fldChar w:fldCharType="separate"/>
      </w:r>
      <w:r w:rsidR="0030184D">
        <w:rPr>
          <w:b w:val="0"/>
          <w:noProof/>
          <w:sz w:val="18"/>
        </w:rPr>
        <w:t>59</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306</w:t>
      </w:r>
      <w:r>
        <w:rPr>
          <w:noProof/>
        </w:rPr>
        <w:noBreakHyphen/>
        <w:t>10.01</w:t>
      </w:r>
      <w:r>
        <w:rPr>
          <w:noProof/>
        </w:rPr>
        <w:tab/>
        <w:t>Roll</w:t>
      </w:r>
      <w:r>
        <w:rPr>
          <w:noProof/>
        </w:rPr>
        <w:noBreakHyphen/>
        <w:t>over superannuation benefit</w:t>
      </w:r>
      <w:r w:rsidRPr="00F00002">
        <w:rPr>
          <w:noProof/>
        </w:rPr>
        <w:tab/>
      </w:r>
      <w:r w:rsidRPr="00F00002">
        <w:rPr>
          <w:noProof/>
        </w:rPr>
        <w:fldChar w:fldCharType="begin"/>
      </w:r>
      <w:r w:rsidRPr="00F00002">
        <w:rPr>
          <w:noProof/>
        </w:rPr>
        <w:instrText xml:space="preserve"> PAGEREF _Toc31109702 \h </w:instrText>
      </w:r>
      <w:r w:rsidRPr="00F00002">
        <w:rPr>
          <w:noProof/>
        </w:rPr>
      </w:r>
      <w:r w:rsidRPr="00F00002">
        <w:rPr>
          <w:noProof/>
        </w:rPr>
        <w:fldChar w:fldCharType="separate"/>
      </w:r>
      <w:r w:rsidR="0030184D">
        <w:rPr>
          <w:noProof/>
        </w:rPr>
        <w:t>59</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307</w:t>
      </w:r>
      <w:r w:rsidRPr="0016279D">
        <w:rPr>
          <w:noProof/>
          <w:color w:val="000000"/>
        </w:rPr>
        <w:t>—</w:t>
      </w:r>
      <w:r>
        <w:rPr>
          <w:noProof/>
        </w:rPr>
        <w:t>Key concepts relating to superannuation benefits</w:t>
      </w:r>
      <w:r w:rsidRPr="00F00002">
        <w:rPr>
          <w:b w:val="0"/>
          <w:noProof/>
          <w:sz w:val="18"/>
        </w:rPr>
        <w:tab/>
      </w:r>
      <w:r w:rsidRPr="00F00002">
        <w:rPr>
          <w:b w:val="0"/>
          <w:noProof/>
          <w:sz w:val="18"/>
        </w:rPr>
        <w:fldChar w:fldCharType="begin"/>
      </w:r>
      <w:r w:rsidRPr="00F00002">
        <w:rPr>
          <w:b w:val="0"/>
          <w:noProof/>
          <w:sz w:val="18"/>
        </w:rPr>
        <w:instrText xml:space="preserve"> PAGEREF _Toc31109703 \h </w:instrText>
      </w:r>
      <w:r w:rsidRPr="00F00002">
        <w:rPr>
          <w:b w:val="0"/>
          <w:noProof/>
          <w:sz w:val="18"/>
        </w:rPr>
      </w:r>
      <w:r w:rsidRPr="00F00002">
        <w:rPr>
          <w:b w:val="0"/>
          <w:noProof/>
          <w:sz w:val="18"/>
        </w:rPr>
        <w:fldChar w:fldCharType="separate"/>
      </w:r>
      <w:r w:rsidR="0030184D">
        <w:rPr>
          <w:b w:val="0"/>
          <w:noProof/>
          <w:sz w:val="18"/>
        </w:rPr>
        <w:t>60</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F00002">
        <w:rPr>
          <w:b w:val="0"/>
          <w:noProof/>
          <w:sz w:val="18"/>
        </w:rPr>
        <w:tab/>
      </w:r>
      <w:r w:rsidRPr="00F00002">
        <w:rPr>
          <w:b w:val="0"/>
          <w:noProof/>
          <w:sz w:val="18"/>
        </w:rPr>
        <w:fldChar w:fldCharType="begin"/>
      </w:r>
      <w:r w:rsidRPr="00F00002">
        <w:rPr>
          <w:b w:val="0"/>
          <w:noProof/>
          <w:sz w:val="18"/>
        </w:rPr>
        <w:instrText xml:space="preserve"> PAGEREF _Toc31109704 \h </w:instrText>
      </w:r>
      <w:r w:rsidRPr="00F00002">
        <w:rPr>
          <w:b w:val="0"/>
          <w:noProof/>
          <w:sz w:val="18"/>
        </w:rPr>
      </w:r>
      <w:r w:rsidRPr="00F00002">
        <w:rPr>
          <w:b w:val="0"/>
          <w:noProof/>
          <w:sz w:val="18"/>
        </w:rPr>
        <w:fldChar w:fldCharType="separate"/>
      </w:r>
      <w:r w:rsidR="0030184D">
        <w:rPr>
          <w:b w:val="0"/>
          <w:noProof/>
          <w:sz w:val="18"/>
        </w:rPr>
        <w:t>60</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70.01</w:t>
      </w:r>
      <w:r>
        <w:rPr>
          <w:noProof/>
        </w:rPr>
        <w:tab/>
        <w:t>Superannuation income stream benefits</w:t>
      </w:r>
      <w:r w:rsidRPr="00F00002">
        <w:rPr>
          <w:noProof/>
        </w:rPr>
        <w:tab/>
      </w:r>
      <w:r w:rsidRPr="00F00002">
        <w:rPr>
          <w:noProof/>
        </w:rPr>
        <w:fldChar w:fldCharType="begin"/>
      </w:r>
      <w:r w:rsidRPr="00F00002">
        <w:rPr>
          <w:noProof/>
        </w:rPr>
        <w:instrText xml:space="preserve"> PAGEREF _Toc31109705 \h </w:instrText>
      </w:r>
      <w:r w:rsidRPr="00F00002">
        <w:rPr>
          <w:noProof/>
        </w:rPr>
      </w:r>
      <w:r w:rsidRPr="00F00002">
        <w:rPr>
          <w:noProof/>
        </w:rPr>
        <w:fldChar w:fldCharType="separate"/>
      </w:r>
      <w:r w:rsidR="0030184D">
        <w:rPr>
          <w:noProof/>
        </w:rPr>
        <w:t>60</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F00002">
        <w:rPr>
          <w:b w:val="0"/>
          <w:noProof/>
          <w:sz w:val="18"/>
        </w:rPr>
        <w:tab/>
      </w:r>
      <w:r w:rsidRPr="00F00002">
        <w:rPr>
          <w:b w:val="0"/>
          <w:noProof/>
          <w:sz w:val="18"/>
        </w:rPr>
        <w:fldChar w:fldCharType="begin"/>
      </w:r>
      <w:r w:rsidRPr="00F00002">
        <w:rPr>
          <w:b w:val="0"/>
          <w:noProof/>
          <w:sz w:val="18"/>
        </w:rPr>
        <w:instrText xml:space="preserve"> PAGEREF _Toc31109706 \h </w:instrText>
      </w:r>
      <w:r w:rsidRPr="00F00002">
        <w:rPr>
          <w:b w:val="0"/>
          <w:noProof/>
          <w:sz w:val="18"/>
        </w:rPr>
      </w:r>
      <w:r w:rsidRPr="00F00002">
        <w:rPr>
          <w:b w:val="0"/>
          <w:noProof/>
          <w:sz w:val="18"/>
        </w:rPr>
        <w:fldChar w:fldCharType="separate"/>
      </w:r>
      <w:r w:rsidR="0030184D">
        <w:rPr>
          <w:b w:val="0"/>
          <w:noProof/>
          <w:sz w:val="18"/>
        </w:rPr>
        <w:t>60</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125.01</w:t>
      </w:r>
      <w:r>
        <w:rPr>
          <w:noProof/>
        </w:rPr>
        <w:tab/>
        <w:t>Components of member benefits accruing before 1 July 1999 paid from the Military Superannuation and Benefits Scheme</w:t>
      </w:r>
      <w:r w:rsidRPr="00F00002">
        <w:rPr>
          <w:noProof/>
        </w:rPr>
        <w:tab/>
      </w:r>
      <w:r w:rsidRPr="00F00002">
        <w:rPr>
          <w:noProof/>
        </w:rPr>
        <w:fldChar w:fldCharType="begin"/>
      </w:r>
      <w:r w:rsidRPr="00F00002">
        <w:rPr>
          <w:noProof/>
        </w:rPr>
        <w:instrText xml:space="preserve"> PAGEREF _Toc31109707 \h </w:instrText>
      </w:r>
      <w:r w:rsidRPr="00F00002">
        <w:rPr>
          <w:noProof/>
        </w:rPr>
      </w:r>
      <w:r w:rsidRPr="00F00002">
        <w:rPr>
          <w:noProof/>
        </w:rPr>
        <w:fldChar w:fldCharType="separate"/>
      </w:r>
      <w:r w:rsidR="0030184D">
        <w:rPr>
          <w:noProof/>
        </w:rPr>
        <w:t>60</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125.02</w:t>
      </w:r>
      <w:r>
        <w:rPr>
          <w:noProof/>
        </w:rPr>
        <w:tab/>
        <w:t>Components of superannuation benefits after death of recipient of superannuation income stream</w:t>
      </w:r>
      <w:r w:rsidRPr="00F00002">
        <w:rPr>
          <w:noProof/>
        </w:rPr>
        <w:tab/>
      </w:r>
      <w:r w:rsidRPr="00F00002">
        <w:rPr>
          <w:noProof/>
        </w:rPr>
        <w:fldChar w:fldCharType="begin"/>
      </w:r>
      <w:r w:rsidRPr="00F00002">
        <w:rPr>
          <w:noProof/>
        </w:rPr>
        <w:instrText xml:space="preserve"> PAGEREF _Toc31109708 \h </w:instrText>
      </w:r>
      <w:r w:rsidRPr="00F00002">
        <w:rPr>
          <w:noProof/>
        </w:rPr>
      </w:r>
      <w:r w:rsidRPr="00F00002">
        <w:rPr>
          <w:noProof/>
        </w:rPr>
        <w:fldChar w:fldCharType="separate"/>
      </w:r>
      <w:r w:rsidR="0030184D">
        <w:rPr>
          <w:noProof/>
        </w:rPr>
        <w:t>61</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F00002">
        <w:rPr>
          <w:b w:val="0"/>
          <w:noProof/>
          <w:sz w:val="18"/>
        </w:rPr>
        <w:tab/>
      </w:r>
      <w:r w:rsidRPr="00F00002">
        <w:rPr>
          <w:b w:val="0"/>
          <w:noProof/>
          <w:sz w:val="18"/>
        </w:rPr>
        <w:fldChar w:fldCharType="begin"/>
      </w:r>
      <w:r w:rsidRPr="00F00002">
        <w:rPr>
          <w:b w:val="0"/>
          <w:noProof/>
          <w:sz w:val="18"/>
        </w:rPr>
        <w:instrText xml:space="preserve"> PAGEREF _Toc31109709 \h </w:instrText>
      </w:r>
      <w:r w:rsidRPr="00F00002">
        <w:rPr>
          <w:b w:val="0"/>
          <w:noProof/>
          <w:sz w:val="18"/>
        </w:rPr>
      </w:r>
      <w:r w:rsidRPr="00F00002">
        <w:rPr>
          <w:b w:val="0"/>
          <w:noProof/>
          <w:sz w:val="18"/>
        </w:rPr>
        <w:fldChar w:fldCharType="separate"/>
      </w:r>
      <w:r w:rsidR="0030184D">
        <w:rPr>
          <w:b w:val="0"/>
          <w:noProof/>
          <w:sz w:val="18"/>
        </w:rPr>
        <w:t>62</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200.01</w:t>
      </w:r>
      <w:r>
        <w:rPr>
          <w:noProof/>
        </w:rPr>
        <w:tab/>
        <w:t>Application of Subdivision 307</w:t>
      </w:r>
      <w:r>
        <w:rPr>
          <w:noProof/>
        </w:rPr>
        <w:noBreakHyphen/>
        <w:t>D to Subdivisions 291</w:t>
      </w:r>
      <w:r>
        <w:rPr>
          <w:noProof/>
        </w:rPr>
        <w:noBreakHyphen/>
        <w:t>C and 293</w:t>
      </w:r>
      <w:r>
        <w:rPr>
          <w:noProof/>
        </w:rPr>
        <w:noBreakHyphen/>
        <w:t>D of the Act</w:t>
      </w:r>
      <w:r w:rsidRPr="00F00002">
        <w:rPr>
          <w:noProof/>
        </w:rPr>
        <w:tab/>
      </w:r>
      <w:r w:rsidRPr="00F00002">
        <w:rPr>
          <w:noProof/>
        </w:rPr>
        <w:fldChar w:fldCharType="begin"/>
      </w:r>
      <w:r w:rsidRPr="00F00002">
        <w:rPr>
          <w:noProof/>
        </w:rPr>
        <w:instrText xml:space="preserve"> PAGEREF _Toc31109710 \h </w:instrText>
      </w:r>
      <w:r w:rsidRPr="00F00002">
        <w:rPr>
          <w:noProof/>
        </w:rPr>
      </w:r>
      <w:r w:rsidRPr="00F00002">
        <w:rPr>
          <w:noProof/>
        </w:rPr>
        <w:fldChar w:fldCharType="separate"/>
      </w:r>
      <w:r w:rsidR="0030184D">
        <w:rPr>
          <w:noProof/>
        </w:rPr>
        <w:t>62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200.02</w:t>
      </w:r>
      <w:r>
        <w:rPr>
          <w:noProof/>
        </w:rPr>
        <w:tab/>
        <w:t>Meaning of superannuation interests</w:t>
      </w:r>
      <w:r w:rsidRPr="00F00002">
        <w:rPr>
          <w:noProof/>
        </w:rPr>
        <w:tab/>
      </w:r>
      <w:r w:rsidRPr="00F00002">
        <w:rPr>
          <w:noProof/>
        </w:rPr>
        <w:fldChar w:fldCharType="begin"/>
      </w:r>
      <w:r w:rsidRPr="00F00002">
        <w:rPr>
          <w:noProof/>
        </w:rPr>
        <w:instrText xml:space="preserve"> PAGEREF _Toc31109711 \h </w:instrText>
      </w:r>
      <w:r w:rsidRPr="00F00002">
        <w:rPr>
          <w:noProof/>
        </w:rPr>
      </w:r>
      <w:r w:rsidRPr="00F00002">
        <w:rPr>
          <w:noProof/>
        </w:rPr>
        <w:fldChar w:fldCharType="separate"/>
      </w:r>
      <w:r w:rsidR="0030184D">
        <w:rPr>
          <w:noProof/>
        </w:rPr>
        <w:t>62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200.03</w:t>
      </w:r>
      <w:r>
        <w:rPr>
          <w:noProof/>
        </w:rPr>
        <w:tab/>
        <w:t>Meaning of superannuation interests—treating a superannuation interest as 2 or more superannuation interests (public sector schemes)</w:t>
      </w:r>
      <w:r w:rsidRPr="00F00002">
        <w:rPr>
          <w:noProof/>
        </w:rPr>
        <w:tab/>
      </w:r>
      <w:r w:rsidRPr="00F00002">
        <w:rPr>
          <w:noProof/>
        </w:rPr>
        <w:fldChar w:fldCharType="begin"/>
      </w:r>
      <w:r w:rsidRPr="00F00002">
        <w:rPr>
          <w:noProof/>
        </w:rPr>
        <w:instrText xml:space="preserve"> PAGEREF _Toc31109712 \h </w:instrText>
      </w:r>
      <w:r w:rsidRPr="00F00002">
        <w:rPr>
          <w:noProof/>
        </w:rPr>
      </w:r>
      <w:r w:rsidRPr="00F00002">
        <w:rPr>
          <w:noProof/>
        </w:rPr>
        <w:fldChar w:fldCharType="separate"/>
      </w:r>
      <w:r w:rsidR="0030184D">
        <w:rPr>
          <w:noProof/>
        </w:rPr>
        <w:t>63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200.05</w:t>
      </w:r>
      <w:r>
        <w:rPr>
          <w:noProof/>
        </w:rPr>
        <w:tab/>
        <w:t>Meaning of superannuation interests—treating a superannuation interest as 2 or more superannuation interests (superannuation income streams)</w:t>
      </w:r>
      <w:r w:rsidRPr="00F00002">
        <w:rPr>
          <w:noProof/>
        </w:rPr>
        <w:tab/>
      </w:r>
      <w:r w:rsidRPr="00F00002">
        <w:rPr>
          <w:noProof/>
        </w:rPr>
        <w:fldChar w:fldCharType="begin"/>
      </w:r>
      <w:r w:rsidRPr="00F00002">
        <w:rPr>
          <w:noProof/>
        </w:rPr>
        <w:instrText xml:space="preserve"> PAGEREF _Toc31109713 \h </w:instrText>
      </w:r>
      <w:r w:rsidRPr="00F00002">
        <w:rPr>
          <w:noProof/>
        </w:rPr>
      </w:r>
      <w:r w:rsidRPr="00F00002">
        <w:rPr>
          <w:noProof/>
        </w:rPr>
        <w:fldChar w:fldCharType="separate"/>
      </w:r>
      <w:r w:rsidR="0030184D">
        <w:rPr>
          <w:noProof/>
        </w:rPr>
        <w:t>63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205.01</w:t>
      </w:r>
      <w:r>
        <w:rPr>
          <w:noProof/>
        </w:rPr>
        <w:tab/>
        <w:t>Value of superannuation interest for calculating pre</w:t>
      </w:r>
      <w:r>
        <w:rPr>
          <w:noProof/>
        </w:rPr>
        <w:noBreakHyphen/>
        <w:t>July 1983 amount for members in the contributions and investment phase</w:t>
      </w:r>
      <w:r w:rsidRPr="00F00002">
        <w:rPr>
          <w:noProof/>
        </w:rPr>
        <w:tab/>
      </w:r>
      <w:r w:rsidRPr="00F00002">
        <w:rPr>
          <w:noProof/>
        </w:rPr>
        <w:fldChar w:fldCharType="begin"/>
      </w:r>
      <w:r w:rsidRPr="00F00002">
        <w:rPr>
          <w:noProof/>
        </w:rPr>
        <w:instrText xml:space="preserve"> PAGEREF _Toc31109714 \h </w:instrText>
      </w:r>
      <w:r w:rsidRPr="00F00002">
        <w:rPr>
          <w:noProof/>
        </w:rPr>
      </w:r>
      <w:r w:rsidRPr="00F00002">
        <w:rPr>
          <w:noProof/>
        </w:rPr>
        <w:fldChar w:fldCharType="separate"/>
      </w:r>
      <w:r w:rsidR="0030184D">
        <w:rPr>
          <w:noProof/>
        </w:rPr>
        <w:t>63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205.02</w:t>
      </w:r>
      <w:r>
        <w:rPr>
          <w:noProof/>
        </w:rPr>
        <w:tab/>
        <w:t>Value of superannuation interest</w:t>
      </w:r>
      <w:r w:rsidRPr="00F00002">
        <w:rPr>
          <w:noProof/>
        </w:rPr>
        <w:tab/>
      </w:r>
      <w:r w:rsidRPr="00F00002">
        <w:rPr>
          <w:noProof/>
        </w:rPr>
        <w:fldChar w:fldCharType="begin"/>
      </w:r>
      <w:r w:rsidRPr="00F00002">
        <w:rPr>
          <w:noProof/>
        </w:rPr>
        <w:instrText xml:space="preserve"> PAGEREF _Toc31109715 \h </w:instrText>
      </w:r>
      <w:r w:rsidRPr="00F00002">
        <w:rPr>
          <w:noProof/>
        </w:rPr>
      </w:r>
      <w:r w:rsidRPr="00F00002">
        <w:rPr>
          <w:noProof/>
        </w:rPr>
        <w:fldChar w:fldCharType="separate"/>
      </w:r>
      <w:r w:rsidR="0030184D">
        <w:rPr>
          <w:noProof/>
        </w:rPr>
        <w:t>65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205.02A</w:t>
      </w:r>
      <w:r>
        <w:rPr>
          <w:noProof/>
        </w:rPr>
        <w:tab/>
        <w:t>Superannuation income streams or superannuation annuities based on identifiable amounts—value of an interest</w:t>
      </w:r>
      <w:r w:rsidRPr="00F00002">
        <w:rPr>
          <w:noProof/>
        </w:rPr>
        <w:tab/>
      </w:r>
      <w:r w:rsidRPr="00F00002">
        <w:rPr>
          <w:noProof/>
        </w:rPr>
        <w:fldChar w:fldCharType="begin"/>
      </w:r>
      <w:r w:rsidRPr="00F00002">
        <w:rPr>
          <w:noProof/>
        </w:rPr>
        <w:instrText xml:space="preserve"> PAGEREF _Toc31109716 \h </w:instrText>
      </w:r>
      <w:r w:rsidRPr="00F00002">
        <w:rPr>
          <w:noProof/>
        </w:rPr>
      </w:r>
      <w:r w:rsidRPr="00F00002">
        <w:rPr>
          <w:noProof/>
        </w:rPr>
        <w:fldChar w:fldCharType="separate"/>
      </w:r>
      <w:r w:rsidR="0030184D">
        <w:rPr>
          <w:noProof/>
        </w:rPr>
        <w:t>66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205.02B</w:t>
      </w:r>
      <w:r>
        <w:rPr>
          <w:noProof/>
        </w:rPr>
        <w:tab/>
        <w:t>Public sector superannuation schemes—value of an interest</w:t>
      </w:r>
      <w:r w:rsidRPr="00F00002">
        <w:rPr>
          <w:noProof/>
        </w:rPr>
        <w:tab/>
      </w:r>
      <w:r w:rsidRPr="00F00002">
        <w:rPr>
          <w:noProof/>
        </w:rPr>
        <w:fldChar w:fldCharType="begin"/>
      </w:r>
      <w:r w:rsidRPr="00F00002">
        <w:rPr>
          <w:noProof/>
        </w:rPr>
        <w:instrText xml:space="preserve"> PAGEREF _Toc31109717 \h </w:instrText>
      </w:r>
      <w:r w:rsidRPr="00F00002">
        <w:rPr>
          <w:noProof/>
        </w:rPr>
      </w:r>
      <w:r w:rsidRPr="00F00002">
        <w:rPr>
          <w:noProof/>
        </w:rPr>
        <w:fldChar w:fldCharType="separate"/>
      </w:r>
      <w:r w:rsidR="0030184D">
        <w:rPr>
          <w:noProof/>
        </w:rPr>
        <w:t>66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205.02C</w:t>
      </w:r>
      <w:r>
        <w:rPr>
          <w:noProof/>
          <w:color w:val="000000" w:themeColor="text1"/>
        </w:rPr>
        <w:tab/>
      </w:r>
      <w:r w:rsidRPr="0016279D">
        <w:rPr>
          <w:noProof/>
          <w:color w:val="000000" w:themeColor="text1"/>
        </w:rPr>
        <w:t>Deferred superannuation income streams—value of an interest</w:t>
      </w:r>
      <w:r w:rsidRPr="00F00002">
        <w:rPr>
          <w:noProof/>
        </w:rPr>
        <w:tab/>
      </w:r>
      <w:r w:rsidRPr="00F00002">
        <w:rPr>
          <w:noProof/>
        </w:rPr>
        <w:fldChar w:fldCharType="begin"/>
      </w:r>
      <w:r w:rsidRPr="00F00002">
        <w:rPr>
          <w:noProof/>
        </w:rPr>
        <w:instrText xml:space="preserve"> PAGEREF _Toc31109718 \h </w:instrText>
      </w:r>
      <w:r w:rsidRPr="00F00002">
        <w:rPr>
          <w:noProof/>
        </w:rPr>
      </w:r>
      <w:r w:rsidRPr="00F00002">
        <w:rPr>
          <w:noProof/>
        </w:rPr>
        <w:fldChar w:fldCharType="separate"/>
      </w:r>
      <w:r w:rsidR="0030184D">
        <w:rPr>
          <w:noProof/>
        </w:rPr>
        <w:t>66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205.02D</w:t>
      </w:r>
      <w:r>
        <w:rPr>
          <w:noProof/>
          <w:color w:val="000000" w:themeColor="text1"/>
        </w:rPr>
        <w:tab/>
      </w:r>
      <w:r w:rsidRPr="0016279D">
        <w:rPr>
          <w:noProof/>
          <w:color w:val="000000" w:themeColor="text1"/>
        </w:rPr>
        <w:t>Pooled investment pensions—value of an interest</w:t>
      </w:r>
      <w:r w:rsidRPr="00F00002">
        <w:rPr>
          <w:noProof/>
        </w:rPr>
        <w:tab/>
      </w:r>
      <w:r w:rsidRPr="00F00002">
        <w:rPr>
          <w:noProof/>
        </w:rPr>
        <w:fldChar w:fldCharType="begin"/>
      </w:r>
      <w:r w:rsidRPr="00F00002">
        <w:rPr>
          <w:noProof/>
        </w:rPr>
        <w:instrText xml:space="preserve"> PAGEREF _Toc31109719 \h </w:instrText>
      </w:r>
      <w:r w:rsidRPr="00F00002">
        <w:rPr>
          <w:noProof/>
        </w:rPr>
      </w:r>
      <w:r w:rsidRPr="00F00002">
        <w:rPr>
          <w:noProof/>
        </w:rPr>
        <w:fldChar w:fldCharType="separate"/>
      </w:r>
      <w:r w:rsidR="0030184D">
        <w:rPr>
          <w:noProof/>
        </w:rPr>
        <w:t>67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307</w:t>
      </w:r>
      <w:r>
        <w:rPr>
          <w:noProof/>
        </w:rPr>
        <w:noBreakHyphen/>
        <w:t>205.02E</w:t>
      </w:r>
      <w:r>
        <w:rPr>
          <w:noProof/>
        </w:rPr>
        <w:tab/>
      </w:r>
      <w:r>
        <w:rPr>
          <w:noProof/>
          <w:lang w:eastAsia="en-US"/>
        </w:rPr>
        <w:t>Pooled investment</w:t>
      </w:r>
      <w:r>
        <w:rPr>
          <w:noProof/>
        </w:rPr>
        <w:t xml:space="preserve"> annuities—value of an interest</w:t>
      </w:r>
      <w:r w:rsidRPr="00F00002">
        <w:rPr>
          <w:noProof/>
        </w:rPr>
        <w:tab/>
      </w:r>
      <w:r w:rsidRPr="00F00002">
        <w:rPr>
          <w:noProof/>
        </w:rPr>
        <w:fldChar w:fldCharType="begin"/>
      </w:r>
      <w:r w:rsidRPr="00F00002">
        <w:rPr>
          <w:noProof/>
        </w:rPr>
        <w:instrText xml:space="preserve"> PAGEREF _Toc31109720 \h </w:instrText>
      </w:r>
      <w:r w:rsidRPr="00F00002">
        <w:rPr>
          <w:noProof/>
        </w:rPr>
      </w:r>
      <w:r w:rsidRPr="00F00002">
        <w:rPr>
          <w:noProof/>
        </w:rPr>
        <w:fldChar w:fldCharType="separate"/>
      </w:r>
      <w:r w:rsidR="0030184D">
        <w:rPr>
          <w:noProof/>
        </w:rPr>
        <w:t>68</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3A—Rules for particular industries and occupations</w:t>
      </w:r>
      <w:r w:rsidRPr="00F00002">
        <w:rPr>
          <w:b w:val="0"/>
          <w:noProof/>
          <w:sz w:val="18"/>
        </w:rPr>
        <w:tab/>
      </w:r>
      <w:r w:rsidRPr="00F00002">
        <w:rPr>
          <w:b w:val="0"/>
          <w:noProof/>
          <w:sz w:val="18"/>
        </w:rPr>
        <w:fldChar w:fldCharType="begin"/>
      </w:r>
      <w:r w:rsidRPr="00F00002">
        <w:rPr>
          <w:b w:val="0"/>
          <w:noProof/>
          <w:sz w:val="18"/>
        </w:rPr>
        <w:instrText xml:space="preserve"> PAGEREF _Toc31109721 \h </w:instrText>
      </w:r>
      <w:r w:rsidRPr="00F00002">
        <w:rPr>
          <w:b w:val="0"/>
          <w:noProof/>
          <w:sz w:val="18"/>
        </w:rPr>
      </w:r>
      <w:r w:rsidRPr="00F00002">
        <w:rPr>
          <w:b w:val="0"/>
          <w:noProof/>
          <w:sz w:val="18"/>
        </w:rPr>
        <w:fldChar w:fldCharType="separate"/>
      </w:r>
      <w:r w:rsidR="0030184D">
        <w:rPr>
          <w:b w:val="0"/>
          <w:noProof/>
          <w:sz w:val="18"/>
        </w:rPr>
        <w:t>69</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393—Farm management deposits</w:t>
      </w:r>
      <w:r w:rsidRPr="00F00002">
        <w:rPr>
          <w:b w:val="0"/>
          <w:noProof/>
          <w:sz w:val="18"/>
        </w:rPr>
        <w:tab/>
      </w:r>
      <w:r w:rsidRPr="00F00002">
        <w:rPr>
          <w:b w:val="0"/>
          <w:noProof/>
          <w:sz w:val="18"/>
        </w:rPr>
        <w:fldChar w:fldCharType="begin"/>
      </w:r>
      <w:r w:rsidRPr="00F00002">
        <w:rPr>
          <w:b w:val="0"/>
          <w:noProof/>
          <w:sz w:val="18"/>
        </w:rPr>
        <w:instrText xml:space="preserve"> PAGEREF _Toc31109722 \h </w:instrText>
      </w:r>
      <w:r w:rsidRPr="00F00002">
        <w:rPr>
          <w:b w:val="0"/>
          <w:noProof/>
          <w:sz w:val="18"/>
        </w:rPr>
      </w:r>
      <w:r w:rsidRPr="00F00002">
        <w:rPr>
          <w:b w:val="0"/>
          <w:noProof/>
          <w:sz w:val="18"/>
        </w:rPr>
        <w:fldChar w:fldCharType="separate"/>
      </w:r>
      <w:r w:rsidR="0030184D">
        <w:rPr>
          <w:b w:val="0"/>
          <w:noProof/>
          <w:sz w:val="18"/>
        </w:rPr>
        <w:t>69</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393</w:t>
      </w:r>
      <w:r>
        <w:rPr>
          <w:noProof/>
        </w:rPr>
        <w:noBreakHyphen/>
        <w:t>1</w:t>
      </w:r>
      <w:r>
        <w:rPr>
          <w:noProof/>
        </w:rPr>
        <w:tab/>
        <w:t>Simplified outline of the farm management deposits scheme</w:t>
      </w:r>
      <w:r w:rsidRPr="00F00002">
        <w:rPr>
          <w:noProof/>
        </w:rPr>
        <w:tab/>
      </w:r>
      <w:r w:rsidRPr="00F00002">
        <w:rPr>
          <w:noProof/>
        </w:rPr>
        <w:fldChar w:fldCharType="begin"/>
      </w:r>
      <w:r w:rsidRPr="00F00002">
        <w:rPr>
          <w:noProof/>
        </w:rPr>
        <w:instrText xml:space="preserve"> PAGEREF _Toc31109723 \h </w:instrText>
      </w:r>
      <w:r w:rsidRPr="00F00002">
        <w:rPr>
          <w:noProof/>
        </w:rPr>
      </w:r>
      <w:r w:rsidRPr="00F00002">
        <w:rPr>
          <w:noProof/>
        </w:rPr>
        <w:fldChar w:fldCharType="separate"/>
      </w:r>
      <w:r w:rsidR="0030184D">
        <w:rPr>
          <w:noProof/>
        </w:rPr>
        <w:t>69</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393</w:t>
      </w:r>
      <w:r>
        <w:rPr>
          <w:noProof/>
        </w:rPr>
        <w:noBreakHyphen/>
        <w:t>5</w:t>
      </w:r>
      <w:r>
        <w:rPr>
          <w:noProof/>
        </w:rPr>
        <w:tab/>
        <w:t>Application form for a farm management deposit: information given by depositor</w:t>
      </w:r>
      <w:r w:rsidRPr="00F00002">
        <w:rPr>
          <w:noProof/>
        </w:rPr>
        <w:tab/>
      </w:r>
      <w:r w:rsidRPr="00F00002">
        <w:rPr>
          <w:noProof/>
        </w:rPr>
        <w:fldChar w:fldCharType="begin"/>
      </w:r>
      <w:r w:rsidRPr="00F00002">
        <w:rPr>
          <w:noProof/>
        </w:rPr>
        <w:instrText xml:space="preserve"> PAGEREF _Toc31109724 \h </w:instrText>
      </w:r>
      <w:r w:rsidRPr="00F00002">
        <w:rPr>
          <w:noProof/>
        </w:rPr>
      </w:r>
      <w:r w:rsidRPr="00F00002">
        <w:rPr>
          <w:noProof/>
        </w:rPr>
        <w:fldChar w:fldCharType="separate"/>
      </w:r>
      <w:r w:rsidR="0030184D">
        <w:rPr>
          <w:noProof/>
        </w:rPr>
        <w:t>69</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393</w:t>
      </w:r>
      <w:r>
        <w:rPr>
          <w:noProof/>
        </w:rPr>
        <w:noBreakHyphen/>
        <w:t>10</w:t>
      </w:r>
      <w:r>
        <w:rPr>
          <w:noProof/>
        </w:rPr>
        <w:tab/>
        <w:t>Application form for a farm management deposit: information given to depositor</w:t>
      </w:r>
      <w:r w:rsidRPr="00F00002">
        <w:rPr>
          <w:noProof/>
        </w:rPr>
        <w:tab/>
      </w:r>
      <w:r w:rsidRPr="00F00002">
        <w:rPr>
          <w:noProof/>
        </w:rPr>
        <w:fldChar w:fldCharType="begin"/>
      </w:r>
      <w:r w:rsidRPr="00F00002">
        <w:rPr>
          <w:noProof/>
        </w:rPr>
        <w:instrText xml:space="preserve"> PAGEREF _Toc31109725 \h </w:instrText>
      </w:r>
      <w:r w:rsidRPr="00F00002">
        <w:rPr>
          <w:noProof/>
        </w:rPr>
      </w:r>
      <w:r w:rsidRPr="00F00002">
        <w:rPr>
          <w:noProof/>
        </w:rPr>
        <w:fldChar w:fldCharType="separate"/>
      </w:r>
      <w:r w:rsidR="0030184D">
        <w:rPr>
          <w:noProof/>
        </w:rPr>
        <w:t>70</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393</w:t>
      </w:r>
      <w:r>
        <w:rPr>
          <w:noProof/>
        </w:rPr>
        <w:noBreakHyphen/>
        <w:t>15</w:t>
      </w:r>
      <w:r>
        <w:rPr>
          <w:noProof/>
        </w:rPr>
        <w:tab/>
        <w:t>Repayment of farm management deposit in the event of a natural disaster</w:t>
      </w:r>
      <w:r w:rsidRPr="00F00002">
        <w:rPr>
          <w:noProof/>
        </w:rPr>
        <w:tab/>
      </w:r>
      <w:r w:rsidRPr="00F00002">
        <w:rPr>
          <w:noProof/>
        </w:rPr>
        <w:fldChar w:fldCharType="begin"/>
      </w:r>
      <w:r w:rsidRPr="00F00002">
        <w:rPr>
          <w:noProof/>
        </w:rPr>
        <w:instrText xml:space="preserve"> PAGEREF _Toc31109726 \h </w:instrText>
      </w:r>
      <w:r w:rsidRPr="00F00002">
        <w:rPr>
          <w:noProof/>
        </w:rPr>
      </w:r>
      <w:r w:rsidRPr="00F00002">
        <w:rPr>
          <w:noProof/>
        </w:rPr>
        <w:fldChar w:fldCharType="separate"/>
      </w:r>
      <w:r w:rsidR="0030184D">
        <w:rPr>
          <w:noProof/>
        </w:rPr>
        <w:t>70</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4—International aspects of income tax</w:t>
      </w:r>
      <w:r w:rsidRPr="00F00002">
        <w:rPr>
          <w:b w:val="0"/>
          <w:noProof/>
          <w:sz w:val="18"/>
        </w:rPr>
        <w:tab/>
      </w:r>
      <w:r w:rsidRPr="00F00002">
        <w:rPr>
          <w:b w:val="0"/>
          <w:noProof/>
          <w:sz w:val="18"/>
        </w:rPr>
        <w:fldChar w:fldCharType="begin"/>
      </w:r>
      <w:r w:rsidRPr="00F00002">
        <w:rPr>
          <w:b w:val="0"/>
          <w:noProof/>
          <w:sz w:val="18"/>
        </w:rPr>
        <w:instrText xml:space="preserve"> PAGEREF _Toc31109727 \h </w:instrText>
      </w:r>
      <w:r w:rsidRPr="00F00002">
        <w:rPr>
          <w:b w:val="0"/>
          <w:noProof/>
          <w:sz w:val="18"/>
        </w:rPr>
      </w:r>
      <w:r w:rsidRPr="00F00002">
        <w:rPr>
          <w:b w:val="0"/>
          <w:noProof/>
          <w:sz w:val="18"/>
        </w:rPr>
        <w:fldChar w:fldCharType="separate"/>
      </w:r>
      <w:r w:rsidR="0030184D">
        <w:rPr>
          <w:b w:val="0"/>
          <w:noProof/>
          <w:sz w:val="18"/>
        </w:rPr>
        <w:t>71</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775</w:t>
      </w:r>
      <w:r>
        <w:rPr>
          <w:noProof/>
        </w:rPr>
        <w:noBreakHyphen/>
        <w:t>B—Realisation of forex gains or losses</w:t>
      </w:r>
      <w:r w:rsidRPr="00F00002">
        <w:rPr>
          <w:b w:val="0"/>
          <w:noProof/>
          <w:sz w:val="18"/>
        </w:rPr>
        <w:tab/>
      </w:r>
      <w:r w:rsidRPr="00F00002">
        <w:rPr>
          <w:b w:val="0"/>
          <w:noProof/>
          <w:sz w:val="18"/>
        </w:rPr>
        <w:fldChar w:fldCharType="begin"/>
      </w:r>
      <w:r w:rsidRPr="00F00002">
        <w:rPr>
          <w:b w:val="0"/>
          <w:noProof/>
          <w:sz w:val="18"/>
        </w:rPr>
        <w:instrText xml:space="preserve"> PAGEREF _Toc31109728 \h </w:instrText>
      </w:r>
      <w:r w:rsidRPr="00F00002">
        <w:rPr>
          <w:b w:val="0"/>
          <w:noProof/>
          <w:sz w:val="18"/>
        </w:rPr>
      </w:r>
      <w:r w:rsidRPr="00F00002">
        <w:rPr>
          <w:b w:val="0"/>
          <w:noProof/>
          <w:sz w:val="18"/>
        </w:rPr>
        <w:fldChar w:fldCharType="separate"/>
      </w:r>
      <w:r w:rsidR="0030184D">
        <w:rPr>
          <w:b w:val="0"/>
          <w:noProof/>
          <w:sz w:val="18"/>
        </w:rPr>
        <w:t>71</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775</w:t>
      </w:r>
      <w:r>
        <w:rPr>
          <w:noProof/>
        </w:rPr>
        <w:noBreakHyphen/>
        <w:t>145.01</w:t>
      </w:r>
      <w:r>
        <w:rPr>
          <w:noProof/>
        </w:rPr>
        <w:tab/>
        <w:t>Application of forex events to currency and fungible rights and obligations</w:t>
      </w:r>
      <w:r w:rsidRPr="00F00002">
        <w:rPr>
          <w:noProof/>
        </w:rPr>
        <w:tab/>
      </w:r>
      <w:r w:rsidRPr="00F00002">
        <w:rPr>
          <w:noProof/>
        </w:rPr>
        <w:fldChar w:fldCharType="begin"/>
      </w:r>
      <w:r w:rsidRPr="00F00002">
        <w:rPr>
          <w:noProof/>
        </w:rPr>
        <w:instrText xml:space="preserve"> PAGEREF _Toc31109729 \h </w:instrText>
      </w:r>
      <w:r w:rsidRPr="00F00002">
        <w:rPr>
          <w:noProof/>
        </w:rPr>
      </w:r>
      <w:r w:rsidRPr="00F00002">
        <w:rPr>
          <w:noProof/>
        </w:rPr>
        <w:fldChar w:fldCharType="separate"/>
      </w:r>
      <w:r w:rsidR="0030184D">
        <w:rPr>
          <w:noProof/>
        </w:rPr>
        <w:t>71</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830</w:t>
      </w:r>
      <w:r>
        <w:rPr>
          <w:noProof/>
        </w:rPr>
        <w:noBreakHyphen/>
        <w:t>A—Meaning of foreign hybrid</w:t>
      </w:r>
      <w:r w:rsidRPr="00F00002">
        <w:rPr>
          <w:b w:val="0"/>
          <w:noProof/>
          <w:sz w:val="18"/>
        </w:rPr>
        <w:tab/>
      </w:r>
      <w:r w:rsidRPr="00F00002">
        <w:rPr>
          <w:b w:val="0"/>
          <w:noProof/>
          <w:sz w:val="18"/>
        </w:rPr>
        <w:fldChar w:fldCharType="begin"/>
      </w:r>
      <w:r w:rsidRPr="00F00002">
        <w:rPr>
          <w:b w:val="0"/>
          <w:noProof/>
          <w:sz w:val="18"/>
        </w:rPr>
        <w:instrText xml:space="preserve"> PAGEREF _Toc31109730 \h </w:instrText>
      </w:r>
      <w:r w:rsidRPr="00F00002">
        <w:rPr>
          <w:b w:val="0"/>
          <w:noProof/>
          <w:sz w:val="18"/>
        </w:rPr>
      </w:r>
      <w:r w:rsidRPr="00F00002">
        <w:rPr>
          <w:b w:val="0"/>
          <w:noProof/>
          <w:sz w:val="18"/>
        </w:rPr>
        <w:fldChar w:fldCharType="separate"/>
      </w:r>
      <w:r w:rsidR="0030184D">
        <w:rPr>
          <w:b w:val="0"/>
          <w:noProof/>
          <w:sz w:val="18"/>
        </w:rPr>
        <w:t>73</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830</w:t>
      </w:r>
      <w:r>
        <w:rPr>
          <w:noProof/>
        </w:rPr>
        <w:noBreakHyphen/>
        <w:t>15.01</w:t>
      </w:r>
      <w:r>
        <w:rPr>
          <w:noProof/>
        </w:rPr>
        <w:tab/>
        <w:t>Foreign hybrid company</w:t>
      </w:r>
      <w:r w:rsidRPr="00F00002">
        <w:rPr>
          <w:noProof/>
        </w:rPr>
        <w:tab/>
      </w:r>
      <w:r w:rsidRPr="00F00002">
        <w:rPr>
          <w:noProof/>
        </w:rPr>
        <w:fldChar w:fldCharType="begin"/>
      </w:r>
      <w:r w:rsidRPr="00F00002">
        <w:rPr>
          <w:noProof/>
        </w:rPr>
        <w:instrText xml:space="preserve"> PAGEREF _Toc31109731 \h </w:instrText>
      </w:r>
      <w:r w:rsidRPr="00F00002">
        <w:rPr>
          <w:noProof/>
        </w:rPr>
      </w:r>
      <w:r w:rsidRPr="00F00002">
        <w:rPr>
          <w:noProof/>
        </w:rPr>
        <w:fldChar w:fldCharType="separate"/>
      </w:r>
      <w:r w:rsidR="0030184D">
        <w:rPr>
          <w:noProof/>
        </w:rPr>
        <w:t>73</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5—Administration</w:t>
      </w:r>
      <w:r w:rsidRPr="00F00002">
        <w:rPr>
          <w:b w:val="0"/>
          <w:noProof/>
          <w:sz w:val="18"/>
        </w:rPr>
        <w:tab/>
      </w:r>
      <w:r w:rsidRPr="00F00002">
        <w:rPr>
          <w:b w:val="0"/>
          <w:noProof/>
          <w:sz w:val="18"/>
        </w:rPr>
        <w:fldChar w:fldCharType="begin"/>
      </w:r>
      <w:r w:rsidRPr="00F00002">
        <w:rPr>
          <w:b w:val="0"/>
          <w:noProof/>
          <w:sz w:val="18"/>
        </w:rPr>
        <w:instrText xml:space="preserve"> PAGEREF _Toc31109732 \h </w:instrText>
      </w:r>
      <w:r w:rsidRPr="00F00002">
        <w:rPr>
          <w:b w:val="0"/>
          <w:noProof/>
          <w:sz w:val="18"/>
        </w:rPr>
      </w:r>
      <w:r w:rsidRPr="00F00002">
        <w:rPr>
          <w:b w:val="0"/>
          <w:noProof/>
          <w:sz w:val="18"/>
        </w:rPr>
        <w:fldChar w:fldCharType="separate"/>
      </w:r>
      <w:r w:rsidR="0030184D">
        <w:rPr>
          <w:b w:val="0"/>
          <w:noProof/>
          <w:sz w:val="18"/>
        </w:rPr>
        <w:t>74</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910—Transitional and application arrangements</w:t>
      </w:r>
      <w:r w:rsidRPr="00F00002">
        <w:rPr>
          <w:b w:val="0"/>
          <w:noProof/>
          <w:sz w:val="18"/>
        </w:rPr>
        <w:tab/>
      </w:r>
      <w:r w:rsidRPr="00F00002">
        <w:rPr>
          <w:b w:val="0"/>
          <w:noProof/>
          <w:sz w:val="18"/>
        </w:rPr>
        <w:fldChar w:fldCharType="begin"/>
      </w:r>
      <w:r w:rsidRPr="00F00002">
        <w:rPr>
          <w:b w:val="0"/>
          <w:noProof/>
          <w:sz w:val="18"/>
        </w:rPr>
        <w:instrText xml:space="preserve"> PAGEREF _Toc31109733 \h </w:instrText>
      </w:r>
      <w:r w:rsidRPr="00F00002">
        <w:rPr>
          <w:b w:val="0"/>
          <w:noProof/>
          <w:sz w:val="18"/>
        </w:rPr>
      </w:r>
      <w:r w:rsidRPr="00F00002">
        <w:rPr>
          <w:b w:val="0"/>
          <w:noProof/>
          <w:sz w:val="18"/>
        </w:rPr>
        <w:fldChar w:fldCharType="separate"/>
      </w:r>
      <w:r w:rsidR="0030184D">
        <w:rPr>
          <w:b w:val="0"/>
          <w:noProof/>
          <w:sz w:val="18"/>
        </w:rPr>
        <w:t>74</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1.01</w:t>
      </w:r>
      <w:r>
        <w:rPr>
          <w:noProof/>
        </w:rPr>
        <w:tab/>
        <w:t xml:space="preserve">Transitional arrangements arising out of the </w:t>
      </w:r>
      <w:r w:rsidRPr="0016279D">
        <w:rPr>
          <w:i/>
          <w:noProof/>
        </w:rPr>
        <w:t>Income Tax Assessment Amendment (Superannuation Measures No. 1) Regulation 2013</w:t>
      </w:r>
      <w:r w:rsidRPr="00F00002">
        <w:rPr>
          <w:noProof/>
        </w:rPr>
        <w:tab/>
      </w:r>
      <w:r w:rsidRPr="00F00002">
        <w:rPr>
          <w:noProof/>
        </w:rPr>
        <w:fldChar w:fldCharType="begin"/>
      </w:r>
      <w:r w:rsidRPr="00F00002">
        <w:rPr>
          <w:noProof/>
        </w:rPr>
        <w:instrText xml:space="preserve"> PAGEREF _Toc31109734 \h </w:instrText>
      </w:r>
      <w:r w:rsidRPr="00F00002">
        <w:rPr>
          <w:noProof/>
        </w:rPr>
      </w:r>
      <w:r w:rsidRPr="00F00002">
        <w:rPr>
          <w:noProof/>
        </w:rPr>
        <w:fldChar w:fldCharType="separate"/>
      </w:r>
      <w:r w:rsidR="0030184D">
        <w:rPr>
          <w:noProof/>
        </w:rPr>
        <w:t>74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1.02</w:t>
      </w:r>
      <w:r>
        <w:rPr>
          <w:noProof/>
        </w:rPr>
        <w:tab/>
        <w:t xml:space="preserve">Transitional arrangements arising out of the </w:t>
      </w:r>
      <w:r w:rsidRPr="0016279D">
        <w:rPr>
          <w:i/>
          <w:noProof/>
        </w:rPr>
        <w:t>Tax Laws Amendment (2013 Measures No. 1) Regulation 2013</w:t>
      </w:r>
      <w:r w:rsidRPr="00F00002">
        <w:rPr>
          <w:noProof/>
        </w:rPr>
        <w:tab/>
      </w:r>
      <w:r w:rsidRPr="00F00002">
        <w:rPr>
          <w:noProof/>
        </w:rPr>
        <w:fldChar w:fldCharType="begin"/>
      </w:r>
      <w:r w:rsidRPr="00F00002">
        <w:rPr>
          <w:noProof/>
        </w:rPr>
        <w:instrText xml:space="preserve"> PAGEREF _Toc31109735 \h </w:instrText>
      </w:r>
      <w:r w:rsidRPr="00F00002">
        <w:rPr>
          <w:noProof/>
        </w:rPr>
      </w:r>
      <w:r w:rsidRPr="00F00002">
        <w:rPr>
          <w:noProof/>
        </w:rPr>
        <w:fldChar w:fldCharType="separate"/>
      </w:r>
      <w:r w:rsidR="0030184D">
        <w:rPr>
          <w:noProof/>
        </w:rPr>
        <w:t>74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1.03</w:t>
      </w:r>
      <w:r>
        <w:rPr>
          <w:noProof/>
        </w:rPr>
        <w:tab/>
        <w:t xml:space="preserve">Transitional arrangements arising out of the </w:t>
      </w:r>
      <w:r w:rsidRPr="0016279D">
        <w:rPr>
          <w:i/>
          <w:noProof/>
        </w:rPr>
        <w:t>Tax Laws Amendment (2013 Measures No. 1) Regulation 2013</w:t>
      </w:r>
      <w:r w:rsidRPr="00F00002">
        <w:rPr>
          <w:noProof/>
        </w:rPr>
        <w:tab/>
      </w:r>
      <w:r w:rsidRPr="00F00002">
        <w:rPr>
          <w:noProof/>
        </w:rPr>
        <w:fldChar w:fldCharType="begin"/>
      </w:r>
      <w:r w:rsidRPr="00F00002">
        <w:rPr>
          <w:noProof/>
        </w:rPr>
        <w:instrText xml:space="preserve"> PAGEREF _Toc31109736 \h </w:instrText>
      </w:r>
      <w:r w:rsidRPr="00F00002">
        <w:rPr>
          <w:noProof/>
        </w:rPr>
      </w:r>
      <w:r w:rsidRPr="00F00002">
        <w:rPr>
          <w:noProof/>
        </w:rPr>
        <w:fldChar w:fldCharType="separate"/>
      </w:r>
      <w:r w:rsidR="0030184D">
        <w:rPr>
          <w:noProof/>
        </w:rPr>
        <w:t>74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1.04</w:t>
      </w:r>
      <w:r>
        <w:rPr>
          <w:noProof/>
        </w:rPr>
        <w:tab/>
        <w:t xml:space="preserve">Transitional arrangements arising out of the </w:t>
      </w:r>
      <w:r w:rsidRPr="0016279D">
        <w:rPr>
          <w:i/>
          <w:noProof/>
        </w:rPr>
        <w:t>Tax and Superannuation Laws Amendment (2014 Measures No. 1) Regulation 2014</w:t>
      </w:r>
      <w:r w:rsidRPr="00F00002">
        <w:rPr>
          <w:noProof/>
        </w:rPr>
        <w:tab/>
      </w:r>
      <w:r w:rsidRPr="00F00002">
        <w:rPr>
          <w:noProof/>
        </w:rPr>
        <w:fldChar w:fldCharType="begin"/>
      </w:r>
      <w:r w:rsidRPr="00F00002">
        <w:rPr>
          <w:noProof/>
        </w:rPr>
        <w:instrText xml:space="preserve"> PAGEREF _Toc31109737 \h </w:instrText>
      </w:r>
      <w:r w:rsidRPr="00F00002">
        <w:rPr>
          <w:noProof/>
        </w:rPr>
      </w:r>
      <w:r w:rsidRPr="00F00002">
        <w:rPr>
          <w:noProof/>
        </w:rPr>
        <w:fldChar w:fldCharType="separate"/>
      </w:r>
      <w:r w:rsidR="0030184D">
        <w:rPr>
          <w:noProof/>
        </w:rPr>
        <w:t>74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1.05</w:t>
      </w:r>
      <w:r>
        <w:rPr>
          <w:noProof/>
        </w:rPr>
        <w:tab/>
        <w:t xml:space="preserve">Transitional arrangements arising out of the </w:t>
      </w:r>
      <w:r w:rsidRPr="0016279D">
        <w:rPr>
          <w:i/>
          <w:noProof/>
        </w:rPr>
        <w:t>Tax and Superannuation Laws Amendment (2014 Measures No. 2) Regulation 2014</w:t>
      </w:r>
      <w:r w:rsidRPr="00F00002">
        <w:rPr>
          <w:noProof/>
        </w:rPr>
        <w:tab/>
      </w:r>
      <w:r w:rsidRPr="00F00002">
        <w:rPr>
          <w:noProof/>
        </w:rPr>
        <w:fldChar w:fldCharType="begin"/>
      </w:r>
      <w:r w:rsidRPr="00F00002">
        <w:rPr>
          <w:noProof/>
        </w:rPr>
        <w:instrText xml:space="preserve"> PAGEREF _Toc31109738 \h </w:instrText>
      </w:r>
      <w:r w:rsidRPr="00F00002">
        <w:rPr>
          <w:noProof/>
        </w:rPr>
      </w:r>
      <w:r w:rsidRPr="00F00002">
        <w:rPr>
          <w:noProof/>
        </w:rPr>
        <w:fldChar w:fldCharType="separate"/>
      </w:r>
      <w:r w:rsidR="0030184D">
        <w:rPr>
          <w:noProof/>
        </w:rPr>
        <w:t>74</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1.07</w:t>
      </w:r>
      <w:r>
        <w:rPr>
          <w:noProof/>
        </w:rPr>
        <w:tab/>
        <w:t xml:space="preserve">Transitional arrangements arising out of the </w:t>
      </w:r>
      <w:r w:rsidRPr="0016279D">
        <w:rPr>
          <w:i/>
          <w:noProof/>
        </w:rPr>
        <w:t>Income Tax Assessment Amendment (Governor</w:t>
      </w:r>
      <w:r w:rsidRPr="0016279D">
        <w:rPr>
          <w:i/>
          <w:noProof/>
        </w:rPr>
        <w:noBreakHyphen/>
        <w:t>General Pension Scheme) Regulation 2015</w:t>
      </w:r>
      <w:r w:rsidRPr="00F00002">
        <w:rPr>
          <w:noProof/>
        </w:rPr>
        <w:tab/>
      </w:r>
      <w:r w:rsidRPr="00F00002">
        <w:rPr>
          <w:noProof/>
        </w:rPr>
        <w:fldChar w:fldCharType="begin"/>
      </w:r>
      <w:r w:rsidRPr="00F00002">
        <w:rPr>
          <w:noProof/>
        </w:rPr>
        <w:instrText xml:space="preserve"> PAGEREF _Toc31109739 \h </w:instrText>
      </w:r>
      <w:r w:rsidRPr="00F00002">
        <w:rPr>
          <w:noProof/>
        </w:rPr>
      </w:r>
      <w:r w:rsidRPr="00F00002">
        <w:rPr>
          <w:noProof/>
        </w:rPr>
        <w:fldChar w:fldCharType="separate"/>
      </w:r>
      <w:r w:rsidR="0030184D">
        <w:rPr>
          <w:noProof/>
        </w:rPr>
        <w:t>75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1.08</w:t>
      </w:r>
      <w:r>
        <w:rPr>
          <w:noProof/>
        </w:rPr>
        <w:tab/>
        <w:t xml:space="preserve">Transitional arrangements arising out of the </w:t>
      </w:r>
      <w:r w:rsidRPr="0016279D">
        <w:rPr>
          <w:i/>
          <w:noProof/>
        </w:rPr>
        <w:t>Treasury Laws Amendment (2016 Measures No. 1) Regulation 2016</w:t>
      </w:r>
      <w:r w:rsidRPr="00F00002">
        <w:rPr>
          <w:noProof/>
        </w:rPr>
        <w:tab/>
      </w:r>
      <w:r w:rsidRPr="00F00002">
        <w:rPr>
          <w:noProof/>
        </w:rPr>
        <w:fldChar w:fldCharType="begin"/>
      </w:r>
      <w:r w:rsidRPr="00F00002">
        <w:rPr>
          <w:noProof/>
        </w:rPr>
        <w:instrText xml:space="preserve"> PAGEREF _Toc31109740 \h </w:instrText>
      </w:r>
      <w:r w:rsidRPr="00F00002">
        <w:rPr>
          <w:noProof/>
        </w:rPr>
      </w:r>
      <w:r w:rsidRPr="00F00002">
        <w:rPr>
          <w:noProof/>
        </w:rPr>
        <w:fldChar w:fldCharType="separate"/>
      </w:r>
      <w:r w:rsidR="0030184D">
        <w:rPr>
          <w:noProof/>
        </w:rPr>
        <w:t>75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1.09</w:t>
      </w:r>
      <w:r>
        <w:rPr>
          <w:noProof/>
        </w:rPr>
        <w:tab/>
        <w:t xml:space="preserve">Transitional arrangements arising out of the </w:t>
      </w:r>
      <w:r w:rsidRPr="0016279D">
        <w:rPr>
          <w:i/>
          <w:noProof/>
        </w:rPr>
        <w:t>Treasury Laws Amendment (Fair and Sustainable Superannuation) Regulations 2017</w:t>
      </w:r>
      <w:r w:rsidRPr="00F00002">
        <w:rPr>
          <w:noProof/>
        </w:rPr>
        <w:tab/>
      </w:r>
      <w:r w:rsidRPr="00F00002">
        <w:rPr>
          <w:noProof/>
        </w:rPr>
        <w:fldChar w:fldCharType="begin"/>
      </w:r>
      <w:r w:rsidRPr="00F00002">
        <w:rPr>
          <w:noProof/>
        </w:rPr>
        <w:instrText xml:space="preserve"> PAGEREF _Toc31109741 \h </w:instrText>
      </w:r>
      <w:r w:rsidRPr="00F00002">
        <w:rPr>
          <w:noProof/>
        </w:rPr>
      </w:r>
      <w:r w:rsidRPr="00F00002">
        <w:rPr>
          <w:noProof/>
        </w:rPr>
        <w:fldChar w:fldCharType="separate"/>
      </w:r>
      <w:r w:rsidR="0030184D">
        <w:rPr>
          <w:noProof/>
        </w:rPr>
        <w:t>75</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1.10</w:t>
      </w:r>
      <w:r>
        <w:rPr>
          <w:noProof/>
        </w:rPr>
        <w:tab/>
        <w:t xml:space="preserve">Transitional arrangements arising out of the </w:t>
      </w:r>
      <w:r w:rsidRPr="0016279D">
        <w:rPr>
          <w:i/>
          <w:noProof/>
        </w:rPr>
        <w:t>Treasury Laws Amendment (Miscellaneous Amendments) Regulations 2018</w:t>
      </w:r>
      <w:r w:rsidRPr="00F00002">
        <w:rPr>
          <w:noProof/>
        </w:rPr>
        <w:tab/>
      </w:r>
      <w:r w:rsidRPr="00F00002">
        <w:rPr>
          <w:noProof/>
        </w:rPr>
        <w:fldChar w:fldCharType="begin"/>
      </w:r>
      <w:r w:rsidRPr="00F00002">
        <w:rPr>
          <w:noProof/>
        </w:rPr>
        <w:instrText xml:space="preserve"> PAGEREF _Toc31109742 \h </w:instrText>
      </w:r>
      <w:r w:rsidRPr="00F00002">
        <w:rPr>
          <w:noProof/>
        </w:rPr>
      </w:r>
      <w:r w:rsidRPr="00F00002">
        <w:rPr>
          <w:noProof/>
        </w:rPr>
        <w:fldChar w:fldCharType="separate"/>
      </w:r>
      <w:r w:rsidR="0030184D">
        <w:rPr>
          <w:noProof/>
        </w:rPr>
        <w:t>76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1.11</w:t>
      </w:r>
      <w:r>
        <w:rPr>
          <w:noProof/>
        </w:rPr>
        <w:tab/>
        <w:t xml:space="preserve">Transitional arrangements arising out of the </w:t>
      </w:r>
      <w:r w:rsidRPr="0016279D">
        <w:rPr>
          <w:i/>
          <w:noProof/>
        </w:rPr>
        <w:t>Treasury Laws Amendment (Mutual Equity Interests) Regulations 2019</w:t>
      </w:r>
      <w:r w:rsidRPr="00F00002">
        <w:rPr>
          <w:noProof/>
        </w:rPr>
        <w:tab/>
      </w:r>
      <w:r w:rsidRPr="00F00002">
        <w:rPr>
          <w:noProof/>
        </w:rPr>
        <w:fldChar w:fldCharType="begin"/>
      </w:r>
      <w:r w:rsidRPr="00F00002">
        <w:rPr>
          <w:noProof/>
        </w:rPr>
        <w:instrText xml:space="preserve"> PAGEREF _Toc31109743 \h </w:instrText>
      </w:r>
      <w:r w:rsidRPr="00F00002">
        <w:rPr>
          <w:noProof/>
        </w:rPr>
      </w:r>
      <w:r w:rsidRPr="00F00002">
        <w:rPr>
          <w:noProof/>
        </w:rPr>
        <w:fldChar w:fldCharType="separate"/>
      </w:r>
      <w:r w:rsidR="0030184D">
        <w:rPr>
          <w:noProof/>
        </w:rPr>
        <w:t>76</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910</w:t>
      </w:r>
      <w:r>
        <w:rPr>
          <w:noProof/>
        </w:rPr>
        <w:noBreakHyphen/>
        <w:t>1.12</w:t>
      </w:r>
      <w:r>
        <w:rPr>
          <w:noProof/>
        </w:rPr>
        <w:tab/>
        <w:t xml:space="preserve">Transitional arrangements arising out of the </w:t>
      </w:r>
      <w:r w:rsidRPr="0016279D">
        <w:rPr>
          <w:i/>
          <w:noProof/>
        </w:rPr>
        <w:t>Treasury Laws Amendment (Miscellaneous Amendments) Regulations 2019</w:t>
      </w:r>
      <w:r w:rsidRPr="00F00002">
        <w:rPr>
          <w:noProof/>
        </w:rPr>
        <w:tab/>
      </w:r>
      <w:r w:rsidRPr="00F00002">
        <w:rPr>
          <w:noProof/>
        </w:rPr>
        <w:fldChar w:fldCharType="begin"/>
      </w:r>
      <w:r w:rsidRPr="00F00002">
        <w:rPr>
          <w:noProof/>
        </w:rPr>
        <w:instrText xml:space="preserve"> PAGEREF _Toc31109744 \h </w:instrText>
      </w:r>
      <w:r w:rsidRPr="00F00002">
        <w:rPr>
          <w:noProof/>
        </w:rPr>
      </w:r>
      <w:r w:rsidRPr="00F00002">
        <w:rPr>
          <w:noProof/>
        </w:rPr>
        <w:fldChar w:fldCharType="separate"/>
      </w:r>
      <w:r w:rsidR="0030184D">
        <w:rPr>
          <w:noProof/>
        </w:rPr>
        <w:t>76</w:t>
      </w:r>
      <w:r w:rsidRPr="00F00002">
        <w:rPr>
          <w:noProof/>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6—The Dictionary</w:t>
      </w:r>
      <w:r w:rsidRPr="00F00002">
        <w:rPr>
          <w:b w:val="0"/>
          <w:noProof/>
          <w:sz w:val="18"/>
        </w:rPr>
        <w:tab/>
      </w:r>
      <w:r w:rsidRPr="00F00002">
        <w:rPr>
          <w:b w:val="0"/>
          <w:noProof/>
          <w:sz w:val="18"/>
        </w:rPr>
        <w:fldChar w:fldCharType="begin"/>
      </w:r>
      <w:r w:rsidRPr="00F00002">
        <w:rPr>
          <w:b w:val="0"/>
          <w:noProof/>
          <w:sz w:val="18"/>
        </w:rPr>
        <w:instrText xml:space="preserve"> PAGEREF _Toc31109745 \h </w:instrText>
      </w:r>
      <w:r w:rsidRPr="00F00002">
        <w:rPr>
          <w:b w:val="0"/>
          <w:noProof/>
          <w:sz w:val="18"/>
        </w:rPr>
      </w:r>
      <w:r w:rsidRPr="00F00002">
        <w:rPr>
          <w:b w:val="0"/>
          <w:noProof/>
          <w:sz w:val="18"/>
        </w:rPr>
        <w:fldChar w:fldCharType="separate"/>
      </w:r>
      <w:r w:rsidR="0030184D">
        <w:rPr>
          <w:b w:val="0"/>
          <w:noProof/>
          <w:sz w:val="18"/>
        </w:rPr>
        <w:t>77</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960—General</w:t>
      </w:r>
      <w:r w:rsidRPr="00F00002">
        <w:rPr>
          <w:b w:val="0"/>
          <w:noProof/>
          <w:sz w:val="18"/>
        </w:rPr>
        <w:tab/>
      </w:r>
      <w:r w:rsidRPr="00F00002">
        <w:rPr>
          <w:b w:val="0"/>
          <w:noProof/>
          <w:sz w:val="18"/>
        </w:rPr>
        <w:fldChar w:fldCharType="begin"/>
      </w:r>
      <w:r w:rsidRPr="00F00002">
        <w:rPr>
          <w:b w:val="0"/>
          <w:noProof/>
          <w:sz w:val="18"/>
        </w:rPr>
        <w:instrText xml:space="preserve"> PAGEREF _Toc31109746 \h </w:instrText>
      </w:r>
      <w:r w:rsidRPr="00F00002">
        <w:rPr>
          <w:b w:val="0"/>
          <w:noProof/>
          <w:sz w:val="18"/>
        </w:rPr>
      </w:r>
      <w:r w:rsidRPr="00F00002">
        <w:rPr>
          <w:b w:val="0"/>
          <w:noProof/>
          <w:sz w:val="18"/>
        </w:rPr>
        <w:fldChar w:fldCharType="separate"/>
      </w:r>
      <w:r w:rsidR="0030184D">
        <w:rPr>
          <w:b w:val="0"/>
          <w:noProof/>
          <w:sz w:val="18"/>
        </w:rPr>
        <w:t>77</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960</w:t>
      </w:r>
      <w:r>
        <w:rPr>
          <w:noProof/>
        </w:rPr>
        <w:noBreakHyphen/>
        <w:t>C—Foreign currency</w:t>
      </w:r>
      <w:r w:rsidRPr="00F00002">
        <w:rPr>
          <w:b w:val="0"/>
          <w:noProof/>
          <w:sz w:val="18"/>
        </w:rPr>
        <w:tab/>
      </w:r>
      <w:r w:rsidRPr="00F00002">
        <w:rPr>
          <w:b w:val="0"/>
          <w:noProof/>
          <w:sz w:val="18"/>
        </w:rPr>
        <w:fldChar w:fldCharType="begin"/>
      </w:r>
      <w:r w:rsidRPr="00F00002">
        <w:rPr>
          <w:b w:val="0"/>
          <w:noProof/>
          <w:sz w:val="18"/>
        </w:rPr>
        <w:instrText xml:space="preserve"> PAGEREF _Toc31109747 \h </w:instrText>
      </w:r>
      <w:r w:rsidRPr="00F00002">
        <w:rPr>
          <w:b w:val="0"/>
          <w:noProof/>
          <w:sz w:val="18"/>
        </w:rPr>
      </w:r>
      <w:r w:rsidRPr="00F00002">
        <w:rPr>
          <w:b w:val="0"/>
          <w:noProof/>
          <w:sz w:val="18"/>
        </w:rPr>
        <w:fldChar w:fldCharType="separate"/>
      </w:r>
      <w:r w:rsidR="0030184D">
        <w:rPr>
          <w:b w:val="0"/>
          <w:noProof/>
          <w:sz w:val="18"/>
        </w:rPr>
        <w:t>77</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960</w:t>
      </w:r>
      <w:r>
        <w:rPr>
          <w:noProof/>
        </w:rPr>
        <w:noBreakHyphen/>
        <w:t>50.01</w:t>
      </w:r>
      <w:r>
        <w:rPr>
          <w:noProof/>
        </w:rPr>
        <w:tab/>
        <w:t>Translation of foreign currency amounts into Australian currency—modification of special translation rules</w:t>
      </w:r>
      <w:r w:rsidRPr="00F00002">
        <w:rPr>
          <w:noProof/>
        </w:rPr>
        <w:tab/>
      </w:r>
      <w:r w:rsidRPr="00F00002">
        <w:rPr>
          <w:noProof/>
        </w:rPr>
        <w:fldChar w:fldCharType="begin"/>
      </w:r>
      <w:r w:rsidRPr="00F00002">
        <w:rPr>
          <w:noProof/>
        </w:rPr>
        <w:instrText xml:space="preserve"> PAGEREF _Toc31109748 \h </w:instrText>
      </w:r>
      <w:r w:rsidRPr="00F00002">
        <w:rPr>
          <w:noProof/>
        </w:rPr>
      </w:r>
      <w:r w:rsidRPr="00F00002">
        <w:rPr>
          <w:noProof/>
        </w:rPr>
        <w:fldChar w:fldCharType="separate"/>
      </w:r>
      <w:r w:rsidR="0030184D">
        <w:rPr>
          <w:noProof/>
        </w:rPr>
        <w:t>77</w:t>
      </w:r>
      <w:r w:rsidRPr="00F00002">
        <w:rPr>
          <w:noProof/>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960</w:t>
      </w:r>
      <w:r>
        <w:rPr>
          <w:noProof/>
        </w:rPr>
        <w:noBreakHyphen/>
        <w:t>D—Functional currency</w:t>
      </w:r>
      <w:r w:rsidRPr="00F00002">
        <w:rPr>
          <w:b w:val="0"/>
          <w:noProof/>
          <w:sz w:val="18"/>
        </w:rPr>
        <w:tab/>
      </w:r>
      <w:r w:rsidRPr="00F00002">
        <w:rPr>
          <w:b w:val="0"/>
          <w:noProof/>
          <w:sz w:val="18"/>
        </w:rPr>
        <w:fldChar w:fldCharType="begin"/>
      </w:r>
      <w:r w:rsidRPr="00F00002">
        <w:rPr>
          <w:b w:val="0"/>
          <w:noProof/>
          <w:sz w:val="18"/>
        </w:rPr>
        <w:instrText xml:space="preserve"> PAGEREF _Toc31109749 \h </w:instrText>
      </w:r>
      <w:r w:rsidRPr="00F00002">
        <w:rPr>
          <w:b w:val="0"/>
          <w:noProof/>
          <w:sz w:val="18"/>
        </w:rPr>
      </w:r>
      <w:r w:rsidRPr="00F00002">
        <w:rPr>
          <w:b w:val="0"/>
          <w:noProof/>
          <w:sz w:val="18"/>
        </w:rPr>
        <w:fldChar w:fldCharType="separate"/>
      </w:r>
      <w:r w:rsidR="0030184D">
        <w:rPr>
          <w:b w:val="0"/>
          <w:noProof/>
          <w:sz w:val="18"/>
        </w:rPr>
        <w:t>78</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960</w:t>
      </w:r>
      <w:r>
        <w:rPr>
          <w:noProof/>
        </w:rPr>
        <w:noBreakHyphen/>
        <w:t>80.01</w:t>
      </w:r>
      <w:r>
        <w:rPr>
          <w:noProof/>
        </w:rPr>
        <w:tab/>
        <w:t>Translation rules—translation into applicable functional currency</w:t>
      </w:r>
      <w:r w:rsidRPr="00F00002">
        <w:rPr>
          <w:noProof/>
        </w:rPr>
        <w:tab/>
      </w:r>
      <w:r w:rsidRPr="00F00002">
        <w:rPr>
          <w:noProof/>
        </w:rPr>
        <w:fldChar w:fldCharType="begin"/>
      </w:r>
      <w:r w:rsidRPr="00F00002">
        <w:rPr>
          <w:noProof/>
        </w:rPr>
        <w:instrText xml:space="preserve"> PAGEREF _Toc31109750 \h </w:instrText>
      </w:r>
      <w:r w:rsidRPr="00F00002">
        <w:rPr>
          <w:noProof/>
        </w:rPr>
      </w:r>
      <w:r w:rsidRPr="00F00002">
        <w:rPr>
          <w:noProof/>
        </w:rPr>
        <w:fldChar w:fldCharType="separate"/>
      </w:r>
      <w:r w:rsidR="0030184D">
        <w:rPr>
          <w:noProof/>
        </w:rPr>
        <w:t>78</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960</w:t>
      </w:r>
      <w:r>
        <w:rPr>
          <w:noProof/>
        </w:rPr>
        <w:noBreakHyphen/>
        <w:t>80.02</w:t>
      </w:r>
      <w:r>
        <w:rPr>
          <w:noProof/>
        </w:rPr>
        <w:tab/>
        <w:t>Translation rules for an attributable taxpayer of a CFC—translation into applicable functional currency</w:t>
      </w:r>
      <w:r w:rsidRPr="00F00002">
        <w:rPr>
          <w:noProof/>
        </w:rPr>
        <w:tab/>
      </w:r>
      <w:r w:rsidRPr="00F00002">
        <w:rPr>
          <w:noProof/>
        </w:rPr>
        <w:fldChar w:fldCharType="begin"/>
      </w:r>
      <w:r w:rsidRPr="00F00002">
        <w:rPr>
          <w:noProof/>
        </w:rPr>
        <w:instrText xml:space="preserve"> PAGEREF _Toc31109751 \h </w:instrText>
      </w:r>
      <w:r w:rsidRPr="00F00002">
        <w:rPr>
          <w:noProof/>
        </w:rPr>
      </w:r>
      <w:r w:rsidRPr="00F00002">
        <w:rPr>
          <w:noProof/>
        </w:rPr>
        <w:fldChar w:fldCharType="separate"/>
      </w:r>
      <w:r w:rsidR="0030184D">
        <w:rPr>
          <w:noProof/>
        </w:rPr>
        <w:t>79</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960</w:t>
      </w:r>
      <w:r>
        <w:rPr>
          <w:noProof/>
        </w:rPr>
        <w:noBreakHyphen/>
        <w:t>80.03</w:t>
      </w:r>
      <w:r>
        <w:rPr>
          <w:noProof/>
        </w:rPr>
        <w:tab/>
        <w:t>Translation rules—translation from applicable functional currency into Australian currency</w:t>
      </w:r>
      <w:r w:rsidRPr="00F00002">
        <w:rPr>
          <w:noProof/>
        </w:rPr>
        <w:tab/>
      </w:r>
      <w:r w:rsidRPr="00F00002">
        <w:rPr>
          <w:noProof/>
        </w:rPr>
        <w:fldChar w:fldCharType="begin"/>
      </w:r>
      <w:r w:rsidRPr="00F00002">
        <w:rPr>
          <w:noProof/>
        </w:rPr>
        <w:instrText xml:space="preserve"> PAGEREF _Toc31109752 \h </w:instrText>
      </w:r>
      <w:r w:rsidRPr="00F00002">
        <w:rPr>
          <w:noProof/>
        </w:rPr>
      </w:r>
      <w:r w:rsidRPr="00F00002">
        <w:rPr>
          <w:noProof/>
        </w:rPr>
        <w:fldChar w:fldCharType="separate"/>
      </w:r>
      <w:r w:rsidR="0030184D">
        <w:rPr>
          <w:noProof/>
        </w:rPr>
        <w:t>79</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974—Debt and equity interests</w:t>
      </w:r>
      <w:r w:rsidRPr="00F00002">
        <w:rPr>
          <w:b w:val="0"/>
          <w:noProof/>
          <w:sz w:val="18"/>
        </w:rPr>
        <w:tab/>
      </w:r>
      <w:r w:rsidRPr="00F00002">
        <w:rPr>
          <w:b w:val="0"/>
          <w:noProof/>
          <w:sz w:val="18"/>
        </w:rPr>
        <w:fldChar w:fldCharType="begin"/>
      </w:r>
      <w:r w:rsidRPr="00F00002">
        <w:rPr>
          <w:b w:val="0"/>
          <w:noProof/>
          <w:sz w:val="18"/>
        </w:rPr>
        <w:instrText xml:space="preserve"> PAGEREF _Toc31109753 \h </w:instrText>
      </w:r>
      <w:r w:rsidRPr="00F00002">
        <w:rPr>
          <w:b w:val="0"/>
          <w:noProof/>
          <w:sz w:val="18"/>
        </w:rPr>
      </w:r>
      <w:r w:rsidRPr="00F00002">
        <w:rPr>
          <w:b w:val="0"/>
          <w:noProof/>
          <w:sz w:val="18"/>
        </w:rPr>
        <w:fldChar w:fldCharType="separate"/>
      </w:r>
      <w:r w:rsidR="0030184D">
        <w:rPr>
          <w:b w:val="0"/>
          <w:noProof/>
          <w:sz w:val="18"/>
        </w:rPr>
        <w:t>81</w:t>
      </w:r>
      <w:r w:rsidRPr="00F00002">
        <w:rPr>
          <w:b w:val="0"/>
          <w:noProof/>
          <w:sz w:val="18"/>
        </w:rPr>
        <w:fldChar w:fldCharType="end"/>
      </w:r>
    </w:p>
    <w:p w:rsidR="00F00002" w:rsidRDefault="00F00002" w:rsidP="00F57B37">
      <w:pPr>
        <w:pStyle w:val="TOC4"/>
        <w:ind w:right="1792"/>
        <w:rPr>
          <w:rFonts w:asciiTheme="minorHAnsi" w:eastAsiaTheme="minorEastAsia" w:hAnsiTheme="minorHAnsi" w:cstheme="minorBidi"/>
          <w:b w:val="0"/>
          <w:noProof/>
          <w:kern w:val="0"/>
          <w:sz w:val="22"/>
          <w:szCs w:val="22"/>
        </w:rPr>
      </w:pPr>
      <w:r>
        <w:rPr>
          <w:noProof/>
        </w:rPr>
        <w:t>Subdivision 974</w:t>
      </w:r>
      <w:r>
        <w:rPr>
          <w:noProof/>
        </w:rPr>
        <w:noBreakHyphen/>
        <w:t>F—Related concepts</w:t>
      </w:r>
      <w:r w:rsidRPr="00F00002">
        <w:rPr>
          <w:b w:val="0"/>
          <w:noProof/>
          <w:sz w:val="18"/>
        </w:rPr>
        <w:tab/>
      </w:r>
      <w:r w:rsidRPr="00F00002">
        <w:rPr>
          <w:b w:val="0"/>
          <w:noProof/>
          <w:sz w:val="18"/>
        </w:rPr>
        <w:fldChar w:fldCharType="begin"/>
      </w:r>
      <w:r w:rsidRPr="00F00002">
        <w:rPr>
          <w:b w:val="0"/>
          <w:noProof/>
          <w:sz w:val="18"/>
        </w:rPr>
        <w:instrText xml:space="preserve"> PAGEREF _Toc31109754 \h </w:instrText>
      </w:r>
      <w:r w:rsidRPr="00F00002">
        <w:rPr>
          <w:b w:val="0"/>
          <w:noProof/>
          <w:sz w:val="18"/>
        </w:rPr>
      </w:r>
      <w:r w:rsidRPr="00F00002">
        <w:rPr>
          <w:b w:val="0"/>
          <w:noProof/>
          <w:sz w:val="18"/>
        </w:rPr>
        <w:fldChar w:fldCharType="separate"/>
      </w:r>
      <w:r w:rsidR="0030184D">
        <w:rPr>
          <w:b w:val="0"/>
          <w:noProof/>
          <w:sz w:val="18"/>
        </w:rPr>
        <w:t>81</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974</w:t>
      </w:r>
      <w:r>
        <w:rPr>
          <w:noProof/>
        </w:rPr>
        <w:noBreakHyphen/>
        <w:t>135A</w:t>
      </w:r>
      <w:r>
        <w:rPr>
          <w:noProof/>
        </w:rPr>
        <w:tab/>
        <w:t>Non</w:t>
      </w:r>
      <w:r>
        <w:rPr>
          <w:noProof/>
        </w:rPr>
        <w:noBreakHyphen/>
        <w:t>cumulative redeemable preference shares issued by credit union</w:t>
      </w:r>
      <w:r w:rsidRPr="00F00002">
        <w:rPr>
          <w:noProof/>
        </w:rPr>
        <w:tab/>
      </w:r>
      <w:r w:rsidRPr="00F00002">
        <w:rPr>
          <w:noProof/>
        </w:rPr>
        <w:fldChar w:fldCharType="begin"/>
      </w:r>
      <w:r w:rsidRPr="00F00002">
        <w:rPr>
          <w:noProof/>
        </w:rPr>
        <w:instrText xml:space="preserve"> PAGEREF _Toc31109755 \h </w:instrText>
      </w:r>
      <w:r w:rsidRPr="00F00002">
        <w:rPr>
          <w:noProof/>
        </w:rPr>
      </w:r>
      <w:r w:rsidRPr="00F00002">
        <w:rPr>
          <w:noProof/>
        </w:rPr>
        <w:fldChar w:fldCharType="separate"/>
      </w:r>
      <w:r w:rsidR="0030184D">
        <w:rPr>
          <w:noProof/>
        </w:rPr>
        <w:t>81</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974</w:t>
      </w:r>
      <w:r>
        <w:rPr>
          <w:noProof/>
        </w:rPr>
        <w:noBreakHyphen/>
        <w:t>135B</w:t>
      </w:r>
      <w:r>
        <w:rPr>
          <w:noProof/>
        </w:rPr>
        <w:tab/>
        <w:t>Non</w:t>
      </w:r>
      <w:r>
        <w:rPr>
          <w:noProof/>
        </w:rPr>
        <w:noBreakHyphen/>
        <w:t>cumulative redeemable preference shares issued by mutual building society</w:t>
      </w:r>
      <w:r w:rsidRPr="00F00002">
        <w:rPr>
          <w:noProof/>
        </w:rPr>
        <w:tab/>
      </w:r>
      <w:r w:rsidRPr="00F00002">
        <w:rPr>
          <w:noProof/>
        </w:rPr>
        <w:fldChar w:fldCharType="begin"/>
      </w:r>
      <w:r w:rsidRPr="00F00002">
        <w:rPr>
          <w:noProof/>
        </w:rPr>
        <w:instrText xml:space="preserve"> PAGEREF _Toc31109756 \h </w:instrText>
      </w:r>
      <w:r w:rsidRPr="00F00002">
        <w:rPr>
          <w:noProof/>
        </w:rPr>
      </w:r>
      <w:r w:rsidRPr="00F00002">
        <w:rPr>
          <w:noProof/>
        </w:rPr>
        <w:fldChar w:fldCharType="separate"/>
      </w:r>
      <w:r w:rsidR="0030184D">
        <w:rPr>
          <w:noProof/>
        </w:rPr>
        <w:t>81</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974</w:t>
      </w:r>
      <w:r>
        <w:rPr>
          <w:noProof/>
        </w:rPr>
        <w:noBreakHyphen/>
        <w:t>135C</w:t>
      </w:r>
      <w:r>
        <w:rPr>
          <w:noProof/>
        </w:rPr>
        <w:tab/>
        <w:t>Redeemable preference shares</w:t>
      </w:r>
      <w:r w:rsidRPr="00F00002">
        <w:rPr>
          <w:noProof/>
        </w:rPr>
        <w:tab/>
      </w:r>
      <w:r w:rsidRPr="00F00002">
        <w:rPr>
          <w:noProof/>
        </w:rPr>
        <w:fldChar w:fldCharType="begin"/>
      </w:r>
      <w:r w:rsidRPr="00F00002">
        <w:rPr>
          <w:noProof/>
        </w:rPr>
        <w:instrText xml:space="preserve"> PAGEREF _Toc31109757 \h </w:instrText>
      </w:r>
      <w:r w:rsidRPr="00F00002">
        <w:rPr>
          <w:noProof/>
        </w:rPr>
      </w:r>
      <w:r w:rsidRPr="00F00002">
        <w:rPr>
          <w:noProof/>
        </w:rPr>
        <w:fldChar w:fldCharType="separate"/>
      </w:r>
      <w:r w:rsidR="0030184D">
        <w:rPr>
          <w:noProof/>
        </w:rPr>
        <w:t>82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974</w:t>
      </w:r>
      <w:r>
        <w:rPr>
          <w:noProof/>
        </w:rPr>
        <w:noBreakHyphen/>
        <w:t>135D</w:t>
      </w:r>
      <w:r>
        <w:rPr>
          <w:noProof/>
        </w:rPr>
        <w:tab/>
        <w:t>Term cumulative subordinated note with insolvency or capital adequacy conditions</w:t>
      </w:r>
      <w:r w:rsidRPr="00F00002">
        <w:rPr>
          <w:noProof/>
        </w:rPr>
        <w:tab/>
      </w:r>
      <w:r w:rsidRPr="00F00002">
        <w:rPr>
          <w:noProof/>
        </w:rPr>
        <w:fldChar w:fldCharType="begin"/>
      </w:r>
      <w:r w:rsidRPr="00F00002">
        <w:rPr>
          <w:noProof/>
        </w:rPr>
        <w:instrText xml:space="preserve"> PAGEREF _Toc31109758 \h </w:instrText>
      </w:r>
      <w:r w:rsidRPr="00F00002">
        <w:rPr>
          <w:noProof/>
        </w:rPr>
      </w:r>
      <w:r w:rsidRPr="00F00002">
        <w:rPr>
          <w:noProof/>
        </w:rPr>
        <w:fldChar w:fldCharType="separate"/>
      </w:r>
      <w:r w:rsidR="0030184D">
        <w:rPr>
          <w:noProof/>
        </w:rPr>
        <w:t>82</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974</w:t>
      </w:r>
      <w:r>
        <w:rPr>
          <w:noProof/>
        </w:rPr>
        <w:noBreakHyphen/>
        <w:t>135E</w:t>
      </w:r>
      <w:r>
        <w:rPr>
          <w:noProof/>
        </w:rPr>
        <w:tab/>
        <w:t>Perpetual cumulative subordinated note with profitability, insolvency or negative earnings conditions</w:t>
      </w:r>
      <w:r w:rsidRPr="00F00002">
        <w:rPr>
          <w:noProof/>
        </w:rPr>
        <w:tab/>
      </w:r>
      <w:r w:rsidRPr="00F00002">
        <w:rPr>
          <w:noProof/>
        </w:rPr>
        <w:fldChar w:fldCharType="begin"/>
      </w:r>
      <w:r w:rsidRPr="00F00002">
        <w:rPr>
          <w:noProof/>
        </w:rPr>
        <w:instrText xml:space="preserve"> PAGEREF _Toc31109759 \h </w:instrText>
      </w:r>
      <w:r w:rsidRPr="00F00002">
        <w:rPr>
          <w:noProof/>
        </w:rPr>
      </w:r>
      <w:r w:rsidRPr="00F00002">
        <w:rPr>
          <w:noProof/>
        </w:rPr>
        <w:fldChar w:fldCharType="separate"/>
      </w:r>
      <w:r w:rsidR="0030184D">
        <w:rPr>
          <w:noProof/>
        </w:rPr>
        <w:t>83</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974</w:t>
      </w:r>
      <w:r>
        <w:rPr>
          <w:noProof/>
        </w:rPr>
        <w:noBreakHyphen/>
        <w:t>135F</w:t>
      </w:r>
      <w:r>
        <w:rPr>
          <w:noProof/>
        </w:rPr>
        <w:tab/>
        <w:t>Term cumulative subordinated note with non</w:t>
      </w:r>
      <w:r>
        <w:rPr>
          <w:noProof/>
        </w:rPr>
        <w:noBreakHyphen/>
        <w:t>viability condition</w:t>
      </w:r>
      <w:r w:rsidRPr="00F00002">
        <w:rPr>
          <w:noProof/>
        </w:rPr>
        <w:tab/>
      </w:r>
      <w:r w:rsidRPr="00F00002">
        <w:rPr>
          <w:noProof/>
        </w:rPr>
        <w:fldChar w:fldCharType="begin"/>
      </w:r>
      <w:r w:rsidRPr="00F00002">
        <w:rPr>
          <w:noProof/>
        </w:rPr>
        <w:instrText xml:space="preserve"> PAGEREF _Toc31109760 \h </w:instrText>
      </w:r>
      <w:r w:rsidRPr="00F00002">
        <w:rPr>
          <w:noProof/>
        </w:rPr>
      </w:r>
      <w:r w:rsidRPr="00F00002">
        <w:rPr>
          <w:noProof/>
        </w:rPr>
        <w:fldChar w:fldCharType="separate"/>
      </w:r>
      <w:r w:rsidR="0030184D">
        <w:rPr>
          <w:noProof/>
        </w:rPr>
        <w:t>85</w:t>
      </w:r>
      <w:r w:rsidRPr="00F00002">
        <w:rPr>
          <w:noProof/>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Division 995—Definitions</w:t>
      </w:r>
      <w:r w:rsidRPr="00F00002">
        <w:rPr>
          <w:b w:val="0"/>
          <w:noProof/>
          <w:sz w:val="18"/>
        </w:rPr>
        <w:tab/>
      </w:r>
      <w:r w:rsidRPr="00F00002">
        <w:rPr>
          <w:b w:val="0"/>
          <w:noProof/>
          <w:sz w:val="18"/>
        </w:rPr>
        <w:fldChar w:fldCharType="begin"/>
      </w:r>
      <w:r w:rsidRPr="00F00002">
        <w:rPr>
          <w:b w:val="0"/>
          <w:noProof/>
          <w:sz w:val="18"/>
        </w:rPr>
        <w:instrText xml:space="preserve"> PAGEREF _Toc31109761 \h </w:instrText>
      </w:r>
      <w:r w:rsidRPr="00F00002">
        <w:rPr>
          <w:b w:val="0"/>
          <w:noProof/>
          <w:sz w:val="18"/>
        </w:rPr>
      </w:r>
      <w:r w:rsidRPr="00F00002">
        <w:rPr>
          <w:b w:val="0"/>
          <w:noProof/>
          <w:sz w:val="18"/>
        </w:rPr>
        <w:fldChar w:fldCharType="separate"/>
      </w:r>
      <w:r w:rsidR="0030184D">
        <w:rPr>
          <w:b w:val="0"/>
          <w:noProof/>
          <w:sz w:val="18"/>
        </w:rPr>
        <w:t>87</w:t>
      </w:r>
      <w:r w:rsidRPr="00F00002">
        <w:rPr>
          <w:b w:val="0"/>
          <w:noProof/>
          <w:sz w:val="18"/>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995</w:t>
      </w:r>
      <w:r>
        <w:rPr>
          <w:noProof/>
        </w:rPr>
        <w:noBreakHyphen/>
        <w:t>1.01</w:t>
      </w:r>
      <w:r>
        <w:rPr>
          <w:noProof/>
        </w:rPr>
        <w:tab/>
        <w:t>Definitions</w:t>
      </w:r>
      <w:r w:rsidRPr="00F00002">
        <w:rPr>
          <w:noProof/>
        </w:rPr>
        <w:tab/>
      </w:r>
      <w:r w:rsidRPr="00F00002">
        <w:rPr>
          <w:noProof/>
        </w:rPr>
        <w:fldChar w:fldCharType="begin"/>
      </w:r>
      <w:r w:rsidRPr="00F00002">
        <w:rPr>
          <w:noProof/>
        </w:rPr>
        <w:instrText xml:space="preserve"> PAGEREF _Toc31109762 \h </w:instrText>
      </w:r>
      <w:r w:rsidRPr="00F00002">
        <w:rPr>
          <w:noProof/>
        </w:rPr>
      </w:r>
      <w:r w:rsidRPr="00F00002">
        <w:rPr>
          <w:noProof/>
        </w:rPr>
        <w:fldChar w:fldCharType="separate"/>
      </w:r>
      <w:r w:rsidR="0030184D">
        <w:rPr>
          <w:noProof/>
        </w:rPr>
        <w:t>87</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995</w:t>
      </w:r>
      <w:r>
        <w:rPr>
          <w:noProof/>
        </w:rPr>
        <w:noBreakHyphen/>
        <w:t>1.04</w:t>
      </w:r>
      <w:r>
        <w:rPr>
          <w:noProof/>
        </w:rPr>
        <w:tab/>
        <w:t>Constitutionally protected funds</w:t>
      </w:r>
      <w:r w:rsidRPr="00F00002">
        <w:rPr>
          <w:noProof/>
        </w:rPr>
        <w:tab/>
      </w:r>
      <w:r w:rsidRPr="00F00002">
        <w:rPr>
          <w:noProof/>
        </w:rPr>
        <w:fldChar w:fldCharType="begin"/>
      </w:r>
      <w:r w:rsidRPr="00F00002">
        <w:rPr>
          <w:noProof/>
        </w:rPr>
        <w:instrText xml:space="preserve"> PAGEREF _Toc31109763 \h </w:instrText>
      </w:r>
      <w:r w:rsidRPr="00F00002">
        <w:rPr>
          <w:noProof/>
        </w:rPr>
      </w:r>
      <w:r w:rsidRPr="00F00002">
        <w:rPr>
          <w:noProof/>
        </w:rPr>
        <w:fldChar w:fldCharType="separate"/>
      </w:r>
      <w:r w:rsidR="0030184D">
        <w:rPr>
          <w:noProof/>
        </w:rPr>
        <w:t>90</w:t>
      </w:r>
      <w:r w:rsidRPr="00F00002">
        <w:rPr>
          <w:noProof/>
        </w:rPr>
        <w:fldChar w:fldCharType="end"/>
      </w:r>
    </w:p>
    <w:p w:rsidR="00F00002" w:rsidRDefault="00F00002" w:rsidP="00F57B37">
      <w:pPr>
        <w:pStyle w:val="TOC5"/>
        <w:ind w:right="1792"/>
        <w:rPr>
          <w:rFonts w:asciiTheme="minorHAnsi" w:eastAsiaTheme="minorEastAsia" w:hAnsiTheme="minorHAnsi" w:cstheme="minorBidi"/>
          <w:noProof/>
          <w:kern w:val="0"/>
          <w:sz w:val="22"/>
          <w:szCs w:val="22"/>
        </w:rPr>
      </w:pPr>
      <w:r>
        <w:rPr>
          <w:noProof/>
        </w:rPr>
        <w:t>995</w:t>
      </w:r>
      <w:r>
        <w:rPr>
          <w:noProof/>
        </w:rPr>
        <w:noBreakHyphen/>
        <w:t>1.05</w:t>
      </w:r>
      <w:r>
        <w:rPr>
          <w:noProof/>
          <w:color w:val="000000"/>
        </w:rPr>
        <w:tab/>
      </w:r>
      <w:r>
        <w:rPr>
          <w:noProof/>
        </w:rPr>
        <w:t>Approved stock exchanges</w:t>
      </w:r>
      <w:r w:rsidRPr="00F00002">
        <w:rPr>
          <w:noProof/>
        </w:rPr>
        <w:tab/>
      </w:r>
      <w:r w:rsidRPr="00F00002">
        <w:rPr>
          <w:noProof/>
        </w:rPr>
        <w:fldChar w:fldCharType="begin"/>
      </w:r>
      <w:r w:rsidRPr="00F00002">
        <w:rPr>
          <w:noProof/>
        </w:rPr>
        <w:instrText xml:space="preserve"> PAGEREF _Toc31109764 \h </w:instrText>
      </w:r>
      <w:r w:rsidRPr="00F00002">
        <w:rPr>
          <w:noProof/>
        </w:rPr>
      </w:r>
      <w:r w:rsidRPr="00F00002">
        <w:rPr>
          <w:noProof/>
        </w:rPr>
        <w:fldChar w:fldCharType="separate"/>
      </w:r>
      <w:r w:rsidR="0030184D">
        <w:rPr>
          <w:noProof/>
        </w:rPr>
        <w:t>90</w:t>
      </w:r>
      <w:r w:rsidRPr="00F00002">
        <w:rPr>
          <w:noProof/>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1A</w:t>
      </w:r>
      <w:r w:rsidRPr="0016279D">
        <w:rPr>
          <w:noProof/>
          <w:color w:val="000000"/>
        </w:rPr>
        <w:t>—</w:t>
      </w:r>
      <w:r>
        <w:rPr>
          <w:noProof/>
        </w:rPr>
        <w:t>Method of working out amount of notional taxed contributions</w:t>
      </w:r>
      <w:r w:rsidRPr="00F00002">
        <w:rPr>
          <w:b w:val="0"/>
          <w:noProof/>
          <w:sz w:val="18"/>
        </w:rPr>
        <w:tab/>
      </w:r>
      <w:r w:rsidRPr="00F00002">
        <w:rPr>
          <w:b w:val="0"/>
          <w:noProof/>
          <w:sz w:val="18"/>
        </w:rPr>
        <w:fldChar w:fldCharType="begin"/>
      </w:r>
      <w:r w:rsidRPr="00F00002">
        <w:rPr>
          <w:b w:val="0"/>
          <w:noProof/>
          <w:sz w:val="18"/>
        </w:rPr>
        <w:instrText xml:space="preserve"> PAGEREF _Toc31109765 \h </w:instrText>
      </w:r>
      <w:r w:rsidRPr="00F00002">
        <w:rPr>
          <w:b w:val="0"/>
          <w:noProof/>
          <w:sz w:val="18"/>
        </w:rPr>
      </w:r>
      <w:r w:rsidRPr="00F00002">
        <w:rPr>
          <w:b w:val="0"/>
          <w:noProof/>
          <w:sz w:val="18"/>
        </w:rPr>
        <w:fldChar w:fldCharType="separate"/>
      </w:r>
      <w:r w:rsidR="0030184D">
        <w:rPr>
          <w:b w:val="0"/>
          <w:noProof/>
          <w:sz w:val="18"/>
        </w:rPr>
        <w:t>91</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1</w:t>
      </w:r>
      <w:r w:rsidRPr="0016279D">
        <w:rPr>
          <w:noProof/>
          <w:color w:val="000000"/>
        </w:rPr>
        <w:t>—</w:t>
      </w:r>
      <w:r>
        <w:rPr>
          <w:noProof/>
        </w:rPr>
        <w:t>Preliminary</w:t>
      </w:r>
      <w:r w:rsidRPr="00F00002">
        <w:rPr>
          <w:b w:val="0"/>
          <w:noProof/>
          <w:sz w:val="18"/>
        </w:rPr>
        <w:tab/>
      </w:r>
      <w:r w:rsidRPr="00F00002">
        <w:rPr>
          <w:b w:val="0"/>
          <w:noProof/>
          <w:sz w:val="18"/>
        </w:rPr>
        <w:fldChar w:fldCharType="begin"/>
      </w:r>
      <w:r w:rsidRPr="00F00002">
        <w:rPr>
          <w:b w:val="0"/>
          <w:noProof/>
          <w:sz w:val="18"/>
        </w:rPr>
        <w:instrText xml:space="preserve"> PAGEREF _Toc31109766 \h </w:instrText>
      </w:r>
      <w:r w:rsidRPr="00F00002">
        <w:rPr>
          <w:b w:val="0"/>
          <w:noProof/>
          <w:sz w:val="18"/>
        </w:rPr>
      </w:r>
      <w:r w:rsidRPr="00F00002">
        <w:rPr>
          <w:b w:val="0"/>
          <w:noProof/>
          <w:sz w:val="18"/>
        </w:rPr>
        <w:fldChar w:fldCharType="separate"/>
      </w:r>
      <w:r w:rsidR="0030184D">
        <w:rPr>
          <w:b w:val="0"/>
          <w:noProof/>
          <w:sz w:val="18"/>
        </w:rPr>
        <w:t>91</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2</w:t>
      </w:r>
      <w:r w:rsidRPr="0016279D">
        <w:rPr>
          <w:noProof/>
          <w:color w:val="000000"/>
        </w:rPr>
        <w:t>—</w:t>
      </w:r>
      <w:r>
        <w:rPr>
          <w:noProof/>
        </w:rPr>
        <w:t>New entrant rate</w:t>
      </w:r>
      <w:r w:rsidRPr="00F00002">
        <w:rPr>
          <w:b w:val="0"/>
          <w:noProof/>
          <w:sz w:val="18"/>
        </w:rPr>
        <w:tab/>
      </w:r>
      <w:r w:rsidRPr="00F00002">
        <w:rPr>
          <w:b w:val="0"/>
          <w:noProof/>
          <w:sz w:val="18"/>
        </w:rPr>
        <w:fldChar w:fldCharType="begin"/>
      </w:r>
      <w:r w:rsidRPr="00F00002">
        <w:rPr>
          <w:b w:val="0"/>
          <w:noProof/>
          <w:sz w:val="18"/>
        </w:rPr>
        <w:instrText xml:space="preserve"> PAGEREF _Toc31109767 \h </w:instrText>
      </w:r>
      <w:r w:rsidRPr="00F00002">
        <w:rPr>
          <w:b w:val="0"/>
          <w:noProof/>
          <w:sz w:val="18"/>
        </w:rPr>
      </w:r>
      <w:r w:rsidRPr="00F00002">
        <w:rPr>
          <w:b w:val="0"/>
          <w:noProof/>
          <w:sz w:val="18"/>
        </w:rPr>
        <w:fldChar w:fldCharType="separate"/>
      </w:r>
      <w:r w:rsidR="0030184D">
        <w:rPr>
          <w:b w:val="0"/>
          <w:noProof/>
          <w:sz w:val="18"/>
        </w:rPr>
        <w:t>94</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3</w:t>
      </w:r>
      <w:r w:rsidRPr="0016279D">
        <w:rPr>
          <w:noProof/>
          <w:color w:val="000000"/>
        </w:rPr>
        <w:t>—</w:t>
      </w:r>
      <w:r>
        <w:rPr>
          <w:noProof/>
        </w:rPr>
        <w:t>Valuation parameters</w:t>
      </w:r>
      <w:r w:rsidRPr="00F00002">
        <w:rPr>
          <w:b w:val="0"/>
          <w:noProof/>
          <w:sz w:val="18"/>
        </w:rPr>
        <w:tab/>
      </w:r>
      <w:r w:rsidRPr="00F00002">
        <w:rPr>
          <w:b w:val="0"/>
          <w:noProof/>
          <w:sz w:val="18"/>
        </w:rPr>
        <w:fldChar w:fldCharType="begin"/>
      </w:r>
      <w:r w:rsidRPr="00F00002">
        <w:rPr>
          <w:b w:val="0"/>
          <w:noProof/>
          <w:sz w:val="18"/>
        </w:rPr>
        <w:instrText xml:space="preserve"> PAGEREF _Toc31109768 \h </w:instrText>
      </w:r>
      <w:r w:rsidRPr="00F00002">
        <w:rPr>
          <w:b w:val="0"/>
          <w:noProof/>
          <w:sz w:val="18"/>
        </w:rPr>
      </w:r>
      <w:r w:rsidRPr="00F00002">
        <w:rPr>
          <w:b w:val="0"/>
          <w:noProof/>
          <w:sz w:val="18"/>
        </w:rPr>
        <w:fldChar w:fldCharType="separate"/>
      </w:r>
      <w:r w:rsidR="0030184D">
        <w:rPr>
          <w:b w:val="0"/>
          <w:noProof/>
          <w:sz w:val="18"/>
        </w:rPr>
        <w:t>96</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4</w:t>
      </w:r>
      <w:r w:rsidRPr="0016279D">
        <w:rPr>
          <w:noProof/>
          <w:color w:val="000000"/>
        </w:rPr>
        <w:t>—</w:t>
      </w:r>
      <w:r>
        <w:rPr>
          <w:noProof/>
        </w:rPr>
        <w:t>Exercise of discretion to pay a benefit greater than the benefit assumed in calculating the new entrant rate</w:t>
      </w:r>
      <w:r w:rsidRPr="00F00002">
        <w:rPr>
          <w:b w:val="0"/>
          <w:noProof/>
          <w:sz w:val="18"/>
        </w:rPr>
        <w:tab/>
      </w:r>
      <w:r w:rsidRPr="00F00002">
        <w:rPr>
          <w:b w:val="0"/>
          <w:noProof/>
          <w:sz w:val="18"/>
        </w:rPr>
        <w:fldChar w:fldCharType="begin"/>
      </w:r>
      <w:r w:rsidRPr="00F00002">
        <w:rPr>
          <w:b w:val="0"/>
          <w:noProof/>
          <w:sz w:val="18"/>
        </w:rPr>
        <w:instrText xml:space="preserve"> PAGEREF _Toc31109769 \h </w:instrText>
      </w:r>
      <w:r w:rsidRPr="00F00002">
        <w:rPr>
          <w:b w:val="0"/>
          <w:noProof/>
          <w:sz w:val="18"/>
        </w:rPr>
      </w:r>
      <w:r w:rsidRPr="00F00002">
        <w:rPr>
          <w:b w:val="0"/>
          <w:noProof/>
          <w:sz w:val="18"/>
        </w:rPr>
        <w:fldChar w:fldCharType="separate"/>
      </w:r>
      <w:r w:rsidR="0030184D">
        <w:rPr>
          <w:b w:val="0"/>
          <w:noProof/>
          <w:sz w:val="18"/>
        </w:rPr>
        <w:t>100</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5</w:t>
      </w:r>
      <w:r w:rsidRPr="0016279D">
        <w:rPr>
          <w:noProof/>
          <w:color w:val="000000"/>
        </w:rPr>
        <w:t>—</w:t>
      </w:r>
      <w:r>
        <w:rPr>
          <w:noProof/>
        </w:rPr>
        <w:t>Member has changed benefit category</w:t>
      </w:r>
      <w:r w:rsidRPr="00F00002">
        <w:rPr>
          <w:b w:val="0"/>
          <w:noProof/>
          <w:sz w:val="18"/>
        </w:rPr>
        <w:tab/>
      </w:r>
      <w:r w:rsidRPr="00F00002">
        <w:rPr>
          <w:b w:val="0"/>
          <w:noProof/>
          <w:sz w:val="18"/>
        </w:rPr>
        <w:fldChar w:fldCharType="begin"/>
      </w:r>
      <w:r w:rsidRPr="00F00002">
        <w:rPr>
          <w:b w:val="0"/>
          <w:noProof/>
          <w:sz w:val="18"/>
        </w:rPr>
        <w:instrText xml:space="preserve"> PAGEREF _Toc31109770 \h </w:instrText>
      </w:r>
      <w:r w:rsidRPr="00F00002">
        <w:rPr>
          <w:b w:val="0"/>
          <w:noProof/>
          <w:sz w:val="18"/>
        </w:rPr>
      </w:r>
      <w:r w:rsidRPr="00F00002">
        <w:rPr>
          <w:b w:val="0"/>
          <w:noProof/>
          <w:sz w:val="18"/>
        </w:rPr>
        <w:fldChar w:fldCharType="separate"/>
      </w:r>
      <w:r w:rsidR="0030184D">
        <w:rPr>
          <w:b w:val="0"/>
          <w:noProof/>
          <w:sz w:val="18"/>
        </w:rPr>
        <w:t>101</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6</w:t>
      </w:r>
      <w:r w:rsidRPr="0016279D">
        <w:rPr>
          <w:noProof/>
          <w:color w:val="000000"/>
        </w:rPr>
        <w:t>—</w:t>
      </w:r>
      <w:r>
        <w:rPr>
          <w:noProof/>
        </w:rPr>
        <w:t>Governing rules have changed</w:t>
      </w:r>
      <w:r w:rsidRPr="00F00002">
        <w:rPr>
          <w:b w:val="0"/>
          <w:noProof/>
          <w:sz w:val="18"/>
        </w:rPr>
        <w:tab/>
      </w:r>
      <w:r w:rsidRPr="00F00002">
        <w:rPr>
          <w:b w:val="0"/>
          <w:noProof/>
          <w:sz w:val="18"/>
        </w:rPr>
        <w:fldChar w:fldCharType="begin"/>
      </w:r>
      <w:r w:rsidRPr="00F00002">
        <w:rPr>
          <w:b w:val="0"/>
          <w:noProof/>
          <w:sz w:val="18"/>
        </w:rPr>
        <w:instrText xml:space="preserve"> PAGEREF _Toc31109771 \h </w:instrText>
      </w:r>
      <w:r w:rsidRPr="00F00002">
        <w:rPr>
          <w:b w:val="0"/>
          <w:noProof/>
          <w:sz w:val="18"/>
        </w:rPr>
      </w:r>
      <w:r w:rsidRPr="00F00002">
        <w:rPr>
          <w:b w:val="0"/>
          <w:noProof/>
          <w:sz w:val="18"/>
        </w:rPr>
        <w:fldChar w:fldCharType="separate"/>
      </w:r>
      <w:r w:rsidR="0030184D">
        <w:rPr>
          <w:b w:val="0"/>
          <w:noProof/>
          <w:sz w:val="18"/>
        </w:rPr>
        <w:t>102</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7</w:t>
      </w:r>
      <w:r w:rsidRPr="0016279D">
        <w:rPr>
          <w:noProof/>
          <w:color w:val="000000"/>
        </w:rPr>
        <w:t>—</w:t>
      </w:r>
      <w:r>
        <w:rPr>
          <w:noProof/>
        </w:rPr>
        <w:t>Non</w:t>
      </w:r>
      <w:r>
        <w:rPr>
          <w:noProof/>
        </w:rPr>
        <w:noBreakHyphen/>
        <w:t>arm’s length increase in superannuation salary</w:t>
      </w:r>
      <w:r w:rsidRPr="00F00002">
        <w:rPr>
          <w:b w:val="0"/>
          <w:noProof/>
          <w:sz w:val="18"/>
        </w:rPr>
        <w:tab/>
      </w:r>
      <w:r w:rsidRPr="00F00002">
        <w:rPr>
          <w:b w:val="0"/>
          <w:noProof/>
          <w:sz w:val="18"/>
        </w:rPr>
        <w:fldChar w:fldCharType="begin"/>
      </w:r>
      <w:r w:rsidRPr="00F00002">
        <w:rPr>
          <w:b w:val="0"/>
          <w:noProof/>
          <w:sz w:val="18"/>
        </w:rPr>
        <w:instrText xml:space="preserve"> PAGEREF _Toc31109772 \h </w:instrText>
      </w:r>
      <w:r w:rsidRPr="00F00002">
        <w:rPr>
          <w:b w:val="0"/>
          <w:noProof/>
          <w:sz w:val="18"/>
        </w:rPr>
      </w:r>
      <w:r w:rsidRPr="00F00002">
        <w:rPr>
          <w:b w:val="0"/>
          <w:noProof/>
          <w:sz w:val="18"/>
        </w:rPr>
        <w:fldChar w:fldCharType="separate"/>
      </w:r>
      <w:r w:rsidR="0030184D">
        <w:rPr>
          <w:b w:val="0"/>
          <w:noProof/>
          <w:sz w:val="18"/>
        </w:rPr>
        <w:t>103</w:t>
      </w:r>
      <w:r w:rsidRPr="00F00002">
        <w:rPr>
          <w:b w:val="0"/>
          <w:noProof/>
          <w:sz w:val="18"/>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1AA—Working out defined benefit contributions</w:t>
      </w:r>
      <w:r w:rsidRPr="00F00002">
        <w:rPr>
          <w:b w:val="0"/>
          <w:noProof/>
          <w:sz w:val="18"/>
        </w:rPr>
        <w:tab/>
      </w:r>
      <w:r w:rsidRPr="00F00002">
        <w:rPr>
          <w:b w:val="0"/>
          <w:noProof/>
          <w:sz w:val="18"/>
        </w:rPr>
        <w:fldChar w:fldCharType="begin"/>
      </w:r>
      <w:r w:rsidRPr="00F00002">
        <w:rPr>
          <w:b w:val="0"/>
          <w:noProof/>
          <w:sz w:val="18"/>
        </w:rPr>
        <w:instrText xml:space="preserve"> PAGEREF _Toc31109773 \h </w:instrText>
      </w:r>
      <w:r w:rsidRPr="00F00002">
        <w:rPr>
          <w:b w:val="0"/>
          <w:noProof/>
          <w:sz w:val="18"/>
        </w:rPr>
      </w:r>
      <w:r w:rsidRPr="00F00002">
        <w:rPr>
          <w:b w:val="0"/>
          <w:noProof/>
          <w:sz w:val="18"/>
        </w:rPr>
        <w:fldChar w:fldCharType="separate"/>
      </w:r>
      <w:r w:rsidR="0030184D">
        <w:rPr>
          <w:b w:val="0"/>
          <w:noProof/>
          <w:sz w:val="18"/>
        </w:rPr>
        <w:t>104</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1—Preliminary</w:t>
      </w:r>
      <w:r w:rsidRPr="00F00002">
        <w:rPr>
          <w:b w:val="0"/>
          <w:noProof/>
          <w:sz w:val="18"/>
        </w:rPr>
        <w:tab/>
      </w:r>
      <w:r w:rsidRPr="00F00002">
        <w:rPr>
          <w:b w:val="0"/>
          <w:noProof/>
          <w:sz w:val="18"/>
        </w:rPr>
        <w:fldChar w:fldCharType="begin"/>
      </w:r>
      <w:r w:rsidRPr="00F00002">
        <w:rPr>
          <w:b w:val="0"/>
          <w:noProof/>
          <w:sz w:val="18"/>
        </w:rPr>
        <w:instrText xml:space="preserve"> PAGEREF _Toc31109774 \h </w:instrText>
      </w:r>
      <w:r w:rsidRPr="00F00002">
        <w:rPr>
          <w:b w:val="0"/>
          <w:noProof/>
          <w:sz w:val="18"/>
        </w:rPr>
      </w:r>
      <w:r w:rsidRPr="00F00002">
        <w:rPr>
          <w:b w:val="0"/>
          <w:noProof/>
          <w:sz w:val="18"/>
        </w:rPr>
        <w:fldChar w:fldCharType="separate"/>
      </w:r>
      <w:r w:rsidR="0030184D">
        <w:rPr>
          <w:b w:val="0"/>
          <w:noProof/>
          <w:sz w:val="18"/>
        </w:rPr>
        <w:t>104</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2</w:t>
      </w:r>
      <w:r w:rsidRPr="0016279D">
        <w:rPr>
          <w:noProof/>
          <w:color w:val="000000"/>
        </w:rPr>
        <w:t>—</w:t>
      </w:r>
      <w:r>
        <w:rPr>
          <w:noProof/>
        </w:rPr>
        <w:t>New entrant rate</w:t>
      </w:r>
      <w:r w:rsidRPr="00F00002">
        <w:rPr>
          <w:b w:val="0"/>
          <w:noProof/>
          <w:sz w:val="18"/>
        </w:rPr>
        <w:tab/>
      </w:r>
      <w:r w:rsidRPr="00F00002">
        <w:rPr>
          <w:b w:val="0"/>
          <w:noProof/>
          <w:sz w:val="18"/>
        </w:rPr>
        <w:fldChar w:fldCharType="begin"/>
      </w:r>
      <w:r w:rsidRPr="00F00002">
        <w:rPr>
          <w:b w:val="0"/>
          <w:noProof/>
          <w:sz w:val="18"/>
        </w:rPr>
        <w:instrText xml:space="preserve"> PAGEREF _Toc31109775 \h </w:instrText>
      </w:r>
      <w:r w:rsidRPr="00F00002">
        <w:rPr>
          <w:b w:val="0"/>
          <w:noProof/>
          <w:sz w:val="18"/>
        </w:rPr>
      </w:r>
      <w:r w:rsidRPr="00F00002">
        <w:rPr>
          <w:b w:val="0"/>
          <w:noProof/>
          <w:sz w:val="18"/>
        </w:rPr>
        <w:fldChar w:fldCharType="separate"/>
      </w:r>
      <w:r w:rsidR="0030184D">
        <w:rPr>
          <w:b w:val="0"/>
          <w:noProof/>
          <w:sz w:val="18"/>
        </w:rPr>
        <w:t>107</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3</w:t>
      </w:r>
      <w:r w:rsidRPr="0016279D">
        <w:rPr>
          <w:noProof/>
          <w:color w:val="000000"/>
        </w:rPr>
        <w:t>—</w:t>
      </w:r>
      <w:r>
        <w:rPr>
          <w:noProof/>
        </w:rPr>
        <w:t>Valuation parameters</w:t>
      </w:r>
      <w:r w:rsidRPr="00F00002">
        <w:rPr>
          <w:b w:val="0"/>
          <w:noProof/>
          <w:sz w:val="18"/>
        </w:rPr>
        <w:tab/>
      </w:r>
      <w:r w:rsidRPr="00F00002">
        <w:rPr>
          <w:b w:val="0"/>
          <w:noProof/>
          <w:sz w:val="18"/>
        </w:rPr>
        <w:fldChar w:fldCharType="begin"/>
      </w:r>
      <w:r w:rsidRPr="00F00002">
        <w:rPr>
          <w:b w:val="0"/>
          <w:noProof/>
          <w:sz w:val="18"/>
        </w:rPr>
        <w:instrText xml:space="preserve"> PAGEREF _Toc31109776 \h </w:instrText>
      </w:r>
      <w:r w:rsidRPr="00F00002">
        <w:rPr>
          <w:b w:val="0"/>
          <w:noProof/>
          <w:sz w:val="18"/>
        </w:rPr>
      </w:r>
      <w:r w:rsidRPr="00F00002">
        <w:rPr>
          <w:b w:val="0"/>
          <w:noProof/>
          <w:sz w:val="18"/>
        </w:rPr>
        <w:fldChar w:fldCharType="separate"/>
      </w:r>
      <w:r w:rsidR="0030184D">
        <w:rPr>
          <w:b w:val="0"/>
          <w:noProof/>
          <w:sz w:val="18"/>
        </w:rPr>
        <w:t>109</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4</w:t>
      </w:r>
      <w:r w:rsidRPr="0016279D">
        <w:rPr>
          <w:noProof/>
          <w:color w:val="000000"/>
        </w:rPr>
        <w:t>—</w:t>
      </w:r>
      <w:r>
        <w:rPr>
          <w:noProof/>
        </w:rPr>
        <w:t>Exercise of discretion to pay a benefit greater than the benefit assumed in calculating the new entrant rate</w:t>
      </w:r>
      <w:r w:rsidRPr="00F00002">
        <w:rPr>
          <w:b w:val="0"/>
          <w:noProof/>
          <w:sz w:val="18"/>
        </w:rPr>
        <w:tab/>
      </w:r>
      <w:r w:rsidRPr="00F00002">
        <w:rPr>
          <w:b w:val="0"/>
          <w:noProof/>
          <w:sz w:val="18"/>
        </w:rPr>
        <w:fldChar w:fldCharType="begin"/>
      </w:r>
      <w:r w:rsidRPr="00F00002">
        <w:rPr>
          <w:b w:val="0"/>
          <w:noProof/>
          <w:sz w:val="18"/>
        </w:rPr>
        <w:instrText xml:space="preserve"> PAGEREF _Toc31109777 \h </w:instrText>
      </w:r>
      <w:r w:rsidRPr="00F00002">
        <w:rPr>
          <w:b w:val="0"/>
          <w:noProof/>
          <w:sz w:val="18"/>
        </w:rPr>
      </w:r>
      <w:r w:rsidRPr="00F00002">
        <w:rPr>
          <w:b w:val="0"/>
          <w:noProof/>
          <w:sz w:val="18"/>
        </w:rPr>
        <w:fldChar w:fldCharType="separate"/>
      </w:r>
      <w:r w:rsidR="0030184D">
        <w:rPr>
          <w:b w:val="0"/>
          <w:noProof/>
          <w:sz w:val="18"/>
        </w:rPr>
        <w:t>114</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5</w:t>
      </w:r>
      <w:r w:rsidRPr="0016279D">
        <w:rPr>
          <w:noProof/>
          <w:color w:val="000000"/>
        </w:rPr>
        <w:t>—</w:t>
      </w:r>
      <w:r>
        <w:rPr>
          <w:noProof/>
        </w:rPr>
        <w:t>Member has changed benefit category</w:t>
      </w:r>
      <w:r w:rsidRPr="00F00002">
        <w:rPr>
          <w:b w:val="0"/>
          <w:noProof/>
          <w:sz w:val="18"/>
        </w:rPr>
        <w:tab/>
      </w:r>
      <w:r w:rsidRPr="00F00002">
        <w:rPr>
          <w:b w:val="0"/>
          <w:noProof/>
          <w:sz w:val="18"/>
        </w:rPr>
        <w:fldChar w:fldCharType="begin"/>
      </w:r>
      <w:r w:rsidRPr="00F00002">
        <w:rPr>
          <w:b w:val="0"/>
          <w:noProof/>
          <w:sz w:val="18"/>
        </w:rPr>
        <w:instrText xml:space="preserve"> PAGEREF _Toc31109778 \h </w:instrText>
      </w:r>
      <w:r w:rsidRPr="00F00002">
        <w:rPr>
          <w:b w:val="0"/>
          <w:noProof/>
          <w:sz w:val="18"/>
        </w:rPr>
      </w:r>
      <w:r w:rsidRPr="00F00002">
        <w:rPr>
          <w:b w:val="0"/>
          <w:noProof/>
          <w:sz w:val="18"/>
        </w:rPr>
        <w:fldChar w:fldCharType="separate"/>
      </w:r>
      <w:r w:rsidR="0030184D">
        <w:rPr>
          <w:b w:val="0"/>
          <w:noProof/>
          <w:sz w:val="18"/>
        </w:rPr>
        <w:t>115</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6</w:t>
      </w:r>
      <w:r w:rsidRPr="0016279D">
        <w:rPr>
          <w:noProof/>
          <w:color w:val="000000"/>
        </w:rPr>
        <w:t>—</w:t>
      </w:r>
      <w:r>
        <w:rPr>
          <w:noProof/>
        </w:rPr>
        <w:t>Governing rules have changed</w:t>
      </w:r>
      <w:r w:rsidRPr="00F00002">
        <w:rPr>
          <w:b w:val="0"/>
          <w:noProof/>
          <w:sz w:val="18"/>
        </w:rPr>
        <w:tab/>
      </w:r>
      <w:r w:rsidRPr="00F00002">
        <w:rPr>
          <w:b w:val="0"/>
          <w:noProof/>
          <w:sz w:val="18"/>
        </w:rPr>
        <w:fldChar w:fldCharType="begin"/>
      </w:r>
      <w:r w:rsidRPr="00F00002">
        <w:rPr>
          <w:b w:val="0"/>
          <w:noProof/>
          <w:sz w:val="18"/>
        </w:rPr>
        <w:instrText xml:space="preserve"> PAGEREF _Toc31109779 \h </w:instrText>
      </w:r>
      <w:r w:rsidRPr="00F00002">
        <w:rPr>
          <w:b w:val="0"/>
          <w:noProof/>
          <w:sz w:val="18"/>
        </w:rPr>
      </w:r>
      <w:r w:rsidRPr="00F00002">
        <w:rPr>
          <w:b w:val="0"/>
          <w:noProof/>
          <w:sz w:val="18"/>
        </w:rPr>
        <w:fldChar w:fldCharType="separate"/>
      </w:r>
      <w:r w:rsidR="0030184D">
        <w:rPr>
          <w:b w:val="0"/>
          <w:noProof/>
          <w:sz w:val="18"/>
        </w:rPr>
        <w:t>116</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7</w:t>
      </w:r>
      <w:r w:rsidRPr="0016279D">
        <w:rPr>
          <w:noProof/>
          <w:color w:val="000000"/>
        </w:rPr>
        <w:t>—</w:t>
      </w:r>
      <w:r>
        <w:rPr>
          <w:noProof/>
        </w:rPr>
        <w:t>Non</w:t>
      </w:r>
      <w:r>
        <w:rPr>
          <w:noProof/>
        </w:rPr>
        <w:noBreakHyphen/>
        <w:t>arm’s length increase in superannuation salary</w:t>
      </w:r>
      <w:r w:rsidRPr="00F00002">
        <w:rPr>
          <w:b w:val="0"/>
          <w:noProof/>
          <w:sz w:val="18"/>
        </w:rPr>
        <w:tab/>
      </w:r>
      <w:r w:rsidRPr="00F00002">
        <w:rPr>
          <w:b w:val="0"/>
          <w:noProof/>
          <w:sz w:val="18"/>
        </w:rPr>
        <w:fldChar w:fldCharType="begin"/>
      </w:r>
      <w:r w:rsidRPr="00F00002">
        <w:rPr>
          <w:b w:val="0"/>
          <w:noProof/>
          <w:sz w:val="18"/>
        </w:rPr>
        <w:instrText xml:space="preserve"> PAGEREF _Toc31109780 \h </w:instrText>
      </w:r>
      <w:r w:rsidRPr="00F00002">
        <w:rPr>
          <w:b w:val="0"/>
          <w:noProof/>
          <w:sz w:val="18"/>
        </w:rPr>
      </w:r>
      <w:r w:rsidRPr="00F00002">
        <w:rPr>
          <w:b w:val="0"/>
          <w:noProof/>
          <w:sz w:val="18"/>
        </w:rPr>
        <w:fldChar w:fldCharType="separate"/>
      </w:r>
      <w:r w:rsidR="0030184D">
        <w:rPr>
          <w:b w:val="0"/>
          <w:noProof/>
          <w:sz w:val="18"/>
        </w:rPr>
        <w:t>117</w:t>
      </w:r>
      <w:r w:rsidRPr="00F00002">
        <w:rPr>
          <w:b w:val="0"/>
          <w:noProof/>
          <w:sz w:val="18"/>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1B</w:t>
      </w:r>
      <w:r w:rsidRPr="0016279D">
        <w:rPr>
          <w:noProof/>
          <w:color w:val="000000"/>
        </w:rPr>
        <w:t>—</w:t>
      </w:r>
      <w:r>
        <w:rPr>
          <w:noProof/>
        </w:rPr>
        <w:t>Valuation factors</w:t>
      </w:r>
      <w:r w:rsidRPr="00F00002">
        <w:rPr>
          <w:b w:val="0"/>
          <w:noProof/>
          <w:sz w:val="18"/>
        </w:rPr>
        <w:tab/>
      </w:r>
      <w:r w:rsidRPr="00F00002">
        <w:rPr>
          <w:b w:val="0"/>
          <w:noProof/>
          <w:sz w:val="18"/>
        </w:rPr>
        <w:fldChar w:fldCharType="begin"/>
      </w:r>
      <w:r w:rsidRPr="00F00002">
        <w:rPr>
          <w:b w:val="0"/>
          <w:noProof/>
          <w:sz w:val="18"/>
        </w:rPr>
        <w:instrText xml:space="preserve"> PAGEREF _Toc31109781 \h </w:instrText>
      </w:r>
      <w:r w:rsidRPr="00F00002">
        <w:rPr>
          <w:b w:val="0"/>
          <w:noProof/>
          <w:sz w:val="18"/>
        </w:rPr>
      </w:r>
      <w:r w:rsidRPr="00F00002">
        <w:rPr>
          <w:b w:val="0"/>
          <w:noProof/>
          <w:sz w:val="18"/>
        </w:rPr>
        <w:fldChar w:fldCharType="separate"/>
      </w:r>
      <w:r w:rsidR="0030184D">
        <w:rPr>
          <w:b w:val="0"/>
          <w:noProof/>
          <w:sz w:val="18"/>
        </w:rPr>
        <w:t>118</w:t>
      </w:r>
      <w:r w:rsidRPr="00F00002">
        <w:rPr>
          <w:b w:val="0"/>
          <w:noProof/>
          <w:sz w:val="18"/>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1C—Farm management deposits: statements to be read by depositors</w:t>
      </w:r>
      <w:r w:rsidRPr="00F00002">
        <w:rPr>
          <w:b w:val="0"/>
          <w:noProof/>
          <w:sz w:val="18"/>
        </w:rPr>
        <w:tab/>
      </w:r>
      <w:r w:rsidRPr="00F00002">
        <w:rPr>
          <w:b w:val="0"/>
          <w:noProof/>
          <w:sz w:val="18"/>
        </w:rPr>
        <w:fldChar w:fldCharType="begin"/>
      </w:r>
      <w:r w:rsidRPr="00F00002">
        <w:rPr>
          <w:b w:val="0"/>
          <w:noProof/>
          <w:sz w:val="18"/>
        </w:rPr>
        <w:instrText xml:space="preserve"> PAGEREF _Toc31109782 \h </w:instrText>
      </w:r>
      <w:r w:rsidRPr="00F00002">
        <w:rPr>
          <w:b w:val="0"/>
          <w:noProof/>
          <w:sz w:val="18"/>
        </w:rPr>
      </w:r>
      <w:r w:rsidRPr="00F00002">
        <w:rPr>
          <w:b w:val="0"/>
          <w:noProof/>
          <w:sz w:val="18"/>
        </w:rPr>
        <w:fldChar w:fldCharType="separate"/>
      </w:r>
      <w:r w:rsidR="0030184D">
        <w:rPr>
          <w:b w:val="0"/>
          <w:noProof/>
          <w:sz w:val="18"/>
        </w:rPr>
        <w:t>122</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1—Statements</w:t>
      </w:r>
      <w:r w:rsidRPr="00F00002">
        <w:rPr>
          <w:b w:val="0"/>
          <w:noProof/>
          <w:sz w:val="18"/>
        </w:rPr>
        <w:tab/>
      </w:r>
      <w:r w:rsidRPr="00F00002">
        <w:rPr>
          <w:b w:val="0"/>
          <w:noProof/>
          <w:sz w:val="18"/>
        </w:rPr>
        <w:fldChar w:fldCharType="begin"/>
      </w:r>
      <w:r w:rsidRPr="00F00002">
        <w:rPr>
          <w:b w:val="0"/>
          <w:noProof/>
          <w:sz w:val="18"/>
        </w:rPr>
        <w:instrText xml:space="preserve"> PAGEREF _Toc31109783 \h </w:instrText>
      </w:r>
      <w:r w:rsidRPr="00F00002">
        <w:rPr>
          <w:b w:val="0"/>
          <w:noProof/>
          <w:sz w:val="18"/>
        </w:rPr>
      </w:r>
      <w:r w:rsidRPr="00F00002">
        <w:rPr>
          <w:b w:val="0"/>
          <w:noProof/>
          <w:sz w:val="18"/>
        </w:rPr>
        <w:fldChar w:fldCharType="separate"/>
      </w:r>
      <w:r w:rsidR="0030184D">
        <w:rPr>
          <w:b w:val="0"/>
          <w:noProof/>
          <w:sz w:val="18"/>
        </w:rPr>
        <w:t>122</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2—Required statements</w:t>
      </w:r>
      <w:r w:rsidRPr="00F00002">
        <w:rPr>
          <w:b w:val="0"/>
          <w:noProof/>
          <w:sz w:val="18"/>
        </w:rPr>
        <w:tab/>
      </w:r>
      <w:r w:rsidRPr="00F00002">
        <w:rPr>
          <w:b w:val="0"/>
          <w:noProof/>
          <w:sz w:val="18"/>
        </w:rPr>
        <w:fldChar w:fldCharType="begin"/>
      </w:r>
      <w:r w:rsidRPr="00F00002">
        <w:rPr>
          <w:b w:val="0"/>
          <w:noProof/>
          <w:sz w:val="18"/>
        </w:rPr>
        <w:instrText xml:space="preserve"> PAGEREF _Toc31109784 \h </w:instrText>
      </w:r>
      <w:r w:rsidRPr="00F00002">
        <w:rPr>
          <w:b w:val="0"/>
          <w:noProof/>
          <w:sz w:val="18"/>
        </w:rPr>
      </w:r>
      <w:r w:rsidRPr="00F00002">
        <w:rPr>
          <w:b w:val="0"/>
          <w:noProof/>
          <w:sz w:val="18"/>
        </w:rPr>
        <w:fldChar w:fldCharType="separate"/>
      </w:r>
      <w:r w:rsidR="0030184D">
        <w:rPr>
          <w:b w:val="0"/>
          <w:noProof/>
          <w:sz w:val="18"/>
        </w:rPr>
        <w:t>122</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3—Additional information</w:t>
      </w:r>
      <w:r w:rsidRPr="00F00002">
        <w:rPr>
          <w:b w:val="0"/>
          <w:noProof/>
          <w:sz w:val="18"/>
        </w:rPr>
        <w:tab/>
      </w:r>
      <w:r w:rsidRPr="00F00002">
        <w:rPr>
          <w:b w:val="0"/>
          <w:noProof/>
          <w:sz w:val="18"/>
        </w:rPr>
        <w:fldChar w:fldCharType="begin"/>
      </w:r>
      <w:r w:rsidRPr="00F00002">
        <w:rPr>
          <w:b w:val="0"/>
          <w:noProof/>
          <w:sz w:val="18"/>
        </w:rPr>
        <w:instrText xml:space="preserve"> PAGEREF _Toc31109785 \h </w:instrText>
      </w:r>
      <w:r w:rsidRPr="00F00002">
        <w:rPr>
          <w:b w:val="0"/>
          <w:noProof/>
          <w:sz w:val="18"/>
        </w:rPr>
      </w:r>
      <w:r w:rsidRPr="00F00002">
        <w:rPr>
          <w:b w:val="0"/>
          <w:noProof/>
          <w:sz w:val="18"/>
        </w:rPr>
        <w:fldChar w:fldCharType="separate"/>
      </w:r>
      <w:r w:rsidR="0030184D">
        <w:rPr>
          <w:b w:val="0"/>
          <w:noProof/>
          <w:sz w:val="18"/>
        </w:rPr>
        <w:t>124</w:t>
      </w:r>
      <w:r w:rsidRPr="00F00002">
        <w:rPr>
          <w:b w:val="0"/>
          <w:noProof/>
          <w:sz w:val="18"/>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2—Translation of currency amounts—rules and other requirements</w:t>
      </w:r>
      <w:r w:rsidRPr="00F00002">
        <w:rPr>
          <w:b w:val="0"/>
          <w:noProof/>
          <w:sz w:val="18"/>
        </w:rPr>
        <w:tab/>
      </w:r>
      <w:r w:rsidRPr="00F00002">
        <w:rPr>
          <w:b w:val="0"/>
          <w:noProof/>
          <w:sz w:val="18"/>
        </w:rPr>
        <w:fldChar w:fldCharType="begin"/>
      </w:r>
      <w:r w:rsidRPr="00F00002">
        <w:rPr>
          <w:b w:val="0"/>
          <w:noProof/>
          <w:sz w:val="18"/>
        </w:rPr>
        <w:instrText xml:space="preserve"> PAGEREF _Toc31109786 \h </w:instrText>
      </w:r>
      <w:r w:rsidRPr="00F00002">
        <w:rPr>
          <w:b w:val="0"/>
          <w:noProof/>
          <w:sz w:val="18"/>
        </w:rPr>
      </w:r>
      <w:r w:rsidRPr="00F00002">
        <w:rPr>
          <w:b w:val="0"/>
          <w:noProof/>
          <w:sz w:val="18"/>
        </w:rPr>
        <w:fldChar w:fldCharType="separate"/>
      </w:r>
      <w:r w:rsidR="0030184D">
        <w:rPr>
          <w:b w:val="0"/>
          <w:noProof/>
          <w:sz w:val="18"/>
        </w:rPr>
        <w:t>125</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1—Rules and requirements for item 12 of the table in subsection 960</w:t>
      </w:r>
      <w:r>
        <w:rPr>
          <w:noProof/>
        </w:rPr>
        <w:noBreakHyphen/>
        <w:t>50(6) of the Act</w:t>
      </w:r>
      <w:r w:rsidRPr="00F00002">
        <w:rPr>
          <w:b w:val="0"/>
          <w:noProof/>
          <w:sz w:val="18"/>
        </w:rPr>
        <w:tab/>
      </w:r>
      <w:r w:rsidRPr="00F00002">
        <w:rPr>
          <w:b w:val="0"/>
          <w:noProof/>
          <w:sz w:val="18"/>
        </w:rPr>
        <w:fldChar w:fldCharType="begin"/>
      </w:r>
      <w:r w:rsidRPr="00F00002">
        <w:rPr>
          <w:b w:val="0"/>
          <w:noProof/>
          <w:sz w:val="18"/>
        </w:rPr>
        <w:instrText xml:space="preserve"> PAGEREF _Toc31109787 \h </w:instrText>
      </w:r>
      <w:r w:rsidRPr="00F00002">
        <w:rPr>
          <w:b w:val="0"/>
          <w:noProof/>
          <w:sz w:val="18"/>
        </w:rPr>
      </w:r>
      <w:r w:rsidRPr="00F00002">
        <w:rPr>
          <w:b w:val="0"/>
          <w:noProof/>
          <w:sz w:val="18"/>
        </w:rPr>
        <w:fldChar w:fldCharType="separate"/>
      </w:r>
      <w:r w:rsidR="0030184D">
        <w:rPr>
          <w:b w:val="0"/>
          <w:noProof/>
          <w:sz w:val="18"/>
        </w:rPr>
        <w:t>125</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Part 2—Translation of foreign currency amounts into Australian currency—rules and requirements for item 11A of the table in subsection 960</w:t>
      </w:r>
      <w:r>
        <w:rPr>
          <w:noProof/>
        </w:rPr>
        <w:noBreakHyphen/>
        <w:t>50(6) of the Act</w:t>
      </w:r>
      <w:r w:rsidRPr="00F00002">
        <w:rPr>
          <w:b w:val="0"/>
          <w:noProof/>
          <w:sz w:val="18"/>
        </w:rPr>
        <w:tab/>
      </w:r>
      <w:r w:rsidRPr="00F00002">
        <w:rPr>
          <w:b w:val="0"/>
          <w:noProof/>
          <w:sz w:val="18"/>
        </w:rPr>
        <w:fldChar w:fldCharType="begin"/>
      </w:r>
      <w:r w:rsidRPr="00F00002">
        <w:rPr>
          <w:b w:val="0"/>
          <w:noProof/>
          <w:sz w:val="18"/>
        </w:rPr>
        <w:instrText xml:space="preserve"> PAGEREF _Toc31109788 \h </w:instrText>
      </w:r>
      <w:r w:rsidRPr="00F00002">
        <w:rPr>
          <w:b w:val="0"/>
          <w:noProof/>
          <w:sz w:val="18"/>
        </w:rPr>
      </w:r>
      <w:r w:rsidRPr="00F00002">
        <w:rPr>
          <w:b w:val="0"/>
          <w:noProof/>
          <w:sz w:val="18"/>
        </w:rPr>
        <w:fldChar w:fldCharType="separate"/>
      </w:r>
      <w:r w:rsidR="0030184D">
        <w:rPr>
          <w:b w:val="0"/>
          <w:noProof/>
          <w:sz w:val="18"/>
        </w:rPr>
        <w:t>127</w:t>
      </w:r>
      <w:r w:rsidRPr="00F00002">
        <w:rPr>
          <w:b w:val="0"/>
          <w:noProof/>
          <w:sz w:val="18"/>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4</w:t>
      </w:r>
      <w:r w:rsidRPr="0016279D">
        <w:rPr>
          <w:noProof/>
          <w:color w:val="000000"/>
        </w:rPr>
        <w:t>—</w:t>
      </w:r>
      <w:r>
        <w:rPr>
          <w:noProof/>
        </w:rPr>
        <w:t>Constitutionally protected superannuation funds—State legislation</w:t>
      </w:r>
      <w:r w:rsidRPr="00F00002">
        <w:rPr>
          <w:b w:val="0"/>
          <w:noProof/>
          <w:sz w:val="18"/>
        </w:rPr>
        <w:tab/>
      </w:r>
      <w:r w:rsidRPr="00F00002">
        <w:rPr>
          <w:b w:val="0"/>
          <w:noProof/>
          <w:sz w:val="18"/>
        </w:rPr>
        <w:fldChar w:fldCharType="begin"/>
      </w:r>
      <w:r w:rsidRPr="00F00002">
        <w:rPr>
          <w:b w:val="0"/>
          <w:noProof/>
          <w:sz w:val="18"/>
        </w:rPr>
        <w:instrText xml:space="preserve"> PAGEREF _Toc31109789 \h </w:instrText>
      </w:r>
      <w:r w:rsidRPr="00F00002">
        <w:rPr>
          <w:b w:val="0"/>
          <w:noProof/>
          <w:sz w:val="18"/>
        </w:rPr>
      </w:r>
      <w:r w:rsidRPr="00F00002">
        <w:rPr>
          <w:b w:val="0"/>
          <w:noProof/>
          <w:sz w:val="18"/>
        </w:rPr>
        <w:fldChar w:fldCharType="separate"/>
      </w:r>
      <w:r w:rsidR="0030184D">
        <w:rPr>
          <w:b w:val="0"/>
          <w:noProof/>
          <w:sz w:val="18"/>
        </w:rPr>
        <w:t>128</w:t>
      </w:r>
      <w:r w:rsidRPr="00F00002">
        <w:rPr>
          <w:b w:val="0"/>
          <w:noProof/>
          <w:sz w:val="18"/>
        </w:rPr>
        <w:fldChar w:fldCharType="end"/>
      </w:r>
    </w:p>
    <w:p w:rsidR="00F00002" w:rsidRDefault="00F00002" w:rsidP="00F57B37">
      <w:pPr>
        <w:pStyle w:val="TOC1"/>
        <w:ind w:right="1792"/>
        <w:rPr>
          <w:rFonts w:asciiTheme="minorHAnsi" w:eastAsiaTheme="minorEastAsia" w:hAnsiTheme="minorHAnsi" w:cstheme="minorBidi"/>
          <w:b w:val="0"/>
          <w:noProof/>
          <w:kern w:val="0"/>
          <w:sz w:val="22"/>
          <w:szCs w:val="22"/>
        </w:rPr>
      </w:pPr>
      <w:r>
        <w:rPr>
          <w:noProof/>
        </w:rPr>
        <w:t>Schedule 5—Approved Stock Exchanges</w:t>
      </w:r>
      <w:r w:rsidRPr="00F00002">
        <w:rPr>
          <w:b w:val="0"/>
          <w:noProof/>
          <w:sz w:val="18"/>
        </w:rPr>
        <w:tab/>
      </w:r>
      <w:r w:rsidRPr="00F00002">
        <w:rPr>
          <w:b w:val="0"/>
          <w:noProof/>
          <w:sz w:val="18"/>
        </w:rPr>
        <w:fldChar w:fldCharType="begin"/>
      </w:r>
      <w:r w:rsidRPr="00F00002">
        <w:rPr>
          <w:b w:val="0"/>
          <w:noProof/>
          <w:sz w:val="18"/>
        </w:rPr>
        <w:instrText xml:space="preserve"> PAGEREF _Toc31109790 \h </w:instrText>
      </w:r>
      <w:r w:rsidRPr="00F00002">
        <w:rPr>
          <w:b w:val="0"/>
          <w:noProof/>
          <w:sz w:val="18"/>
        </w:rPr>
      </w:r>
      <w:r w:rsidRPr="00F00002">
        <w:rPr>
          <w:b w:val="0"/>
          <w:noProof/>
          <w:sz w:val="18"/>
        </w:rPr>
        <w:fldChar w:fldCharType="separate"/>
      </w:r>
      <w:r w:rsidR="0030184D">
        <w:rPr>
          <w:b w:val="0"/>
          <w:noProof/>
          <w:sz w:val="18"/>
        </w:rPr>
        <w:t>129</w:t>
      </w:r>
      <w:r w:rsidRPr="00F00002">
        <w:rPr>
          <w:b w:val="0"/>
          <w:noProof/>
          <w:sz w:val="18"/>
        </w:rPr>
        <w:fldChar w:fldCharType="end"/>
      </w:r>
    </w:p>
    <w:p w:rsidR="00F00002" w:rsidRDefault="00F00002" w:rsidP="00F57B37">
      <w:pPr>
        <w:pStyle w:val="TOC2"/>
        <w:ind w:right="1792"/>
        <w:rPr>
          <w:rFonts w:asciiTheme="minorHAnsi" w:eastAsiaTheme="minorEastAsia" w:hAnsiTheme="minorHAnsi" w:cstheme="minorBidi"/>
          <w:b w:val="0"/>
          <w:noProof/>
          <w:kern w:val="0"/>
          <w:sz w:val="22"/>
          <w:szCs w:val="22"/>
        </w:rPr>
      </w:pPr>
      <w:r>
        <w:rPr>
          <w:noProof/>
        </w:rPr>
        <w:t>Endnotes</w:t>
      </w:r>
      <w:r w:rsidRPr="00F00002">
        <w:rPr>
          <w:b w:val="0"/>
          <w:noProof/>
          <w:sz w:val="18"/>
        </w:rPr>
        <w:tab/>
      </w:r>
      <w:r w:rsidRPr="00F00002">
        <w:rPr>
          <w:b w:val="0"/>
          <w:noProof/>
          <w:sz w:val="18"/>
        </w:rPr>
        <w:fldChar w:fldCharType="begin"/>
      </w:r>
      <w:r w:rsidRPr="00F00002">
        <w:rPr>
          <w:b w:val="0"/>
          <w:noProof/>
          <w:sz w:val="18"/>
        </w:rPr>
        <w:instrText xml:space="preserve"> PAGEREF _Toc31109791 \h </w:instrText>
      </w:r>
      <w:r w:rsidRPr="00F00002">
        <w:rPr>
          <w:b w:val="0"/>
          <w:noProof/>
          <w:sz w:val="18"/>
        </w:rPr>
      </w:r>
      <w:r w:rsidRPr="00F00002">
        <w:rPr>
          <w:b w:val="0"/>
          <w:noProof/>
          <w:sz w:val="18"/>
        </w:rPr>
        <w:fldChar w:fldCharType="separate"/>
      </w:r>
      <w:r w:rsidR="0030184D">
        <w:rPr>
          <w:b w:val="0"/>
          <w:noProof/>
          <w:sz w:val="18"/>
        </w:rPr>
        <w:t>133</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Endnote 1—About the endnotes</w:t>
      </w:r>
      <w:r w:rsidRPr="00F00002">
        <w:rPr>
          <w:b w:val="0"/>
          <w:noProof/>
          <w:sz w:val="18"/>
        </w:rPr>
        <w:tab/>
      </w:r>
      <w:r w:rsidRPr="00F00002">
        <w:rPr>
          <w:b w:val="0"/>
          <w:noProof/>
          <w:sz w:val="18"/>
        </w:rPr>
        <w:fldChar w:fldCharType="begin"/>
      </w:r>
      <w:r w:rsidRPr="00F00002">
        <w:rPr>
          <w:b w:val="0"/>
          <w:noProof/>
          <w:sz w:val="18"/>
        </w:rPr>
        <w:instrText xml:space="preserve"> PAGEREF _Toc31109792 \h </w:instrText>
      </w:r>
      <w:r w:rsidRPr="00F00002">
        <w:rPr>
          <w:b w:val="0"/>
          <w:noProof/>
          <w:sz w:val="18"/>
        </w:rPr>
      </w:r>
      <w:r w:rsidRPr="00F00002">
        <w:rPr>
          <w:b w:val="0"/>
          <w:noProof/>
          <w:sz w:val="18"/>
        </w:rPr>
        <w:fldChar w:fldCharType="separate"/>
      </w:r>
      <w:r w:rsidR="0030184D">
        <w:rPr>
          <w:b w:val="0"/>
          <w:noProof/>
          <w:sz w:val="18"/>
        </w:rPr>
        <w:t>133</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Endnote 2—Abbreviation key</w:t>
      </w:r>
      <w:r w:rsidRPr="00F00002">
        <w:rPr>
          <w:b w:val="0"/>
          <w:noProof/>
          <w:sz w:val="18"/>
        </w:rPr>
        <w:tab/>
      </w:r>
      <w:r w:rsidRPr="00F00002">
        <w:rPr>
          <w:b w:val="0"/>
          <w:noProof/>
          <w:sz w:val="18"/>
        </w:rPr>
        <w:fldChar w:fldCharType="begin"/>
      </w:r>
      <w:r w:rsidRPr="00F00002">
        <w:rPr>
          <w:b w:val="0"/>
          <w:noProof/>
          <w:sz w:val="18"/>
        </w:rPr>
        <w:instrText xml:space="preserve"> PAGEREF _Toc31109793 \h </w:instrText>
      </w:r>
      <w:r w:rsidRPr="00F00002">
        <w:rPr>
          <w:b w:val="0"/>
          <w:noProof/>
          <w:sz w:val="18"/>
        </w:rPr>
      </w:r>
      <w:r w:rsidRPr="00F00002">
        <w:rPr>
          <w:b w:val="0"/>
          <w:noProof/>
          <w:sz w:val="18"/>
        </w:rPr>
        <w:fldChar w:fldCharType="separate"/>
      </w:r>
      <w:r w:rsidR="0030184D">
        <w:rPr>
          <w:b w:val="0"/>
          <w:noProof/>
          <w:sz w:val="18"/>
        </w:rPr>
        <w:t>134</w:t>
      </w:r>
      <w:r w:rsidRPr="00F00002">
        <w:rPr>
          <w:b w:val="0"/>
          <w:noProof/>
          <w:sz w:val="18"/>
        </w:rPr>
        <w:fldChar w:fldCharType="end"/>
      </w:r>
    </w:p>
    <w:p w:rsidR="00F00002" w:rsidRDefault="00F00002" w:rsidP="00F57B37">
      <w:pPr>
        <w:pStyle w:val="TOC3"/>
        <w:ind w:right="1792"/>
        <w:rPr>
          <w:rFonts w:asciiTheme="minorHAnsi" w:eastAsiaTheme="minorEastAsia" w:hAnsiTheme="minorHAnsi" w:cstheme="minorBidi"/>
          <w:b w:val="0"/>
          <w:noProof/>
          <w:kern w:val="0"/>
          <w:szCs w:val="22"/>
        </w:rPr>
      </w:pPr>
      <w:r>
        <w:rPr>
          <w:noProof/>
        </w:rPr>
        <w:t>Endnote 3—Legislation history</w:t>
      </w:r>
      <w:r w:rsidRPr="00F00002">
        <w:rPr>
          <w:b w:val="0"/>
          <w:noProof/>
          <w:sz w:val="18"/>
        </w:rPr>
        <w:tab/>
      </w:r>
      <w:r w:rsidRPr="00F00002">
        <w:rPr>
          <w:b w:val="0"/>
          <w:noProof/>
          <w:sz w:val="18"/>
        </w:rPr>
        <w:fldChar w:fldCharType="begin"/>
      </w:r>
      <w:r w:rsidRPr="00F00002">
        <w:rPr>
          <w:b w:val="0"/>
          <w:noProof/>
          <w:sz w:val="18"/>
        </w:rPr>
        <w:instrText xml:space="preserve"> PAGEREF _Toc31109794 \h </w:instrText>
      </w:r>
      <w:r w:rsidRPr="00F00002">
        <w:rPr>
          <w:b w:val="0"/>
          <w:noProof/>
          <w:sz w:val="18"/>
        </w:rPr>
      </w:r>
      <w:r w:rsidRPr="00F00002">
        <w:rPr>
          <w:b w:val="0"/>
          <w:noProof/>
          <w:sz w:val="18"/>
        </w:rPr>
        <w:fldChar w:fldCharType="separate"/>
      </w:r>
      <w:r w:rsidR="0030184D">
        <w:rPr>
          <w:b w:val="0"/>
          <w:noProof/>
          <w:sz w:val="18"/>
        </w:rPr>
        <w:t>135</w:t>
      </w:r>
      <w:r w:rsidRPr="00F00002">
        <w:rPr>
          <w:b w:val="0"/>
          <w:noProof/>
          <w:sz w:val="18"/>
        </w:rPr>
        <w:fldChar w:fldCharType="end"/>
      </w:r>
    </w:p>
    <w:p w:rsidR="00F00002" w:rsidRPr="00F00002" w:rsidRDefault="00F00002" w:rsidP="00F57B37">
      <w:pPr>
        <w:pStyle w:val="TOC3"/>
        <w:ind w:right="1792"/>
        <w:rPr>
          <w:rFonts w:eastAsiaTheme="minorEastAsia"/>
          <w:b w:val="0"/>
          <w:noProof/>
          <w:kern w:val="0"/>
          <w:sz w:val="18"/>
          <w:szCs w:val="22"/>
        </w:rPr>
      </w:pPr>
      <w:r>
        <w:rPr>
          <w:noProof/>
        </w:rPr>
        <w:t>Endnote 4—Amendment history</w:t>
      </w:r>
      <w:r w:rsidRPr="00F00002">
        <w:rPr>
          <w:b w:val="0"/>
          <w:noProof/>
          <w:sz w:val="18"/>
        </w:rPr>
        <w:tab/>
      </w:r>
      <w:r w:rsidRPr="00F00002">
        <w:rPr>
          <w:b w:val="0"/>
          <w:noProof/>
          <w:sz w:val="18"/>
        </w:rPr>
        <w:fldChar w:fldCharType="begin"/>
      </w:r>
      <w:r w:rsidRPr="00F00002">
        <w:rPr>
          <w:b w:val="0"/>
          <w:noProof/>
          <w:sz w:val="18"/>
        </w:rPr>
        <w:instrText xml:space="preserve"> PAGEREF _Toc31109795 \h </w:instrText>
      </w:r>
      <w:r w:rsidRPr="00F00002">
        <w:rPr>
          <w:b w:val="0"/>
          <w:noProof/>
          <w:sz w:val="18"/>
        </w:rPr>
      </w:r>
      <w:r w:rsidRPr="00F00002">
        <w:rPr>
          <w:b w:val="0"/>
          <w:noProof/>
          <w:sz w:val="18"/>
        </w:rPr>
        <w:fldChar w:fldCharType="separate"/>
      </w:r>
      <w:r w:rsidR="0030184D">
        <w:rPr>
          <w:b w:val="0"/>
          <w:noProof/>
          <w:sz w:val="18"/>
        </w:rPr>
        <w:t>139</w:t>
      </w:r>
      <w:r w:rsidRPr="00F00002">
        <w:rPr>
          <w:b w:val="0"/>
          <w:noProof/>
          <w:sz w:val="18"/>
        </w:rPr>
        <w:fldChar w:fldCharType="end"/>
      </w:r>
    </w:p>
    <w:p w:rsidR="00060B2A" w:rsidRPr="00F00002" w:rsidRDefault="00542A5D" w:rsidP="00F57B37">
      <w:pPr>
        <w:tabs>
          <w:tab w:val="left" w:pos="7655"/>
          <w:tab w:val="right" w:pos="8222"/>
        </w:tabs>
        <w:ind w:right="1792"/>
      </w:pPr>
      <w:r w:rsidRPr="00F00002">
        <w:rPr>
          <w:rFonts w:cs="Times New Roman"/>
          <w:sz w:val="18"/>
        </w:rPr>
        <w:fldChar w:fldCharType="end"/>
      </w:r>
    </w:p>
    <w:p w:rsidR="00FF7630" w:rsidRPr="00F00002" w:rsidRDefault="00FF7630" w:rsidP="00FF7630">
      <w:pPr>
        <w:keepNext/>
        <w:keepLines/>
        <w:sectPr w:rsidR="00FF7630" w:rsidRPr="00F00002" w:rsidSect="008035BA">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BB4501" w:rsidRPr="00F00002" w:rsidRDefault="00D150ED" w:rsidP="00D150ED">
      <w:pPr>
        <w:pStyle w:val="ActHead2"/>
      </w:pPr>
      <w:bookmarkStart w:id="1" w:name="_Toc31109585"/>
      <w:bookmarkEnd w:id="0"/>
      <w:r w:rsidRPr="00A26088">
        <w:rPr>
          <w:rStyle w:val="CharPartNo"/>
        </w:rPr>
        <w:lastRenderedPageBreak/>
        <w:t>Part</w:t>
      </w:r>
      <w:r w:rsidR="00F00002" w:rsidRPr="00A26088">
        <w:rPr>
          <w:rStyle w:val="CharPartNo"/>
        </w:rPr>
        <w:t> </w:t>
      </w:r>
      <w:r w:rsidR="00BB4501" w:rsidRPr="00A26088">
        <w:rPr>
          <w:rStyle w:val="CharPartNo"/>
        </w:rPr>
        <w:t>1</w:t>
      </w:r>
      <w:r w:rsidRPr="00F00002">
        <w:t>—</w:t>
      </w:r>
      <w:r w:rsidR="00BB4501" w:rsidRPr="00A26088">
        <w:rPr>
          <w:rStyle w:val="CharPartText"/>
        </w:rPr>
        <w:t>Preliminary</w:t>
      </w:r>
      <w:bookmarkEnd w:id="1"/>
    </w:p>
    <w:p w:rsidR="00BB4501" w:rsidRPr="00A26088" w:rsidRDefault="00D150ED" w:rsidP="00BB4501">
      <w:pPr>
        <w:pStyle w:val="Header"/>
      </w:pPr>
      <w:r w:rsidRPr="00A26088">
        <w:rPr>
          <w:rStyle w:val="CharDivNo"/>
        </w:rPr>
        <w:t xml:space="preserve"> </w:t>
      </w:r>
      <w:r w:rsidRPr="00A26088">
        <w:rPr>
          <w:rStyle w:val="CharDivText"/>
        </w:rPr>
        <w:t xml:space="preserve"> </w:t>
      </w:r>
    </w:p>
    <w:p w:rsidR="00BB4501" w:rsidRPr="00F00002" w:rsidRDefault="00BB4501" w:rsidP="00D150ED">
      <w:pPr>
        <w:pStyle w:val="ActHead5"/>
      </w:pPr>
      <w:bookmarkStart w:id="2" w:name="_Toc31109586"/>
      <w:r w:rsidRPr="00A26088">
        <w:rPr>
          <w:rStyle w:val="CharSectno"/>
        </w:rPr>
        <w:t>1</w:t>
      </w:r>
      <w:r w:rsidR="00D150ED" w:rsidRPr="00F00002">
        <w:t xml:space="preserve">  </w:t>
      </w:r>
      <w:r w:rsidRPr="00F00002">
        <w:t>Name of Regulations</w:t>
      </w:r>
      <w:bookmarkEnd w:id="2"/>
    </w:p>
    <w:p w:rsidR="00BB4501" w:rsidRPr="00F00002" w:rsidRDefault="00BB4501" w:rsidP="00D150ED">
      <w:pPr>
        <w:pStyle w:val="subsection"/>
      </w:pPr>
      <w:r w:rsidRPr="00F00002">
        <w:tab/>
      </w:r>
      <w:r w:rsidRPr="00F00002">
        <w:tab/>
        <w:t xml:space="preserve">These Regulations are the </w:t>
      </w:r>
      <w:r w:rsidRPr="00F00002">
        <w:rPr>
          <w:i/>
        </w:rPr>
        <w:t>Income Tax Assessment Regulations</w:t>
      </w:r>
      <w:r w:rsidR="00F00002">
        <w:rPr>
          <w:i/>
        </w:rPr>
        <w:t> </w:t>
      </w:r>
      <w:r w:rsidRPr="00F00002">
        <w:rPr>
          <w:i/>
        </w:rPr>
        <w:t>1997</w:t>
      </w:r>
      <w:r w:rsidRPr="00F00002">
        <w:t>.</w:t>
      </w:r>
    </w:p>
    <w:p w:rsidR="00BB4501" w:rsidRPr="00F00002" w:rsidRDefault="00D150ED" w:rsidP="00D150ED">
      <w:pPr>
        <w:pStyle w:val="ActHead2"/>
        <w:pageBreakBefore/>
      </w:pPr>
      <w:bookmarkStart w:id="3" w:name="_Toc31109587"/>
      <w:r w:rsidRPr="00A26088">
        <w:rPr>
          <w:rStyle w:val="CharPartNo"/>
        </w:rPr>
        <w:lastRenderedPageBreak/>
        <w:t>Part</w:t>
      </w:r>
      <w:r w:rsidR="00F00002" w:rsidRPr="00A26088">
        <w:rPr>
          <w:rStyle w:val="CharPartNo"/>
        </w:rPr>
        <w:t> </w:t>
      </w:r>
      <w:r w:rsidR="00BB4501" w:rsidRPr="00A26088">
        <w:rPr>
          <w:rStyle w:val="CharPartNo"/>
        </w:rPr>
        <w:t>2</w:t>
      </w:r>
      <w:r w:rsidRPr="00F00002">
        <w:t>—</w:t>
      </w:r>
      <w:r w:rsidR="00BB4501" w:rsidRPr="00A26088">
        <w:rPr>
          <w:rStyle w:val="CharPartText"/>
        </w:rPr>
        <w:t>Liability rules of general application</w:t>
      </w:r>
      <w:bookmarkEnd w:id="3"/>
    </w:p>
    <w:p w:rsidR="00BB4501" w:rsidRPr="00F00002" w:rsidRDefault="00D150ED" w:rsidP="00D150ED">
      <w:pPr>
        <w:pStyle w:val="ActHead3"/>
        <w:rPr>
          <w:color w:val="000000"/>
        </w:rPr>
      </w:pPr>
      <w:bookmarkStart w:id="4" w:name="_Toc31109588"/>
      <w:r w:rsidRPr="00A26088">
        <w:rPr>
          <w:rStyle w:val="CharDivNo"/>
        </w:rPr>
        <w:t>Division</w:t>
      </w:r>
      <w:r w:rsidR="00F00002" w:rsidRPr="00A26088">
        <w:rPr>
          <w:rStyle w:val="CharDivNo"/>
        </w:rPr>
        <w:t> </w:t>
      </w:r>
      <w:r w:rsidR="00BB4501" w:rsidRPr="00A26088">
        <w:rPr>
          <w:rStyle w:val="CharDivNo"/>
        </w:rPr>
        <w:t>26</w:t>
      </w:r>
      <w:r w:rsidRPr="00F00002">
        <w:rPr>
          <w:color w:val="000000"/>
        </w:rPr>
        <w:t>—</w:t>
      </w:r>
      <w:r w:rsidR="00BB4501" w:rsidRPr="00A26088">
        <w:rPr>
          <w:rStyle w:val="CharDivText"/>
        </w:rPr>
        <w:t>Some amounts you cannot deduct, or cannot deduct in full</w:t>
      </w:r>
      <w:bookmarkEnd w:id="4"/>
      <w:r w:rsidR="00BB4501" w:rsidRPr="00A26088">
        <w:rPr>
          <w:rStyle w:val="CharDivText"/>
        </w:rPr>
        <w:t xml:space="preserve"> </w:t>
      </w:r>
    </w:p>
    <w:p w:rsidR="00BB4501" w:rsidRPr="00F00002" w:rsidRDefault="00BB4501" w:rsidP="00D150ED">
      <w:pPr>
        <w:pStyle w:val="ActHead5"/>
      </w:pPr>
      <w:bookmarkStart w:id="5" w:name="_Toc31109589"/>
      <w:r w:rsidRPr="00A26088">
        <w:rPr>
          <w:rStyle w:val="CharSectno"/>
        </w:rPr>
        <w:t>26</w:t>
      </w:r>
      <w:r w:rsidR="00F00002" w:rsidRPr="00A26088">
        <w:rPr>
          <w:rStyle w:val="CharSectno"/>
        </w:rPr>
        <w:noBreakHyphen/>
      </w:r>
      <w:r w:rsidRPr="00A26088">
        <w:rPr>
          <w:rStyle w:val="CharSectno"/>
        </w:rPr>
        <w:t>85.01</w:t>
      </w:r>
      <w:r w:rsidR="00D150ED" w:rsidRPr="00F00002">
        <w:t xml:space="preserve">  </w:t>
      </w:r>
      <w:r w:rsidRPr="00F00002">
        <w:t>Borrowing costs on loans to pay life insurance premiums</w:t>
      </w:r>
      <w:r w:rsidR="00D150ED" w:rsidRPr="00F00002">
        <w:t>—</w:t>
      </w:r>
      <w:r w:rsidRPr="00F00002">
        <w:t>term insurance policy</w:t>
      </w:r>
      <w:bookmarkEnd w:id="5"/>
    </w:p>
    <w:p w:rsidR="00BB4501" w:rsidRPr="00F00002" w:rsidRDefault="00BB4501" w:rsidP="00D150ED">
      <w:pPr>
        <w:pStyle w:val="subsection"/>
      </w:pPr>
      <w:r w:rsidRPr="00F00002">
        <w:tab/>
      </w:r>
      <w:r w:rsidRPr="00F00002">
        <w:tab/>
        <w:t>The risk component of a premium received in respect of:</w:t>
      </w:r>
    </w:p>
    <w:p w:rsidR="00BB4501" w:rsidRPr="00F00002" w:rsidRDefault="00BB4501" w:rsidP="00D150ED">
      <w:pPr>
        <w:pStyle w:val="paragraph"/>
      </w:pPr>
      <w:r w:rsidRPr="00F00002">
        <w:rPr>
          <w:color w:val="000000"/>
        </w:rPr>
        <w:tab/>
        <w:t>(a)</w:t>
      </w:r>
      <w:r w:rsidRPr="00F00002">
        <w:rPr>
          <w:color w:val="000000"/>
        </w:rPr>
        <w:tab/>
        <w:t>a term insurance policy; or</w:t>
      </w:r>
    </w:p>
    <w:p w:rsidR="00BB4501" w:rsidRPr="00F00002" w:rsidRDefault="00BB4501" w:rsidP="00D150ED">
      <w:pPr>
        <w:pStyle w:val="paragraph"/>
      </w:pPr>
      <w:r w:rsidRPr="00F00002">
        <w:tab/>
        <w:t>(b)</w:t>
      </w:r>
      <w:r w:rsidRPr="00F00002">
        <w:tab/>
        <w:t>a rider or supplementary benefit attached to another policy where the sum insured is payable on death within a specified term;</w:t>
      </w:r>
    </w:p>
    <w:p w:rsidR="00BB4501" w:rsidRPr="00F00002" w:rsidRDefault="00BB4501" w:rsidP="00D150ED">
      <w:pPr>
        <w:pStyle w:val="subsection2"/>
      </w:pPr>
      <w:r w:rsidRPr="00F00002">
        <w:rPr>
          <w:color w:val="000000"/>
        </w:rPr>
        <w:t>is the whole of the premium.</w:t>
      </w:r>
    </w:p>
    <w:p w:rsidR="00BB4501" w:rsidRPr="00F00002" w:rsidRDefault="00D150ED" w:rsidP="00EE4631">
      <w:pPr>
        <w:pStyle w:val="ActHead3"/>
        <w:pageBreakBefore/>
      </w:pPr>
      <w:bookmarkStart w:id="6" w:name="_Toc31109590"/>
      <w:r w:rsidRPr="00A26088">
        <w:rPr>
          <w:rStyle w:val="CharDivNo"/>
        </w:rPr>
        <w:lastRenderedPageBreak/>
        <w:t>Division</w:t>
      </w:r>
      <w:r w:rsidR="00F00002" w:rsidRPr="00A26088">
        <w:rPr>
          <w:rStyle w:val="CharDivNo"/>
        </w:rPr>
        <w:t> </w:t>
      </w:r>
      <w:r w:rsidR="00BB4501" w:rsidRPr="00A26088">
        <w:rPr>
          <w:rStyle w:val="CharDivNo"/>
        </w:rPr>
        <w:t>30</w:t>
      </w:r>
      <w:r w:rsidRPr="00F00002">
        <w:t>—</w:t>
      </w:r>
      <w:r w:rsidR="00BB4501" w:rsidRPr="00A26088">
        <w:rPr>
          <w:rStyle w:val="CharDivText"/>
        </w:rPr>
        <w:t>Valuation of particular gifts of property</w:t>
      </w:r>
      <w:bookmarkEnd w:id="6"/>
    </w:p>
    <w:p w:rsidR="00BB4501" w:rsidRPr="00F00002" w:rsidRDefault="00BB4501" w:rsidP="00D150ED">
      <w:pPr>
        <w:pStyle w:val="ActHead5"/>
      </w:pPr>
      <w:bookmarkStart w:id="7" w:name="_Toc31109591"/>
      <w:r w:rsidRPr="00A26088">
        <w:rPr>
          <w:rStyle w:val="CharSectno"/>
        </w:rPr>
        <w:t>30</w:t>
      </w:r>
      <w:r w:rsidR="00F00002" w:rsidRPr="00A26088">
        <w:rPr>
          <w:rStyle w:val="CharSectno"/>
        </w:rPr>
        <w:noBreakHyphen/>
      </w:r>
      <w:r w:rsidRPr="00A26088">
        <w:rPr>
          <w:rStyle w:val="CharSectno"/>
        </w:rPr>
        <w:t>212.01</w:t>
      </w:r>
      <w:r w:rsidR="00D150ED" w:rsidRPr="00F00002">
        <w:t xml:space="preserve">  </w:t>
      </w:r>
      <w:r w:rsidRPr="00F00002">
        <w:t>Valuation of gifts</w:t>
      </w:r>
      <w:bookmarkEnd w:id="7"/>
    </w:p>
    <w:p w:rsidR="00BB4501" w:rsidRPr="00F00002" w:rsidRDefault="00BB4501" w:rsidP="00D150ED">
      <w:pPr>
        <w:pStyle w:val="subsection"/>
      </w:pPr>
      <w:r w:rsidRPr="00F00002">
        <w:tab/>
      </w:r>
      <w:r w:rsidRPr="00F00002">
        <w:tab/>
        <w:t>For section</w:t>
      </w:r>
      <w:r w:rsidR="00F00002">
        <w:t> </w:t>
      </w:r>
      <w:r w:rsidRPr="00F00002">
        <w:t>30</w:t>
      </w:r>
      <w:r w:rsidR="00F00002">
        <w:noBreakHyphen/>
      </w:r>
      <w:r w:rsidRPr="00F00002">
        <w:t xml:space="preserve">212 of the Act, this </w:t>
      </w:r>
      <w:r w:rsidR="00D150ED" w:rsidRPr="00F00002">
        <w:t>Division</w:t>
      </w:r>
      <w:r w:rsidR="00672E95" w:rsidRPr="00F00002">
        <w:t xml:space="preserve"> </w:t>
      </w:r>
      <w:r w:rsidRPr="00F00002">
        <w:t>sets out:</w:t>
      </w:r>
    </w:p>
    <w:p w:rsidR="00BB4501" w:rsidRPr="00F00002" w:rsidRDefault="00BB4501" w:rsidP="00D150ED">
      <w:pPr>
        <w:pStyle w:val="paragraph"/>
      </w:pPr>
      <w:r w:rsidRPr="00F00002">
        <w:tab/>
        <w:t>(a)</w:t>
      </w:r>
      <w:r w:rsidRPr="00F00002">
        <w:tab/>
        <w:t>the procedure for seeking a valuation of a gift mentioned in that section; and</w:t>
      </w:r>
    </w:p>
    <w:p w:rsidR="00BB4501" w:rsidRPr="00F00002" w:rsidRDefault="00BB4501" w:rsidP="00D150ED">
      <w:pPr>
        <w:pStyle w:val="paragraph"/>
      </w:pPr>
      <w:r w:rsidRPr="00F00002">
        <w:tab/>
        <w:t>(b)</w:t>
      </w:r>
      <w:r w:rsidRPr="00F00002">
        <w:tab/>
        <w:t>the fees that may be payable for the valuation; and</w:t>
      </w:r>
    </w:p>
    <w:p w:rsidR="00BB4501" w:rsidRPr="00F00002" w:rsidRDefault="00BB4501" w:rsidP="00D150ED">
      <w:pPr>
        <w:pStyle w:val="paragraph"/>
      </w:pPr>
      <w:r w:rsidRPr="00F00002">
        <w:tab/>
        <w:t>(c)</w:t>
      </w:r>
      <w:r w:rsidRPr="00F00002">
        <w:tab/>
        <w:t>arrangements for payment of fees.</w:t>
      </w:r>
    </w:p>
    <w:p w:rsidR="00BB4501" w:rsidRPr="00F00002" w:rsidRDefault="00D150ED" w:rsidP="00D150ED">
      <w:pPr>
        <w:pStyle w:val="notetext"/>
      </w:pPr>
      <w:r w:rsidRPr="00F00002">
        <w:t>Note:</w:t>
      </w:r>
      <w:r w:rsidRPr="00F00002">
        <w:tab/>
      </w:r>
      <w:r w:rsidR="00BB4501" w:rsidRPr="00F00002">
        <w:t>Subsection</w:t>
      </w:r>
      <w:r w:rsidR="00F00002">
        <w:t> </w:t>
      </w:r>
      <w:r w:rsidR="00BB4501" w:rsidRPr="00F00002">
        <w:t>30</w:t>
      </w:r>
      <w:r w:rsidR="00F00002">
        <w:noBreakHyphen/>
      </w:r>
      <w:r w:rsidR="00BB4501" w:rsidRPr="00F00002">
        <w:t xml:space="preserve">212(1) of the Act applies to a person who makes a gift that is covered by a provision of </w:t>
      </w:r>
      <w:r w:rsidRPr="00F00002">
        <w:t>Division</w:t>
      </w:r>
      <w:r w:rsidR="00F00002">
        <w:t> </w:t>
      </w:r>
      <w:r w:rsidR="00BB4501" w:rsidRPr="00F00002">
        <w:t xml:space="preserve">30 of </w:t>
      </w:r>
      <w:r w:rsidRPr="00F00002">
        <w:t>Part</w:t>
      </w:r>
      <w:r w:rsidR="00F00002">
        <w:t> </w:t>
      </w:r>
      <w:r w:rsidR="00BB4501" w:rsidRPr="00F00002">
        <w:t>2</w:t>
      </w:r>
      <w:r w:rsidR="00F00002">
        <w:noBreakHyphen/>
      </w:r>
      <w:r w:rsidR="00BB4501" w:rsidRPr="00F00002">
        <w:t xml:space="preserve">5 of the Act that refers to the value of property as determined by the Commissioner. </w:t>
      </w:r>
    </w:p>
    <w:p w:rsidR="00BB4501" w:rsidRPr="00F00002" w:rsidRDefault="004A0CAE" w:rsidP="00D150ED">
      <w:pPr>
        <w:pStyle w:val="notetext"/>
      </w:pPr>
      <w:r w:rsidRPr="00F00002">
        <w:tab/>
      </w:r>
      <w:r w:rsidR="00BB4501" w:rsidRPr="00F00002">
        <w:t>The effect of subsection</w:t>
      </w:r>
      <w:r w:rsidR="00F00002">
        <w:t> </w:t>
      </w:r>
      <w:r w:rsidR="00BB4501" w:rsidRPr="00F00002">
        <w:t>30</w:t>
      </w:r>
      <w:r w:rsidR="00F00002">
        <w:noBreakHyphen/>
      </w:r>
      <w:r w:rsidR="00BB4501" w:rsidRPr="00F00002">
        <w:t>212(1) is that the person must seek the valuation from the Commissioner.</w:t>
      </w:r>
    </w:p>
    <w:p w:rsidR="00BB4501" w:rsidRPr="00F00002" w:rsidRDefault="004A0CAE" w:rsidP="00D150ED">
      <w:pPr>
        <w:pStyle w:val="notetext"/>
      </w:pPr>
      <w:r w:rsidRPr="00F00002">
        <w:tab/>
      </w:r>
      <w:r w:rsidR="00BB4501" w:rsidRPr="00F00002">
        <w:t>Under subsection</w:t>
      </w:r>
      <w:r w:rsidR="00F00002">
        <w:t> </w:t>
      </w:r>
      <w:r w:rsidR="00BB4501" w:rsidRPr="00F00002">
        <w:t>30</w:t>
      </w:r>
      <w:r w:rsidR="00F00002">
        <w:noBreakHyphen/>
      </w:r>
      <w:r w:rsidR="00BB4501" w:rsidRPr="00F00002">
        <w:t>212(2), the Commissioner may charge the person the amount worked out in accordance with the regulations for making the valuation.</w:t>
      </w:r>
    </w:p>
    <w:p w:rsidR="00BB4501" w:rsidRPr="00F00002" w:rsidRDefault="00BB4501" w:rsidP="00D150ED">
      <w:pPr>
        <w:pStyle w:val="ActHead5"/>
      </w:pPr>
      <w:bookmarkStart w:id="8" w:name="_Toc31109592"/>
      <w:r w:rsidRPr="00A26088">
        <w:rPr>
          <w:rStyle w:val="CharSectno"/>
        </w:rPr>
        <w:t>30</w:t>
      </w:r>
      <w:r w:rsidR="00F00002" w:rsidRPr="00A26088">
        <w:rPr>
          <w:rStyle w:val="CharSectno"/>
        </w:rPr>
        <w:noBreakHyphen/>
      </w:r>
      <w:r w:rsidRPr="00A26088">
        <w:rPr>
          <w:rStyle w:val="CharSectno"/>
        </w:rPr>
        <w:t>212.02</w:t>
      </w:r>
      <w:r w:rsidR="00D150ED" w:rsidRPr="00F00002">
        <w:t xml:space="preserve">  </w:t>
      </w:r>
      <w:r w:rsidRPr="00F00002">
        <w:t>Application for valuation</w:t>
      </w:r>
      <w:bookmarkEnd w:id="8"/>
    </w:p>
    <w:p w:rsidR="00BB4501" w:rsidRPr="00F00002" w:rsidRDefault="00BB4501" w:rsidP="00D150ED">
      <w:pPr>
        <w:pStyle w:val="subsection"/>
      </w:pPr>
      <w:r w:rsidRPr="00F00002">
        <w:tab/>
      </w:r>
      <w:r w:rsidRPr="00F00002">
        <w:tab/>
        <w:t>An application for a valuation under subsection</w:t>
      </w:r>
      <w:r w:rsidR="00F00002">
        <w:t> </w:t>
      </w:r>
      <w:r w:rsidRPr="00F00002">
        <w:t>30</w:t>
      </w:r>
      <w:r w:rsidR="00F00002">
        <w:noBreakHyphen/>
      </w:r>
      <w:r w:rsidRPr="00F00002">
        <w:t>212(1) of the Act must:</w:t>
      </w:r>
    </w:p>
    <w:p w:rsidR="00BB4501" w:rsidRPr="00F00002" w:rsidRDefault="00BB4501" w:rsidP="00D150ED">
      <w:pPr>
        <w:pStyle w:val="paragraph"/>
      </w:pPr>
      <w:r w:rsidRPr="00F00002">
        <w:tab/>
        <w:t>(a)</w:t>
      </w:r>
      <w:r w:rsidRPr="00F00002">
        <w:tab/>
        <w:t>be in the approved form; and</w:t>
      </w:r>
    </w:p>
    <w:p w:rsidR="00BB4501" w:rsidRPr="00F00002" w:rsidRDefault="00BB4501" w:rsidP="00D150ED">
      <w:pPr>
        <w:pStyle w:val="paragraph"/>
      </w:pPr>
      <w:r w:rsidRPr="00F00002">
        <w:tab/>
        <w:t>(b)</w:t>
      </w:r>
      <w:r w:rsidRPr="00F00002">
        <w:tab/>
        <w:t xml:space="preserve">be lodged with the </w:t>
      </w:r>
      <w:r w:rsidR="00736CB3" w:rsidRPr="00F00002">
        <w:t>Commissioner</w:t>
      </w:r>
      <w:r w:rsidRPr="00F00002">
        <w:t>; and</w:t>
      </w:r>
    </w:p>
    <w:p w:rsidR="00736CB3" w:rsidRPr="00F00002" w:rsidRDefault="00736CB3" w:rsidP="00736CB3">
      <w:pPr>
        <w:pStyle w:val="paragraph"/>
      </w:pPr>
      <w:r w:rsidRPr="00F00002">
        <w:tab/>
        <w:t>(c)</w:t>
      </w:r>
      <w:r w:rsidRPr="00F00002">
        <w:tab/>
        <w:t>include the application fee required by the approved form, which must not be more</w:t>
      </w:r>
      <w:r w:rsidR="009F4D29" w:rsidRPr="00F00002">
        <w:t xml:space="preserve"> than</w:t>
      </w:r>
      <w:r w:rsidRPr="00F00002">
        <w:t xml:space="preserve"> $1</w:t>
      </w:r>
      <w:r w:rsidR="00F00002">
        <w:t> </w:t>
      </w:r>
      <w:r w:rsidRPr="00F00002">
        <w:t>000.</w:t>
      </w:r>
    </w:p>
    <w:p w:rsidR="00BB4501" w:rsidRPr="00F00002" w:rsidRDefault="00D150ED" w:rsidP="00D150ED">
      <w:pPr>
        <w:pStyle w:val="notetext"/>
      </w:pPr>
      <w:r w:rsidRPr="00F00002">
        <w:t>Note:</w:t>
      </w:r>
      <w:r w:rsidRPr="00F00002">
        <w:tab/>
      </w:r>
      <w:r w:rsidR="00BB4501" w:rsidRPr="00F00002">
        <w:t>Section</w:t>
      </w:r>
      <w:r w:rsidR="00F00002">
        <w:t> </w:t>
      </w:r>
      <w:r w:rsidR="00BB4501" w:rsidRPr="00F00002">
        <w:t>995</w:t>
      </w:r>
      <w:r w:rsidR="00F00002">
        <w:noBreakHyphen/>
      </w:r>
      <w:r w:rsidR="00BB4501" w:rsidRPr="00F00002">
        <w:t xml:space="preserve">1 of the Act provides that </w:t>
      </w:r>
      <w:r w:rsidR="00BB4501" w:rsidRPr="00F00002">
        <w:rPr>
          <w:b/>
          <w:i/>
        </w:rPr>
        <w:t>approved form</w:t>
      </w:r>
      <w:r w:rsidR="00BB4501" w:rsidRPr="00F00002">
        <w:t xml:space="preserve"> has the meaning given by section</w:t>
      </w:r>
      <w:r w:rsidR="00F00002">
        <w:t> </w:t>
      </w:r>
      <w:r w:rsidR="00BB4501" w:rsidRPr="00F00002">
        <w:t>388</w:t>
      </w:r>
      <w:r w:rsidR="00F00002">
        <w:noBreakHyphen/>
      </w:r>
      <w:r w:rsidR="00BB4501" w:rsidRPr="00F00002">
        <w:t xml:space="preserve">50 in </w:t>
      </w:r>
      <w:r w:rsidRPr="00F00002">
        <w:t>Schedule</w:t>
      </w:r>
      <w:r w:rsidR="00F00002">
        <w:t> </w:t>
      </w:r>
      <w:r w:rsidR="00BB4501" w:rsidRPr="00F00002">
        <w:t xml:space="preserve">1 to the </w:t>
      </w:r>
      <w:r w:rsidR="00BB4501" w:rsidRPr="00F00002">
        <w:rPr>
          <w:i/>
        </w:rPr>
        <w:t>Taxation Administration Act 1953</w:t>
      </w:r>
      <w:r w:rsidR="00BB4501" w:rsidRPr="00F00002">
        <w:t>. That section provides that an application under a taxation law is in the approved form if, and only if:</w:t>
      </w:r>
    </w:p>
    <w:p w:rsidR="00BB4501" w:rsidRPr="00F00002" w:rsidRDefault="00BB4501" w:rsidP="00D150ED">
      <w:pPr>
        <w:pStyle w:val="notepara"/>
      </w:pPr>
      <w:r w:rsidRPr="00F00002">
        <w:t>(a)</w:t>
      </w:r>
      <w:r w:rsidRPr="00F00002">
        <w:tab/>
        <w:t>it is in the form approved in writing by the Commissioner for that kind of application; and</w:t>
      </w:r>
    </w:p>
    <w:p w:rsidR="00BB4501" w:rsidRPr="00F00002" w:rsidRDefault="00BB4501" w:rsidP="00D150ED">
      <w:pPr>
        <w:pStyle w:val="notepara"/>
      </w:pPr>
      <w:r w:rsidRPr="00F00002">
        <w:t>(b)</w:t>
      </w:r>
      <w:r w:rsidRPr="00F00002">
        <w:tab/>
        <w:t>it contains a declaration signed by a person or persons as the form requires; and</w:t>
      </w:r>
    </w:p>
    <w:p w:rsidR="00BB4501" w:rsidRPr="00F00002" w:rsidRDefault="00BB4501" w:rsidP="00D150ED">
      <w:pPr>
        <w:pStyle w:val="notepara"/>
      </w:pPr>
      <w:r w:rsidRPr="00F00002">
        <w:t>(c)</w:t>
      </w:r>
      <w:r w:rsidRPr="00F00002">
        <w:tab/>
        <w:t>it contains the information that the form requires, and any further information, statement or document as the Commissioner requires, whether in the form or otherwise.</w:t>
      </w:r>
    </w:p>
    <w:p w:rsidR="00BB4501" w:rsidRPr="00F00002" w:rsidRDefault="00BB4501" w:rsidP="00D150ED">
      <w:pPr>
        <w:pStyle w:val="ActHead5"/>
      </w:pPr>
      <w:bookmarkStart w:id="9" w:name="_Toc31109593"/>
      <w:r w:rsidRPr="00A26088">
        <w:rPr>
          <w:rStyle w:val="CharSectno"/>
        </w:rPr>
        <w:t>30</w:t>
      </w:r>
      <w:r w:rsidR="00F00002" w:rsidRPr="00A26088">
        <w:rPr>
          <w:rStyle w:val="CharSectno"/>
        </w:rPr>
        <w:noBreakHyphen/>
      </w:r>
      <w:r w:rsidRPr="00A26088">
        <w:rPr>
          <w:rStyle w:val="CharSectno"/>
        </w:rPr>
        <w:t>212.05</w:t>
      </w:r>
      <w:r w:rsidR="00D150ED" w:rsidRPr="00F00002">
        <w:t xml:space="preserve">  </w:t>
      </w:r>
      <w:r w:rsidRPr="00F00002">
        <w:t>Certificates of authenticity</w:t>
      </w:r>
      <w:bookmarkEnd w:id="9"/>
    </w:p>
    <w:p w:rsidR="00BB4501" w:rsidRPr="00F00002" w:rsidRDefault="00BB4501" w:rsidP="00D150ED">
      <w:pPr>
        <w:pStyle w:val="subsection"/>
      </w:pPr>
      <w:r w:rsidRPr="00F00002">
        <w:tab/>
        <w:t>(1)</w:t>
      </w:r>
      <w:r w:rsidRPr="00F00002">
        <w:tab/>
        <w:t>An application for a valuation of property other than real property must include a certificate of the authenticity of the property.</w:t>
      </w:r>
    </w:p>
    <w:p w:rsidR="00BB4501" w:rsidRPr="00F00002" w:rsidRDefault="00BB4501" w:rsidP="00D150ED">
      <w:pPr>
        <w:pStyle w:val="subsection"/>
      </w:pPr>
      <w:r w:rsidRPr="00F00002">
        <w:tab/>
        <w:t>(2)</w:t>
      </w:r>
      <w:r w:rsidRPr="00F00002">
        <w:tab/>
        <w:t>If the Commissioner is not satisfied that a certificate of authenticity is adequate, the Commissioner may:</w:t>
      </w:r>
    </w:p>
    <w:p w:rsidR="00BB4501" w:rsidRPr="00F00002" w:rsidRDefault="00BB4501" w:rsidP="00D150ED">
      <w:pPr>
        <w:pStyle w:val="paragraph"/>
      </w:pPr>
      <w:r w:rsidRPr="00F00002">
        <w:tab/>
        <w:t>(a)</w:t>
      </w:r>
      <w:r w:rsidRPr="00F00002">
        <w:tab/>
        <w:t>make arrangements to obtain 1 or more certificates of authenticity; and</w:t>
      </w:r>
    </w:p>
    <w:p w:rsidR="00BB4501" w:rsidRPr="00F00002" w:rsidRDefault="00BB4501" w:rsidP="00D150ED">
      <w:pPr>
        <w:pStyle w:val="paragraph"/>
      </w:pPr>
      <w:r w:rsidRPr="00F00002">
        <w:tab/>
        <w:t>(b)</w:t>
      </w:r>
      <w:r w:rsidRPr="00F00002">
        <w:tab/>
        <w:t>charge the applicant a fee that is not greater than the cost of obtaining the certificate.</w:t>
      </w:r>
    </w:p>
    <w:p w:rsidR="00BB4501" w:rsidRPr="00F00002" w:rsidRDefault="00BB4501" w:rsidP="00D150ED">
      <w:pPr>
        <w:pStyle w:val="ActHead5"/>
      </w:pPr>
      <w:bookmarkStart w:id="10" w:name="_Toc31109594"/>
      <w:r w:rsidRPr="00A26088">
        <w:rPr>
          <w:rStyle w:val="CharSectno"/>
        </w:rPr>
        <w:lastRenderedPageBreak/>
        <w:t>30</w:t>
      </w:r>
      <w:r w:rsidR="00F00002" w:rsidRPr="00A26088">
        <w:rPr>
          <w:rStyle w:val="CharSectno"/>
        </w:rPr>
        <w:noBreakHyphen/>
      </w:r>
      <w:r w:rsidRPr="00A26088">
        <w:rPr>
          <w:rStyle w:val="CharSectno"/>
        </w:rPr>
        <w:t>212.06</w:t>
      </w:r>
      <w:r w:rsidR="00D150ED" w:rsidRPr="00F00002">
        <w:t xml:space="preserve">  </w:t>
      </w:r>
      <w:r w:rsidRPr="00F00002">
        <w:t>Estimates of fees</w:t>
      </w:r>
      <w:bookmarkEnd w:id="10"/>
    </w:p>
    <w:p w:rsidR="00BB4501" w:rsidRPr="00F00002" w:rsidRDefault="00BB4501" w:rsidP="00D150ED">
      <w:pPr>
        <w:pStyle w:val="subsection"/>
      </w:pPr>
      <w:r w:rsidRPr="00F00002">
        <w:tab/>
        <w:t>(1)</w:t>
      </w:r>
      <w:r w:rsidRPr="00F00002">
        <w:tab/>
        <w:t>An applicant for a valuation may ask the Commissioner for an estimate of the likely fee for the valuation.</w:t>
      </w:r>
    </w:p>
    <w:p w:rsidR="00BB4501" w:rsidRPr="00F00002" w:rsidRDefault="00BB4501" w:rsidP="00D150ED">
      <w:pPr>
        <w:pStyle w:val="subsection"/>
      </w:pPr>
      <w:r w:rsidRPr="00F00002">
        <w:tab/>
        <w:t>(2)</w:t>
      </w:r>
      <w:r w:rsidRPr="00F00002">
        <w:tab/>
        <w:t>If the Commissioner is asked for an estimate:</w:t>
      </w:r>
    </w:p>
    <w:p w:rsidR="00BB4501" w:rsidRPr="00F00002" w:rsidRDefault="00BB4501" w:rsidP="00D150ED">
      <w:pPr>
        <w:pStyle w:val="paragraph"/>
      </w:pPr>
      <w:r w:rsidRPr="00F00002">
        <w:tab/>
        <w:t>(a)</w:t>
      </w:r>
      <w:r w:rsidRPr="00F00002">
        <w:tab/>
        <w:t>the Commissioner must comply with the request as soon as practicable; but</w:t>
      </w:r>
    </w:p>
    <w:p w:rsidR="00BB4501" w:rsidRPr="00F00002" w:rsidRDefault="00BB4501" w:rsidP="00D150ED">
      <w:pPr>
        <w:pStyle w:val="paragraph"/>
      </w:pPr>
      <w:r w:rsidRPr="00F00002">
        <w:tab/>
        <w:t>(b)</w:t>
      </w:r>
      <w:r w:rsidRPr="00F00002">
        <w:tab/>
        <w:t>the Commissioner is not bound by the estimate.</w:t>
      </w:r>
    </w:p>
    <w:p w:rsidR="00BB4501" w:rsidRPr="00F00002" w:rsidRDefault="00BB4501" w:rsidP="00D150ED">
      <w:pPr>
        <w:pStyle w:val="ActHead5"/>
      </w:pPr>
      <w:bookmarkStart w:id="11" w:name="_Toc31109595"/>
      <w:r w:rsidRPr="00A26088">
        <w:rPr>
          <w:rStyle w:val="CharSectno"/>
        </w:rPr>
        <w:t>30</w:t>
      </w:r>
      <w:r w:rsidR="00F00002" w:rsidRPr="00A26088">
        <w:rPr>
          <w:rStyle w:val="CharSectno"/>
        </w:rPr>
        <w:noBreakHyphen/>
      </w:r>
      <w:r w:rsidRPr="00A26088">
        <w:rPr>
          <w:rStyle w:val="CharSectno"/>
        </w:rPr>
        <w:t>212.07</w:t>
      </w:r>
      <w:r w:rsidR="00D150ED" w:rsidRPr="00F00002">
        <w:t xml:space="preserve">  </w:t>
      </w:r>
      <w:r w:rsidRPr="00F00002">
        <w:t>Advance payment of fees</w:t>
      </w:r>
      <w:bookmarkEnd w:id="11"/>
    </w:p>
    <w:p w:rsidR="00BB4501" w:rsidRPr="00F00002" w:rsidRDefault="00BB4501" w:rsidP="00D150ED">
      <w:pPr>
        <w:pStyle w:val="subsection"/>
      </w:pPr>
      <w:r w:rsidRPr="00F00002">
        <w:tab/>
        <w:t>(1)</w:t>
      </w:r>
      <w:r w:rsidRPr="00F00002">
        <w:tab/>
        <w:t>The Commissioner may require an applicant for a valuation to give the Commissioner an advance payment of the fee that may be payable for the valuation.</w:t>
      </w:r>
    </w:p>
    <w:p w:rsidR="00BB4501" w:rsidRPr="00F00002" w:rsidRDefault="00BB4501" w:rsidP="00D150ED">
      <w:pPr>
        <w:pStyle w:val="subsection"/>
      </w:pPr>
      <w:r w:rsidRPr="00F00002">
        <w:tab/>
        <w:t>(2)</w:t>
      </w:r>
      <w:r w:rsidRPr="00F00002">
        <w:tab/>
        <w:t>If the Commissioner requires an advance payment, the Commissioner must give the applicant a written statement:</w:t>
      </w:r>
    </w:p>
    <w:p w:rsidR="00BB4501" w:rsidRPr="00F00002" w:rsidRDefault="00BB4501" w:rsidP="00D150ED">
      <w:pPr>
        <w:pStyle w:val="paragraph"/>
      </w:pPr>
      <w:r w:rsidRPr="00F00002">
        <w:tab/>
        <w:t>(a)</w:t>
      </w:r>
      <w:r w:rsidRPr="00F00002">
        <w:tab/>
        <w:t>requiring the payment; and</w:t>
      </w:r>
    </w:p>
    <w:p w:rsidR="00BB4501" w:rsidRPr="00F00002" w:rsidRDefault="00BB4501" w:rsidP="00D150ED">
      <w:pPr>
        <w:pStyle w:val="paragraph"/>
      </w:pPr>
      <w:r w:rsidRPr="00F00002">
        <w:tab/>
        <w:t>(b)</w:t>
      </w:r>
      <w:r w:rsidRPr="00F00002">
        <w:tab/>
        <w:t>stating the amount of the payment; and</w:t>
      </w:r>
    </w:p>
    <w:p w:rsidR="00BB4501" w:rsidRPr="00F00002" w:rsidRDefault="00BB4501" w:rsidP="00D150ED">
      <w:pPr>
        <w:pStyle w:val="paragraph"/>
      </w:pPr>
      <w:r w:rsidRPr="00F00002">
        <w:tab/>
        <w:t>(c)</w:t>
      </w:r>
      <w:r w:rsidRPr="00F00002">
        <w:tab/>
        <w:t>explaining how the amount was worked out.</w:t>
      </w:r>
    </w:p>
    <w:p w:rsidR="00BB4501" w:rsidRPr="00F00002" w:rsidRDefault="00BB4501" w:rsidP="00D150ED">
      <w:pPr>
        <w:pStyle w:val="subsection"/>
      </w:pPr>
      <w:r w:rsidRPr="00F00002">
        <w:tab/>
        <w:t>(3)</w:t>
      </w:r>
      <w:r w:rsidRPr="00F00002">
        <w:tab/>
        <w:t>The Commissioner:</w:t>
      </w:r>
    </w:p>
    <w:p w:rsidR="00BB4501" w:rsidRPr="00F00002" w:rsidRDefault="00BB4501" w:rsidP="00D150ED">
      <w:pPr>
        <w:pStyle w:val="paragraph"/>
      </w:pPr>
      <w:r w:rsidRPr="00F00002">
        <w:tab/>
        <w:t>(a)</w:t>
      </w:r>
      <w:r w:rsidRPr="00F00002">
        <w:tab/>
        <w:t>may require an advance payment only within 14</w:t>
      </w:r>
      <w:r w:rsidR="00672E95" w:rsidRPr="00F00002">
        <w:t xml:space="preserve"> </w:t>
      </w:r>
      <w:r w:rsidRPr="00F00002">
        <w:t>days after receiving an application; and</w:t>
      </w:r>
    </w:p>
    <w:p w:rsidR="00BB4501" w:rsidRPr="00F00002" w:rsidRDefault="00BB4501" w:rsidP="00D150ED">
      <w:pPr>
        <w:pStyle w:val="paragraph"/>
      </w:pPr>
      <w:r w:rsidRPr="00F00002">
        <w:tab/>
        <w:t>(b)</w:t>
      </w:r>
      <w:r w:rsidRPr="00F00002">
        <w:tab/>
        <w:t>may require more than 1 advance payment during that period from the same applicant.</w:t>
      </w:r>
    </w:p>
    <w:p w:rsidR="00BB4501" w:rsidRPr="00F00002" w:rsidRDefault="00BB4501" w:rsidP="00D150ED">
      <w:pPr>
        <w:pStyle w:val="subsection"/>
      </w:pPr>
      <w:r w:rsidRPr="00F00002">
        <w:tab/>
        <w:t>(4)</w:t>
      </w:r>
      <w:r w:rsidRPr="00F00002">
        <w:tab/>
        <w:t>The applicant must give the Commissioner the advance payment within 14 days after receiving the statement requiring the payment.</w:t>
      </w:r>
    </w:p>
    <w:p w:rsidR="00BB4501" w:rsidRPr="00F00002" w:rsidRDefault="00BB4501" w:rsidP="00D150ED">
      <w:pPr>
        <w:pStyle w:val="ActHead5"/>
      </w:pPr>
      <w:bookmarkStart w:id="12" w:name="_Toc31109596"/>
      <w:r w:rsidRPr="00A26088">
        <w:rPr>
          <w:rStyle w:val="CharSectno"/>
        </w:rPr>
        <w:t>30</w:t>
      </w:r>
      <w:r w:rsidR="00F00002" w:rsidRPr="00A26088">
        <w:rPr>
          <w:rStyle w:val="CharSectno"/>
        </w:rPr>
        <w:noBreakHyphen/>
      </w:r>
      <w:r w:rsidRPr="00A26088">
        <w:rPr>
          <w:rStyle w:val="CharSectno"/>
        </w:rPr>
        <w:t>212.08</w:t>
      </w:r>
      <w:r w:rsidR="00D150ED" w:rsidRPr="00F00002">
        <w:t xml:space="preserve">  </w:t>
      </w:r>
      <w:r w:rsidRPr="00F00002">
        <w:t>Commissioner not required to consider certain applications</w:t>
      </w:r>
      <w:bookmarkEnd w:id="12"/>
    </w:p>
    <w:p w:rsidR="00BB4501" w:rsidRPr="00F00002" w:rsidRDefault="00BB4501" w:rsidP="00D150ED">
      <w:pPr>
        <w:pStyle w:val="subsection"/>
      </w:pPr>
      <w:r w:rsidRPr="00F00002">
        <w:tab/>
        <w:t>(1)</w:t>
      </w:r>
      <w:r w:rsidRPr="00F00002">
        <w:tab/>
        <w:t>If the Commissioner decides to obtain a certificate of authenticity under regulation</w:t>
      </w:r>
      <w:r w:rsidR="00F00002">
        <w:t> </w:t>
      </w:r>
      <w:r w:rsidRPr="00F00002">
        <w:t>30</w:t>
      </w:r>
      <w:r w:rsidR="00F00002">
        <w:noBreakHyphen/>
      </w:r>
      <w:r w:rsidRPr="00F00002">
        <w:t>212.05, the Commissioner is not required to consider the application to which the certificate relates until the Commissioner receives the certificate.</w:t>
      </w:r>
    </w:p>
    <w:p w:rsidR="00BB4501" w:rsidRPr="00F00002" w:rsidRDefault="00BB4501" w:rsidP="00D150ED">
      <w:pPr>
        <w:pStyle w:val="subsection"/>
      </w:pPr>
      <w:r w:rsidRPr="00F00002">
        <w:tab/>
        <w:t>(2)</w:t>
      </w:r>
      <w:r w:rsidRPr="00F00002">
        <w:tab/>
        <w:t>If the Commissioner is preparing an estimate of a fee under regulation</w:t>
      </w:r>
      <w:r w:rsidR="00F00002">
        <w:t> </w:t>
      </w:r>
      <w:r w:rsidRPr="00F00002">
        <w:t>30</w:t>
      </w:r>
      <w:r w:rsidR="00F00002">
        <w:noBreakHyphen/>
      </w:r>
      <w:r w:rsidRPr="00F00002">
        <w:t>212.06, the Commissioner is not required to consider the application to which the estimate relates until the Commissioner has given the estimate to the applicant.</w:t>
      </w:r>
    </w:p>
    <w:p w:rsidR="00BB4501" w:rsidRPr="00F00002" w:rsidRDefault="00BB4501" w:rsidP="00D150ED">
      <w:pPr>
        <w:pStyle w:val="subsection"/>
      </w:pPr>
      <w:r w:rsidRPr="00F00002">
        <w:tab/>
        <w:t>(3)</w:t>
      </w:r>
      <w:r w:rsidRPr="00F00002">
        <w:tab/>
        <w:t>If the Commissioner has required the advance payment of a fee under regulation</w:t>
      </w:r>
      <w:r w:rsidR="00F00002">
        <w:t> </w:t>
      </w:r>
      <w:r w:rsidRPr="00F00002">
        <w:t>30</w:t>
      </w:r>
      <w:r w:rsidR="00F00002">
        <w:noBreakHyphen/>
      </w:r>
      <w:r w:rsidRPr="00F00002">
        <w:t>212.07, the Commissioner is not required to consider the application to which the payment relates until the fee is paid.</w:t>
      </w:r>
    </w:p>
    <w:p w:rsidR="00BB4501" w:rsidRPr="00F00002" w:rsidRDefault="00BB4501" w:rsidP="00D150ED">
      <w:pPr>
        <w:pStyle w:val="ActHead5"/>
      </w:pPr>
      <w:bookmarkStart w:id="13" w:name="_Toc31109597"/>
      <w:r w:rsidRPr="00A26088">
        <w:rPr>
          <w:rStyle w:val="CharSectno"/>
        </w:rPr>
        <w:lastRenderedPageBreak/>
        <w:t>30</w:t>
      </w:r>
      <w:r w:rsidR="00F00002" w:rsidRPr="00A26088">
        <w:rPr>
          <w:rStyle w:val="CharSectno"/>
        </w:rPr>
        <w:noBreakHyphen/>
      </w:r>
      <w:r w:rsidRPr="00A26088">
        <w:rPr>
          <w:rStyle w:val="CharSectno"/>
        </w:rPr>
        <w:t>212.09</w:t>
      </w:r>
      <w:r w:rsidR="00D150ED" w:rsidRPr="00F00002">
        <w:t xml:space="preserve">  </w:t>
      </w:r>
      <w:r w:rsidRPr="00F00002">
        <w:t>Applications treated as having no effect</w:t>
      </w:r>
      <w:bookmarkEnd w:id="13"/>
    </w:p>
    <w:p w:rsidR="00BB4501" w:rsidRPr="00F00002" w:rsidRDefault="00BB4501" w:rsidP="00D150ED">
      <w:pPr>
        <w:pStyle w:val="subsection"/>
      </w:pPr>
      <w:r w:rsidRPr="00F00002">
        <w:tab/>
        <w:t>(1)</w:t>
      </w:r>
      <w:r w:rsidRPr="00F00002">
        <w:tab/>
        <w:t>If an application for a valuation does not comply with regulation</w:t>
      </w:r>
      <w:r w:rsidR="00F00002">
        <w:t> </w:t>
      </w:r>
      <w:r w:rsidR="00736CB3" w:rsidRPr="00F00002">
        <w:t>30</w:t>
      </w:r>
      <w:r w:rsidR="00F00002">
        <w:noBreakHyphen/>
      </w:r>
      <w:r w:rsidR="00736CB3" w:rsidRPr="00F00002">
        <w:t>212.02</w:t>
      </w:r>
      <w:r w:rsidRPr="00F00002">
        <w:t>:</w:t>
      </w:r>
    </w:p>
    <w:p w:rsidR="00BB4501" w:rsidRPr="00F00002" w:rsidRDefault="00BB4501" w:rsidP="00D150ED">
      <w:pPr>
        <w:pStyle w:val="paragraph"/>
      </w:pPr>
      <w:r w:rsidRPr="00F00002">
        <w:tab/>
        <w:t>(a)</w:t>
      </w:r>
      <w:r w:rsidRPr="00F00002">
        <w:tab/>
        <w:t>the Commissioner must treat the application as having no effect; and</w:t>
      </w:r>
    </w:p>
    <w:p w:rsidR="00BB4501" w:rsidRPr="00F00002" w:rsidRDefault="00BB4501" w:rsidP="00D150ED">
      <w:pPr>
        <w:pStyle w:val="paragraph"/>
      </w:pPr>
      <w:r w:rsidRPr="00F00002">
        <w:tab/>
        <w:t>(b)</w:t>
      </w:r>
      <w:r w:rsidRPr="00F00002">
        <w:tab/>
        <w:t>the Commissioner must give the applicant a written statement that the application is being treated that way.</w:t>
      </w:r>
    </w:p>
    <w:p w:rsidR="00BB4501" w:rsidRPr="00F00002" w:rsidRDefault="00BB4501" w:rsidP="00D150ED">
      <w:pPr>
        <w:pStyle w:val="subsection"/>
      </w:pPr>
      <w:r w:rsidRPr="00F00002">
        <w:tab/>
        <w:t>(2)</w:t>
      </w:r>
      <w:r w:rsidRPr="00F00002">
        <w:tab/>
        <w:t>If an application for a valuation does not include all of the application fee:</w:t>
      </w:r>
    </w:p>
    <w:p w:rsidR="00BB4501" w:rsidRPr="00F00002" w:rsidRDefault="00BB4501" w:rsidP="00D150ED">
      <w:pPr>
        <w:pStyle w:val="paragraph"/>
      </w:pPr>
      <w:r w:rsidRPr="00F00002">
        <w:tab/>
        <w:t>(a)</w:t>
      </w:r>
      <w:r w:rsidRPr="00F00002">
        <w:tab/>
        <w:t>the Commissioner must treat the application as having no effect; and</w:t>
      </w:r>
    </w:p>
    <w:p w:rsidR="00BB4501" w:rsidRPr="00F00002" w:rsidRDefault="00BB4501" w:rsidP="00D150ED">
      <w:pPr>
        <w:pStyle w:val="paragraph"/>
      </w:pPr>
      <w:r w:rsidRPr="00F00002">
        <w:tab/>
        <w:t>(b)</w:t>
      </w:r>
      <w:r w:rsidRPr="00F00002">
        <w:tab/>
        <w:t>the Commissioner must give the applicant a written statement that the application is being treated that way.</w:t>
      </w:r>
    </w:p>
    <w:p w:rsidR="00BB4501" w:rsidRPr="00F00002" w:rsidRDefault="00BB4501" w:rsidP="00D150ED">
      <w:pPr>
        <w:pStyle w:val="subsection"/>
      </w:pPr>
      <w:r w:rsidRPr="00F00002">
        <w:tab/>
        <w:t>(3)</w:t>
      </w:r>
      <w:r w:rsidRPr="00F00002">
        <w:tab/>
        <w:t>If the Commissioner has required the advance payment of a fee under regulation</w:t>
      </w:r>
      <w:r w:rsidR="00F00002">
        <w:t> </w:t>
      </w:r>
      <w:r w:rsidRPr="00F00002">
        <w:t>30</w:t>
      </w:r>
      <w:r w:rsidR="00F00002">
        <w:noBreakHyphen/>
      </w:r>
      <w:r w:rsidRPr="00F00002">
        <w:t>212.07, and the fee is not paid within the time mentioned in subregulation</w:t>
      </w:r>
      <w:r w:rsidR="00F00002">
        <w:t> </w:t>
      </w:r>
      <w:r w:rsidRPr="00F00002">
        <w:t>30</w:t>
      </w:r>
      <w:r w:rsidR="00F00002">
        <w:noBreakHyphen/>
      </w:r>
      <w:r w:rsidRPr="00F00002">
        <w:t>212.07(4):</w:t>
      </w:r>
    </w:p>
    <w:p w:rsidR="00BB4501" w:rsidRPr="00F00002" w:rsidRDefault="00BB4501" w:rsidP="00D150ED">
      <w:pPr>
        <w:pStyle w:val="paragraph"/>
      </w:pPr>
      <w:r w:rsidRPr="00F00002">
        <w:tab/>
        <w:t>(a)</w:t>
      </w:r>
      <w:r w:rsidRPr="00F00002">
        <w:tab/>
        <w:t>the Commissioner must treat the application to which the payment relates as having no effect after that time; and</w:t>
      </w:r>
    </w:p>
    <w:p w:rsidR="00BB4501" w:rsidRPr="00F00002" w:rsidRDefault="00BB4501" w:rsidP="00D150ED">
      <w:pPr>
        <w:pStyle w:val="paragraph"/>
      </w:pPr>
      <w:r w:rsidRPr="00F00002">
        <w:tab/>
        <w:t>(b)</w:t>
      </w:r>
      <w:r w:rsidRPr="00F00002">
        <w:tab/>
        <w:t>the Commissioner must give the applicant a written statement that the application is being treated that way.</w:t>
      </w:r>
    </w:p>
    <w:p w:rsidR="00BB4501" w:rsidRPr="00F00002" w:rsidRDefault="00D150ED" w:rsidP="00D150ED">
      <w:pPr>
        <w:pStyle w:val="notetext"/>
      </w:pPr>
      <w:r w:rsidRPr="00F00002">
        <w:t>Note:</w:t>
      </w:r>
      <w:r w:rsidRPr="00F00002">
        <w:tab/>
      </w:r>
      <w:r w:rsidR="00BB4501" w:rsidRPr="00F00002">
        <w:t>Subregulation</w:t>
      </w:r>
      <w:r w:rsidR="00F00002">
        <w:t> </w:t>
      </w:r>
      <w:r w:rsidR="00BB4501" w:rsidRPr="00F00002">
        <w:t>30</w:t>
      </w:r>
      <w:r w:rsidR="00F00002">
        <w:noBreakHyphen/>
      </w:r>
      <w:r w:rsidR="00BB4501" w:rsidRPr="00F00002">
        <w:t>212.10(2) is relevant to an application that is treated as having no effect under subregulation</w:t>
      </w:r>
      <w:r w:rsidR="00135C25" w:rsidRPr="00F00002">
        <w:t> </w:t>
      </w:r>
      <w:r w:rsidR="00BB4501" w:rsidRPr="00F00002">
        <w:t>(3).</w:t>
      </w:r>
    </w:p>
    <w:p w:rsidR="00736CB3" w:rsidRPr="00F00002" w:rsidRDefault="00736CB3" w:rsidP="00736CB3">
      <w:pPr>
        <w:pStyle w:val="ActHead5"/>
      </w:pPr>
      <w:bookmarkStart w:id="14" w:name="_Toc31109598"/>
      <w:r w:rsidRPr="00A26088">
        <w:rPr>
          <w:rStyle w:val="CharSectno"/>
        </w:rPr>
        <w:t>30</w:t>
      </w:r>
      <w:r w:rsidR="00F00002" w:rsidRPr="00A26088">
        <w:rPr>
          <w:rStyle w:val="CharSectno"/>
        </w:rPr>
        <w:noBreakHyphen/>
      </w:r>
      <w:r w:rsidRPr="00A26088">
        <w:rPr>
          <w:rStyle w:val="CharSectno"/>
        </w:rPr>
        <w:t>212.10</w:t>
      </w:r>
      <w:r w:rsidRPr="00F00002">
        <w:t xml:space="preserve">  Fees for carrying out valuations</w:t>
      </w:r>
      <w:bookmarkEnd w:id="14"/>
    </w:p>
    <w:p w:rsidR="00736CB3" w:rsidRPr="00F00002" w:rsidRDefault="00736CB3" w:rsidP="00736CB3">
      <w:pPr>
        <w:pStyle w:val="subsection"/>
      </w:pPr>
      <w:r w:rsidRPr="00F00002">
        <w:tab/>
        <w:t>(1)</w:t>
      </w:r>
      <w:r w:rsidRPr="00F00002">
        <w:tab/>
        <w:t>The fee for carrying out a valuation is the actual cost of the valuation, including all costs of the Commissioner in obtaining the valuation.</w:t>
      </w:r>
    </w:p>
    <w:p w:rsidR="00736CB3" w:rsidRPr="00F00002" w:rsidRDefault="00736CB3" w:rsidP="00736CB3">
      <w:pPr>
        <w:pStyle w:val="subsection"/>
      </w:pPr>
      <w:r w:rsidRPr="00F00002">
        <w:tab/>
        <w:t>(2)</w:t>
      </w:r>
      <w:r w:rsidRPr="00F00002">
        <w:tab/>
        <w:t>If the Commissioner starts a valuation but the application for the valuation is withdrawn or treated as having no effect under subregulation</w:t>
      </w:r>
      <w:r w:rsidR="00F00002">
        <w:t> </w:t>
      </w:r>
      <w:r w:rsidRPr="00F00002">
        <w:t>30</w:t>
      </w:r>
      <w:r w:rsidR="00F00002">
        <w:noBreakHyphen/>
      </w:r>
      <w:r w:rsidRPr="00F00002">
        <w:t>212.09(3), a fee representing the cost of the incomplete valuation is payable.</w:t>
      </w:r>
    </w:p>
    <w:p w:rsidR="00736CB3" w:rsidRPr="00F00002" w:rsidRDefault="00736CB3" w:rsidP="00736CB3">
      <w:pPr>
        <w:pStyle w:val="ActHead5"/>
      </w:pPr>
      <w:bookmarkStart w:id="15" w:name="_Toc31109599"/>
      <w:r w:rsidRPr="00A26088">
        <w:rPr>
          <w:rStyle w:val="CharSectno"/>
        </w:rPr>
        <w:t>30</w:t>
      </w:r>
      <w:r w:rsidR="00F00002" w:rsidRPr="00A26088">
        <w:rPr>
          <w:rStyle w:val="CharSectno"/>
        </w:rPr>
        <w:noBreakHyphen/>
      </w:r>
      <w:r w:rsidRPr="00A26088">
        <w:rPr>
          <w:rStyle w:val="CharSectno"/>
        </w:rPr>
        <w:t>212.11</w:t>
      </w:r>
      <w:r w:rsidRPr="00F00002">
        <w:t xml:space="preserve">  Crediting and repaying valuation fees</w:t>
      </w:r>
      <w:bookmarkEnd w:id="15"/>
    </w:p>
    <w:p w:rsidR="00736CB3" w:rsidRPr="00F00002" w:rsidRDefault="00736CB3" w:rsidP="00736CB3">
      <w:pPr>
        <w:pStyle w:val="subsection"/>
      </w:pPr>
      <w:r w:rsidRPr="00F00002">
        <w:tab/>
        <w:t>(1)</w:t>
      </w:r>
      <w:r w:rsidRPr="00F00002">
        <w:tab/>
        <w:t>The application fee paid under regulation</w:t>
      </w:r>
      <w:r w:rsidR="00F00002">
        <w:t> </w:t>
      </w:r>
      <w:r w:rsidRPr="00F00002">
        <w:t>30</w:t>
      </w:r>
      <w:r w:rsidR="00F00002">
        <w:noBreakHyphen/>
      </w:r>
      <w:r w:rsidRPr="00F00002">
        <w:t>212.02 is to be credited against the fee for the valuation.</w:t>
      </w:r>
    </w:p>
    <w:p w:rsidR="00736CB3" w:rsidRPr="00F00002" w:rsidRDefault="00736CB3" w:rsidP="00736CB3">
      <w:pPr>
        <w:pStyle w:val="subsection"/>
      </w:pPr>
      <w:r w:rsidRPr="00F00002">
        <w:tab/>
        <w:t>(2)</w:t>
      </w:r>
      <w:r w:rsidRPr="00F00002">
        <w:tab/>
        <w:t>An advance payment of a fee paid under regulation</w:t>
      </w:r>
      <w:r w:rsidR="00F00002">
        <w:t> </w:t>
      </w:r>
      <w:r w:rsidRPr="00F00002">
        <w:t>30</w:t>
      </w:r>
      <w:r w:rsidR="00F00002">
        <w:noBreakHyphen/>
      </w:r>
      <w:r w:rsidRPr="00F00002">
        <w:t>212.07 is to be credited against the fee for the valuation.</w:t>
      </w:r>
    </w:p>
    <w:p w:rsidR="00736CB3" w:rsidRPr="00F00002" w:rsidRDefault="00736CB3" w:rsidP="00736CB3">
      <w:pPr>
        <w:pStyle w:val="subsection"/>
      </w:pPr>
      <w:r w:rsidRPr="00F00002">
        <w:tab/>
        <w:t>(3)</w:t>
      </w:r>
      <w:r w:rsidRPr="00F00002">
        <w:tab/>
        <w:t>The fee payable for the valuation is a debt due to the Commonwealth and recoverable in a court of competent jurisdiction.</w:t>
      </w:r>
    </w:p>
    <w:p w:rsidR="00736CB3" w:rsidRPr="00F00002" w:rsidRDefault="00736CB3" w:rsidP="00736CB3">
      <w:pPr>
        <w:pStyle w:val="subsection"/>
      </w:pPr>
      <w:r w:rsidRPr="00F00002">
        <w:tab/>
        <w:t>(4)</w:t>
      </w:r>
      <w:r w:rsidRPr="00F00002">
        <w:tab/>
        <w:t>However, if the total of advance payments of fees is more than the fee payable for the valuation, the Commissioner must pay the difference to the applicant as soon as practicable.</w:t>
      </w:r>
    </w:p>
    <w:p w:rsidR="00BB4501" w:rsidRPr="00F00002" w:rsidRDefault="00BB4501" w:rsidP="00D150ED">
      <w:pPr>
        <w:pStyle w:val="ActHead5"/>
      </w:pPr>
      <w:bookmarkStart w:id="16" w:name="_Toc31109600"/>
      <w:r w:rsidRPr="00A26088">
        <w:rPr>
          <w:rStyle w:val="CharSectno"/>
        </w:rPr>
        <w:lastRenderedPageBreak/>
        <w:t>30</w:t>
      </w:r>
      <w:r w:rsidR="00F00002" w:rsidRPr="00A26088">
        <w:rPr>
          <w:rStyle w:val="CharSectno"/>
        </w:rPr>
        <w:noBreakHyphen/>
      </w:r>
      <w:r w:rsidRPr="00A26088">
        <w:rPr>
          <w:rStyle w:val="CharSectno"/>
        </w:rPr>
        <w:t>212.12</w:t>
      </w:r>
      <w:r w:rsidR="00D150ED" w:rsidRPr="00F00002">
        <w:t xml:space="preserve">  </w:t>
      </w:r>
      <w:r w:rsidRPr="00F00002">
        <w:t>Valuation certificates</w:t>
      </w:r>
      <w:bookmarkEnd w:id="16"/>
    </w:p>
    <w:p w:rsidR="00BB4501" w:rsidRPr="00F00002" w:rsidRDefault="00BB4501" w:rsidP="00D150ED">
      <w:pPr>
        <w:pStyle w:val="subsection"/>
      </w:pPr>
      <w:r w:rsidRPr="00F00002">
        <w:tab/>
        <w:t>(1)</w:t>
      </w:r>
      <w:r w:rsidRPr="00F00002">
        <w:tab/>
        <w:t>If the Commissioner completes a valuation, the Commissioner must give a valuation certificate to the applicant for the valuation.</w:t>
      </w:r>
    </w:p>
    <w:p w:rsidR="00BB4501" w:rsidRPr="00F00002" w:rsidRDefault="00BB4501" w:rsidP="00D150ED">
      <w:pPr>
        <w:pStyle w:val="subsection"/>
      </w:pPr>
      <w:r w:rsidRPr="00F00002">
        <w:tab/>
        <w:t>(2)</w:t>
      </w:r>
      <w:r w:rsidRPr="00F00002">
        <w:tab/>
        <w:t>The Commissioner must approve, in writing, 1 or more forms of a certificate.</w:t>
      </w:r>
    </w:p>
    <w:p w:rsidR="00BB4501" w:rsidRPr="00F00002" w:rsidRDefault="00BB4501" w:rsidP="00D150ED">
      <w:pPr>
        <w:pStyle w:val="subsection"/>
      </w:pPr>
      <w:r w:rsidRPr="00F00002">
        <w:tab/>
        <w:t>(3)</w:t>
      </w:r>
      <w:r w:rsidRPr="00F00002">
        <w:tab/>
        <w:t>The certificate must include the following information:</w:t>
      </w:r>
    </w:p>
    <w:p w:rsidR="00BB4501" w:rsidRPr="00F00002" w:rsidRDefault="00BB4501" w:rsidP="00D150ED">
      <w:pPr>
        <w:pStyle w:val="paragraph"/>
      </w:pPr>
      <w:r w:rsidRPr="00F00002">
        <w:tab/>
        <w:t>(a)</w:t>
      </w:r>
      <w:r w:rsidRPr="00F00002">
        <w:tab/>
        <w:t>the date on which the valuation was completed;</w:t>
      </w:r>
    </w:p>
    <w:p w:rsidR="00BB4501" w:rsidRPr="00F00002" w:rsidRDefault="00BB4501" w:rsidP="00D150ED">
      <w:pPr>
        <w:pStyle w:val="paragraph"/>
      </w:pPr>
      <w:r w:rsidRPr="00F00002">
        <w:tab/>
        <w:t>(b)</w:t>
      </w:r>
      <w:r w:rsidRPr="00F00002">
        <w:tab/>
        <w:t>a description of any real property (including a lot and plan number, title reference and the location of the property);</w:t>
      </w:r>
    </w:p>
    <w:p w:rsidR="00BB4501" w:rsidRPr="00F00002" w:rsidRDefault="00BB4501" w:rsidP="00D150ED">
      <w:pPr>
        <w:pStyle w:val="paragraph"/>
      </w:pPr>
      <w:r w:rsidRPr="00F00002">
        <w:tab/>
        <w:t>(c)</w:t>
      </w:r>
      <w:r w:rsidRPr="00F00002">
        <w:tab/>
        <w:t>a full description of property other than real property;</w:t>
      </w:r>
    </w:p>
    <w:p w:rsidR="00BB4501" w:rsidRPr="00F00002" w:rsidRDefault="00BB4501" w:rsidP="00D150ED">
      <w:pPr>
        <w:pStyle w:val="paragraph"/>
      </w:pPr>
      <w:r w:rsidRPr="00F00002">
        <w:tab/>
        <w:t>(d)</w:t>
      </w:r>
      <w:r w:rsidRPr="00F00002">
        <w:tab/>
        <w:t>the period for which the valuation is in force;</w:t>
      </w:r>
    </w:p>
    <w:p w:rsidR="00BB4501" w:rsidRPr="00F00002" w:rsidRDefault="00BB4501" w:rsidP="00D150ED">
      <w:pPr>
        <w:pStyle w:val="paragraph"/>
      </w:pPr>
      <w:r w:rsidRPr="00F00002">
        <w:tab/>
        <w:t>(e)</w:t>
      </w:r>
      <w:r w:rsidRPr="00F00002">
        <w:tab/>
        <w:t>a statement of the valuation.</w:t>
      </w:r>
    </w:p>
    <w:p w:rsidR="00BB4501" w:rsidRPr="00F00002" w:rsidRDefault="00BB4501" w:rsidP="00D150ED">
      <w:pPr>
        <w:pStyle w:val="subsection"/>
      </w:pPr>
      <w:r w:rsidRPr="00F00002">
        <w:tab/>
        <w:t>(4)</w:t>
      </w:r>
      <w:r w:rsidRPr="00F00002">
        <w:tab/>
        <w:t>The certificate may include other information.</w:t>
      </w:r>
    </w:p>
    <w:p w:rsidR="00BB4501" w:rsidRPr="00F00002" w:rsidRDefault="00BB4501" w:rsidP="00D150ED">
      <w:pPr>
        <w:pStyle w:val="subsection"/>
      </w:pPr>
      <w:r w:rsidRPr="00F00002">
        <w:tab/>
        <w:t>(5)</w:t>
      </w:r>
      <w:r w:rsidRPr="00F00002">
        <w:tab/>
        <w:t>The Commissioner must not give a valuation certificate to the applicant until:</w:t>
      </w:r>
    </w:p>
    <w:p w:rsidR="00BB4501" w:rsidRPr="00F00002" w:rsidRDefault="00BB4501" w:rsidP="00D150ED">
      <w:pPr>
        <w:pStyle w:val="paragraph"/>
      </w:pPr>
      <w:r w:rsidRPr="00F00002">
        <w:tab/>
        <w:t>(a)</w:t>
      </w:r>
      <w:r w:rsidRPr="00F00002">
        <w:tab/>
        <w:t>the valuation has been completed; and</w:t>
      </w:r>
    </w:p>
    <w:p w:rsidR="00BB4501" w:rsidRPr="00F00002" w:rsidRDefault="00BB4501" w:rsidP="00D150ED">
      <w:pPr>
        <w:pStyle w:val="paragraph"/>
      </w:pPr>
      <w:r w:rsidRPr="00F00002">
        <w:tab/>
        <w:t>(b)</w:t>
      </w:r>
      <w:r w:rsidRPr="00F00002">
        <w:tab/>
        <w:t>the Commissioner has received the full amount of the fees payable for the valuation.</w:t>
      </w:r>
    </w:p>
    <w:p w:rsidR="00BB4501" w:rsidRPr="00F00002" w:rsidRDefault="00D150ED" w:rsidP="00EE4631">
      <w:pPr>
        <w:pStyle w:val="ActHead3"/>
        <w:pageBreakBefore/>
      </w:pPr>
      <w:bookmarkStart w:id="17" w:name="_Toc31109601"/>
      <w:r w:rsidRPr="00A26088">
        <w:rPr>
          <w:rStyle w:val="CharDivNo"/>
        </w:rPr>
        <w:lastRenderedPageBreak/>
        <w:t>Division</w:t>
      </w:r>
      <w:r w:rsidR="00F00002" w:rsidRPr="00A26088">
        <w:rPr>
          <w:rStyle w:val="CharDivNo"/>
        </w:rPr>
        <w:t> </w:t>
      </w:r>
      <w:r w:rsidR="00BB4501" w:rsidRPr="00A26088">
        <w:rPr>
          <w:rStyle w:val="CharDivNo"/>
        </w:rPr>
        <w:t>31</w:t>
      </w:r>
      <w:r w:rsidRPr="00F00002">
        <w:t>—</w:t>
      </w:r>
      <w:r w:rsidR="00BB4501" w:rsidRPr="00A26088">
        <w:rPr>
          <w:rStyle w:val="CharDivText"/>
        </w:rPr>
        <w:t>Conservation covenants</w:t>
      </w:r>
      <w:bookmarkEnd w:id="17"/>
    </w:p>
    <w:p w:rsidR="00BB4501" w:rsidRPr="00F00002" w:rsidRDefault="00BB4501" w:rsidP="00D150ED">
      <w:pPr>
        <w:pStyle w:val="ActHead5"/>
      </w:pPr>
      <w:bookmarkStart w:id="18" w:name="_Toc31109602"/>
      <w:r w:rsidRPr="00A26088">
        <w:rPr>
          <w:rStyle w:val="CharSectno"/>
        </w:rPr>
        <w:t>31</w:t>
      </w:r>
      <w:r w:rsidR="00F00002" w:rsidRPr="00A26088">
        <w:rPr>
          <w:rStyle w:val="CharSectno"/>
        </w:rPr>
        <w:noBreakHyphen/>
      </w:r>
      <w:r w:rsidRPr="00A26088">
        <w:rPr>
          <w:rStyle w:val="CharSectno"/>
        </w:rPr>
        <w:t>15.01</w:t>
      </w:r>
      <w:r w:rsidR="00D150ED" w:rsidRPr="00F00002">
        <w:t xml:space="preserve">  </w:t>
      </w:r>
      <w:r w:rsidRPr="00F00002">
        <w:t>Valuation of land</w:t>
      </w:r>
      <w:bookmarkEnd w:id="18"/>
    </w:p>
    <w:p w:rsidR="00BB4501" w:rsidRPr="00F00002" w:rsidRDefault="00BB4501" w:rsidP="00D150ED">
      <w:pPr>
        <w:pStyle w:val="subsection"/>
      </w:pPr>
      <w:r w:rsidRPr="00F00002">
        <w:tab/>
      </w:r>
      <w:r w:rsidRPr="00F00002">
        <w:tab/>
        <w:t>For section</w:t>
      </w:r>
      <w:r w:rsidR="00F00002">
        <w:t> </w:t>
      </w:r>
      <w:r w:rsidRPr="00F00002">
        <w:t>31</w:t>
      </w:r>
      <w:r w:rsidR="00F00002">
        <w:noBreakHyphen/>
      </w:r>
      <w:r w:rsidRPr="00F00002">
        <w:t xml:space="preserve">15 of the Act, this </w:t>
      </w:r>
      <w:r w:rsidR="00D150ED" w:rsidRPr="00F00002">
        <w:t>Division</w:t>
      </w:r>
      <w:r w:rsidR="00672E95" w:rsidRPr="00F00002">
        <w:t xml:space="preserve"> </w:t>
      </w:r>
      <w:r w:rsidRPr="00F00002">
        <w:t>sets out:</w:t>
      </w:r>
    </w:p>
    <w:p w:rsidR="00BB4501" w:rsidRPr="00F00002" w:rsidRDefault="00BB4501" w:rsidP="00D150ED">
      <w:pPr>
        <w:pStyle w:val="paragraph"/>
      </w:pPr>
      <w:r w:rsidRPr="00F00002">
        <w:tab/>
        <w:t>(a)</w:t>
      </w:r>
      <w:r w:rsidRPr="00F00002">
        <w:tab/>
        <w:t>the procedure for seeking a valuation of the change in the market value of the land mentioned in that section; and</w:t>
      </w:r>
    </w:p>
    <w:p w:rsidR="00BB4501" w:rsidRPr="00F00002" w:rsidRDefault="00BB4501" w:rsidP="00D150ED">
      <w:pPr>
        <w:pStyle w:val="paragraph"/>
      </w:pPr>
      <w:r w:rsidRPr="00F00002">
        <w:tab/>
        <w:t>(b)</w:t>
      </w:r>
      <w:r w:rsidRPr="00F00002">
        <w:tab/>
        <w:t>the fees that may be payable for the valuation; and</w:t>
      </w:r>
    </w:p>
    <w:p w:rsidR="00BB4501" w:rsidRPr="00F00002" w:rsidRDefault="00BB4501" w:rsidP="00D150ED">
      <w:pPr>
        <w:pStyle w:val="paragraph"/>
      </w:pPr>
      <w:r w:rsidRPr="00F00002">
        <w:tab/>
        <w:t>(c)</w:t>
      </w:r>
      <w:r w:rsidRPr="00F00002">
        <w:tab/>
        <w:t>arrangements for the payment of fees.</w:t>
      </w:r>
    </w:p>
    <w:p w:rsidR="00BB4501" w:rsidRPr="00F00002" w:rsidRDefault="00D150ED" w:rsidP="00D150ED">
      <w:pPr>
        <w:pStyle w:val="notetext"/>
      </w:pPr>
      <w:r w:rsidRPr="00F00002">
        <w:t>Note:</w:t>
      </w:r>
      <w:r w:rsidRPr="00F00002">
        <w:tab/>
      </w:r>
      <w:r w:rsidR="00BB4501" w:rsidRPr="00F00002">
        <w:t>Section</w:t>
      </w:r>
      <w:r w:rsidR="00F00002">
        <w:t> </w:t>
      </w:r>
      <w:r w:rsidR="00BB4501" w:rsidRPr="00F00002">
        <w:t>31</w:t>
      </w:r>
      <w:r w:rsidR="00F00002">
        <w:noBreakHyphen/>
      </w:r>
      <w:r w:rsidR="00BB4501" w:rsidRPr="00F00002">
        <w:t>15 of the Act applies to a person who enters into a conservation covenant over land owned by the person, if the conditions mentioned in subsection</w:t>
      </w:r>
      <w:r w:rsidR="00F00002">
        <w:t> </w:t>
      </w:r>
      <w:r w:rsidR="00BB4501" w:rsidRPr="00F00002">
        <w:t>31</w:t>
      </w:r>
      <w:r w:rsidR="00F00002">
        <w:noBreakHyphen/>
      </w:r>
      <w:r w:rsidR="00BB4501" w:rsidRPr="00F00002">
        <w:t>5(2) of the Act are met.  Subsection</w:t>
      </w:r>
      <w:r w:rsidR="00F00002">
        <w:t> </w:t>
      </w:r>
      <w:r w:rsidR="00BB4501" w:rsidRPr="00F00002">
        <w:t>31</w:t>
      </w:r>
      <w:r w:rsidR="00F00002">
        <w:noBreakHyphen/>
      </w:r>
      <w:r w:rsidR="00BB4501" w:rsidRPr="00F00002">
        <w:t>15(1) provides that the person must seek a valuation of the change in the market value of the land from the Commissioner.  Subsection</w:t>
      </w:r>
      <w:r w:rsidR="00F00002">
        <w:t> </w:t>
      </w:r>
      <w:r w:rsidR="00BB4501" w:rsidRPr="00F00002">
        <w:t>31</w:t>
      </w:r>
      <w:r w:rsidR="00F00002">
        <w:noBreakHyphen/>
      </w:r>
      <w:r w:rsidR="00BB4501" w:rsidRPr="00F00002">
        <w:t>15(2) provides that the Commissioner may charge the person the amount worked out in accordance with the regulations for making the valuation.</w:t>
      </w:r>
    </w:p>
    <w:p w:rsidR="00BB4501" w:rsidRPr="00F00002" w:rsidRDefault="00BB4501" w:rsidP="00D150ED">
      <w:pPr>
        <w:pStyle w:val="ActHead5"/>
      </w:pPr>
      <w:bookmarkStart w:id="19" w:name="_Toc31109603"/>
      <w:r w:rsidRPr="00A26088">
        <w:rPr>
          <w:rStyle w:val="CharSectno"/>
        </w:rPr>
        <w:t>31</w:t>
      </w:r>
      <w:r w:rsidR="00F00002" w:rsidRPr="00A26088">
        <w:rPr>
          <w:rStyle w:val="CharSectno"/>
        </w:rPr>
        <w:noBreakHyphen/>
      </w:r>
      <w:r w:rsidRPr="00A26088">
        <w:rPr>
          <w:rStyle w:val="CharSectno"/>
        </w:rPr>
        <w:t>15.02</w:t>
      </w:r>
      <w:r w:rsidR="00D150ED" w:rsidRPr="00F00002">
        <w:t xml:space="preserve">  </w:t>
      </w:r>
      <w:r w:rsidRPr="00F00002">
        <w:t>Application for valuation</w:t>
      </w:r>
      <w:bookmarkEnd w:id="19"/>
    </w:p>
    <w:p w:rsidR="00BB4501" w:rsidRPr="00F00002" w:rsidRDefault="00BB4501" w:rsidP="00D150ED">
      <w:pPr>
        <w:pStyle w:val="subsection"/>
      </w:pPr>
      <w:r w:rsidRPr="00F00002">
        <w:tab/>
      </w:r>
      <w:r w:rsidRPr="00F00002">
        <w:tab/>
        <w:t>An application for a valuation under subsection</w:t>
      </w:r>
      <w:r w:rsidR="00F00002">
        <w:t> </w:t>
      </w:r>
      <w:r w:rsidRPr="00F00002">
        <w:t>31</w:t>
      </w:r>
      <w:r w:rsidR="00F00002">
        <w:noBreakHyphen/>
      </w:r>
      <w:r w:rsidRPr="00F00002">
        <w:t>15(1) of the Act must:</w:t>
      </w:r>
    </w:p>
    <w:p w:rsidR="00BB4501" w:rsidRPr="00F00002" w:rsidRDefault="00BB4501" w:rsidP="00D150ED">
      <w:pPr>
        <w:pStyle w:val="paragraph"/>
      </w:pPr>
      <w:r w:rsidRPr="00F00002">
        <w:tab/>
        <w:t>(a)</w:t>
      </w:r>
      <w:r w:rsidRPr="00F00002">
        <w:tab/>
        <w:t>be in the approved form; and</w:t>
      </w:r>
    </w:p>
    <w:p w:rsidR="00BB4501" w:rsidRPr="00F00002" w:rsidRDefault="00BB4501" w:rsidP="00D150ED">
      <w:pPr>
        <w:pStyle w:val="paragraph"/>
      </w:pPr>
      <w:r w:rsidRPr="00F00002">
        <w:tab/>
        <w:t>(b)</w:t>
      </w:r>
      <w:r w:rsidRPr="00F00002">
        <w:tab/>
        <w:t xml:space="preserve">be lodged with the </w:t>
      </w:r>
      <w:r w:rsidR="00736CB3" w:rsidRPr="00F00002">
        <w:t>Commissioner</w:t>
      </w:r>
      <w:r w:rsidRPr="00F00002">
        <w:t>; and</w:t>
      </w:r>
    </w:p>
    <w:p w:rsidR="00BB4501" w:rsidRPr="00F00002" w:rsidRDefault="00BB4501" w:rsidP="00D150ED">
      <w:pPr>
        <w:pStyle w:val="paragraph"/>
      </w:pPr>
      <w:r w:rsidRPr="00F00002">
        <w:tab/>
        <w:t>(c)</w:t>
      </w:r>
      <w:r w:rsidRPr="00F00002">
        <w:tab/>
        <w:t>include a copy of the conservation covenant; and</w:t>
      </w:r>
    </w:p>
    <w:p w:rsidR="00736CB3" w:rsidRPr="00F00002" w:rsidRDefault="00736CB3" w:rsidP="00736CB3">
      <w:pPr>
        <w:pStyle w:val="paragraph"/>
      </w:pPr>
      <w:r w:rsidRPr="00F00002">
        <w:tab/>
        <w:t>(d)</w:t>
      </w:r>
      <w:r w:rsidRPr="00F00002">
        <w:tab/>
        <w:t>include the application fee required by the approved form, which must not be more $1</w:t>
      </w:r>
      <w:r w:rsidR="00F00002">
        <w:t> </w:t>
      </w:r>
      <w:r w:rsidRPr="00F00002">
        <w:t>000.</w:t>
      </w:r>
    </w:p>
    <w:p w:rsidR="00BB4501" w:rsidRPr="00F00002" w:rsidRDefault="00D150ED" w:rsidP="00D150ED">
      <w:pPr>
        <w:pStyle w:val="notetext"/>
      </w:pPr>
      <w:r w:rsidRPr="00F00002">
        <w:t>Note:</w:t>
      </w:r>
      <w:r w:rsidRPr="00F00002">
        <w:tab/>
      </w:r>
      <w:r w:rsidR="00BB4501" w:rsidRPr="00F00002">
        <w:t>Section</w:t>
      </w:r>
      <w:r w:rsidR="00F00002">
        <w:t> </w:t>
      </w:r>
      <w:r w:rsidR="00BB4501" w:rsidRPr="00F00002">
        <w:t>995</w:t>
      </w:r>
      <w:r w:rsidR="00F00002">
        <w:noBreakHyphen/>
      </w:r>
      <w:r w:rsidR="00BB4501" w:rsidRPr="00F00002">
        <w:t xml:space="preserve">1 of the Act provides that </w:t>
      </w:r>
      <w:r w:rsidR="00BB4501" w:rsidRPr="00F00002">
        <w:rPr>
          <w:b/>
          <w:i/>
        </w:rPr>
        <w:t>approved form</w:t>
      </w:r>
      <w:r w:rsidR="00BB4501" w:rsidRPr="00F00002">
        <w:t xml:space="preserve"> has the meaning given by section</w:t>
      </w:r>
      <w:r w:rsidR="00F00002">
        <w:t> </w:t>
      </w:r>
      <w:r w:rsidR="00BB4501" w:rsidRPr="00F00002">
        <w:t>388</w:t>
      </w:r>
      <w:r w:rsidR="00F00002">
        <w:noBreakHyphen/>
      </w:r>
      <w:r w:rsidR="00BB4501" w:rsidRPr="00F00002">
        <w:t xml:space="preserve">50 in </w:t>
      </w:r>
      <w:r w:rsidRPr="00F00002">
        <w:t>Schedule</w:t>
      </w:r>
      <w:r w:rsidR="00F00002">
        <w:t> </w:t>
      </w:r>
      <w:r w:rsidR="00BB4501" w:rsidRPr="00F00002">
        <w:t xml:space="preserve">1 to the </w:t>
      </w:r>
      <w:r w:rsidR="00BB4501" w:rsidRPr="00F00002">
        <w:rPr>
          <w:i/>
        </w:rPr>
        <w:t>Taxation Administration Act 1953</w:t>
      </w:r>
      <w:r w:rsidR="00BB4501" w:rsidRPr="00F00002">
        <w:t>. That section provides that an application under a taxation law is in the approved form if, and only if:</w:t>
      </w:r>
    </w:p>
    <w:p w:rsidR="00BB4501" w:rsidRPr="00F00002" w:rsidRDefault="00BB4501" w:rsidP="00D150ED">
      <w:pPr>
        <w:pStyle w:val="notepara"/>
      </w:pPr>
      <w:r w:rsidRPr="00F00002">
        <w:t>(a)</w:t>
      </w:r>
      <w:r w:rsidRPr="00F00002">
        <w:tab/>
        <w:t>it is in the form approved in writing by the Commissioner for that kind of application; and</w:t>
      </w:r>
    </w:p>
    <w:p w:rsidR="00BB4501" w:rsidRPr="00F00002" w:rsidRDefault="00BB4501" w:rsidP="00D150ED">
      <w:pPr>
        <w:pStyle w:val="notepara"/>
      </w:pPr>
      <w:r w:rsidRPr="00F00002">
        <w:t>(b)</w:t>
      </w:r>
      <w:r w:rsidRPr="00F00002">
        <w:tab/>
        <w:t>it contains a declaration signed by a person or persons as the form requires; and</w:t>
      </w:r>
    </w:p>
    <w:p w:rsidR="00BB4501" w:rsidRPr="00F00002" w:rsidRDefault="00BB4501" w:rsidP="00D150ED">
      <w:pPr>
        <w:pStyle w:val="notepara"/>
      </w:pPr>
      <w:r w:rsidRPr="00F00002">
        <w:t>(c)</w:t>
      </w:r>
      <w:r w:rsidRPr="00F00002">
        <w:tab/>
        <w:t>it contains the information that the form requires, and any further information, statement or document as the Commissioner requires, whether in the form or otherwise.</w:t>
      </w:r>
    </w:p>
    <w:p w:rsidR="00BB4501" w:rsidRPr="00F00002" w:rsidRDefault="00BB4501" w:rsidP="00D150ED">
      <w:pPr>
        <w:pStyle w:val="ActHead5"/>
      </w:pPr>
      <w:bookmarkStart w:id="20" w:name="_Toc31109604"/>
      <w:r w:rsidRPr="00A26088">
        <w:rPr>
          <w:rStyle w:val="CharSectno"/>
        </w:rPr>
        <w:t>31</w:t>
      </w:r>
      <w:r w:rsidR="00F00002" w:rsidRPr="00A26088">
        <w:rPr>
          <w:rStyle w:val="CharSectno"/>
        </w:rPr>
        <w:noBreakHyphen/>
      </w:r>
      <w:r w:rsidRPr="00A26088">
        <w:rPr>
          <w:rStyle w:val="CharSectno"/>
        </w:rPr>
        <w:t>15.03</w:t>
      </w:r>
      <w:r w:rsidR="00D150ED" w:rsidRPr="00F00002">
        <w:t xml:space="preserve">  </w:t>
      </w:r>
      <w:r w:rsidRPr="00F00002">
        <w:t>Estimates of fees</w:t>
      </w:r>
      <w:r w:rsidR="00D150ED" w:rsidRPr="00F00002">
        <w:t>—</w:t>
      </w:r>
      <w:r w:rsidRPr="00F00002">
        <w:t>request by applicant</w:t>
      </w:r>
      <w:bookmarkEnd w:id="20"/>
    </w:p>
    <w:p w:rsidR="00BB4501" w:rsidRPr="00F00002" w:rsidRDefault="00BB4501" w:rsidP="00D150ED">
      <w:pPr>
        <w:pStyle w:val="subsection"/>
      </w:pPr>
      <w:r w:rsidRPr="00F00002">
        <w:tab/>
        <w:t>(1)</w:t>
      </w:r>
      <w:r w:rsidRPr="00F00002">
        <w:tab/>
        <w:t>An applicant may ask the Commissioner for an estimate of the likely fee for the valuation.</w:t>
      </w:r>
    </w:p>
    <w:p w:rsidR="00BB4501" w:rsidRPr="00F00002" w:rsidRDefault="00BB4501" w:rsidP="00D150ED">
      <w:pPr>
        <w:pStyle w:val="subsection"/>
      </w:pPr>
      <w:r w:rsidRPr="00F00002">
        <w:tab/>
        <w:t>(2)</w:t>
      </w:r>
      <w:r w:rsidRPr="00F00002">
        <w:tab/>
        <w:t>If the Commissioner is asked for an estimate:</w:t>
      </w:r>
    </w:p>
    <w:p w:rsidR="00BB4501" w:rsidRPr="00F00002" w:rsidRDefault="00BB4501" w:rsidP="00D150ED">
      <w:pPr>
        <w:pStyle w:val="paragraph"/>
      </w:pPr>
      <w:r w:rsidRPr="00F00002">
        <w:tab/>
        <w:t>(a)</w:t>
      </w:r>
      <w:r w:rsidRPr="00F00002">
        <w:tab/>
        <w:t>the Commissioner must give the estimate as soon as practicable; and</w:t>
      </w:r>
    </w:p>
    <w:p w:rsidR="00BB4501" w:rsidRPr="00F00002" w:rsidRDefault="00BB4501" w:rsidP="00D150ED">
      <w:pPr>
        <w:pStyle w:val="paragraph"/>
      </w:pPr>
      <w:r w:rsidRPr="00F00002">
        <w:tab/>
        <w:t>(b)</w:t>
      </w:r>
      <w:r w:rsidRPr="00F00002">
        <w:tab/>
        <w:t>the Commissioner is not bound by the estimate.</w:t>
      </w:r>
    </w:p>
    <w:p w:rsidR="00BB4501" w:rsidRPr="00F00002" w:rsidRDefault="00BB4501" w:rsidP="00D150ED">
      <w:pPr>
        <w:pStyle w:val="ActHead5"/>
      </w:pPr>
      <w:bookmarkStart w:id="21" w:name="_Toc31109605"/>
      <w:r w:rsidRPr="00A26088">
        <w:rPr>
          <w:rStyle w:val="CharSectno"/>
        </w:rPr>
        <w:lastRenderedPageBreak/>
        <w:t>31</w:t>
      </w:r>
      <w:r w:rsidR="00F00002" w:rsidRPr="00A26088">
        <w:rPr>
          <w:rStyle w:val="CharSectno"/>
        </w:rPr>
        <w:noBreakHyphen/>
      </w:r>
      <w:r w:rsidRPr="00A26088">
        <w:rPr>
          <w:rStyle w:val="CharSectno"/>
        </w:rPr>
        <w:t>15.04</w:t>
      </w:r>
      <w:r w:rsidR="00D150ED" w:rsidRPr="00F00002">
        <w:t xml:space="preserve">  </w:t>
      </w:r>
      <w:r w:rsidRPr="00F00002">
        <w:t>Advance payment of fees</w:t>
      </w:r>
      <w:bookmarkEnd w:id="21"/>
    </w:p>
    <w:p w:rsidR="00BB4501" w:rsidRPr="00F00002" w:rsidRDefault="00BB4501" w:rsidP="00D150ED">
      <w:pPr>
        <w:pStyle w:val="subsection"/>
      </w:pPr>
      <w:r w:rsidRPr="00F00002">
        <w:tab/>
        <w:t>(1)</w:t>
      </w:r>
      <w:r w:rsidRPr="00F00002">
        <w:tab/>
        <w:t>The Commissioner may, within 14 days after receiving an application, give to the applicant a written statement:</w:t>
      </w:r>
    </w:p>
    <w:p w:rsidR="00BB4501" w:rsidRPr="00F00002" w:rsidRDefault="00BB4501" w:rsidP="00D150ED">
      <w:pPr>
        <w:pStyle w:val="paragraph"/>
      </w:pPr>
      <w:r w:rsidRPr="00F00002">
        <w:tab/>
        <w:t>(a)</w:t>
      </w:r>
      <w:r w:rsidRPr="00F00002">
        <w:tab/>
        <w:t>requiring the applicant to give to the Commissioner an advance payment of the fee that may be payable for the valuation; and</w:t>
      </w:r>
    </w:p>
    <w:p w:rsidR="00BB4501" w:rsidRPr="00F00002" w:rsidRDefault="00BB4501" w:rsidP="00D150ED">
      <w:pPr>
        <w:pStyle w:val="paragraph"/>
      </w:pPr>
      <w:r w:rsidRPr="00F00002">
        <w:tab/>
        <w:t>(b)</w:t>
      </w:r>
      <w:r w:rsidRPr="00F00002">
        <w:tab/>
        <w:t>stating the amount of the payment; and</w:t>
      </w:r>
    </w:p>
    <w:p w:rsidR="00BB4501" w:rsidRPr="00F00002" w:rsidRDefault="00BB4501" w:rsidP="00D150ED">
      <w:pPr>
        <w:pStyle w:val="paragraph"/>
      </w:pPr>
      <w:r w:rsidRPr="00F00002">
        <w:tab/>
        <w:t>(c)</w:t>
      </w:r>
      <w:r w:rsidRPr="00F00002">
        <w:tab/>
        <w:t>explaining how the amount was worked out.</w:t>
      </w:r>
    </w:p>
    <w:p w:rsidR="00BB4501" w:rsidRPr="00F00002" w:rsidRDefault="00BB4501" w:rsidP="00D150ED">
      <w:pPr>
        <w:pStyle w:val="subsection"/>
      </w:pPr>
      <w:r w:rsidRPr="00F00002">
        <w:tab/>
        <w:t>(2)</w:t>
      </w:r>
      <w:r w:rsidRPr="00F00002">
        <w:tab/>
        <w:t>The Commissioner may ask for more than 1 advance payment during the period mentioned in subregulation</w:t>
      </w:r>
      <w:r w:rsidR="00135C25" w:rsidRPr="00F00002">
        <w:t> </w:t>
      </w:r>
      <w:r w:rsidRPr="00F00002">
        <w:t>(1) from the same applicant.</w:t>
      </w:r>
    </w:p>
    <w:p w:rsidR="00BB4501" w:rsidRPr="00F00002" w:rsidRDefault="00BB4501" w:rsidP="00D150ED">
      <w:pPr>
        <w:pStyle w:val="subsection"/>
      </w:pPr>
      <w:r w:rsidRPr="00F00002">
        <w:tab/>
        <w:t>(3)</w:t>
      </w:r>
      <w:r w:rsidRPr="00F00002">
        <w:tab/>
        <w:t>The applicant must give to the Commissioner the advance payment within 14 days after receiving the statement asking for the payment.</w:t>
      </w:r>
    </w:p>
    <w:p w:rsidR="00BB4501" w:rsidRPr="00F00002" w:rsidRDefault="00BB4501" w:rsidP="00D150ED">
      <w:pPr>
        <w:pStyle w:val="ActHead5"/>
      </w:pPr>
      <w:bookmarkStart w:id="22" w:name="_Toc31109606"/>
      <w:r w:rsidRPr="00A26088">
        <w:rPr>
          <w:rStyle w:val="CharSectno"/>
        </w:rPr>
        <w:t>31</w:t>
      </w:r>
      <w:r w:rsidR="00F00002" w:rsidRPr="00A26088">
        <w:rPr>
          <w:rStyle w:val="CharSectno"/>
        </w:rPr>
        <w:noBreakHyphen/>
      </w:r>
      <w:r w:rsidRPr="00A26088">
        <w:rPr>
          <w:rStyle w:val="CharSectno"/>
        </w:rPr>
        <w:t>15.05</w:t>
      </w:r>
      <w:r w:rsidR="00D150ED" w:rsidRPr="00F00002">
        <w:t xml:space="preserve">  </w:t>
      </w:r>
      <w:r w:rsidRPr="00F00002">
        <w:t>Commissioner not required to consider certain applications</w:t>
      </w:r>
      <w:bookmarkEnd w:id="22"/>
    </w:p>
    <w:p w:rsidR="00BB4501" w:rsidRPr="00F00002" w:rsidRDefault="00BB4501" w:rsidP="00D150ED">
      <w:pPr>
        <w:pStyle w:val="subsection"/>
      </w:pPr>
      <w:r w:rsidRPr="00F00002">
        <w:tab/>
        <w:t>(1)</w:t>
      </w:r>
      <w:r w:rsidRPr="00F00002">
        <w:tab/>
        <w:t>If the Commissioner is preparing an estimate of a fee under regulation</w:t>
      </w:r>
      <w:r w:rsidR="00F00002">
        <w:t> </w:t>
      </w:r>
      <w:r w:rsidRPr="00F00002">
        <w:t>31</w:t>
      </w:r>
      <w:r w:rsidR="00F00002">
        <w:noBreakHyphen/>
      </w:r>
      <w:r w:rsidRPr="00F00002">
        <w:t>15.03, the Commissioner is not required to consider the application to which the estimate relates until the Commissioner has given the estimate to the applicant.</w:t>
      </w:r>
    </w:p>
    <w:p w:rsidR="00BB4501" w:rsidRPr="00F00002" w:rsidRDefault="00BB4501" w:rsidP="00D150ED">
      <w:pPr>
        <w:pStyle w:val="subsection"/>
      </w:pPr>
      <w:r w:rsidRPr="00F00002">
        <w:tab/>
        <w:t>(2)</w:t>
      </w:r>
      <w:r w:rsidRPr="00F00002">
        <w:tab/>
        <w:t>If the Commissioner has required the advance payment of a fee under regulation</w:t>
      </w:r>
      <w:r w:rsidR="00F00002">
        <w:t> </w:t>
      </w:r>
      <w:r w:rsidRPr="00F00002">
        <w:t>31</w:t>
      </w:r>
      <w:r w:rsidR="00F00002">
        <w:noBreakHyphen/>
      </w:r>
      <w:r w:rsidRPr="00F00002">
        <w:t>15.04, the Commissioner is not required to consider the application to which the payment relates until the fee is paid.</w:t>
      </w:r>
    </w:p>
    <w:p w:rsidR="00BB4501" w:rsidRPr="00F00002" w:rsidRDefault="00BB4501" w:rsidP="00D150ED">
      <w:pPr>
        <w:pStyle w:val="ActHead5"/>
      </w:pPr>
      <w:bookmarkStart w:id="23" w:name="_Toc31109607"/>
      <w:r w:rsidRPr="00A26088">
        <w:rPr>
          <w:rStyle w:val="CharSectno"/>
        </w:rPr>
        <w:t>31</w:t>
      </w:r>
      <w:r w:rsidR="00F00002" w:rsidRPr="00A26088">
        <w:rPr>
          <w:rStyle w:val="CharSectno"/>
        </w:rPr>
        <w:noBreakHyphen/>
      </w:r>
      <w:r w:rsidRPr="00A26088">
        <w:rPr>
          <w:rStyle w:val="CharSectno"/>
        </w:rPr>
        <w:t>15.06</w:t>
      </w:r>
      <w:r w:rsidR="00D150ED" w:rsidRPr="00F00002">
        <w:t xml:space="preserve">  </w:t>
      </w:r>
      <w:r w:rsidRPr="00F00002">
        <w:t>Applications treated as having no effect</w:t>
      </w:r>
      <w:bookmarkEnd w:id="23"/>
    </w:p>
    <w:p w:rsidR="00BB4501" w:rsidRPr="00F00002" w:rsidRDefault="00BB4501" w:rsidP="00D150ED">
      <w:pPr>
        <w:pStyle w:val="subsection"/>
      </w:pPr>
      <w:r w:rsidRPr="00F00002">
        <w:tab/>
        <w:t>(1)</w:t>
      </w:r>
      <w:r w:rsidRPr="00F00002">
        <w:tab/>
        <w:t>If an application for a valuation does not comply with regulation</w:t>
      </w:r>
      <w:r w:rsidR="00F00002">
        <w:t> </w:t>
      </w:r>
      <w:r w:rsidRPr="00F00002">
        <w:t>31</w:t>
      </w:r>
      <w:r w:rsidR="00F00002">
        <w:noBreakHyphen/>
      </w:r>
      <w:r w:rsidRPr="00F00002">
        <w:t>15.02, the Commissioner must:</w:t>
      </w:r>
    </w:p>
    <w:p w:rsidR="00BB4501" w:rsidRPr="00F00002" w:rsidRDefault="00BB4501" w:rsidP="00D150ED">
      <w:pPr>
        <w:pStyle w:val="paragraph"/>
      </w:pPr>
      <w:r w:rsidRPr="00F00002">
        <w:tab/>
        <w:t>(a)</w:t>
      </w:r>
      <w:r w:rsidRPr="00F00002">
        <w:tab/>
        <w:t>treat the application as having no effect; and</w:t>
      </w:r>
    </w:p>
    <w:p w:rsidR="00BB4501" w:rsidRPr="00F00002" w:rsidRDefault="00BB4501" w:rsidP="00D150ED">
      <w:pPr>
        <w:pStyle w:val="paragraph"/>
      </w:pPr>
      <w:r w:rsidRPr="00F00002">
        <w:tab/>
        <w:t>(b)</w:t>
      </w:r>
      <w:r w:rsidRPr="00F00002">
        <w:tab/>
        <w:t>give to the applicant a written statement that the application is being treated that way.</w:t>
      </w:r>
    </w:p>
    <w:p w:rsidR="00BB4501" w:rsidRPr="00F00002" w:rsidRDefault="00BB4501" w:rsidP="00D150ED">
      <w:pPr>
        <w:pStyle w:val="subsection"/>
      </w:pPr>
      <w:r w:rsidRPr="00F00002">
        <w:tab/>
        <w:t>(2)</w:t>
      </w:r>
      <w:r w:rsidRPr="00F00002">
        <w:tab/>
        <w:t>If an application for a valuation does not include all of the application fee, the Commissioner must:</w:t>
      </w:r>
    </w:p>
    <w:p w:rsidR="00BB4501" w:rsidRPr="00F00002" w:rsidRDefault="00BB4501" w:rsidP="00D150ED">
      <w:pPr>
        <w:pStyle w:val="paragraph"/>
      </w:pPr>
      <w:r w:rsidRPr="00F00002">
        <w:tab/>
        <w:t>(a)</w:t>
      </w:r>
      <w:r w:rsidRPr="00F00002">
        <w:tab/>
        <w:t>treat the application as having no effect; and</w:t>
      </w:r>
    </w:p>
    <w:p w:rsidR="00BB4501" w:rsidRPr="00F00002" w:rsidRDefault="00BB4501" w:rsidP="00D150ED">
      <w:pPr>
        <w:pStyle w:val="paragraph"/>
      </w:pPr>
      <w:r w:rsidRPr="00F00002">
        <w:tab/>
        <w:t>(b)</w:t>
      </w:r>
      <w:r w:rsidRPr="00F00002">
        <w:tab/>
        <w:t>give to the applicant a written statement that the application is being treated that way.</w:t>
      </w:r>
    </w:p>
    <w:p w:rsidR="00BB4501" w:rsidRPr="00F00002" w:rsidRDefault="00BB4501" w:rsidP="00D150ED">
      <w:pPr>
        <w:pStyle w:val="subsection"/>
      </w:pPr>
      <w:r w:rsidRPr="00F00002">
        <w:tab/>
        <w:t>(3)</w:t>
      </w:r>
      <w:r w:rsidRPr="00F00002">
        <w:tab/>
        <w:t>If the Commissioner has required the advance payment of a fee under regulation</w:t>
      </w:r>
      <w:r w:rsidR="00F00002">
        <w:t> </w:t>
      </w:r>
      <w:r w:rsidRPr="00F00002">
        <w:t>31</w:t>
      </w:r>
      <w:r w:rsidR="00F00002">
        <w:noBreakHyphen/>
      </w:r>
      <w:r w:rsidRPr="00F00002">
        <w:t>15.04, and the fee is not paid within the time mentioned in subregulation</w:t>
      </w:r>
      <w:r w:rsidR="00F00002">
        <w:t> </w:t>
      </w:r>
      <w:r w:rsidRPr="00F00002">
        <w:t>31</w:t>
      </w:r>
      <w:r w:rsidR="00F00002">
        <w:noBreakHyphen/>
      </w:r>
      <w:r w:rsidRPr="00F00002">
        <w:t>15.04(3), the Commissioner must:</w:t>
      </w:r>
    </w:p>
    <w:p w:rsidR="00BB4501" w:rsidRPr="00F00002" w:rsidRDefault="00BB4501" w:rsidP="00D150ED">
      <w:pPr>
        <w:pStyle w:val="paragraph"/>
      </w:pPr>
      <w:r w:rsidRPr="00F00002">
        <w:tab/>
        <w:t>(a)</w:t>
      </w:r>
      <w:r w:rsidRPr="00F00002">
        <w:tab/>
        <w:t>treat the application to which the payment relates as having no effect after that time; and</w:t>
      </w:r>
    </w:p>
    <w:p w:rsidR="00BB4501" w:rsidRPr="00F00002" w:rsidRDefault="00BB4501" w:rsidP="00D150ED">
      <w:pPr>
        <w:pStyle w:val="paragraph"/>
      </w:pPr>
      <w:r w:rsidRPr="00F00002">
        <w:tab/>
        <w:t>(b)</w:t>
      </w:r>
      <w:r w:rsidRPr="00F00002">
        <w:tab/>
        <w:t>give to the applicant a written statement that the application is being treated that way.</w:t>
      </w:r>
    </w:p>
    <w:p w:rsidR="00BB4501" w:rsidRPr="00F00002" w:rsidRDefault="00D150ED" w:rsidP="00D150ED">
      <w:pPr>
        <w:pStyle w:val="notetext"/>
      </w:pPr>
      <w:r w:rsidRPr="00F00002">
        <w:lastRenderedPageBreak/>
        <w:t>Note:</w:t>
      </w:r>
      <w:r w:rsidRPr="00F00002">
        <w:tab/>
      </w:r>
      <w:r w:rsidR="00BB4501" w:rsidRPr="00F00002">
        <w:t>Subregulation</w:t>
      </w:r>
      <w:r w:rsidR="00F00002">
        <w:t> </w:t>
      </w:r>
      <w:r w:rsidR="00BB4501" w:rsidRPr="00F00002">
        <w:t>31</w:t>
      </w:r>
      <w:r w:rsidR="00F00002">
        <w:noBreakHyphen/>
      </w:r>
      <w:r w:rsidR="00BB4501" w:rsidRPr="00F00002">
        <w:t>15.07(2) is relevant to an application that is treated as having no effect under subregulation</w:t>
      </w:r>
      <w:r w:rsidR="00135C25" w:rsidRPr="00F00002">
        <w:t> </w:t>
      </w:r>
      <w:r w:rsidR="00BB4501" w:rsidRPr="00F00002">
        <w:t>(3).</w:t>
      </w:r>
    </w:p>
    <w:p w:rsidR="00736CB3" w:rsidRPr="00F00002" w:rsidRDefault="00736CB3" w:rsidP="00736CB3">
      <w:pPr>
        <w:pStyle w:val="ActHead5"/>
      </w:pPr>
      <w:bookmarkStart w:id="24" w:name="_Toc31109608"/>
      <w:r w:rsidRPr="00A26088">
        <w:rPr>
          <w:rStyle w:val="CharSectno"/>
        </w:rPr>
        <w:t>31</w:t>
      </w:r>
      <w:r w:rsidR="00F00002" w:rsidRPr="00A26088">
        <w:rPr>
          <w:rStyle w:val="CharSectno"/>
        </w:rPr>
        <w:noBreakHyphen/>
      </w:r>
      <w:r w:rsidRPr="00A26088">
        <w:rPr>
          <w:rStyle w:val="CharSectno"/>
        </w:rPr>
        <w:t>15.07</w:t>
      </w:r>
      <w:r w:rsidRPr="00F00002">
        <w:t xml:space="preserve">  Fees for carrying out valuations</w:t>
      </w:r>
      <w:bookmarkEnd w:id="24"/>
    </w:p>
    <w:p w:rsidR="00736CB3" w:rsidRPr="00F00002" w:rsidRDefault="00736CB3" w:rsidP="00736CB3">
      <w:pPr>
        <w:pStyle w:val="subsection"/>
      </w:pPr>
      <w:r w:rsidRPr="00F00002">
        <w:tab/>
        <w:t>(1)</w:t>
      </w:r>
      <w:r w:rsidRPr="00F00002">
        <w:tab/>
        <w:t>The fee for carrying out a valuation is the actual cost of the valuation, including all costs of the Commissioner in obtaining the valuation.</w:t>
      </w:r>
    </w:p>
    <w:p w:rsidR="00736CB3" w:rsidRPr="00F00002" w:rsidRDefault="00736CB3" w:rsidP="00736CB3">
      <w:pPr>
        <w:pStyle w:val="subsection"/>
      </w:pPr>
      <w:r w:rsidRPr="00F00002">
        <w:tab/>
        <w:t>(2)</w:t>
      </w:r>
      <w:r w:rsidRPr="00F00002">
        <w:tab/>
        <w:t>If the Commissioner starts a valuation but the application for the valuation is withdrawn or treated as having no effect under subregulation</w:t>
      </w:r>
      <w:r w:rsidR="00F00002">
        <w:t> </w:t>
      </w:r>
      <w:r w:rsidRPr="00F00002">
        <w:t>31</w:t>
      </w:r>
      <w:r w:rsidR="00F00002">
        <w:noBreakHyphen/>
      </w:r>
      <w:r w:rsidRPr="00F00002">
        <w:t>15.06(3), a fee representing the cost of the incomplete valuation is payable.</w:t>
      </w:r>
    </w:p>
    <w:p w:rsidR="00736CB3" w:rsidRPr="00F00002" w:rsidRDefault="00736CB3" w:rsidP="00736CB3">
      <w:pPr>
        <w:pStyle w:val="ActHead5"/>
      </w:pPr>
      <w:bookmarkStart w:id="25" w:name="_Toc31109609"/>
      <w:r w:rsidRPr="00A26088">
        <w:rPr>
          <w:rStyle w:val="CharSectno"/>
        </w:rPr>
        <w:t>31</w:t>
      </w:r>
      <w:r w:rsidR="00F00002" w:rsidRPr="00A26088">
        <w:rPr>
          <w:rStyle w:val="CharSectno"/>
        </w:rPr>
        <w:noBreakHyphen/>
      </w:r>
      <w:r w:rsidRPr="00A26088">
        <w:rPr>
          <w:rStyle w:val="CharSectno"/>
        </w:rPr>
        <w:t>15.08</w:t>
      </w:r>
      <w:r w:rsidRPr="00F00002">
        <w:t xml:space="preserve">  Crediting and repaying valuation fees</w:t>
      </w:r>
      <w:bookmarkEnd w:id="25"/>
    </w:p>
    <w:p w:rsidR="00736CB3" w:rsidRPr="00F00002" w:rsidRDefault="00736CB3" w:rsidP="00736CB3">
      <w:pPr>
        <w:pStyle w:val="subsection"/>
      </w:pPr>
      <w:r w:rsidRPr="00F00002">
        <w:tab/>
        <w:t>(1)</w:t>
      </w:r>
      <w:r w:rsidRPr="00F00002">
        <w:tab/>
        <w:t>The application fee paid under regulation</w:t>
      </w:r>
      <w:r w:rsidR="00F00002">
        <w:t> </w:t>
      </w:r>
      <w:r w:rsidRPr="00F00002">
        <w:t>31</w:t>
      </w:r>
      <w:r w:rsidR="00F00002">
        <w:noBreakHyphen/>
      </w:r>
      <w:r w:rsidRPr="00F00002">
        <w:t>15.02 is to be credited against the fee for the valuation.</w:t>
      </w:r>
    </w:p>
    <w:p w:rsidR="00736CB3" w:rsidRPr="00F00002" w:rsidRDefault="00736CB3" w:rsidP="00736CB3">
      <w:pPr>
        <w:pStyle w:val="subsection"/>
      </w:pPr>
      <w:r w:rsidRPr="00F00002">
        <w:tab/>
        <w:t>(2)</w:t>
      </w:r>
      <w:r w:rsidRPr="00F00002">
        <w:tab/>
        <w:t>An advance payment of a fee paid under regulation</w:t>
      </w:r>
      <w:r w:rsidR="00F00002">
        <w:t> </w:t>
      </w:r>
      <w:r w:rsidRPr="00F00002">
        <w:t>31</w:t>
      </w:r>
      <w:r w:rsidR="00F00002">
        <w:noBreakHyphen/>
      </w:r>
      <w:r w:rsidRPr="00F00002">
        <w:t>15.04 is to be credited against the fee for the valuation.</w:t>
      </w:r>
    </w:p>
    <w:p w:rsidR="00736CB3" w:rsidRPr="00F00002" w:rsidRDefault="00736CB3" w:rsidP="00736CB3">
      <w:pPr>
        <w:pStyle w:val="subsection"/>
      </w:pPr>
      <w:r w:rsidRPr="00F00002">
        <w:tab/>
        <w:t>(3)</w:t>
      </w:r>
      <w:r w:rsidRPr="00F00002">
        <w:tab/>
        <w:t>The fee payable for the valuation is a debt due to the Commonwealth and recoverable in a court of competent jurisdiction.</w:t>
      </w:r>
    </w:p>
    <w:p w:rsidR="00736CB3" w:rsidRPr="00F00002" w:rsidRDefault="00736CB3" w:rsidP="00736CB3">
      <w:pPr>
        <w:pStyle w:val="subsection"/>
      </w:pPr>
      <w:r w:rsidRPr="00F00002">
        <w:tab/>
        <w:t>(4)</w:t>
      </w:r>
      <w:r w:rsidRPr="00F00002">
        <w:tab/>
        <w:t>However, if the total of advance payments of fees is more than the fee payable for the valuation, the Commissioner must pay the difference to the applicant as soon as practicable.</w:t>
      </w:r>
    </w:p>
    <w:p w:rsidR="00BB4501" w:rsidRPr="00F00002" w:rsidRDefault="00BB4501" w:rsidP="00D150ED">
      <w:pPr>
        <w:pStyle w:val="ActHead5"/>
      </w:pPr>
      <w:bookmarkStart w:id="26" w:name="_Toc31109610"/>
      <w:r w:rsidRPr="00A26088">
        <w:rPr>
          <w:rStyle w:val="CharSectno"/>
        </w:rPr>
        <w:t>31</w:t>
      </w:r>
      <w:r w:rsidR="00F00002" w:rsidRPr="00A26088">
        <w:rPr>
          <w:rStyle w:val="CharSectno"/>
        </w:rPr>
        <w:noBreakHyphen/>
      </w:r>
      <w:r w:rsidRPr="00A26088">
        <w:rPr>
          <w:rStyle w:val="CharSectno"/>
        </w:rPr>
        <w:t>15.09</w:t>
      </w:r>
      <w:r w:rsidR="00D150ED" w:rsidRPr="00F00002">
        <w:t xml:space="preserve">  </w:t>
      </w:r>
      <w:r w:rsidRPr="00F00002">
        <w:t>Valuation certificates</w:t>
      </w:r>
      <w:bookmarkEnd w:id="26"/>
    </w:p>
    <w:p w:rsidR="00BB4501" w:rsidRPr="00F00002" w:rsidRDefault="00BB4501" w:rsidP="00D150ED">
      <w:pPr>
        <w:pStyle w:val="subsection"/>
      </w:pPr>
      <w:r w:rsidRPr="00F00002">
        <w:tab/>
        <w:t>(1)</w:t>
      </w:r>
      <w:r w:rsidRPr="00F00002">
        <w:tab/>
        <w:t>If the Commissioner completes a valuation, the Commissioner must give a valuation certificate to the applicant for the valuation.</w:t>
      </w:r>
    </w:p>
    <w:p w:rsidR="00BB4501" w:rsidRPr="00F00002" w:rsidRDefault="00BB4501" w:rsidP="00D150ED">
      <w:pPr>
        <w:pStyle w:val="subsection"/>
      </w:pPr>
      <w:r w:rsidRPr="00F00002">
        <w:tab/>
        <w:t>(2)</w:t>
      </w:r>
      <w:r w:rsidRPr="00F00002">
        <w:tab/>
        <w:t>The Commissioner must approve, in writing, 1 or more forms of a certificate.</w:t>
      </w:r>
    </w:p>
    <w:p w:rsidR="00BB4501" w:rsidRPr="00F00002" w:rsidRDefault="00BB4501" w:rsidP="00D150ED">
      <w:pPr>
        <w:pStyle w:val="subsection"/>
      </w:pPr>
      <w:r w:rsidRPr="00F00002">
        <w:tab/>
        <w:t>(3)</w:t>
      </w:r>
      <w:r w:rsidRPr="00F00002">
        <w:tab/>
        <w:t>The certificate must include the following information:</w:t>
      </w:r>
    </w:p>
    <w:p w:rsidR="00BB4501" w:rsidRPr="00F00002" w:rsidRDefault="00BB4501" w:rsidP="00D150ED">
      <w:pPr>
        <w:pStyle w:val="paragraph"/>
      </w:pPr>
      <w:r w:rsidRPr="00F00002">
        <w:tab/>
        <w:t>(a)</w:t>
      </w:r>
      <w:r w:rsidRPr="00F00002">
        <w:tab/>
        <w:t>the date on which the valuation was completed;</w:t>
      </w:r>
    </w:p>
    <w:p w:rsidR="00BB4501" w:rsidRPr="00F00002" w:rsidRDefault="00BB4501" w:rsidP="00D150ED">
      <w:pPr>
        <w:pStyle w:val="paragraph"/>
      </w:pPr>
      <w:r w:rsidRPr="00F00002">
        <w:tab/>
        <w:t>(b)</w:t>
      </w:r>
      <w:r w:rsidRPr="00F00002">
        <w:tab/>
        <w:t>a description of the land (including a lot and plan number, title reference and the location of the land);</w:t>
      </w:r>
    </w:p>
    <w:p w:rsidR="00BB4501" w:rsidRPr="00F00002" w:rsidRDefault="00BB4501" w:rsidP="00D150ED">
      <w:pPr>
        <w:pStyle w:val="paragraph"/>
      </w:pPr>
      <w:r w:rsidRPr="00F00002">
        <w:tab/>
        <w:t>(c)</w:t>
      </w:r>
      <w:r w:rsidRPr="00F00002">
        <w:tab/>
        <w:t xml:space="preserve">a statement of the market value of the land immediately before the conservation covenant was entered into; </w:t>
      </w:r>
    </w:p>
    <w:p w:rsidR="00BB4501" w:rsidRPr="00F00002" w:rsidRDefault="00BB4501" w:rsidP="00D150ED">
      <w:pPr>
        <w:pStyle w:val="paragraph"/>
      </w:pPr>
      <w:r w:rsidRPr="00F00002">
        <w:tab/>
        <w:t>(d)</w:t>
      </w:r>
      <w:r w:rsidRPr="00F00002">
        <w:tab/>
        <w:t xml:space="preserve">a statement of the market value of the land immediately after the conservation covenant was entered into; </w:t>
      </w:r>
    </w:p>
    <w:p w:rsidR="00BB4501" w:rsidRPr="00F00002" w:rsidRDefault="00BB4501" w:rsidP="00D150ED">
      <w:pPr>
        <w:pStyle w:val="paragraph"/>
      </w:pPr>
      <w:r w:rsidRPr="00F00002">
        <w:tab/>
        <w:t>(e)</w:t>
      </w:r>
      <w:r w:rsidRPr="00F00002">
        <w:tab/>
        <w:t xml:space="preserve">a statement of the difference between the market value mentioned in </w:t>
      </w:r>
      <w:r w:rsidR="00F00002">
        <w:t>paragraph (</w:t>
      </w:r>
      <w:r w:rsidRPr="00F00002">
        <w:t xml:space="preserve">c) and the market value mentioned in </w:t>
      </w:r>
      <w:r w:rsidR="00F00002">
        <w:t>paragraph (</w:t>
      </w:r>
      <w:r w:rsidRPr="00F00002">
        <w:t xml:space="preserve">d); </w:t>
      </w:r>
    </w:p>
    <w:p w:rsidR="00BB4501" w:rsidRPr="00F00002" w:rsidRDefault="00BB4501" w:rsidP="00D150ED">
      <w:pPr>
        <w:pStyle w:val="paragraph"/>
      </w:pPr>
      <w:r w:rsidRPr="00F00002">
        <w:lastRenderedPageBreak/>
        <w:tab/>
        <w:t>(f)</w:t>
      </w:r>
      <w:r w:rsidRPr="00F00002">
        <w:tab/>
        <w:t xml:space="preserve">a statement of the extent to which the difference mentioned in </w:t>
      </w:r>
      <w:r w:rsidR="00F00002">
        <w:t>paragraph (</w:t>
      </w:r>
      <w:r w:rsidRPr="00F00002">
        <w:t>e) is attributable to the conservation covenant being entered into.</w:t>
      </w:r>
    </w:p>
    <w:p w:rsidR="00BB4501" w:rsidRPr="00F00002" w:rsidRDefault="00BB4501" w:rsidP="00D150ED">
      <w:pPr>
        <w:pStyle w:val="subsection"/>
      </w:pPr>
      <w:r w:rsidRPr="00F00002">
        <w:tab/>
        <w:t>(4)</w:t>
      </w:r>
      <w:r w:rsidRPr="00F00002">
        <w:tab/>
        <w:t>The certificate may include other information.</w:t>
      </w:r>
    </w:p>
    <w:p w:rsidR="00BB4501" w:rsidRPr="00F00002" w:rsidRDefault="00BB4501" w:rsidP="00D150ED">
      <w:pPr>
        <w:pStyle w:val="subsection"/>
      </w:pPr>
      <w:r w:rsidRPr="00F00002">
        <w:tab/>
        <w:t>(5)</w:t>
      </w:r>
      <w:r w:rsidRPr="00F00002">
        <w:tab/>
        <w:t>The Commissioner must not give a valuation certificate to the applicant until:</w:t>
      </w:r>
    </w:p>
    <w:p w:rsidR="00BB4501" w:rsidRPr="00F00002" w:rsidRDefault="00BB4501" w:rsidP="00D150ED">
      <w:pPr>
        <w:pStyle w:val="paragraph"/>
      </w:pPr>
      <w:r w:rsidRPr="00F00002">
        <w:tab/>
        <w:t>(a)</w:t>
      </w:r>
      <w:r w:rsidRPr="00F00002">
        <w:tab/>
        <w:t>the valuation has been completed; and</w:t>
      </w:r>
    </w:p>
    <w:p w:rsidR="00BB4501" w:rsidRPr="00F00002" w:rsidRDefault="00BB4501" w:rsidP="00D150ED">
      <w:pPr>
        <w:pStyle w:val="paragraph"/>
      </w:pPr>
      <w:r w:rsidRPr="00F00002">
        <w:tab/>
        <w:t>(b)</w:t>
      </w:r>
      <w:r w:rsidRPr="00F00002">
        <w:tab/>
        <w:t>the Commissioner has received the full amount of the fees payable for the valuation.</w:t>
      </w:r>
    </w:p>
    <w:p w:rsidR="00BB4501" w:rsidRPr="00F00002" w:rsidRDefault="00D150ED" w:rsidP="00D150ED">
      <w:pPr>
        <w:pStyle w:val="ActHead3"/>
        <w:pageBreakBefore/>
      </w:pPr>
      <w:bookmarkStart w:id="27" w:name="_Toc31109611"/>
      <w:r w:rsidRPr="00A26088">
        <w:rPr>
          <w:rStyle w:val="CharDivNo"/>
        </w:rPr>
        <w:lastRenderedPageBreak/>
        <w:t>Division</w:t>
      </w:r>
      <w:r w:rsidR="00F00002" w:rsidRPr="00A26088">
        <w:rPr>
          <w:rStyle w:val="CharDivNo"/>
        </w:rPr>
        <w:t> </w:t>
      </w:r>
      <w:r w:rsidR="00BB4501" w:rsidRPr="00A26088">
        <w:rPr>
          <w:rStyle w:val="CharDivNo"/>
        </w:rPr>
        <w:t>50</w:t>
      </w:r>
      <w:r w:rsidRPr="00F00002">
        <w:t>—</w:t>
      </w:r>
      <w:r w:rsidR="00BB4501" w:rsidRPr="00A26088">
        <w:rPr>
          <w:rStyle w:val="CharDivText"/>
        </w:rPr>
        <w:t>Exempt entities</w:t>
      </w:r>
      <w:bookmarkEnd w:id="27"/>
    </w:p>
    <w:p w:rsidR="00874D28" w:rsidRPr="00F00002" w:rsidRDefault="00874D28" w:rsidP="00874D28">
      <w:pPr>
        <w:pStyle w:val="ActHead5"/>
      </w:pPr>
      <w:bookmarkStart w:id="28" w:name="_Toc31109612"/>
      <w:r w:rsidRPr="00A26088">
        <w:rPr>
          <w:rStyle w:val="CharSectno"/>
        </w:rPr>
        <w:t>50</w:t>
      </w:r>
      <w:r w:rsidR="00F00002" w:rsidRPr="00A26088">
        <w:rPr>
          <w:rStyle w:val="CharSectno"/>
        </w:rPr>
        <w:noBreakHyphen/>
      </w:r>
      <w:r w:rsidRPr="00A26088">
        <w:rPr>
          <w:rStyle w:val="CharSectno"/>
        </w:rPr>
        <w:t>50.01</w:t>
      </w:r>
      <w:r w:rsidRPr="00F00002">
        <w:t xml:space="preserve">  Prescribed institutions located outside Australia</w:t>
      </w:r>
      <w:bookmarkEnd w:id="28"/>
    </w:p>
    <w:p w:rsidR="00BB4501" w:rsidRPr="00F00002" w:rsidRDefault="00BB4501" w:rsidP="00D150ED">
      <w:pPr>
        <w:pStyle w:val="subsection"/>
      </w:pPr>
      <w:r w:rsidRPr="00F00002">
        <w:tab/>
      </w:r>
      <w:r w:rsidRPr="00F00002">
        <w:tab/>
        <w:t xml:space="preserve">For </w:t>
      </w:r>
      <w:r w:rsidR="00874D28" w:rsidRPr="00F00002">
        <w:t>the purposes of paragraph</w:t>
      </w:r>
      <w:r w:rsidR="00F00002">
        <w:t> </w:t>
      </w:r>
      <w:r w:rsidR="00874D28" w:rsidRPr="00F00002">
        <w:t>50</w:t>
      </w:r>
      <w:r w:rsidR="00F00002">
        <w:noBreakHyphen/>
      </w:r>
      <w:r w:rsidR="00874D28" w:rsidRPr="00F00002">
        <w:t>50(1)(c)</w:t>
      </w:r>
      <w:r w:rsidRPr="00F00002">
        <w:t xml:space="preserve"> of the Act, each institution mentioned in an item in the following table is a prescribed institution on and after the date mentioned in the item:</w:t>
      </w:r>
    </w:p>
    <w:p w:rsidR="00D150ED" w:rsidRPr="00F00002" w:rsidRDefault="00D150ED" w:rsidP="00D150E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1"/>
        <w:gridCol w:w="5917"/>
        <w:gridCol w:w="1851"/>
      </w:tblGrid>
      <w:tr w:rsidR="00BB4501" w:rsidRPr="00F00002" w:rsidTr="00874D28">
        <w:trPr>
          <w:tblHeader/>
        </w:trPr>
        <w:tc>
          <w:tcPr>
            <w:tcW w:w="446" w:type="pct"/>
            <w:tcBorders>
              <w:top w:val="single" w:sz="12" w:space="0" w:color="auto"/>
              <w:bottom w:val="single" w:sz="12" w:space="0" w:color="auto"/>
            </w:tcBorders>
            <w:shd w:val="clear" w:color="auto" w:fill="auto"/>
          </w:tcPr>
          <w:p w:rsidR="00BB4501" w:rsidRPr="00F00002" w:rsidRDefault="00BB4501" w:rsidP="004A0CAE">
            <w:pPr>
              <w:pStyle w:val="TableHeading"/>
            </w:pPr>
            <w:r w:rsidRPr="00F00002">
              <w:t>Item</w:t>
            </w:r>
          </w:p>
        </w:tc>
        <w:tc>
          <w:tcPr>
            <w:tcW w:w="3469" w:type="pct"/>
            <w:tcBorders>
              <w:top w:val="single" w:sz="12" w:space="0" w:color="auto"/>
              <w:bottom w:val="single" w:sz="12" w:space="0" w:color="auto"/>
            </w:tcBorders>
            <w:shd w:val="clear" w:color="auto" w:fill="auto"/>
          </w:tcPr>
          <w:p w:rsidR="00BB4501" w:rsidRPr="00F00002" w:rsidRDefault="00BB4501" w:rsidP="004A0CAE">
            <w:pPr>
              <w:pStyle w:val="TableHeading"/>
            </w:pPr>
            <w:r w:rsidRPr="00F00002">
              <w:t>Name of institution</w:t>
            </w:r>
          </w:p>
        </w:tc>
        <w:tc>
          <w:tcPr>
            <w:tcW w:w="1085" w:type="pct"/>
            <w:tcBorders>
              <w:top w:val="single" w:sz="12" w:space="0" w:color="auto"/>
              <w:bottom w:val="single" w:sz="12" w:space="0" w:color="auto"/>
            </w:tcBorders>
            <w:shd w:val="clear" w:color="auto" w:fill="auto"/>
          </w:tcPr>
          <w:p w:rsidR="00BB4501" w:rsidRPr="00F00002" w:rsidRDefault="00BB4501" w:rsidP="004A0CAE">
            <w:pPr>
              <w:pStyle w:val="TableHeading"/>
            </w:pPr>
            <w:r w:rsidRPr="00F00002">
              <w:t>Date of effect</w:t>
            </w:r>
          </w:p>
        </w:tc>
      </w:tr>
      <w:tr w:rsidR="00BB4501" w:rsidRPr="00F00002" w:rsidTr="00874D28">
        <w:tc>
          <w:tcPr>
            <w:tcW w:w="446" w:type="pct"/>
            <w:tcBorders>
              <w:top w:val="single" w:sz="12" w:space="0" w:color="auto"/>
            </w:tcBorders>
            <w:shd w:val="clear" w:color="auto" w:fill="auto"/>
          </w:tcPr>
          <w:p w:rsidR="00BB4501" w:rsidRPr="00F00002" w:rsidRDefault="00BB4501" w:rsidP="00D150ED">
            <w:pPr>
              <w:pStyle w:val="Tabletext"/>
            </w:pPr>
            <w:r w:rsidRPr="00F00002">
              <w:t>1</w:t>
            </w:r>
          </w:p>
        </w:tc>
        <w:tc>
          <w:tcPr>
            <w:tcW w:w="3469" w:type="pct"/>
            <w:tcBorders>
              <w:top w:val="single" w:sz="12" w:space="0" w:color="auto"/>
            </w:tcBorders>
            <w:shd w:val="clear" w:color="auto" w:fill="auto"/>
          </w:tcPr>
          <w:p w:rsidR="00BB4501" w:rsidRPr="00F00002" w:rsidRDefault="00BB4501" w:rsidP="00D150ED">
            <w:pPr>
              <w:pStyle w:val="Tabletext"/>
            </w:pPr>
            <w:r w:rsidRPr="00F00002">
              <w:t>Catholic Bishops’ Conference of the Pacific (Fiji)</w:t>
            </w:r>
          </w:p>
        </w:tc>
        <w:tc>
          <w:tcPr>
            <w:tcW w:w="1085" w:type="pct"/>
            <w:tcBorders>
              <w:top w:val="single" w:sz="12" w:space="0" w:color="auto"/>
            </w:tcBorders>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2</w:t>
            </w:r>
          </w:p>
        </w:tc>
        <w:tc>
          <w:tcPr>
            <w:tcW w:w="3469" w:type="pct"/>
            <w:shd w:val="clear" w:color="auto" w:fill="auto"/>
          </w:tcPr>
          <w:p w:rsidR="00BB4501" w:rsidRPr="00F00002" w:rsidRDefault="00BB4501" w:rsidP="00D150ED">
            <w:pPr>
              <w:pStyle w:val="Tabletext"/>
            </w:pPr>
            <w:r w:rsidRPr="00F00002">
              <w:t>Catholic Diocese of Rarotonga (Cook Islands)</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3</w:t>
            </w:r>
          </w:p>
        </w:tc>
        <w:tc>
          <w:tcPr>
            <w:tcW w:w="3469" w:type="pct"/>
            <w:shd w:val="clear" w:color="auto" w:fill="auto"/>
          </w:tcPr>
          <w:p w:rsidR="00BB4501" w:rsidRPr="00F00002" w:rsidRDefault="00BB4501" w:rsidP="00D150ED">
            <w:pPr>
              <w:pStyle w:val="Tabletext"/>
            </w:pPr>
            <w:r w:rsidRPr="00F00002">
              <w:t>Catholic Diocese of Bougainville (Papua New Guinea)</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4</w:t>
            </w:r>
          </w:p>
        </w:tc>
        <w:tc>
          <w:tcPr>
            <w:tcW w:w="3469" w:type="pct"/>
            <w:shd w:val="clear" w:color="auto" w:fill="auto"/>
          </w:tcPr>
          <w:p w:rsidR="00BB4501" w:rsidRPr="00F00002" w:rsidRDefault="00BB4501" w:rsidP="00D150ED">
            <w:pPr>
              <w:pStyle w:val="Tabletext"/>
            </w:pPr>
            <w:r w:rsidRPr="00F00002">
              <w:t>Catholic Diocese of Port Vila (Vanuatu)</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5</w:t>
            </w:r>
          </w:p>
        </w:tc>
        <w:tc>
          <w:tcPr>
            <w:tcW w:w="3469" w:type="pct"/>
            <w:shd w:val="clear" w:color="auto" w:fill="auto"/>
          </w:tcPr>
          <w:p w:rsidR="00BB4501" w:rsidRPr="00F00002" w:rsidRDefault="00BB4501" w:rsidP="00D150ED">
            <w:pPr>
              <w:pStyle w:val="Tabletext"/>
            </w:pPr>
            <w:r w:rsidRPr="00F00002">
              <w:t>Catholic Diocese of Suva (Fiji)</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6</w:t>
            </w:r>
          </w:p>
        </w:tc>
        <w:tc>
          <w:tcPr>
            <w:tcW w:w="3469" w:type="pct"/>
            <w:shd w:val="clear" w:color="auto" w:fill="auto"/>
          </w:tcPr>
          <w:p w:rsidR="00BB4501" w:rsidRPr="00F00002" w:rsidRDefault="00BB4501" w:rsidP="00D150ED">
            <w:pPr>
              <w:pStyle w:val="Tabletext"/>
            </w:pPr>
            <w:r w:rsidRPr="00F00002">
              <w:t>Catholic Diocese of Noumea (New Caledonia)</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7</w:t>
            </w:r>
          </w:p>
        </w:tc>
        <w:tc>
          <w:tcPr>
            <w:tcW w:w="3469" w:type="pct"/>
            <w:shd w:val="clear" w:color="auto" w:fill="auto"/>
          </w:tcPr>
          <w:p w:rsidR="00BB4501" w:rsidRPr="00F00002" w:rsidRDefault="00BB4501" w:rsidP="00D150ED">
            <w:pPr>
              <w:pStyle w:val="Tabletext"/>
            </w:pPr>
            <w:r w:rsidRPr="00F00002">
              <w:t>Catholic Diocese of Tonga</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shd w:val="clear" w:color="auto" w:fill="auto"/>
          </w:tcPr>
          <w:p w:rsidR="00BB4501" w:rsidRPr="00F00002" w:rsidRDefault="00BB4501" w:rsidP="00D150ED">
            <w:pPr>
              <w:pStyle w:val="Tabletext"/>
            </w:pPr>
            <w:r w:rsidRPr="00F00002">
              <w:t>8</w:t>
            </w:r>
          </w:p>
        </w:tc>
        <w:tc>
          <w:tcPr>
            <w:tcW w:w="3469" w:type="pct"/>
            <w:shd w:val="clear" w:color="auto" w:fill="auto"/>
          </w:tcPr>
          <w:p w:rsidR="00BB4501" w:rsidRPr="00F00002" w:rsidRDefault="00BB4501" w:rsidP="00D150ED">
            <w:pPr>
              <w:pStyle w:val="Tabletext"/>
            </w:pPr>
            <w:r w:rsidRPr="00F00002">
              <w:t>Catholic Diocese of Auki (Solomon Islands)</w:t>
            </w:r>
          </w:p>
        </w:tc>
        <w:tc>
          <w:tcPr>
            <w:tcW w:w="1085" w:type="pct"/>
            <w:shd w:val="clear" w:color="auto" w:fill="auto"/>
          </w:tcPr>
          <w:p w:rsidR="00BB4501" w:rsidRPr="00F00002" w:rsidRDefault="00BB4501" w:rsidP="00D150ED">
            <w:pPr>
              <w:pStyle w:val="Tabletext"/>
            </w:pPr>
            <w:r w:rsidRPr="00F00002">
              <w:t>1</w:t>
            </w:r>
            <w:r w:rsidR="00F00002">
              <w:t> </w:t>
            </w:r>
            <w:r w:rsidRPr="00F00002">
              <w:t>July 1997</w:t>
            </w:r>
          </w:p>
        </w:tc>
      </w:tr>
      <w:tr w:rsidR="00BB4501" w:rsidRPr="00F00002" w:rsidTr="00874D28">
        <w:tc>
          <w:tcPr>
            <w:tcW w:w="446" w:type="pct"/>
            <w:tcBorders>
              <w:bottom w:val="single" w:sz="4" w:space="0" w:color="auto"/>
            </w:tcBorders>
            <w:shd w:val="clear" w:color="auto" w:fill="auto"/>
          </w:tcPr>
          <w:p w:rsidR="00BB4501" w:rsidRPr="00F00002" w:rsidRDefault="00BB4501" w:rsidP="00D150ED">
            <w:pPr>
              <w:pStyle w:val="Tabletext"/>
            </w:pPr>
            <w:r w:rsidRPr="00F00002">
              <w:t>9</w:t>
            </w:r>
          </w:p>
        </w:tc>
        <w:tc>
          <w:tcPr>
            <w:tcW w:w="3469" w:type="pct"/>
            <w:tcBorders>
              <w:bottom w:val="single" w:sz="4" w:space="0" w:color="auto"/>
            </w:tcBorders>
            <w:shd w:val="clear" w:color="auto" w:fill="auto"/>
          </w:tcPr>
          <w:p w:rsidR="00BB4501" w:rsidRPr="00F00002" w:rsidRDefault="00BB4501" w:rsidP="00D150ED">
            <w:pPr>
              <w:pStyle w:val="Tabletext"/>
            </w:pPr>
            <w:r w:rsidRPr="00F00002">
              <w:t>Catholic Archdiocese of Rabaul (Papua New Guinea)</w:t>
            </w:r>
          </w:p>
        </w:tc>
        <w:tc>
          <w:tcPr>
            <w:tcW w:w="1085" w:type="pct"/>
            <w:tcBorders>
              <w:bottom w:val="single" w:sz="4" w:space="0" w:color="auto"/>
            </w:tcBorders>
            <w:shd w:val="clear" w:color="auto" w:fill="auto"/>
          </w:tcPr>
          <w:p w:rsidR="00BB4501" w:rsidRPr="00F00002" w:rsidRDefault="00BB4501" w:rsidP="00D150ED">
            <w:pPr>
              <w:pStyle w:val="Tabletext"/>
            </w:pPr>
            <w:r w:rsidRPr="00F00002">
              <w:t>18</w:t>
            </w:r>
            <w:r w:rsidR="00F00002">
              <w:t> </w:t>
            </w:r>
            <w:r w:rsidRPr="00F00002">
              <w:t>August 2003</w:t>
            </w:r>
          </w:p>
        </w:tc>
      </w:tr>
      <w:tr w:rsidR="00BB4501" w:rsidRPr="00F00002" w:rsidTr="00874D28">
        <w:tc>
          <w:tcPr>
            <w:tcW w:w="446" w:type="pct"/>
            <w:tcBorders>
              <w:bottom w:val="single" w:sz="12" w:space="0" w:color="auto"/>
            </w:tcBorders>
            <w:shd w:val="clear" w:color="auto" w:fill="auto"/>
          </w:tcPr>
          <w:p w:rsidR="00BB4501" w:rsidRPr="00F00002" w:rsidRDefault="00BB4501" w:rsidP="00D150ED">
            <w:pPr>
              <w:pStyle w:val="Tabletext"/>
            </w:pPr>
            <w:r w:rsidRPr="00F00002">
              <w:t>10</w:t>
            </w:r>
          </w:p>
        </w:tc>
        <w:tc>
          <w:tcPr>
            <w:tcW w:w="3469" w:type="pct"/>
            <w:tcBorders>
              <w:bottom w:val="single" w:sz="12" w:space="0" w:color="auto"/>
            </w:tcBorders>
            <w:shd w:val="clear" w:color="auto" w:fill="auto"/>
          </w:tcPr>
          <w:p w:rsidR="00BB4501" w:rsidRPr="00F00002" w:rsidRDefault="00BB4501" w:rsidP="00D150ED">
            <w:pPr>
              <w:pStyle w:val="Tabletext"/>
            </w:pPr>
            <w:r w:rsidRPr="00F00002">
              <w:t>Diocese of Honiara Registered Trustees (Incorporated)</w:t>
            </w:r>
          </w:p>
        </w:tc>
        <w:tc>
          <w:tcPr>
            <w:tcW w:w="1085" w:type="pct"/>
            <w:tcBorders>
              <w:bottom w:val="single" w:sz="12" w:space="0" w:color="auto"/>
            </w:tcBorders>
            <w:shd w:val="clear" w:color="auto" w:fill="auto"/>
          </w:tcPr>
          <w:p w:rsidR="00BB4501" w:rsidRPr="00F00002" w:rsidRDefault="00BB4501" w:rsidP="00D150ED">
            <w:pPr>
              <w:pStyle w:val="Tabletext"/>
            </w:pPr>
            <w:r w:rsidRPr="00F00002">
              <w:t>10</w:t>
            </w:r>
            <w:r w:rsidR="00F00002">
              <w:t> </w:t>
            </w:r>
            <w:r w:rsidRPr="00F00002">
              <w:t>June 2005</w:t>
            </w:r>
          </w:p>
        </w:tc>
      </w:tr>
    </w:tbl>
    <w:p w:rsidR="00874D28" w:rsidRPr="00F00002" w:rsidRDefault="00874D28" w:rsidP="00874D28">
      <w:pPr>
        <w:pStyle w:val="ActHead5"/>
      </w:pPr>
      <w:bookmarkStart w:id="29" w:name="_Toc31109613"/>
      <w:r w:rsidRPr="00A26088">
        <w:rPr>
          <w:rStyle w:val="CharSectno"/>
        </w:rPr>
        <w:t>50</w:t>
      </w:r>
      <w:r w:rsidR="00F00002" w:rsidRPr="00A26088">
        <w:rPr>
          <w:rStyle w:val="CharSectno"/>
        </w:rPr>
        <w:noBreakHyphen/>
      </w:r>
      <w:r w:rsidRPr="00A26088">
        <w:rPr>
          <w:rStyle w:val="CharSectno"/>
        </w:rPr>
        <w:t>50.02</w:t>
      </w:r>
      <w:r w:rsidRPr="00F00002">
        <w:t xml:space="preserve">  Prescribed institutions pursuing objectives principally outside Australia</w:t>
      </w:r>
      <w:bookmarkEnd w:id="29"/>
    </w:p>
    <w:p w:rsidR="00874D28" w:rsidRPr="00F00002" w:rsidRDefault="00874D28" w:rsidP="00874D28">
      <w:pPr>
        <w:pStyle w:val="subsection"/>
      </w:pPr>
      <w:r w:rsidRPr="00F00002">
        <w:tab/>
      </w:r>
      <w:r w:rsidRPr="00F00002">
        <w:tab/>
        <w:t>For the purposes of paragraph</w:t>
      </w:r>
      <w:r w:rsidR="00F00002">
        <w:t> </w:t>
      </w:r>
      <w:r w:rsidRPr="00F00002">
        <w:t>50</w:t>
      </w:r>
      <w:r w:rsidR="00F00002">
        <w:noBreakHyphen/>
      </w:r>
      <w:r w:rsidRPr="00F00002">
        <w:t>50(1)(d) of the Act, each institution mentioned in an item in the following table, and each institution that is a member of that institution, is a prescribed institution for the period:</w:t>
      </w:r>
    </w:p>
    <w:p w:rsidR="00874D28" w:rsidRPr="00F00002" w:rsidRDefault="00874D28" w:rsidP="00874D28">
      <w:pPr>
        <w:pStyle w:val="paragraph"/>
      </w:pPr>
      <w:r w:rsidRPr="00F00002">
        <w:tab/>
        <w:t>(a)</w:t>
      </w:r>
      <w:r w:rsidRPr="00F00002">
        <w:tab/>
        <w:t>starting on the date specified in column 2 for the item; and</w:t>
      </w:r>
    </w:p>
    <w:p w:rsidR="00874D28" w:rsidRPr="00F00002" w:rsidRDefault="00874D28" w:rsidP="00874D28">
      <w:pPr>
        <w:pStyle w:val="paragraph"/>
      </w:pPr>
      <w:r w:rsidRPr="00F00002">
        <w:tab/>
        <w:t>(b)</w:t>
      </w:r>
      <w:r w:rsidRPr="00F00002">
        <w:tab/>
        <w:t>ending on the date specified (if any) in column 3 for the item.</w:t>
      </w:r>
    </w:p>
    <w:p w:rsidR="00874D28" w:rsidRPr="00F00002" w:rsidRDefault="00874D28" w:rsidP="00874D2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384"/>
        <w:gridCol w:w="1843"/>
        <w:gridCol w:w="1372"/>
      </w:tblGrid>
      <w:tr w:rsidR="00874D28" w:rsidRPr="00F00002" w:rsidTr="00874D28">
        <w:trPr>
          <w:tblHeader/>
        </w:trPr>
        <w:tc>
          <w:tcPr>
            <w:tcW w:w="8313" w:type="dxa"/>
            <w:gridSpan w:val="4"/>
            <w:tcBorders>
              <w:top w:val="single" w:sz="12" w:space="0" w:color="auto"/>
              <w:bottom w:val="single" w:sz="6" w:space="0" w:color="auto"/>
            </w:tcBorders>
            <w:shd w:val="clear" w:color="auto" w:fill="auto"/>
          </w:tcPr>
          <w:p w:rsidR="00874D28" w:rsidRPr="00F00002" w:rsidRDefault="00874D28" w:rsidP="00874D28">
            <w:pPr>
              <w:pStyle w:val="TableHeading"/>
            </w:pPr>
            <w:r w:rsidRPr="00F00002">
              <w:t>Prescribed institutions pursuing objectives principally outside Australia</w:t>
            </w:r>
          </w:p>
        </w:tc>
      </w:tr>
      <w:tr w:rsidR="00874D28" w:rsidRPr="00F00002" w:rsidTr="00874D28">
        <w:trPr>
          <w:tblHeader/>
        </w:trPr>
        <w:tc>
          <w:tcPr>
            <w:tcW w:w="714" w:type="dxa"/>
            <w:tcBorders>
              <w:top w:val="single" w:sz="6" w:space="0" w:color="auto"/>
              <w:bottom w:val="nil"/>
            </w:tcBorders>
            <w:shd w:val="clear" w:color="auto" w:fill="auto"/>
          </w:tcPr>
          <w:p w:rsidR="00874D28" w:rsidRPr="00F00002" w:rsidRDefault="00874D28" w:rsidP="00874D28">
            <w:pPr>
              <w:pStyle w:val="TableHeading"/>
            </w:pPr>
            <w:r w:rsidRPr="00F00002">
              <w:t>Item</w:t>
            </w:r>
          </w:p>
        </w:tc>
        <w:tc>
          <w:tcPr>
            <w:tcW w:w="4384" w:type="dxa"/>
            <w:tcBorders>
              <w:top w:val="single" w:sz="6" w:space="0" w:color="auto"/>
              <w:bottom w:val="nil"/>
            </w:tcBorders>
            <w:shd w:val="clear" w:color="auto" w:fill="auto"/>
          </w:tcPr>
          <w:p w:rsidR="00874D28" w:rsidRPr="00F00002" w:rsidRDefault="00874D28" w:rsidP="00874D28">
            <w:pPr>
              <w:pStyle w:val="TableHeading"/>
            </w:pPr>
            <w:r w:rsidRPr="00F00002">
              <w:t>Column 1</w:t>
            </w:r>
          </w:p>
        </w:tc>
        <w:tc>
          <w:tcPr>
            <w:tcW w:w="1843" w:type="dxa"/>
            <w:tcBorders>
              <w:top w:val="single" w:sz="6" w:space="0" w:color="auto"/>
              <w:bottom w:val="nil"/>
            </w:tcBorders>
            <w:shd w:val="clear" w:color="auto" w:fill="auto"/>
          </w:tcPr>
          <w:p w:rsidR="00874D28" w:rsidRPr="00F00002" w:rsidRDefault="00874D28" w:rsidP="00874D28">
            <w:pPr>
              <w:pStyle w:val="TableHeading"/>
            </w:pPr>
            <w:r w:rsidRPr="00F00002">
              <w:t>Column 2</w:t>
            </w:r>
          </w:p>
        </w:tc>
        <w:tc>
          <w:tcPr>
            <w:tcW w:w="1372" w:type="dxa"/>
            <w:tcBorders>
              <w:top w:val="single" w:sz="6" w:space="0" w:color="auto"/>
              <w:bottom w:val="nil"/>
            </w:tcBorders>
            <w:shd w:val="clear" w:color="auto" w:fill="auto"/>
          </w:tcPr>
          <w:p w:rsidR="00874D28" w:rsidRPr="00F00002" w:rsidRDefault="00874D28" w:rsidP="00874D28">
            <w:pPr>
              <w:pStyle w:val="TableHeading"/>
            </w:pPr>
            <w:r w:rsidRPr="00F00002">
              <w:t>Column 3</w:t>
            </w:r>
          </w:p>
        </w:tc>
      </w:tr>
      <w:tr w:rsidR="00874D28" w:rsidRPr="00F00002" w:rsidTr="00874D28">
        <w:trPr>
          <w:tblHeader/>
        </w:trPr>
        <w:tc>
          <w:tcPr>
            <w:tcW w:w="714" w:type="dxa"/>
            <w:tcBorders>
              <w:top w:val="nil"/>
              <w:bottom w:val="single" w:sz="12" w:space="0" w:color="auto"/>
            </w:tcBorders>
            <w:shd w:val="clear" w:color="auto" w:fill="auto"/>
          </w:tcPr>
          <w:p w:rsidR="00874D28" w:rsidRPr="00F00002" w:rsidRDefault="00874D28" w:rsidP="00874D28">
            <w:pPr>
              <w:pStyle w:val="TableHeading"/>
            </w:pPr>
          </w:p>
        </w:tc>
        <w:tc>
          <w:tcPr>
            <w:tcW w:w="4384" w:type="dxa"/>
            <w:tcBorders>
              <w:top w:val="nil"/>
              <w:bottom w:val="single" w:sz="12" w:space="0" w:color="auto"/>
            </w:tcBorders>
            <w:shd w:val="clear" w:color="auto" w:fill="auto"/>
          </w:tcPr>
          <w:p w:rsidR="00874D28" w:rsidRPr="00F00002" w:rsidRDefault="00874D28" w:rsidP="00874D28">
            <w:pPr>
              <w:pStyle w:val="TableHeading"/>
            </w:pPr>
            <w:r w:rsidRPr="00F00002">
              <w:t>Name of institution</w:t>
            </w:r>
          </w:p>
        </w:tc>
        <w:tc>
          <w:tcPr>
            <w:tcW w:w="1843" w:type="dxa"/>
            <w:tcBorders>
              <w:top w:val="nil"/>
              <w:bottom w:val="single" w:sz="12" w:space="0" w:color="auto"/>
            </w:tcBorders>
            <w:shd w:val="clear" w:color="auto" w:fill="auto"/>
          </w:tcPr>
          <w:p w:rsidR="00874D28" w:rsidRPr="00F00002" w:rsidRDefault="00874D28" w:rsidP="00874D28">
            <w:pPr>
              <w:pStyle w:val="TableHeading"/>
            </w:pPr>
            <w:r w:rsidRPr="00F00002">
              <w:t>Starting date</w:t>
            </w:r>
          </w:p>
        </w:tc>
        <w:tc>
          <w:tcPr>
            <w:tcW w:w="1372" w:type="dxa"/>
            <w:tcBorders>
              <w:top w:val="nil"/>
              <w:bottom w:val="single" w:sz="12" w:space="0" w:color="auto"/>
            </w:tcBorders>
            <w:shd w:val="clear" w:color="auto" w:fill="auto"/>
          </w:tcPr>
          <w:p w:rsidR="00874D28" w:rsidRPr="00F00002" w:rsidRDefault="00874D28" w:rsidP="00874D28">
            <w:pPr>
              <w:pStyle w:val="TableHeading"/>
            </w:pPr>
            <w:r w:rsidRPr="00F00002">
              <w:t>Ending date</w:t>
            </w:r>
          </w:p>
        </w:tc>
      </w:tr>
      <w:tr w:rsidR="00874D28" w:rsidRPr="00F00002" w:rsidTr="00874D28">
        <w:tc>
          <w:tcPr>
            <w:tcW w:w="714" w:type="dxa"/>
            <w:tcBorders>
              <w:top w:val="single" w:sz="12" w:space="0" w:color="auto"/>
            </w:tcBorders>
            <w:shd w:val="clear" w:color="auto" w:fill="auto"/>
          </w:tcPr>
          <w:p w:rsidR="00874D28" w:rsidRPr="00F00002" w:rsidRDefault="00874D28" w:rsidP="00874D28">
            <w:pPr>
              <w:pStyle w:val="Tabletext"/>
            </w:pPr>
            <w:r w:rsidRPr="00F00002">
              <w:t>1</w:t>
            </w:r>
          </w:p>
        </w:tc>
        <w:tc>
          <w:tcPr>
            <w:tcW w:w="4384" w:type="dxa"/>
            <w:tcBorders>
              <w:top w:val="single" w:sz="12" w:space="0" w:color="auto"/>
            </w:tcBorders>
            <w:shd w:val="clear" w:color="auto" w:fill="auto"/>
          </w:tcPr>
          <w:p w:rsidR="00874D28" w:rsidRPr="00F00002" w:rsidRDefault="00874D28" w:rsidP="00874D28">
            <w:pPr>
              <w:pStyle w:val="Tabletext"/>
            </w:pPr>
            <w:r w:rsidRPr="00F00002">
              <w:t>Alkitab Inc</w:t>
            </w:r>
          </w:p>
        </w:tc>
        <w:tc>
          <w:tcPr>
            <w:tcW w:w="1843" w:type="dxa"/>
            <w:tcBorders>
              <w:top w:val="single" w:sz="12" w:space="0" w:color="auto"/>
            </w:tcBorders>
            <w:shd w:val="clear" w:color="auto" w:fill="auto"/>
          </w:tcPr>
          <w:p w:rsidR="00874D28" w:rsidRPr="00F00002" w:rsidRDefault="00874D28" w:rsidP="00874D28">
            <w:pPr>
              <w:pStyle w:val="Tabletext"/>
            </w:pPr>
            <w:r w:rsidRPr="00F00002">
              <w:t>1</w:t>
            </w:r>
            <w:r w:rsidR="00F00002">
              <w:t> </w:t>
            </w:r>
            <w:r w:rsidRPr="00F00002">
              <w:t>July 1997</w:t>
            </w:r>
          </w:p>
        </w:tc>
        <w:tc>
          <w:tcPr>
            <w:tcW w:w="1372" w:type="dxa"/>
            <w:tcBorders>
              <w:top w:val="single" w:sz="12" w:space="0" w:color="auto"/>
            </w:tcBorders>
            <w:shd w:val="clear" w:color="auto" w:fill="auto"/>
          </w:tcPr>
          <w:p w:rsidR="00874D28" w:rsidRPr="00F00002" w:rsidRDefault="00874D28" w:rsidP="00874D28">
            <w:pPr>
              <w:pStyle w:val="Tabletext"/>
            </w:pPr>
          </w:p>
        </w:tc>
      </w:tr>
      <w:tr w:rsidR="00874D28" w:rsidRPr="00F00002" w:rsidTr="00874D28">
        <w:tc>
          <w:tcPr>
            <w:tcW w:w="714" w:type="dxa"/>
            <w:shd w:val="clear" w:color="auto" w:fill="auto"/>
          </w:tcPr>
          <w:p w:rsidR="00874D28" w:rsidRPr="00F00002" w:rsidRDefault="00874D28" w:rsidP="00874D28">
            <w:pPr>
              <w:pStyle w:val="Tabletext"/>
            </w:pPr>
            <w:r w:rsidRPr="00F00002">
              <w:t>2</w:t>
            </w:r>
          </w:p>
        </w:tc>
        <w:tc>
          <w:tcPr>
            <w:tcW w:w="4384" w:type="dxa"/>
            <w:shd w:val="clear" w:color="auto" w:fill="auto"/>
          </w:tcPr>
          <w:p w:rsidR="00874D28" w:rsidRPr="00F00002" w:rsidRDefault="00874D28" w:rsidP="00874D28">
            <w:pPr>
              <w:pStyle w:val="Tabletext"/>
            </w:pPr>
            <w:r w:rsidRPr="00F00002">
              <w:t>Asia</w:t>
            </w:r>
            <w:r w:rsidR="00F00002">
              <w:noBreakHyphen/>
            </w:r>
            <w:r w:rsidRPr="00F00002">
              <w:t>Pacific Christadelphian Bible Mission Incorporated</w:t>
            </w:r>
          </w:p>
        </w:tc>
        <w:tc>
          <w:tcPr>
            <w:tcW w:w="1843" w:type="dxa"/>
            <w:shd w:val="clear" w:color="auto" w:fill="auto"/>
          </w:tcPr>
          <w:p w:rsidR="00874D28" w:rsidRPr="00F00002" w:rsidRDefault="00874D28" w:rsidP="00874D28">
            <w:pPr>
              <w:pStyle w:val="Tabletext"/>
            </w:pPr>
            <w:r w:rsidRPr="00F00002">
              <w:t>1</w:t>
            </w:r>
            <w:r w:rsidR="00F00002">
              <w:t> </w:t>
            </w:r>
            <w:r w:rsidRPr="00F00002">
              <w:t>July 1997</w:t>
            </w:r>
          </w:p>
        </w:tc>
        <w:tc>
          <w:tcPr>
            <w:tcW w:w="1372" w:type="dxa"/>
            <w:shd w:val="clear" w:color="auto" w:fill="auto"/>
          </w:tcPr>
          <w:p w:rsidR="00874D28" w:rsidRPr="00F00002" w:rsidRDefault="00874D28" w:rsidP="00874D28">
            <w:pPr>
              <w:pStyle w:val="Tabletext"/>
            </w:pPr>
          </w:p>
        </w:tc>
      </w:tr>
      <w:tr w:rsidR="00874D28" w:rsidRPr="00F00002" w:rsidTr="00874D28">
        <w:tc>
          <w:tcPr>
            <w:tcW w:w="714" w:type="dxa"/>
            <w:shd w:val="clear" w:color="auto" w:fill="auto"/>
          </w:tcPr>
          <w:p w:rsidR="00874D28" w:rsidRPr="00F00002" w:rsidRDefault="00874D28" w:rsidP="00874D28">
            <w:pPr>
              <w:pStyle w:val="Tabletext"/>
            </w:pPr>
            <w:r w:rsidRPr="00F00002">
              <w:t>3</w:t>
            </w:r>
          </w:p>
        </w:tc>
        <w:tc>
          <w:tcPr>
            <w:tcW w:w="4384" w:type="dxa"/>
            <w:shd w:val="clear" w:color="auto" w:fill="auto"/>
          </w:tcPr>
          <w:p w:rsidR="00874D28" w:rsidRPr="00F00002" w:rsidRDefault="00874D28" w:rsidP="00874D28">
            <w:pPr>
              <w:pStyle w:val="Tabletext"/>
            </w:pPr>
            <w:r w:rsidRPr="00F00002">
              <w:t>Australian Advisory Council of the Christian Leaders’ Training College of Papua New Guinea</w:t>
            </w:r>
          </w:p>
        </w:tc>
        <w:tc>
          <w:tcPr>
            <w:tcW w:w="1843" w:type="dxa"/>
            <w:shd w:val="clear" w:color="auto" w:fill="auto"/>
          </w:tcPr>
          <w:p w:rsidR="00874D28" w:rsidRPr="00F00002" w:rsidRDefault="00874D28" w:rsidP="00874D28">
            <w:pPr>
              <w:pStyle w:val="Tabletext"/>
            </w:pPr>
            <w:r w:rsidRPr="00F00002">
              <w:t>1</w:t>
            </w:r>
            <w:r w:rsidR="00F00002">
              <w:t> </w:t>
            </w:r>
            <w:r w:rsidRPr="00F00002">
              <w:t>July 1997</w:t>
            </w:r>
          </w:p>
        </w:tc>
        <w:tc>
          <w:tcPr>
            <w:tcW w:w="1372" w:type="dxa"/>
            <w:shd w:val="clear" w:color="auto" w:fill="auto"/>
          </w:tcPr>
          <w:p w:rsidR="00874D28" w:rsidRPr="00F00002" w:rsidRDefault="00874D28" w:rsidP="00874D28">
            <w:pPr>
              <w:pStyle w:val="Tabletext"/>
            </w:pPr>
          </w:p>
        </w:tc>
      </w:tr>
      <w:tr w:rsidR="00874D28" w:rsidRPr="00F00002" w:rsidTr="00874D28">
        <w:tc>
          <w:tcPr>
            <w:tcW w:w="714" w:type="dxa"/>
            <w:shd w:val="clear" w:color="auto" w:fill="auto"/>
          </w:tcPr>
          <w:p w:rsidR="00874D28" w:rsidRPr="00F00002" w:rsidRDefault="00874D28" w:rsidP="00874D28">
            <w:pPr>
              <w:pStyle w:val="Tabletext"/>
            </w:pPr>
            <w:r w:rsidRPr="00F00002">
              <w:t>4</w:t>
            </w:r>
          </w:p>
        </w:tc>
        <w:tc>
          <w:tcPr>
            <w:tcW w:w="4384" w:type="dxa"/>
            <w:shd w:val="clear" w:color="auto" w:fill="auto"/>
          </w:tcPr>
          <w:p w:rsidR="00874D28" w:rsidRPr="00F00002" w:rsidRDefault="00874D28" w:rsidP="00874D28">
            <w:pPr>
              <w:pStyle w:val="Tabletext"/>
            </w:pPr>
            <w:r w:rsidRPr="00F00002">
              <w:t>Australian Evangelical Alliance Incorporated (Missions Interlink)</w:t>
            </w:r>
          </w:p>
        </w:tc>
        <w:tc>
          <w:tcPr>
            <w:tcW w:w="1843" w:type="dxa"/>
            <w:shd w:val="clear" w:color="auto" w:fill="auto"/>
          </w:tcPr>
          <w:p w:rsidR="00874D28" w:rsidRPr="00F00002" w:rsidRDefault="00874D28" w:rsidP="00874D28">
            <w:pPr>
              <w:pStyle w:val="Tabletext"/>
            </w:pPr>
            <w:r w:rsidRPr="00F00002">
              <w:t>1</w:t>
            </w:r>
            <w:r w:rsidR="00F00002">
              <w:t> </w:t>
            </w:r>
            <w:r w:rsidRPr="00F00002">
              <w:t>July 1997</w:t>
            </w:r>
          </w:p>
        </w:tc>
        <w:tc>
          <w:tcPr>
            <w:tcW w:w="1372" w:type="dxa"/>
            <w:shd w:val="clear" w:color="auto" w:fill="auto"/>
          </w:tcPr>
          <w:p w:rsidR="00874D28" w:rsidRPr="00F00002" w:rsidRDefault="00874D28" w:rsidP="00874D28">
            <w:pPr>
              <w:pStyle w:val="Tabletext"/>
            </w:pPr>
          </w:p>
        </w:tc>
      </w:tr>
      <w:tr w:rsidR="00874D28" w:rsidRPr="00F00002" w:rsidTr="00874D28">
        <w:tc>
          <w:tcPr>
            <w:tcW w:w="714" w:type="dxa"/>
            <w:shd w:val="clear" w:color="auto" w:fill="auto"/>
          </w:tcPr>
          <w:p w:rsidR="00874D28" w:rsidRPr="00F00002" w:rsidRDefault="00874D28" w:rsidP="00874D28">
            <w:pPr>
              <w:pStyle w:val="Tabletext"/>
            </w:pPr>
            <w:r w:rsidRPr="00F00002">
              <w:lastRenderedPageBreak/>
              <w:t>5</w:t>
            </w:r>
          </w:p>
        </w:tc>
        <w:tc>
          <w:tcPr>
            <w:tcW w:w="4384" w:type="dxa"/>
            <w:shd w:val="clear" w:color="auto" w:fill="auto"/>
          </w:tcPr>
          <w:p w:rsidR="00874D28" w:rsidRPr="00F00002" w:rsidRDefault="00874D28" w:rsidP="00874D28">
            <w:pPr>
              <w:pStyle w:val="Tabletext"/>
            </w:pPr>
            <w:r w:rsidRPr="00F00002">
              <w:t>Steer Incorporated</w:t>
            </w:r>
          </w:p>
        </w:tc>
        <w:tc>
          <w:tcPr>
            <w:tcW w:w="1843" w:type="dxa"/>
            <w:shd w:val="clear" w:color="auto" w:fill="auto"/>
          </w:tcPr>
          <w:p w:rsidR="00874D28" w:rsidRPr="00F00002" w:rsidRDefault="00874D28" w:rsidP="00874D28">
            <w:pPr>
              <w:pStyle w:val="Tabletext"/>
            </w:pPr>
            <w:r w:rsidRPr="00F00002">
              <w:t>1</w:t>
            </w:r>
            <w:r w:rsidR="00F00002">
              <w:t> </w:t>
            </w:r>
            <w:r w:rsidRPr="00F00002">
              <w:t>July 1997</w:t>
            </w:r>
          </w:p>
        </w:tc>
        <w:tc>
          <w:tcPr>
            <w:tcW w:w="1372" w:type="dxa"/>
            <w:shd w:val="clear" w:color="auto" w:fill="auto"/>
          </w:tcPr>
          <w:p w:rsidR="00874D28" w:rsidRPr="00F00002" w:rsidRDefault="00874D28" w:rsidP="00874D28">
            <w:pPr>
              <w:pStyle w:val="Tabletext"/>
            </w:pPr>
          </w:p>
        </w:tc>
      </w:tr>
      <w:tr w:rsidR="00874D28" w:rsidRPr="00F00002" w:rsidTr="00874D28">
        <w:tc>
          <w:tcPr>
            <w:tcW w:w="714" w:type="dxa"/>
            <w:shd w:val="clear" w:color="auto" w:fill="auto"/>
          </w:tcPr>
          <w:p w:rsidR="00874D28" w:rsidRPr="00F00002" w:rsidRDefault="00874D28" w:rsidP="00874D28">
            <w:pPr>
              <w:pStyle w:val="Tabletext"/>
            </w:pPr>
            <w:r w:rsidRPr="00F00002">
              <w:t>6</w:t>
            </w:r>
          </w:p>
        </w:tc>
        <w:tc>
          <w:tcPr>
            <w:tcW w:w="4384" w:type="dxa"/>
            <w:shd w:val="clear" w:color="auto" w:fill="auto"/>
          </w:tcPr>
          <w:p w:rsidR="00874D28" w:rsidRPr="00F00002" w:rsidRDefault="00874D28" w:rsidP="00874D28">
            <w:pPr>
              <w:pStyle w:val="Tabletext"/>
            </w:pPr>
            <w:r w:rsidRPr="00F00002">
              <w:t>The Trustees of the Marist Missions of the Pacific</w:t>
            </w:r>
          </w:p>
        </w:tc>
        <w:tc>
          <w:tcPr>
            <w:tcW w:w="1843" w:type="dxa"/>
            <w:shd w:val="clear" w:color="auto" w:fill="auto"/>
          </w:tcPr>
          <w:p w:rsidR="00874D28" w:rsidRPr="00F00002" w:rsidRDefault="00874D28" w:rsidP="00874D28">
            <w:pPr>
              <w:pStyle w:val="Tabletext"/>
            </w:pPr>
            <w:r w:rsidRPr="00F00002">
              <w:t>1</w:t>
            </w:r>
            <w:r w:rsidR="00F00002">
              <w:t> </w:t>
            </w:r>
            <w:r w:rsidRPr="00F00002">
              <w:t>July 1997</w:t>
            </w:r>
          </w:p>
        </w:tc>
        <w:tc>
          <w:tcPr>
            <w:tcW w:w="1372" w:type="dxa"/>
            <w:shd w:val="clear" w:color="auto" w:fill="auto"/>
          </w:tcPr>
          <w:p w:rsidR="00874D28" w:rsidRPr="00F00002" w:rsidRDefault="00874D28" w:rsidP="00874D28">
            <w:pPr>
              <w:pStyle w:val="Tabletext"/>
            </w:pPr>
          </w:p>
        </w:tc>
      </w:tr>
      <w:tr w:rsidR="00874D28" w:rsidRPr="00F00002" w:rsidTr="00874D28">
        <w:tc>
          <w:tcPr>
            <w:tcW w:w="714" w:type="dxa"/>
            <w:shd w:val="clear" w:color="auto" w:fill="auto"/>
          </w:tcPr>
          <w:p w:rsidR="00874D28" w:rsidRPr="00F00002" w:rsidRDefault="00874D28" w:rsidP="00874D28">
            <w:pPr>
              <w:pStyle w:val="Tabletext"/>
            </w:pPr>
            <w:r w:rsidRPr="00F00002">
              <w:t>7</w:t>
            </w:r>
          </w:p>
        </w:tc>
        <w:tc>
          <w:tcPr>
            <w:tcW w:w="4384" w:type="dxa"/>
            <w:shd w:val="clear" w:color="auto" w:fill="auto"/>
          </w:tcPr>
          <w:p w:rsidR="00874D28" w:rsidRPr="00F00002" w:rsidRDefault="00874D28" w:rsidP="00874D28">
            <w:pPr>
              <w:pStyle w:val="Tabletext"/>
            </w:pPr>
            <w:r w:rsidRPr="00F00002">
              <w:t>Zebedee Investments Limited</w:t>
            </w:r>
          </w:p>
        </w:tc>
        <w:tc>
          <w:tcPr>
            <w:tcW w:w="1843" w:type="dxa"/>
            <w:shd w:val="clear" w:color="auto" w:fill="auto"/>
          </w:tcPr>
          <w:p w:rsidR="00874D28" w:rsidRPr="00F00002" w:rsidRDefault="00874D28" w:rsidP="00874D28">
            <w:pPr>
              <w:pStyle w:val="Tabletext"/>
            </w:pPr>
            <w:r w:rsidRPr="00F00002">
              <w:t>1</w:t>
            </w:r>
            <w:r w:rsidR="00F00002">
              <w:t> </w:t>
            </w:r>
            <w:r w:rsidRPr="00F00002">
              <w:t>July 1997</w:t>
            </w:r>
          </w:p>
        </w:tc>
        <w:tc>
          <w:tcPr>
            <w:tcW w:w="1372" w:type="dxa"/>
            <w:shd w:val="clear" w:color="auto" w:fill="auto"/>
          </w:tcPr>
          <w:p w:rsidR="00874D28" w:rsidRPr="00F00002" w:rsidRDefault="00874D28" w:rsidP="00874D28">
            <w:pPr>
              <w:pStyle w:val="Tabletext"/>
            </w:pPr>
          </w:p>
        </w:tc>
      </w:tr>
      <w:tr w:rsidR="00874D28" w:rsidRPr="00F00002" w:rsidTr="00874D28">
        <w:tc>
          <w:tcPr>
            <w:tcW w:w="714" w:type="dxa"/>
            <w:tcBorders>
              <w:top w:val="single" w:sz="2" w:space="0" w:color="auto"/>
              <w:bottom w:val="single" w:sz="2" w:space="0" w:color="auto"/>
            </w:tcBorders>
            <w:shd w:val="clear" w:color="auto" w:fill="auto"/>
          </w:tcPr>
          <w:p w:rsidR="00874D28" w:rsidRPr="00F00002" w:rsidRDefault="00874D28" w:rsidP="00874D28">
            <w:pPr>
              <w:pStyle w:val="Tabletext"/>
            </w:pPr>
            <w:r w:rsidRPr="00F00002">
              <w:t>8</w:t>
            </w:r>
          </w:p>
        </w:tc>
        <w:tc>
          <w:tcPr>
            <w:tcW w:w="4384" w:type="dxa"/>
            <w:tcBorders>
              <w:top w:val="single" w:sz="2" w:space="0" w:color="auto"/>
              <w:bottom w:val="single" w:sz="2" w:space="0" w:color="auto"/>
            </w:tcBorders>
            <w:shd w:val="clear" w:color="auto" w:fill="auto"/>
          </w:tcPr>
          <w:p w:rsidR="00874D28" w:rsidRPr="00F00002" w:rsidRDefault="00874D28" w:rsidP="00874D28">
            <w:pPr>
              <w:pStyle w:val="Tabletext"/>
            </w:pPr>
            <w:r w:rsidRPr="00F00002">
              <w:t>Millennium Relief and Development Services Incorporated</w:t>
            </w:r>
          </w:p>
        </w:tc>
        <w:tc>
          <w:tcPr>
            <w:tcW w:w="1843" w:type="dxa"/>
            <w:tcBorders>
              <w:top w:val="single" w:sz="2" w:space="0" w:color="auto"/>
              <w:bottom w:val="single" w:sz="2" w:space="0" w:color="auto"/>
            </w:tcBorders>
            <w:shd w:val="clear" w:color="auto" w:fill="auto"/>
          </w:tcPr>
          <w:p w:rsidR="00874D28" w:rsidRPr="00F00002" w:rsidRDefault="00874D28" w:rsidP="00874D28">
            <w:pPr>
              <w:pStyle w:val="Tabletext"/>
            </w:pPr>
            <w:r w:rsidRPr="00F00002">
              <w:t>3</w:t>
            </w:r>
            <w:r w:rsidR="00F00002">
              <w:t> </w:t>
            </w:r>
            <w:r w:rsidRPr="00F00002">
              <w:t>September 2001</w:t>
            </w:r>
          </w:p>
        </w:tc>
        <w:tc>
          <w:tcPr>
            <w:tcW w:w="1372" w:type="dxa"/>
            <w:tcBorders>
              <w:top w:val="single" w:sz="2" w:space="0" w:color="auto"/>
              <w:bottom w:val="single" w:sz="2" w:space="0" w:color="auto"/>
            </w:tcBorders>
            <w:shd w:val="clear" w:color="auto" w:fill="auto"/>
          </w:tcPr>
          <w:p w:rsidR="00874D28" w:rsidRPr="00F00002" w:rsidRDefault="00874D28" w:rsidP="00874D28">
            <w:pPr>
              <w:pStyle w:val="Tabletext"/>
            </w:pPr>
          </w:p>
        </w:tc>
      </w:tr>
      <w:tr w:rsidR="00874D28" w:rsidRPr="00F00002" w:rsidTr="00874D28">
        <w:tc>
          <w:tcPr>
            <w:tcW w:w="714" w:type="dxa"/>
            <w:tcBorders>
              <w:top w:val="single" w:sz="2" w:space="0" w:color="auto"/>
              <w:bottom w:val="single" w:sz="12" w:space="0" w:color="auto"/>
            </w:tcBorders>
            <w:shd w:val="clear" w:color="auto" w:fill="auto"/>
          </w:tcPr>
          <w:p w:rsidR="00874D28" w:rsidRPr="00F00002" w:rsidRDefault="00874D28" w:rsidP="00874D28">
            <w:pPr>
              <w:pStyle w:val="Tabletext"/>
            </w:pPr>
            <w:r w:rsidRPr="00F00002">
              <w:t>9</w:t>
            </w:r>
          </w:p>
        </w:tc>
        <w:tc>
          <w:tcPr>
            <w:tcW w:w="4384" w:type="dxa"/>
            <w:tcBorders>
              <w:top w:val="single" w:sz="2" w:space="0" w:color="auto"/>
              <w:bottom w:val="single" w:sz="12" w:space="0" w:color="auto"/>
            </w:tcBorders>
            <w:shd w:val="clear" w:color="auto" w:fill="auto"/>
          </w:tcPr>
          <w:p w:rsidR="00874D28" w:rsidRPr="00F00002" w:rsidRDefault="00874D28" w:rsidP="00874D28">
            <w:pPr>
              <w:pStyle w:val="Tabletext"/>
            </w:pPr>
            <w:r w:rsidRPr="00F00002">
              <w:t>The MITRE Corporation</w:t>
            </w:r>
          </w:p>
        </w:tc>
        <w:tc>
          <w:tcPr>
            <w:tcW w:w="1843" w:type="dxa"/>
            <w:tcBorders>
              <w:top w:val="single" w:sz="2" w:space="0" w:color="auto"/>
              <w:bottom w:val="single" w:sz="12" w:space="0" w:color="auto"/>
            </w:tcBorders>
            <w:shd w:val="clear" w:color="auto" w:fill="auto"/>
          </w:tcPr>
          <w:p w:rsidR="00874D28" w:rsidRPr="00F00002" w:rsidRDefault="00874D28" w:rsidP="00874D28">
            <w:pPr>
              <w:pStyle w:val="Tabletext"/>
            </w:pPr>
            <w:r w:rsidRPr="00F00002">
              <w:t>1</w:t>
            </w:r>
            <w:r w:rsidR="00F00002">
              <w:t> </w:t>
            </w:r>
            <w:r w:rsidRPr="00F00002">
              <w:t>July 2016</w:t>
            </w:r>
          </w:p>
        </w:tc>
        <w:tc>
          <w:tcPr>
            <w:tcW w:w="1372" w:type="dxa"/>
            <w:tcBorders>
              <w:top w:val="single" w:sz="2" w:space="0" w:color="auto"/>
              <w:bottom w:val="single" w:sz="12" w:space="0" w:color="auto"/>
            </w:tcBorders>
            <w:shd w:val="clear" w:color="auto" w:fill="auto"/>
          </w:tcPr>
          <w:p w:rsidR="00874D28" w:rsidRPr="00F00002" w:rsidRDefault="00874D28" w:rsidP="00874D28">
            <w:pPr>
              <w:pStyle w:val="Tabletext"/>
            </w:pPr>
            <w:r w:rsidRPr="00F00002">
              <w:t>30</w:t>
            </w:r>
            <w:r w:rsidR="00F00002">
              <w:t> </w:t>
            </w:r>
            <w:r w:rsidRPr="00F00002">
              <w:t>June 2022</w:t>
            </w:r>
          </w:p>
        </w:tc>
      </w:tr>
    </w:tbl>
    <w:p w:rsidR="008F3CB6" w:rsidRPr="00F00002" w:rsidRDefault="008F3CB6" w:rsidP="008F3CB6">
      <w:pPr>
        <w:pStyle w:val="ActHead5"/>
      </w:pPr>
      <w:bookmarkStart w:id="30" w:name="_Toc31109614"/>
      <w:r w:rsidRPr="00A26088">
        <w:rPr>
          <w:rStyle w:val="CharSectno"/>
        </w:rPr>
        <w:t>50</w:t>
      </w:r>
      <w:r w:rsidR="00F00002" w:rsidRPr="00A26088">
        <w:rPr>
          <w:rStyle w:val="CharSectno"/>
        </w:rPr>
        <w:noBreakHyphen/>
      </w:r>
      <w:r w:rsidRPr="00A26088">
        <w:rPr>
          <w:rStyle w:val="CharSectno"/>
        </w:rPr>
        <w:t>50.03</w:t>
      </w:r>
      <w:r w:rsidRPr="00F00002">
        <w:t xml:space="preserve">  Prescribed sporting society, association or club</w:t>
      </w:r>
      <w:bookmarkEnd w:id="30"/>
    </w:p>
    <w:p w:rsidR="008F3CB6" w:rsidRPr="00F00002" w:rsidRDefault="008F3CB6" w:rsidP="008F3CB6">
      <w:pPr>
        <w:pStyle w:val="subsection"/>
      </w:pPr>
      <w:r w:rsidRPr="00F00002">
        <w:tab/>
      </w:r>
      <w:r w:rsidRPr="00F00002">
        <w:tab/>
        <w:t xml:space="preserve">For </w:t>
      </w:r>
      <w:r w:rsidR="00874D28" w:rsidRPr="00F00002">
        <w:t>the purposes of paragraph</w:t>
      </w:r>
      <w:r w:rsidR="00F00002">
        <w:t> </w:t>
      </w:r>
      <w:r w:rsidR="00874D28" w:rsidRPr="00F00002">
        <w:t>50</w:t>
      </w:r>
      <w:r w:rsidR="00F00002">
        <w:noBreakHyphen/>
      </w:r>
      <w:r w:rsidR="00874D28" w:rsidRPr="00F00002">
        <w:t>70(1)(c)</w:t>
      </w:r>
      <w:r w:rsidRPr="00F00002">
        <w:t xml:space="preserve"> of the Act, International Cricket Council Development (International) Limited is prescribed for the period that starts on 1</w:t>
      </w:r>
      <w:r w:rsidR="00F00002">
        <w:t> </w:t>
      </w:r>
      <w:r w:rsidRPr="00F00002">
        <w:t>July 2013 and ends on 30</w:t>
      </w:r>
      <w:r w:rsidR="00F00002">
        <w:t> </w:t>
      </w:r>
      <w:r w:rsidRPr="00F00002">
        <w:t>June 2018.</w:t>
      </w:r>
    </w:p>
    <w:p w:rsidR="00792A76" w:rsidRPr="00F00002" w:rsidRDefault="00792A76" w:rsidP="00792A76">
      <w:pPr>
        <w:pStyle w:val="ActHead5"/>
      </w:pPr>
      <w:bookmarkStart w:id="31" w:name="_Toc31109615"/>
      <w:r w:rsidRPr="00A26088">
        <w:rPr>
          <w:rStyle w:val="CharSectno"/>
        </w:rPr>
        <w:t>50</w:t>
      </w:r>
      <w:r w:rsidR="00F00002" w:rsidRPr="00A26088">
        <w:rPr>
          <w:rStyle w:val="CharSectno"/>
        </w:rPr>
        <w:noBreakHyphen/>
      </w:r>
      <w:r w:rsidRPr="00A26088">
        <w:rPr>
          <w:rStyle w:val="CharSectno"/>
        </w:rPr>
        <w:t>55.01</w:t>
      </w:r>
      <w:r w:rsidRPr="00F00002">
        <w:t xml:space="preserve">  Prescribed institutions for items</w:t>
      </w:r>
      <w:r w:rsidR="00F00002">
        <w:t> </w:t>
      </w:r>
      <w:r w:rsidRPr="00F00002">
        <w:t>1.3, 1.4, 6.1 and 6.2 in Division</w:t>
      </w:r>
      <w:r w:rsidR="00F00002">
        <w:t> </w:t>
      </w:r>
      <w:r w:rsidRPr="00F00002">
        <w:t>50</w:t>
      </w:r>
      <w:bookmarkEnd w:id="31"/>
    </w:p>
    <w:p w:rsidR="00792A76" w:rsidRPr="00F00002" w:rsidRDefault="00792A76" w:rsidP="00792A76">
      <w:pPr>
        <w:pStyle w:val="subsection"/>
      </w:pPr>
      <w:r w:rsidRPr="00F00002">
        <w:tab/>
      </w:r>
      <w:r w:rsidRPr="00F00002">
        <w:tab/>
        <w:t>For the purposes of paragraph</w:t>
      </w:r>
      <w:r w:rsidR="00F00002">
        <w:t> </w:t>
      </w:r>
      <w:r w:rsidRPr="00F00002">
        <w:t>50</w:t>
      </w:r>
      <w:r w:rsidR="00F00002">
        <w:noBreakHyphen/>
      </w:r>
      <w:r w:rsidRPr="00F00002">
        <w:t>55(1)(c) of the Act, each institution mentioned in an item in the following table is a prescribed institution for the period:</w:t>
      </w:r>
    </w:p>
    <w:p w:rsidR="00792A76" w:rsidRPr="00F00002" w:rsidRDefault="00792A76" w:rsidP="00792A76">
      <w:pPr>
        <w:pStyle w:val="paragraph"/>
      </w:pPr>
      <w:r w:rsidRPr="00F00002">
        <w:tab/>
        <w:t>(a)</w:t>
      </w:r>
      <w:r w:rsidRPr="00F00002">
        <w:tab/>
        <w:t>starting on the date specified in column 2 for the item; and</w:t>
      </w:r>
    </w:p>
    <w:p w:rsidR="00792A76" w:rsidRPr="00F00002" w:rsidRDefault="00792A76" w:rsidP="00792A76">
      <w:pPr>
        <w:pStyle w:val="paragraph"/>
      </w:pPr>
      <w:r w:rsidRPr="00F00002">
        <w:tab/>
        <w:t>(b)</w:t>
      </w:r>
      <w:r w:rsidRPr="00F00002">
        <w:tab/>
        <w:t>ending on the date specified (if any) in column 3 for the item.</w:t>
      </w:r>
    </w:p>
    <w:p w:rsidR="00792A76" w:rsidRPr="00F00002" w:rsidRDefault="00792A76" w:rsidP="00792A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384"/>
        <w:gridCol w:w="1843"/>
        <w:gridCol w:w="1372"/>
      </w:tblGrid>
      <w:tr w:rsidR="00792A76" w:rsidRPr="00F00002" w:rsidTr="006C0D0D">
        <w:trPr>
          <w:tblHeader/>
        </w:trPr>
        <w:tc>
          <w:tcPr>
            <w:tcW w:w="8313" w:type="dxa"/>
            <w:gridSpan w:val="4"/>
            <w:tcBorders>
              <w:top w:val="single" w:sz="12" w:space="0" w:color="auto"/>
              <w:bottom w:val="single" w:sz="6" w:space="0" w:color="auto"/>
            </w:tcBorders>
            <w:shd w:val="clear" w:color="auto" w:fill="auto"/>
          </w:tcPr>
          <w:p w:rsidR="00792A76" w:rsidRPr="00F00002" w:rsidRDefault="00792A76" w:rsidP="006C0D0D">
            <w:pPr>
              <w:pStyle w:val="TableHeading"/>
            </w:pPr>
            <w:r w:rsidRPr="00F00002">
              <w:t>Prescribed institutions for items</w:t>
            </w:r>
            <w:r w:rsidR="00F00002">
              <w:t> </w:t>
            </w:r>
            <w:r w:rsidRPr="00F00002">
              <w:t>1.3, 1.4, 6.1 and 6.2 in Division</w:t>
            </w:r>
            <w:r w:rsidR="00F00002">
              <w:t> </w:t>
            </w:r>
            <w:r w:rsidRPr="00F00002">
              <w:t>50</w:t>
            </w:r>
          </w:p>
        </w:tc>
      </w:tr>
      <w:tr w:rsidR="00792A76" w:rsidRPr="00F00002" w:rsidTr="006C0D0D">
        <w:trPr>
          <w:tblHeader/>
        </w:trPr>
        <w:tc>
          <w:tcPr>
            <w:tcW w:w="714" w:type="dxa"/>
            <w:tcBorders>
              <w:top w:val="single" w:sz="6" w:space="0" w:color="auto"/>
              <w:bottom w:val="single" w:sz="12" w:space="0" w:color="auto"/>
            </w:tcBorders>
            <w:shd w:val="clear" w:color="auto" w:fill="auto"/>
          </w:tcPr>
          <w:p w:rsidR="00792A76" w:rsidRPr="00F00002" w:rsidRDefault="00792A76" w:rsidP="006C0D0D">
            <w:pPr>
              <w:pStyle w:val="TableHeading"/>
            </w:pPr>
            <w:r w:rsidRPr="00F00002">
              <w:t>Item</w:t>
            </w:r>
          </w:p>
        </w:tc>
        <w:tc>
          <w:tcPr>
            <w:tcW w:w="4384" w:type="dxa"/>
            <w:tcBorders>
              <w:top w:val="single" w:sz="6" w:space="0" w:color="auto"/>
              <w:bottom w:val="single" w:sz="12" w:space="0" w:color="auto"/>
            </w:tcBorders>
            <w:shd w:val="clear" w:color="auto" w:fill="auto"/>
          </w:tcPr>
          <w:p w:rsidR="00792A76" w:rsidRPr="00F00002" w:rsidRDefault="00792A76" w:rsidP="006C0D0D">
            <w:pPr>
              <w:pStyle w:val="TableHeading"/>
            </w:pPr>
            <w:r w:rsidRPr="00F00002">
              <w:t>Column 1</w:t>
            </w:r>
          </w:p>
          <w:p w:rsidR="00792A76" w:rsidRPr="00F00002" w:rsidRDefault="00792A76" w:rsidP="006C0D0D">
            <w:pPr>
              <w:pStyle w:val="TableHeading"/>
            </w:pPr>
            <w:r w:rsidRPr="00F00002">
              <w:t>Name of institution</w:t>
            </w:r>
          </w:p>
        </w:tc>
        <w:tc>
          <w:tcPr>
            <w:tcW w:w="1843" w:type="dxa"/>
            <w:tcBorders>
              <w:top w:val="single" w:sz="6" w:space="0" w:color="auto"/>
              <w:bottom w:val="single" w:sz="12" w:space="0" w:color="auto"/>
            </w:tcBorders>
            <w:shd w:val="clear" w:color="auto" w:fill="auto"/>
          </w:tcPr>
          <w:p w:rsidR="00792A76" w:rsidRPr="00F00002" w:rsidRDefault="00792A76" w:rsidP="006C0D0D">
            <w:pPr>
              <w:pStyle w:val="TableHeading"/>
            </w:pPr>
            <w:r w:rsidRPr="00F00002">
              <w:t>Column 2</w:t>
            </w:r>
          </w:p>
          <w:p w:rsidR="00792A76" w:rsidRPr="00F00002" w:rsidRDefault="00792A76" w:rsidP="006C0D0D">
            <w:pPr>
              <w:pStyle w:val="TableHeading"/>
            </w:pPr>
            <w:r w:rsidRPr="00F00002">
              <w:t>Starting date</w:t>
            </w:r>
          </w:p>
        </w:tc>
        <w:tc>
          <w:tcPr>
            <w:tcW w:w="1372" w:type="dxa"/>
            <w:tcBorders>
              <w:top w:val="single" w:sz="6" w:space="0" w:color="auto"/>
              <w:bottom w:val="single" w:sz="12" w:space="0" w:color="auto"/>
            </w:tcBorders>
            <w:shd w:val="clear" w:color="auto" w:fill="auto"/>
          </w:tcPr>
          <w:p w:rsidR="00792A76" w:rsidRPr="00F00002" w:rsidRDefault="00792A76" w:rsidP="006C0D0D">
            <w:pPr>
              <w:pStyle w:val="TableHeading"/>
            </w:pPr>
            <w:r w:rsidRPr="00F00002">
              <w:t>Column 3</w:t>
            </w:r>
          </w:p>
          <w:p w:rsidR="00792A76" w:rsidRPr="00F00002" w:rsidRDefault="00792A76" w:rsidP="006C0D0D">
            <w:pPr>
              <w:pStyle w:val="TableHeading"/>
            </w:pPr>
            <w:r w:rsidRPr="00F00002">
              <w:t>Ending date</w:t>
            </w:r>
          </w:p>
        </w:tc>
      </w:tr>
      <w:tr w:rsidR="00792A76" w:rsidRPr="00F00002" w:rsidTr="006C0D0D">
        <w:tc>
          <w:tcPr>
            <w:tcW w:w="714" w:type="dxa"/>
            <w:tcBorders>
              <w:top w:val="single" w:sz="12" w:space="0" w:color="auto"/>
              <w:bottom w:val="single" w:sz="12" w:space="0" w:color="auto"/>
            </w:tcBorders>
            <w:shd w:val="clear" w:color="auto" w:fill="auto"/>
          </w:tcPr>
          <w:p w:rsidR="00792A76" w:rsidRPr="00F00002" w:rsidRDefault="00792A76" w:rsidP="006C0D0D">
            <w:pPr>
              <w:pStyle w:val="Tabletext"/>
            </w:pPr>
            <w:r w:rsidRPr="00F00002">
              <w:t>1</w:t>
            </w:r>
          </w:p>
        </w:tc>
        <w:tc>
          <w:tcPr>
            <w:tcW w:w="4384" w:type="dxa"/>
            <w:tcBorders>
              <w:top w:val="single" w:sz="12" w:space="0" w:color="auto"/>
              <w:bottom w:val="single" w:sz="12" w:space="0" w:color="auto"/>
            </w:tcBorders>
            <w:shd w:val="clear" w:color="auto" w:fill="auto"/>
          </w:tcPr>
          <w:p w:rsidR="00792A76" w:rsidRPr="00F00002" w:rsidRDefault="00792A76" w:rsidP="006C0D0D">
            <w:pPr>
              <w:pStyle w:val="Tabletext"/>
            </w:pPr>
            <w:r w:rsidRPr="00F00002">
              <w:t>Kiribati Phoenix Islands Protected Area Conservation Trust</w:t>
            </w:r>
          </w:p>
        </w:tc>
        <w:tc>
          <w:tcPr>
            <w:tcW w:w="1843" w:type="dxa"/>
            <w:tcBorders>
              <w:top w:val="single" w:sz="12" w:space="0" w:color="auto"/>
              <w:bottom w:val="single" w:sz="12" w:space="0" w:color="auto"/>
            </w:tcBorders>
            <w:shd w:val="clear" w:color="auto" w:fill="auto"/>
          </w:tcPr>
          <w:p w:rsidR="00792A76" w:rsidRPr="00F00002" w:rsidRDefault="00792A76" w:rsidP="006C0D0D">
            <w:pPr>
              <w:pStyle w:val="Tabletext"/>
            </w:pPr>
            <w:r w:rsidRPr="00F00002">
              <w:t>1</w:t>
            </w:r>
            <w:r w:rsidR="00F00002">
              <w:t> </w:t>
            </w:r>
            <w:r w:rsidRPr="00F00002">
              <w:t>July 2015</w:t>
            </w:r>
          </w:p>
        </w:tc>
        <w:tc>
          <w:tcPr>
            <w:tcW w:w="1372" w:type="dxa"/>
            <w:tcBorders>
              <w:top w:val="single" w:sz="12" w:space="0" w:color="auto"/>
              <w:bottom w:val="single" w:sz="12" w:space="0" w:color="auto"/>
            </w:tcBorders>
            <w:shd w:val="clear" w:color="auto" w:fill="auto"/>
          </w:tcPr>
          <w:p w:rsidR="00792A76" w:rsidRPr="00F00002" w:rsidRDefault="00792A76" w:rsidP="006C0D0D">
            <w:pPr>
              <w:pStyle w:val="Tabletext"/>
            </w:pPr>
            <w:r w:rsidRPr="00F00002">
              <w:t>30</w:t>
            </w:r>
            <w:r w:rsidR="00F00002">
              <w:t> </w:t>
            </w:r>
            <w:r w:rsidRPr="00F00002">
              <w:t>June 2023</w:t>
            </w:r>
          </w:p>
        </w:tc>
      </w:tr>
    </w:tbl>
    <w:p w:rsidR="00BB4501" w:rsidRPr="00F00002" w:rsidRDefault="00D150ED" w:rsidP="00D150ED">
      <w:pPr>
        <w:pStyle w:val="ActHead3"/>
        <w:pageBreakBefore/>
      </w:pPr>
      <w:bookmarkStart w:id="32" w:name="_Toc31109616"/>
      <w:r w:rsidRPr="00A26088">
        <w:rPr>
          <w:rStyle w:val="CharDivNo"/>
        </w:rPr>
        <w:lastRenderedPageBreak/>
        <w:t>Division</w:t>
      </w:r>
      <w:r w:rsidR="00F00002" w:rsidRPr="00A26088">
        <w:rPr>
          <w:rStyle w:val="CharDivNo"/>
        </w:rPr>
        <w:t> </w:t>
      </w:r>
      <w:r w:rsidR="00BB4501" w:rsidRPr="00A26088">
        <w:rPr>
          <w:rStyle w:val="CharDivNo"/>
        </w:rPr>
        <w:t>51</w:t>
      </w:r>
      <w:r w:rsidRPr="00F00002">
        <w:t>—</w:t>
      </w:r>
      <w:r w:rsidR="00BB4501" w:rsidRPr="00A26088">
        <w:rPr>
          <w:rStyle w:val="CharDivText"/>
        </w:rPr>
        <w:t>Exempt amounts</w:t>
      </w:r>
      <w:bookmarkEnd w:id="32"/>
    </w:p>
    <w:p w:rsidR="000764F3" w:rsidRPr="00F00002" w:rsidRDefault="000764F3" w:rsidP="000764F3">
      <w:pPr>
        <w:pStyle w:val="ActHead5"/>
      </w:pPr>
      <w:bookmarkStart w:id="33" w:name="_Toc31109617"/>
      <w:r w:rsidRPr="00A26088">
        <w:rPr>
          <w:rStyle w:val="CharSectno"/>
        </w:rPr>
        <w:t>51</w:t>
      </w:r>
      <w:r w:rsidR="00F00002" w:rsidRPr="00A26088">
        <w:rPr>
          <w:rStyle w:val="CharSectno"/>
        </w:rPr>
        <w:noBreakHyphen/>
      </w:r>
      <w:r w:rsidRPr="00A26088">
        <w:rPr>
          <w:rStyle w:val="CharSectno"/>
        </w:rPr>
        <w:t>5.01</w:t>
      </w:r>
      <w:r w:rsidRPr="00F00002">
        <w:t xml:space="preserve">  Defence allowances</w:t>
      </w:r>
      <w:bookmarkEnd w:id="33"/>
    </w:p>
    <w:p w:rsidR="000764F3" w:rsidRPr="00F00002" w:rsidRDefault="000764F3" w:rsidP="000764F3">
      <w:pPr>
        <w:pStyle w:val="subsection"/>
      </w:pPr>
      <w:r w:rsidRPr="00F00002">
        <w:tab/>
        <w:t>(1)</w:t>
      </w:r>
      <w:r w:rsidRPr="00F00002">
        <w:tab/>
        <w:t>For the purposes of items</w:t>
      </w:r>
      <w:r w:rsidR="00F00002">
        <w:t> </w:t>
      </w:r>
      <w:r w:rsidRPr="00F00002">
        <w:t>1.1 and 1.2 of section</w:t>
      </w:r>
      <w:r w:rsidR="00F00002">
        <w:t> </w:t>
      </w:r>
      <w:r w:rsidRPr="00F00002">
        <w:t>51</w:t>
      </w:r>
      <w:r w:rsidR="00F00002">
        <w:noBreakHyphen/>
      </w:r>
      <w:r w:rsidRPr="00F00002">
        <w:t>5 of the Act, the following allowances are prescribed:</w:t>
      </w:r>
    </w:p>
    <w:p w:rsidR="000764F3" w:rsidRPr="00F00002" w:rsidRDefault="000764F3" w:rsidP="000764F3">
      <w:pPr>
        <w:pStyle w:val="paragraph"/>
      </w:pPr>
      <w:r w:rsidRPr="00F00002">
        <w:tab/>
        <w:t>(a)</w:t>
      </w:r>
      <w:r w:rsidRPr="00F00002">
        <w:tab/>
        <w:t>separation allowance paid on or after 28</w:t>
      </w:r>
      <w:r w:rsidR="00F00002">
        <w:t> </w:t>
      </w:r>
      <w:r w:rsidRPr="00F00002">
        <w:t>June 2007 under the 2006 allowances determination;</w:t>
      </w:r>
    </w:p>
    <w:p w:rsidR="000764F3" w:rsidRPr="00F00002" w:rsidRDefault="000764F3" w:rsidP="000764F3">
      <w:pPr>
        <w:pStyle w:val="paragraph"/>
      </w:pPr>
      <w:r w:rsidRPr="00F00002">
        <w:tab/>
        <w:t>(b)</w:t>
      </w:r>
      <w:r w:rsidRPr="00F00002">
        <w:tab/>
        <w:t>an allowance specified in an item of the following table and either:</w:t>
      </w:r>
    </w:p>
    <w:p w:rsidR="000764F3" w:rsidRPr="00F00002" w:rsidRDefault="000764F3" w:rsidP="000764F3">
      <w:pPr>
        <w:pStyle w:val="paragraphsub"/>
      </w:pPr>
      <w:r w:rsidRPr="00F00002">
        <w:tab/>
        <w:t>(i)</w:t>
      </w:r>
      <w:r w:rsidRPr="00F00002">
        <w:tab/>
        <w:t>paid on or after 12</w:t>
      </w:r>
      <w:r w:rsidR="00F00002">
        <w:t> </w:t>
      </w:r>
      <w:r w:rsidRPr="00F00002">
        <w:t>September 2013 under the specified provision of the 2013 allowances determination; or</w:t>
      </w:r>
    </w:p>
    <w:p w:rsidR="000764F3" w:rsidRPr="00F00002" w:rsidRDefault="000764F3" w:rsidP="000764F3">
      <w:pPr>
        <w:pStyle w:val="paragraphsub"/>
      </w:pPr>
      <w:r w:rsidRPr="00F00002">
        <w:tab/>
        <w:t>(ii)</w:t>
      </w:r>
      <w:r w:rsidRPr="00F00002">
        <w:tab/>
        <w:t>paid on or after 1</w:t>
      </w:r>
      <w:r w:rsidR="00F00002">
        <w:t> </w:t>
      </w:r>
      <w:r w:rsidRPr="00F00002">
        <w:t>July 2016 under the specified provision of the conditions determination.</w:t>
      </w:r>
    </w:p>
    <w:p w:rsidR="000764F3" w:rsidRPr="00F00002" w:rsidRDefault="000764F3" w:rsidP="000764F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668"/>
        <w:gridCol w:w="2930"/>
      </w:tblGrid>
      <w:tr w:rsidR="000764F3" w:rsidRPr="00F00002" w:rsidTr="003017C9">
        <w:trPr>
          <w:tblHeader/>
        </w:trPr>
        <w:tc>
          <w:tcPr>
            <w:tcW w:w="8312" w:type="dxa"/>
            <w:gridSpan w:val="3"/>
            <w:tcBorders>
              <w:top w:val="single" w:sz="12" w:space="0" w:color="auto"/>
              <w:bottom w:val="single" w:sz="6" w:space="0" w:color="auto"/>
            </w:tcBorders>
            <w:shd w:val="clear" w:color="auto" w:fill="auto"/>
          </w:tcPr>
          <w:p w:rsidR="000764F3" w:rsidRPr="00F00002" w:rsidRDefault="000764F3" w:rsidP="003017C9">
            <w:pPr>
              <w:pStyle w:val="TableHeading"/>
            </w:pPr>
            <w:r w:rsidRPr="00F00002">
              <w:t>Prescribed allowances</w:t>
            </w:r>
          </w:p>
        </w:tc>
      </w:tr>
      <w:tr w:rsidR="000764F3" w:rsidRPr="00F00002" w:rsidTr="003017C9">
        <w:trPr>
          <w:tblHeader/>
        </w:trPr>
        <w:tc>
          <w:tcPr>
            <w:tcW w:w="714" w:type="dxa"/>
            <w:tcBorders>
              <w:top w:val="single" w:sz="6" w:space="0" w:color="auto"/>
              <w:bottom w:val="single" w:sz="12" w:space="0" w:color="auto"/>
            </w:tcBorders>
            <w:shd w:val="clear" w:color="auto" w:fill="auto"/>
          </w:tcPr>
          <w:p w:rsidR="000764F3" w:rsidRPr="00F00002" w:rsidRDefault="000764F3" w:rsidP="003017C9">
            <w:pPr>
              <w:pStyle w:val="TableHeading"/>
            </w:pPr>
            <w:r w:rsidRPr="00F00002">
              <w:t>Item</w:t>
            </w:r>
          </w:p>
        </w:tc>
        <w:tc>
          <w:tcPr>
            <w:tcW w:w="4668" w:type="dxa"/>
            <w:tcBorders>
              <w:top w:val="single" w:sz="6" w:space="0" w:color="auto"/>
              <w:bottom w:val="single" w:sz="12" w:space="0" w:color="auto"/>
            </w:tcBorders>
            <w:shd w:val="clear" w:color="auto" w:fill="auto"/>
          </w:tcPr>
          <w:p w:rsidR="000764F3" w:rsidRPr="00F00002" w:rsidRDefault="000764F3" w:rsidP="003017C9">
            <w:pPr>
              <w:pStyle w:val="TableHeading"/>
            </w:pPr>
            <w:r w:rsidRPr="00F00002">
              <w:t>Column 1</w:t>
            </w:r>
          </w:p>
          <w:p w:rsidR="000764F3" w:rsidRPr="00F00002" w:rsidRDefault="000764F3" w:rsidP="003017C9">
            <w:pPr>
              <w:pStyle w:val="TableHeading"/>
            </w:pPr>
            <w:r w:rsidRPr="00F00002">
              <w:t>Allowance</w:t>
            </w:r>
          </w:p>
        </w:tc>
        <w:tc>
          <w:tcPr>
            <w:tcW w:w="2930" w:type="dxa"/>
            <w:tcBorders>
              <w:top w:val="single" w:sz="6" w:space="0" w:color="auto"/>
              <w:bottom w:val="single" w:sz="12" w:space="0" w:color="auto"/>
            </w:tcBorders>
            <w:shd w:val="clear" w:color="auto" w:fill="auto"/>
          </w:tcPr>
          <w:p w:rsidR="000764F3" w:rsidRPr="00F00002" w:rsidRDefault="000764F3" w:rsidP="003017C9">
            <w:pPr>
              <w:pStyle w:val="TableHeading"/>
            </w:pPr>
            <w:r w:rsidRPr="00F00002">
              <w:t>Column 2</w:t>
            </w:r>
          </w:p>
          <w:p w:rsidR="000764F3" w:rsidRPr="00F00002" w:rsidRDefault="000764F3" w:rsidP="003017C9">
            <w:pPr>
              <w:pStyle w:val="TableHeading"/>
            </w:pPr>
            <w:r w:rsidRPr="00F00002">
              <w:t>Provision</w:t>
            </w:r>
          </w:p>
        </w:tc>
      </w:tr>
      <w:tr w:rsidR="000764F3" w:rsidRPr="00F00002" w:rsidTr="003017C9">
        <w:tc>
          <w:tcPr>
            <w:tcW w:w="714" w:type="dxa"/>
            <w:tcBorders>
              <w:top w:val="single" w:sz="12" w:space="0" w:color="auto"/>
            </w:tcBorders>
            <w:shd w:val="clear" w:color="auto" w:fill="auto"/>
          </w:tcPr>
          <w:p w:rsidR="000764F3" w:rsidRPr="00F00002" w:rsidRDefault="000764F3" w:rsidP="003017C9">
            <w:pPr>
              <w:pStyle w:val="Tabletext"/>
            </w:pPr>
            <w:r w:rsidRPr="00F00002">
              <w:t>1</w:t>
            </w:r>
          </w:p>
        </w:tc>
        <w:tc>
          <w:tcPr>
            <w:tcW w:w="4668" w:type="dxa"/>
            <w:tcBorders>
              <w:top w:val="single" w:sz="12" w:space="0" w:color="auto"/>
            </w:tcBorders>
            <w:shd w:val="clear" w:color="auto" w:fill="auto"/>
          </w:tcPr>
          <w:p w:rsidR="000764F3" w:rsidRPr="00F00002" w:rsidRDefault="000764F3" w:rsidP="003017C9">
            <w:pPr>
              <w:pStyle w:val="Tabletext"/>
            </w:pPr>
            <w:r w:rsidRPr="00F00002">
              <w:t>Separation allowance</w:t>
            </w:r>
          </w:p>
        </w:tc>
        <w:tc>
          <w:tcPr>
            <w:tcW w:w="2930" w:type="dxa"/>
            <w:tcBorders>
              <w:top w:val="single" w:sz="12" w:space="0" w:color="auto"/>
            </w:tcBorders>
            <w:shd w:val="clear" w:color="auto" w:fill="auto"/>
          </w:tcPr>
          <w:p w:rsidR="000764F3" w:rsidRPr="00F00002" w:rsidRDefault="000764F3" w:rsidP="003017C9">
            <w:pPr>
              <w:pStyle w:val="Tabletext"/>
            </w:pPr>
            <w:r w:rsidRPr="00F00002">
              <w:t>Division B.3 of the 2013 allowances determination</w:t>
            </w:r>
          </w:p>
        </w:tc>
      </w:tr>
      <w:tr w:rsidR="000764F3" w:rsidRPr="00F00002" w:rsidTr="003017C9">
        <w:tc>
          <w:tcPr>
            <w:tcW w:w="714" w:type="dxa"/>
            <w:shd w:val="clear" w:color="auto" w:fill="auto"/>
          </w:tcPr>
          <w:p w:rsidR="000764F3" w:rsidRPr="00F00002" w:rsidRDefault="000764F3" w:rsidP="003017C9">
            <w:pPr>
              <w:pStyle w:val="Tabletext"/>
            </w:pPr>
            <w:r w:rsidRPr="00F00002">
              <w:t>2</w:t>
            </w:r>
          </w:p>
        </w:tc>
        <w:tc>
          <w:tcPr>
            <w:tcW w:w="4668" w:type="dxa"/>
            <w:shd w:val="clear" w:color="auto" w:fill="auto"/>
          </w:tcPr>
          <w:p w:rsidR="000764F3" w:rsidRPr="00F00002" w:rsidRDefault="000764F3" w:rsidP="003017C9">
            <w:pPr>
              <w:pStyle w:val="Tabletext"/>
            </w:pPr>
            <w:r w:rsidRPr="00F00002">
              <w:t>Disturbance allowance</w:t>
            </w:r>
          </w:p>
        </w:tc>
        <w:tc>
          <w:tcPr>
            <w:tcW w:w="2930" w:type="dxa"/>
            <w:shd w:val="clear" w:color="auto" w:fill="auto"/>
          </w:tcPr>
          <w:p w:rsidR="000764F3" w:rsidRPr="00F00002" w:rsidRDefault="000764F3" w:rsidP="003017C9">
            <w:pPr>
              <w:pStyle w:val="Tabletext"/>
            </w:pPr>
            <w:r w:rsidRPr="00F00002">
              <w:t>Division</w:t>
            </w:r>
            <w:r w:rsidR="00F00002">
              <w:t> </w:t>
            </w:r>
            <w:r w:rsidRPr="00F00002">
              <w:t>1 of Part</w:t>
            </w:r>
            <w:r w:rsidR="00F00002">
              <w:t> </w:t>
            </w:r>
            <w:r w:rsidRPr="00F00002">
              <w:t>1 of Chapter</w:t>
            </w:r>
            <w:r w:rsidR="00F00002">
              <w:t> </w:t>
            </w:r>
            <w:r w:rsidRPr="00F00002">
              <w:t>6 of the conditions determination</w:t>
            </w:r>
          </w:p>
        </w:tc>
      </w:tr>
      <w:tr w:rsidR="000764F3" w:rsidRPr="00F00002" w:rsidTr="003017C9">
        <w:tc>
          <w:tcPr>
            <w:tcW w:w="714" w:type="dxa"/>
            <w:shd w:val="clear" w:color="auto" w:fill="auto"/>
          </w:tcPr>
          <w:p w:rsidR="000764F3" w:rsidRPr="00F00002" w:rsidRDefault="000764F3" w:rsidP="003017C9">
            <w:pPr>
              <w:pStyle w:val="Tabletext"/>
            </w:pPr>
            <w:r w:rsidRPr="00F00002">
              <w:t>3</w:t>
            </w:r>
          </w:p>
        </w:tc>
        <w:tc>
          <w:tcPr>
            <w:tcW w:w="4668" w:type="dxa"/>
            <w:shd w:val="clear" w:color="auto" w:fill="auto"/>
          </w:tcPr>
          <w:p w:rsidR="000764F3" w:rsidRPr="00F00002" w:rsidRDefault="000764F3" w:rsidP="003017C9">
            <w:pPr>
              <w:pStyle w:val="Tabletext"/>
            </w:pPr>
            <w:r w:rsidRPr="00F00002">
              <w:t>Rent allowance paid to a member without dependants or to a member with dependants (unaccompanied)</w:t>
            </w:r>
          </w:p>
        </w:tc>
        <w:tc>
          <w:tcPr>
            <w:tcW w:w="2930" w:type="dxa"/>
            <w:shd w:val="clear" w:color="auto" w:fill="auto"/>
          </w:tcPr>
          <w:p w:rsidR="000764F3" w:rsidRPr="00F00002" w:rsidRDefault="000764F3" w:rsidP="003017C9">
            <w:pPr>
              <w:pStyle w:val="Tabletext"/>
            </w:pPr>
            <w:r w:rsidRPr="00F00002">
              <w:t>Division</w:t>
            </w:r>
            <w:r w:rsidR="00F00002">
              <w:t> </w:t>
            </w:r>
            <w:r w:rsidRPr="00F00002">
              <w:t>1 of Part</w:t>
            </w:r>
            <w:r w:rsidR="00F00002">
              <w:t> </w:t>
            </w:r>
            <w:r w:rsidRPr="00F00002">
              <w:t>8 of Chapter</w:t>
            </w:r>
            <w:r w:rsidR="00F00002">
              <w:t> </w:t>
            </w:r>
            <w:r w:rsidRPr="00F00002">
              <w:t>7 of the conditions determination</w:t>
            </w:r>
          </w:p>
        </w:tc>
      </w:tr>
      <w:tr w:rsidR="000764F3" w:rsidRPr="00F00002" w:rsidTr="003017C9">
        <w:tc>
          <w:tcPr>
            <w:tcW w:w="714" w:type="dxa"/>
            <w:shd w:val="clear" w:color="auto" w:fill="auto"/>
          </w:tcPr>
          <w:p w:rsidR="000764F3" w:rsidRPr="00F00002" w:rsidRDefault="000764F3" w:rsidP="003017C9">
            <w:pPr>
              <w:pStyle w:val="Tabletext"/>
            </w:pPr>
            <w:r w:rsidRPr="00F00002">
              <w:t>4</w:t>
            </w:r>
          </w:p>
        </w:tc>
        <w:tc>
          <w:tcPr>
            <w:tcW w:w="4668" w:type="dxa"/>
            <w:shd w:val="clear" w:color="auto" w:fill="auto"/>
          </w:tcPr>
          <w:p w:rsidR="000764F3" w:rsidRPr="00F00002" w:rsidRDefault="000764F3" w:rsidP="003017C9">
            <w:pPr>
              <w:pStyle w:val="Tabletext"/>
            </w:pPr>
            <w:r w:rsidRPr="00F00002">
              <w:t>Education assistance</w:t>
            </w:r>
          </w:p>
        </w:tc>
        <w:tc>
          <w:tcPr>
            <w:tcW w:w="2930" w:type="dxa"/>
            <w:shd w:val="clear" w:color="auto" w:fill="auto"/>
          </w:tcPr>
          <w:p w:rsidR="000764F3" w:rsidRPr="00F00002" w:rsidRDefault="000764F3" w:rsidP="003017C9">
            <w:pPr>
              <w:pStyle w:val="Tabletext"/>
            </w:pPr>
            <w:r w:rsidRPr="00F00002">
              <w:t>Part</w:t>
            </w:r>
            <w:r w:rsidR="00F00002">
              <w:t> </w:t>
            </w:r>
            <w:r w:rsidRPr="00F00002">
              <w:t>4 of Chapter</w:t>
            </w:r>
            <w:r w:rsidR="00F00002">
              <w:t> </w:t>
            </w:r>
            <w:r w:rsidRPr="00F00002">
              <w:t>8 of the conditions determination</w:t>
            </w:r>
          </w:p>
        </w:tc>
      </w:tr>
      <w:tr w:rsidR="000764F3" w:rsidRPr="00F00002" w:rsidTr="003017C9">
        <w:tc>
          <w:tcPr>
            <w:tcW w:w="714" w:type="dxa"/>
            <w:shd w:val="clear" w:color="auto" w:fill="auto"/>
          </w:tcPr>
          <w:p w:rsidR="000764F3" w:rsidRPr="00F00002" w:rsidRDefault="000764F3" w:rsidP="003017C9">
            <w:pPr>
              <w:pStyle w:val="Tabletext"/>
            </w:pPr>
            <w:r w:rsidRPr="00F00002">
              <w:t>5</w:t>
            </w:r>
          </w:p>
        </w:tc>
        <w:tc>
          <w:tcPr>
            <w:tcW w:w="4668" w:type="dxa"/>
            <w:shd w:val="clear" w:color="auto" w:fill="auto"/>
          </w:tcPr>
          <w:p w:rsidR="000764F3" w:rsidRPr="00F00002" w:rsidRDefault="000764F3" w:rsidP="003017C9">
            <w:pPr>
              <w:pStyle w:val="Tabletext"/>
            </w:pPr>
            <w:r w:rsidRPr="00F00002">
              <w:t>Transfer allowance</w:t>
            </w:r>
          </w:p>
        </w:tc>
        <w:tc>
          <w:tcPr>
            <w:tcW w:w="2930" w:type="dxa"/>
            <w:shd w:val="clear" w:color="auto" w:fill="auto"/>
          </w:tcPr>
          <w:p w:rsidR="000764F3" w:rsidRPr="00F00002" w:rsidRDefault="000764F3" w:rsidP="003017C9">
            <w:pPr>
              <w:pStyle w:val="Tabletext"/>
            </w:pPr>
            <w:r w:rsidRPr="00F00002">
              <w:t>Division</w:t>
            </w:r>
            <w:r w:rsidR="00F00002">
              <w:t> </w:t>
            </w:r>
            <w:r w:rsidRPr="00F00002">
              <w:t>3 of Part</w:t>
            </w:r>
            <w:r w:rsidR="00F00002">
              <w:t> </w:t>
            </w:r>
            <w:r w:rsidRPr="00F00002">
              <w:t>3 of Chapter</w:t>
            </w:r>
            <w:r w:rsidR="00F00002">
              <w:t> </w:t>
            </w:r>
            <w:r w:rsidRPr="00F00002">
              <w:t>14 of the conditions determination</w:t>
            </w:r>
          </w:p>
        </w:tc>
      </w:tr>
      <w:tr w:rsidR="000764F3" w:rsidRPr="00F00002" w:rsidTr="003017C9">
        <w:tc>
          <w:tcPr>
            <w:tcW w:w="714" w:type="dxa"/>
            <w:shd w:val="clear" w:color="auto" w:fill="auto"/>
          </w:tcPr>
          <w:p w:rsidR="000764F3" w:rsidRPr="00F00002" w:rsidRDefault="000764F3" w:rsidP="003017C9">
            <w:pPr>
              <w:pStyle w:val="Tabletext"/>
            </w:pPr>
            <w:r w:rsidRPr="00F00002">
              <w:t>6</w:t>
            </w:r>
          </w:p>
        </w:tc>
        <w:tc>
          <w:tcPr>
            <w:tcW w:w="4668" w:type="dxa"/>
            <w:shd w:val="clear" w:color="auto" w:fill="auto"/>
          </w:tcPr>
          <w:p w:rsidR="000764F3" w:rsidRPr="00F00002" w:rsidRDefault="000764F3" w:rsidP="003017C9">
            <w:pPr>
              <w:pStyle w:val="Tabletext"/>
            </w:pPr>
            <w:r w:rsidRPr="00F00002">
              <w:t>Reimbursement of education costs for a child educated at the location of a member’s long</w:t>
            </w:r>
            <w:r w:rsidR="00F00002">
              <w:noBreakHyphen/>
            </w:r>
            <w:r w:rsidRPr="00F00002">
              <w:t>term posting overseas</w:t>
            </w:r>
          </w:p>
        </w:tc>
        <w:tc>
          <w:tcPr>
            <w:tcW w:w="2930" w:type="dxa"/>
            <w:shd w:val="clear" w:color="auto" w:fill="auto"/>
          </w:tcPr>
          <w:p w:rsidR="000764F3" w:rsidRPr="00F00002" w:rsidRDefault="000764F3" w:rsidP="003017C9">
            <w:pPr>
              <w:pStyle w:val="Tabletext"/>
            </w:pPr>
            <w:r w:rsidRPr="00F00002">
              <w:t>Part</w:t>
            </w:r>
            <w:r w:rsidR="00F00002">
              <w:t> </w:t>
            </w:r>
            <w:r w:rsidRPr="00F00002">
              <w:t>6 of Chapter</w:t>
            </w:r>
            <w:r w:rsidR="00F00002">
              <w:t> </w:t>
            </w:r>
            <w:r w:rsidRPr="00F00002">
              <w:t>15 of the conditions determination</w:t>
            </w:r>
          </w:p>
        </w:tc>
      </w:tr>
      <w:tr w:rsidR="000764F3" w:rsidRPr="00F00002" w:rsidTr="003017C9">
        <w:tc>
          <w:tcPr>
            <w:tcW w:w="714" w:type="dxa"/>
            <w:tcBorders>
              <w:bottom w:val="single" w:sz="2" w:space="0" w:color="auto"/>
            </w:tcBorders>
            <w:shd w:val="clear" w:color="auto" w:fill="auto"/>
          </w:tcPr>
          <w:p w:rsidR="000764F3" w:rsidRPr="00F00002" w:rsidRDefault="000764F3" w:rsidP="003017C9">
            <w:pPr>
              <w:pStyle w:val="Tabletext"/>
            </w:pPr>
            <w:r w:rsidRPr="00F00002">
              <w:t>7</w:t>
            </w:r>
          </w:p>
        </w:tc>
        <w:tc>
          <w:tcPr>
            <w:tcW w:w="4668" w:type="dxa"/>
            <w:tcBorders>
              <w:bottom w:val="single" w:sz="2" w:space="0" w:color="auto"/>
            </w:tcBorders>
            <w:shd w:val="clear" w:color="auto" w:fill="auto"/>
          </w:tcPr>
          <w:p w:rsidR="000764F3" w:rsidRPr="00F00002" w:rsidRDefault="000764F3" w:rsidP="003017C9">
            <w:pPr>
              <w:pStyle w:val="Tabletext"/>
            </w:pPr>
            <w:r w:rsidRPr="00F00002">
              <w:t>Reimbursement of education costs for a child educated in Australia while the member is on a long</w:t>
            </w:r>
            <w:r w:rsidR="00F00002">
              <w:noBreakHyphen/>
            </w:r>
            <w:r w:rsidRPr="00F00002">
              <w:t>term posting overseas</w:t>
            </w:r>
          </w:p>
        </w:tc>
        <w:tc>
          <w:tcPr>
            <w:tcW w:w="2930" w:type="dxa"/>
            <w:tcBorders>
              <w:bottom w:val="single" w:sz="2" w:space="0" w:color="auto"/>
            </w:tcBorders>
            <w:shd w:val="clear" w:color="auto" w:fill="auto"/>
          </w:tcPr>
          <w:p w:rsidR="000764F3" w:rsidRPr="00F00002" w:rsidRDefault="000764F3" w:rsidP="003017C9">
            <w:pPr>
              <w:pStyle w:val="Tabletext"/>
            </w:pPr>
            <w:r w:rsidRPr="00F00002">
              <w:t>Division</w:t>
            </w:r>
            <w:r w:rsidR="00F00002">
              <w:t> </w:t>
            </w:r>
            <w:r w:rsidRPr="00F00002">
              <w:t>5 of Part</w:t>
            </w:r>
            <w:r w:rsidR="00F00002">
              <w:t> </w:t>
            </w:r>
            <w:r w:rsidRPr="00F00002">
              <w:t>6 of Chapter</w:t>
            </w:r>
            <w:r w:rsidR="00F00002">
              <w:t> </w:t>
            </w:r>
            <w:r w:rsidRPr="00F00002">
              <w:t>15 of the conditions determination</w:t>
            </w:r>
          </w:p>
        </w:tc>
      </w:tr>
      <w:tr w:rsidR="000764F3" w:rsidRPr="00F00002" w:rsidTr="003017C9">
        <w:tc>
          <w:tcPr>
            <w:tcW w:w="714" w:type="dxa"/>
            <w:tcBorders>
              <w:top w:val="single" w:sz="2" w:space="0" w:color="auto"/>
              <w:bottom w:val="single" w:sz="12" w:space="0" w:color="auto"/>
            </w:tcBorders>
            <w:shd w:val="clear" w:color="auto" w:fill="auto"/>
          </w:tcPr>
          <w:p w:rsidR="000764F3" w:rsidRPr="00F00002" w:rsidRDefault="000764F3" w:rsidP="003017C9">
            <w:pPr>
              <w:pStyle w:val="Tabletext"/>
            </w:pPr>
            <w:r w:rsidRPr="00F00002">
              <w:t>8</w:t>
            </w:r>
          </w:p>
        </w:tc>
        <w:tc>
          <w:tcPr>
            <w:tcW w:w="4668" w:type="dxa"/>
            <w:tcBorders>
              <w:top w:val="single" w:sz="2" w:space="0" w:color="auto"/>
              <w:bottom w:val="single" w:sz="12" w:space="0" w:color="auto"/>
            </w:tcBorders>
            <w:shd w:val="clear" w:color="auto" w:fill="auto"/>
          </w:tcPr>
          <w:p w:rsidR="000764F3" w:rsidRPr="00F00002" w:rsidRDefault="000764F3" w:rsidP="003017C9">
            <w:pPr>
              <w:pStyle w:val="Tabletext"/>
            </w:pPr>
            <w:r w:rsidRPr="00F00002">
              <w:t>Deployment allowance</w:t>
            </w:r>
          </w:p>
        </w:tc>
        <w:tc>
          <w:tcPr>
            <w:tcW w:w="2930" w:type="dxa"/>
            <w:tcBorders>
              <w:top w:val="single" w:sz="2" w:space="0" w:color="auto"/>
              <w:bottom w:val="single" w:sz="12" w:space="0" w:color="auto"/>
            </w:tcBorders>
            <w:shd w:val="clear" w:color="auto" w:fill="auto"/>
          </w:tcPr>
          <w:p w:rsidR="000764F3" w:rsidRPr="00F00002" w:rsidRDefault="000764F3" w:rsidP="003017C9">
            <w:pPr>
              <w:pStyle w:val="Tabletext"/>
            </w:pPr>
            <w:r w:rsidRPr="00F00002">
              <w:t>Division</w:t>
            </w:r>
            <w:r w:rsidR="00F00002">
              <w:t> </w:t>
            </w:r>
            <w:r w:rsidRPr="00F00002">
              <w:t>1 of Part</w:t>
            </w:r>
            <w:r w:rsidR="00F00002">
              <w:t> </w:t>
            </w:r>
            <w:r w:rsidRPr="00F00002">
              <w:t>7 of Chapter</w:t>
            </w:r>
            <w:r w:rsidR="00F00002">
              <w:t> </w:t>
            </w:r>
            <w:r w:rsidRPr="00F00002">
              <w:t>17 of the conditions determination</w:t>
            </w:r>
          </w:p>
        </w:tc>
      </w:tr>
    </w:tbl>
    <w:p w:rsidR="000764F3" w:rsidRPr="00F00002" w:rsidRDefault="000764F3" w:rsidP="000764F3">
      <w:pPr>
        <w:pStyle w:val="Tabletext"/>
      </w:pPr>
    </w:p>
    <w:p w:rsidR="000764F3" w:rsidRPr="00F00002" w:rsidRDefault="000764F3" w:rsidP="000764F3">
      <w:pPr>
        <w:pStyle w:val="subsection"/>
      </w:pPr>
      <w:r w:rsidRPr="00F00002">
        <w:tab/>
        <w:t>(2)</w:t>
      </w:r>
      <w:r w:rsidRPr="00F00002">
        <w:tab/>
        <w:t>In this regulation:</w:t>
      </w:r>
    </w:p>
    <w:p w:rsidR="000764F3" w:rsidRPr="00F00002" w:rsidRDefault="000764F3" w:rsidP="000764F3">
      <w:pPr>
        <w:pStyle w:val="Definition"/>
      </w:pPr>
      <w:r w:rsidRPr="00F00002">
        <w:rPr>
          <w:b/>
          <w:i/>
        </w:rPr>
        <w:lastRenderedPageBreak/>
        <w:t>2006 allowances determination</w:t>
      </w:r>
      <w:r w:rsidRPr="00F00002">
        <w:t xml:space="preserve"> means </w:t>
      </w:r>
      <w:r w:rsidRPr="00F00002">
        <w:rPr>
          <w:i/>
        </w:rPr>
        <w:t>DFRT Determination No.</w:t>
      </w:r>
      <w:r w:rsidR="00F00002">
        <w:rPr>
          <w:i/>
        </w:rPr>
        <w:t> </w:t>
      </w:r>
      <w:r w:rsidRPr="00F00002">
        <w:rPr>
          <w:i/>
        </w:rPr>
        <w:t>21 of 2006, Separation Allowance</w:t>
      </w:r>
      <w:r w:rsidRPr="00F00002">
        <w:t>, made under section</w:t>
      </w:r>
      <w:r w:rsidR="00F00002">
        <w:t> </w:t>
      </w:r>
      <w:r w:rsidRPr="00F00002">
        <w:t xml:space="preserve">58H of the </w:t>
      </w:r>
      <w:r w:rsidRPr="00F00002">
        <w:rPr>
          <w:i/>
        </w:rPr>
        <w:t>Defence Act 1903</w:t>
      </w:r>
      <w:r w:rsidRPr="00F00002">
        <w:t>.</w:t>
      </w:r>
    </w:p>
    <w:p w:rsidR="000764F3" w:rsidRPr="00F00002" w:rsidRDefault="000764F3" w:rsidP="000764F3">
      <w:pPr>
        <w:pStyle w:val="Definition"/>
      </w:pPr>
      <w:r w:rsidRPr="00F00002">
        <w:rPr>
          <w:b/>
          <w:i/>
        </w:rPr>
        <w:t>2013 allowances determination</w:t>
      </w:r>
      <w:r w:rsidRPr="00F00002">
        <w:t xml:space="preserve"> means </w:t>
      </w:r>
      <w:r w:rsidRPr="00F00002">
        <w:rPr>
          <w:i/>
        </w:rPr>
        <w:t>DFRT Determination No.</w:t>
      </w:r>
      <w:r w:rsidR="00F00002">
        <w:rPr>
          <w:i/>
        </w:rPr>
        <w:t> </w:t>
      </w:r>
      <w:r w:rsidRPr="00F00002">
        <w:rPr>
          <w:i/>
        </w:rPr>
        <w:t>11 of 2013, ADF Allowances</w:t>
      </w:r>
      <w:r w:rsidRPr="00F00002">
        <w:t>, made under section</w:t>
      </w:r>
      <w:r w:rsidR="00F00002">
        <w:t> </w:t>
      </w:r>
      <w:r w:rsidRPr="00F00002">
        <w:t xml:space="preserve">58H of the </w:t>
      </w:r>
      <w:r w:rsidRPr="00F00002">
        <w:rPr>
          <w:i/>
        </w:rPr>
        <w:t>Defence Act 1903</w:t>
      </w:r>
      <w:r w:rsidRPr="00F00002">
        <w:t>.</w:t>
      </w:r>
    </w:p>
    <w:p w:rsidR="000764F3" w:rsidRPr="00F00002" w:rsidRDefault="000764F3" w:rsidP="000764F3">
      <w:pPr>
        <w:pStyle w:val="Definition"/>
      </w:pPr>
      <w:r w:rsidRPr="00F00002">
        <w:rPr>
          <w:b/>
          <w:i/>
        </w:rPr>
        <w:t>conditions determination</w:t>
      </w:r>
      <w:r w:rsidRPr="00F00002">
        <w:t xml:space="preserve"> means </w:t>
      </w:r>
      <w:r w:rsidRPr="00F00002">
        <w:rPr>
          <w:i/>
        </w:rPr>
        <w:t>Defence Determination</w:t>
      </w:r>
      <w:r w:rsidR="00F00002">
        <w:rPr>
          <w:i/>
        </w:rPr>
        <w:t> </w:t>
      </w:r>
      <w:r w:rsidRPr="00F00002">
        <w:rPr>
          <w:i/>
        </w:rPr>
        <w:t>2016/19, Conditions of service</w:t>
      </w:r>
      <w:r w:rsidRPr="00F00002">
        <w:t>, made under section</w:t>
      </w:r>
      <w:r w:rsidR="00F00002">
        <w:t> </w:t>
      </w:r>
      <w:r w:rsidRPr="00F00002">
        <w:t xml:space="preserve">58B of the </w:t>
      </w:r>
      <w:r w:rsidRPr="00F00002">
        <w:rPr>
          <w:i/>
        </w:rPr>
        <w:t>Defence Act 1903</w:t>
      </w:r>
      <w:r w:rsidRPr="00F00002">
        <w:t>.</w:t>
      </w:r>
    </w:p>
    <w:p w:rsidR="00BB4501" w:rsidRPr="00F00002" w:rsidRDefault="00BB4501" w:rsidP="00D150ED">
      <w:pPr>
        <w:pStyle w:val="ActHead5"/>
      </w:pPr>
      <w:bookmarkStart w:id="34" w:name="_Toc31109618"/>
      <w:r w:rsidRPr="00A26088">
        <w:rPr>
          <w:rStyle w:val="CharSectno"/>
        </w:rPr>
        <w:t>51</w:t>
      </w:r>
      <w:r w:rsidR="00F00002" w:rsidRPr="00A26088">
        <w:rPr>
          <w:rStyle w:val="CharSectno"/>
        </w:rPr>
        <w:noBreakHyphen/>
      </w:r>
      <w:r w:rsidRPr="00A26088">
        <w:rPr>
          <w:rStyle w:val="CharSectno"/>
        </w:rPr>
        <w:t>42.01</w:t>
      </w:r>
      <w:r w:rsidR="00D150ED" w:rsidRPr="00F00002">
        <w:t xml:space="preserve">  </w:t>
      </w:r>
      <w:r w:rsidRPr="00F00002">
        <w:t>Bonuses for early completion of an apprenticeship</w:t>
      </w:r>
      <w:bookmarkEnd w:id="34"/>
    </w:p>
    <w:p w:rsidR="00BB4501" w:rsidRPr="00F00002" w:rsidRDefault="00BB4501" w:rsidP="00D150ED">
      <w:pPr>
        <w:pStyle w:val="subsection"/>
      </w:pPr>
      <w:r w:rsidRPr="00F00002">
        <w:tab/>
        <w:t>(1)</w:t>
      </w:r>
      <w:r w:rsidRPr="00F00002">
        <w:tab/>
        <w:t>In this regulation:</w:t>
      </w:r>
    </w:p>
    <w:p w:rsidR="00BB4501" w:rsidRPr="00F00002" w:rsidRDefault="00BB4501" w:rsidP="00D150ED">
      <w:pPr>
        <w:pStyle w:val="Definition"/>
      </w:pPr>
      <w:r w:rsidRPr="00F00002">
        <w:rPr>
          <w:b/>
          <w:i/>
        </w:rPr>
        <w:t>expected completion date</w:t>
      </w:r>
      <w:r w:rsidRPr="00F00002">
        <w:t xml:space="preserve"> means the date on which an apprentice for a trade, occupation or kind of work would ordinarily be expected to complete an apprenticeship for that trade, occupation or kind of work.</w:t>
      </w:r>
    </w:p>
    <w:p w:rsidR="00BB4501" w:rsidRPr="00F00002" w:rsidRDefault="00BB4501" w:rsidP="00D150ED">
      <w:pPr>
        <w:pStyle w:val="Definition"/>
      </w:pPr>
      <w:r w:rsidRPr="00F00002">
        <w:rPr>
          <w:b/>
          <w:i/>
        </w:rPr>
        <w:t>full</w:t>
      </w:r>
      <w:r w:rsidR="00F00002">
        <w:rPr>
          <w:b/>
          <w:i/>
        </w:rPr>
        <w:noBreakHyphen/>
      </w:r>
      <w:r w:rsidRPr="00F00002">
        <w:rPr>
          <w:b/>
          <w:i/>
        </w:rPr>
        <w:t>time apprentice</w:t>
      </w:r>
      <w:r w:rsidRPr="00F00002">
        <w:t xml:space="preserve"> means an apprentice whose ordinary hours of employment in a trade, occupation or kind of work, incorporating both work and training components, are at least equal to those hours which are regarded as full</w:t>
      </w:r>
      <w:r w:rsidR="00F00002">
        <w:noBreakHyphen/>
      </w:r>
      <w:r w:rsidRPr="00F00002">
        <w:t>time for an apprentice in that trade, occupation or kind of work.</w:t>
      </w:r>
    </w:p>
    <w:p w:rsidR="00BB4501" w:rsidRPr="00F00002" w:rsidRDefault="00BB4501" w:rsidP="00D150ED">
      <w:pPr>
        <w:pStyle w:val="Definition"/>
      </w:pPr>
      <w:r w:rsidRPr="00F00002">
        <w:rPr>
          <w:b/>
          <w:i/>
        </w:rPr>
        <w:t>part</w:t>
      </w:r>
      <w:r w:rsidR="00F00002">
        <w:rPr>
          <w:b/>
          <w:i/>
        </w:rPr>
        <w:noBreakHyphen/>
      </w:r>
      <w:r w:rsidRPr="00F00002">
        <w:rPr>
          <w:b/>
          <w:i/>
        </w:rPr>
        <w:t>time apprentice</w:t>
      </w:r>
      <w:r w:rsidRPr="00F00002">
        <w:t xml:space="preserve"> means an apprentice whose ordinary hours of employment in a trade, occupation or kind of work, incorporating both work and training components, are less than those hours worked by a full</w:t>
      </w:r>
      <w:r w:rsidR="00F00002">
        <w:noBreakHyphen/>
      </w:r>
      <w:r w:rsidRPr="00F00002">
        <w:t>time apprentice in that industry, trade, occupation or kind of work.</w:t>
      </w:r>
    </w:p>
    <w:p w:rsidR="00BB4501" w:rsidRPr="00F00002" w:rsidRDefault="00BB4501" w:rsidP="00D150ED">
      <w:pPr>
        <w:pStyle w:val="subsection"/>
      </w:pPr>
      <w:r w:rsidRPr="00F00002">
        <w:tab/>
        <w:t>(2)</w:t>
      </w:r>
      <w:r w:rsidRPr="00F00002">
        <w:tab/>
        <w:t>For section</w:t>
      </w:r>
      <w:r w:rsidR="00F00002">
        <w:t> </w:t>
      </w:r>
      <w:r w:rsidRPr="00F00002">
        <w:t>51</w:t>
      </w:r>
      <w:r w:rsidR="00F00002">
        <w:noBreakHyphen/>
      </w:r>
      <w:r w:rsidRPr="00F00002">
        <w:t>42 of the Act, the early completion bonus program administered by the Government of the State of Queensland is specified.</w:t>
      </w:r>
    </w:p>
    <w:p w:rsidR="00BB4501" w:rsidRPr="00F00002" w:rsidRDefault="00D150ED" w:rsidP="00D150ED">
      <w:pPr>
        <w:pStyle w:val="notetext"/>
      </w:pPr>
      <w:r w:rsidRPr="00F00002">
        <w:t>Note:</w:t>
      </w:r>
      <w:r w:rsidRPr="00F00002">
        <w:tab/>
      </w:r>
      <w:r w:rsidR="00BB4501" w:rsidRPr="00F00002">
        <w:t>Information about the early completion bonus program can be found at the following website http://www.trainandemploy.qld.gov.au.</w:t>
      </w:r>
    </w:p>
    <w:p w:rsidR="00BB4501" w:rsidRPr="00F00002" w:rsidRDefault="00BB4501" w:rsidP="00D150ED">
      <w:pPr>
        <w:pStyle w:val="subsection"/>
      </w:pPr>
      <w:r w:rsidRPr="00F00002">
        <w:tab/>
        <w:t>(3)</w:t>
      </w:r>
      <w:r w:rsidRPr="00F00002">
        <w:tab/>
        <w:t>For paragraph</w:t>
      </w:r>
      <w:r w:rsidR="00F00002">
        <w:t> </w:t>
      </w:r>
      <w:r w:rsidRPr="00F00002">
        <w:t>51</w:t>
      </w:r>
      <w:r w:rsidR="00F00002">
        <w:noBreakHyphen/>
      </w:r>
      <w:r w:rsidRPr="00F00002">
        <w:t>42(2</w:t>
      </w:r>
      <w:r w:rsidR="00D150ED" w:rsidRPr="00F00002">
        <w:t>)(</w:t>
      </w:r>
      <w:r w:rsidRPr="00F00002">
        <w:t>a) of the Act, version 3 of the eligible skill shortage occupation list dated 17</w:t>
      </w:r>
      <w:r w:rsidR="00F00002">
        <w:t> </w:t>
      </w:r>
      <w:r w:rsidRPr="00F00002">
        <w:t>March 2008, which is administered by the Government of the State of Queensland and set out at http://www.trainandemploy.qld.gov.au, is specified.</w:t>
      </w:r>
    </w:p>
    <w:p w:rsidR="00BB4501" w:rsidRPr="00F00002" w:rsidRDefault="00BB4501" w:rsidP="00D150ED">
      <w:pPr>
        <w:pStyle w:val="subsection"/>
      </w:pPr>
      <w:r w:rsidRPr="00F00002">
        <w:tab/>
        <w:t>(4)</w:t>
      </w:r>
      <w:r w:rsidRPr="00F00002">
        <w:tab/>
        <w:t>For paragraph</w:t>
      </w:r>
      <w:r w:rsidR="00F00002">
        <w:t> </w:t>
      </w:r>
      <w:r w:rsidRPr="00F00002">
        <w:t>51</w:t>
      </w:r>
      <w:r w:rsidR="00F00002">
        <w:noBreakHyphen/>
      </w:r>
      <w:r w:rsidRPr="00F00002">
        <w:t>42(2</w:t>
      </w:r>
      <w:r w:rsidR="00D150ED" w:rsidRPr="00F00002">
        <w:t>)(</w:t>
      </w:r>
      <w:r w:rsidRPr="00F00002">
        <w:t>b) of the Act, the following timeframe is specified:</w:t>
      </w:r>
    </w:p>
    <w:p w:rsidR="00BB4501" w:rsidRPr="00F00002" w:rsidRDefault="00BB4501" w:rsidP="00D150ED">
      <w:pPr>
        <w:pStyle w:val="paragraph"/>
      </w:pPr>
      <w:r w:rsidRPr="00F00002">
        <w:tab/>
        <w:t>(a)</w:t>
      </w:r>
      <w:r w:rsidRPr="00F00002">
        <w:tab/>
        <w:t>for a full</w:t>
      </w:r>
      <w:r w:rsidR="00F00002">
        <w:noBreakHyphen/>
      </w:r>
      <w:r w:rsidRPr="00F00002">
        <w:t>time apprentice</w:t>
      </w:r>
      <w:r w:rsidR="00D150ED" w:rsidRPr="00F00002">
        <w:t>—</w:t>
      </w:r>
      <w:r w:rsidRPr="00F00002">
        <w:t xml:space="preserve">at least 6 months before the expected completion date; </w:t>
      </w:r>
    </w:p>
    <w:p w:rsidR="00BB4501" w:rsidRPr="00F00002" w:rsidRDefault="00BB4501" w:rsidP="00D150ED">
      <w:pPr>
        <w:pStyle w:val="paragraph"/>
      </w:pPr>
      <w:r w:rsidRPr="00F00002">
        <w:tab/>
        <w:t>(b)</w:t>
      </w:r>
      <w:r w:rsidRPr="00F00002">
        <w:tab/>
        <w:t>for a part</w:t>
      </w:r>
      <w:r w:rsidR="00F00002">
        <w:noBreakHyphen/>
      </w:r>
      <w:r w:rsidRPr="00F00002">
        <w:t>time apprentice</w:t>
      </w:r>
      <w:r w:rsidR="00D150ED" w:rsidRPr="00F00002">
        <w:t>—</w:t>
      </w:r>
      <w:r w:rsidRPr="00F00002">
        <w:t>at least 12 months before the expected completion date.</w:t>
      </w:r>
    </w:p>
    <w:p w:rsidR="00C33914" w:rsidRPr="00F00002" w:rsidRDefault="00C33914" w:rsidP="00584EAD">
      <w:pPr>
        <w:pStyle w:val="ActHead3"/>
        <w:pageBreakBefore/>
      </w:pPr>
      <w:bookmarkStart w:id="35" w:name="_Toc31109619"/>
      <w:r w:rsidRPr="00A26088">
        <w:rPr>
          <w:rStyle w:val="CharDivNo"/>
        </w:rPr>
        <w:lastRenderedPageBreak/>
        <w:t>Division</w:t>
      </w:r>
      <w:r w:rsidR="00F00002" w:rsidRPr="00A26088">
        <w:rPr>
          <w:rStyle w:val="CharDivNo"/>
        </w:rPr>
        <w:t> </w:t>
      </w:r>
      <w:r w:rsidRPr="00A26088">
        <w:rPr>
          <w:rStyle w:val="CharDivNo"/>
        </w:rPr>
        <w:t>61</w:t>
      </w:r>
      <w:r w:rsidRPr="00F00002">
        <w:t>—</w:t>
      </w:r>
      <w:r w:rsidRPr="00A26088">
        <w:rPr>
          <w:rStyle w:val="CharDivText"/>
        </w:rPr>
        <w:t>Generally applicable tax offsets</w:t>
      </w:r>
      <w:bookmarkEnd w:id="35"/>
    </w:p>
    <w:p w:rsidR="00C33914" w:rsidRPr="00F00002" w:rsidRDefault="00C33914" w:rsidP="00C33914">
      <w:pPr>
        <w:pStyle w:val="ActHead4"/>
      </w:pPr>
      <w:bookmarkStart w:id="36" w:name="_Toc31109620"/>
      <w:r w:rsidRPr="00A26088">
        <w:rPr>
          <w:rStyle w:val="CharSubdNo"/>
        </w:rPr>
        <w:t>Subdivision</w:t>
      </w:r>
      <w:r w:rsidR="00F00002" w:rsidRPr="00A26088">
        <w:rPr>
          <w:rStyle w:val="CharSubdNo"/>
        </w:rPr>
        <w:t> </w:t>
      </w:r>
      <w:r w:rsidRPr="00A26088">
        <w:rPr>
          <w:rStyle w:val="CharSubdNo"/>
        </w:rPr>
        <w:t>61</w:t>
      </w:r>
      <w:r w:rsidR="00F00002" w:rsidRPr="00A26088">
        <w:rPr>
          <w:rStyle w:val="CharSubdNo"/>
        </w:rPr>
        <w:noBreakHyphen/>
      </w:r>
      <w:r w:rsidRPr="00A26088">
        <w:rPr>
          <w:rStyle w:val="CharSubdNo"/>
        </w:rPr>
        <w:t>G</w:t>
      </w:r>
      <w:r w:rsidRPr="00F00002">
        <w:t>—</w:t>
      </w:r>
      <w:r w:rsidRPr="00A26088">
        <w:rPr>
          <w:rStyle w:val="CharSubdText"/>
        </w:rPr>
        <w:t>Private health insurance offset complementary to Part</w:t>
      </w:r>
      <w:r w:rsidR="00F00002" w:rsidRPr="00A26088">
        <w:rPr>
          <w:rStyle w:val="CharSubdText"/>
        </w:rPr>
        <w:t> </w:t>
      </w:r>
      <w:r w:rsidRPr="00A26088">
        <w:rPr>
          <w:rStyle w:val="CharSubdText"/>
        </w:rPr>
        <w:t>2</w:t>
      </w:r>
      <w:r w:rsidR="00F00002" w:rsidRPr="00A26088">
        <w:rPr>
          <w:rStyle w:val="CharSubdText"/>
        </w:rPr>
        <w:noBreakHyphen/>
      </w:r>
      <w:r w:rsidRPr="00A26088">
        <w:rPr>
          <w:rStyle w:val="CharSubdText"/>
        </w:rPr>
        <w:t>2 of the Private Health Insurance Act 2007</w:t>
      </w:r>
      <w:bookmarkEnd w:id="36"/>
    </w:p>
    <w:p w:rsidR="00C33914" w:rsidRPr="00F00002" w:rsidRDefault="00C33914" w:rsidP="00C33914">
      <w:pPr>
        <w:pStyle w:val="ActHead5"/>
      </w:pPr>
      <w:bookmarkStart w:id="37" w:name="_Toc31109621"/>
      <w:r w:rsidRPr="00A26088">
        <w:rPr>
          <w:rStyle w:val="CharSectno"/>
        </w:rPr>
        <w:t>61</w:t>
      </w:r>
      <w:r w:rsidR="00F00002" w:rsidRPr="00A26088">
        <w:rPr>
          <w:rStyle w:val="CharSectno"/>
        </w:rPr>
        <w:noBreakHyphen/>
      </w:r>
      <w:r w:rsidRPr="00A26088">
        <w:rPr>
          <w:rStyle w:val="CharSectno"/>
        </w:rPr>
        <w:t>220.01</w:t>
      </w:r>
      <w:r w:rsidRPr="00F00002">
        <w:t xml:space="preserve">  Definitions for Subdivision</w:t>
      </w:r>
      <w:r w:rsidR="00F00002">
        <w:t> </w:t>
      </w:r>
      <w:r w:rsidRPr="00F00002">
        <w:t>61</w:t>
      </w:r>
      <w:r w:rsidR="00F00002">
        <w:noBreakHyphen/>
      </w:r>
      <w:r w:rsidRPr="00F00002">
        <w:t>G</w:t>
      </w:r>
      <w:bookmarkEnd w:id="37"/>
    </w:p>
    <w:p w:rsidR="00C33914" w:rsidRPr="00F00002" w:rsidRDefault="00C33914" w:rsidP="00C33914">
      <w:pPr>
        <w:pStyle w:val="subsection"/>
      </w:pPr>
      <w:r w:rsidRPr="00F00002">
        <w:tab/>
      </w:r>
      <w:r w:rsidRPr="00F00002">
        <w:tab/>
        <w:t>In this Subdivision:</w:t>
      </w:r>
    </w:p>
    <w:p w:rsidR="00C33914" w:rsidRPr="00F00002" w:rsidRDefault="00C33914" w:rsidP="00C33914">
      <w:pPr>
        <w:pStyle w:val="Definition"/>
      </w:pPr>
      <w:r w:rsidRPr="00F00002">
        <w:rPr>
          <w:b/>
          <w:i/>
        </w:rPr>
        <w:t xml:space="preserve">complying health insurance policy </w:t>
      </w:r>
      <w:r w:rsidRPr="00F00002">
        <w:t xml:space="preserve">has the meaning given by the </w:t>
      </w:r>
      <w:r w:rsidRPr="00F00002">
        <w:rPr>
          <w:i/>
        </w:rPr>
        <w:t>Private Health Insurance Act 2007</w:t>
      </w:r>
      <w:r w:rsidRPr="00F00002">
        <w:t>.</w:t>
      </w:r>
    </w:p>
    <w:p w:rsidR="00C33914" w:rsidRPr="00F00002" w:rsidRDefault="00C33914" w:rsidP="00C33914">
      <w:pPr>
        <w:pStyle w:val="Definition"/>
      </w:pPr>
      <w:r w:rsidRPr="00F00002">
        <w:rPr>
          <w:b/>
          <w:i/>
        </w:rPr>
        <w:t>PHIIB</w:t>
      </w:r>
      <w:r w:rsidRPr="00F00002">
        <w:t xml:space="preserve"> (short for </w:t>
      </w:r>
      <w:r w:rsidRPr="00F00002">
        <w:rPr>
          <w:b/>
          <w:i/>
        </w:rPr>
        <w:t>Private Health Insurance Incentive Beneficiary</w:t>
      </w:r>
      <w:r w:rsidRPr="00F00002">
        <w:t xml:space="preserve">) has the meaning given by the </w:t>
      </w:r>
      <w:r w:rsidRPr="00F00002">
        <w:rPr>
          <w:i/>
        </w:rPr>
        <w:t>Private Health Insurance Act 2007</w:t>
      </w:r>
      <w:r w:rsidRPr="00F00002">
        <w:t>.</w:t>
      </w:r>
    </w:p>
    <w:p w:rsidR="00C33914" w:rsidRPr="00F00002" w:rsidRDefault="00C33914" w:rsidP="00C33914">
      <w:pPr>
        <w:pStyle w:val="Definition"/>
      </w:pPr>
      <w:r w:rsidRPr="00F00002">
        <w:rPr>
          <w:b/>
          <w:i/>
        </w:rPr>
        <w:t>private health insurer</w:t>
      </w:r>
      <w:r w:rsidRPr="00F00002">
        <w:t xml:space="preserve"> has the meaning given by the</w:t>
      </w:r>
      <w:r w:rsidRPr="00F00002">
        <w:rPr>
          <w:i/>
        </w:rPr>
        <w:t xml:space="preserve"> Private Health Insurance Act 2007.</w:t>
      </w:r>
    </w:p>
    <w:p w:rsidR="00C33914" w:rsidRPr="00F00002" w:rsidRDefault="00C33914" w:rsidP="00C33914">
      <w:pPr>
        <w:pStyle w:val="ActHead5"/>
      </w:pPr>
      <w:bookmarkStart w:id="38" w:name="_Toc31109622"/>
      <w:r w:rsidRPr="00A26088">
        <w:rPr>
          <w:rStyle w:val="CharSectno"/>
        </w:rPr>
        <w:t>61</w:t>
      </w:r>
      <w:r w:rsidR="00F00002" w:rsidRPr="00A26088">
        <w:rPr>
          <w:rStyle w:val="CharSectno"/>
        </w:rPr>
        <w:noBreakHyphen/>
      </w:r>
      <w:r w:rsidRPr="00A26088">
        <w:rPr>
          <w:rStyle w:val="CharSectno"/>
        </w:rPr>
        <w:t>220.02</w:t>
      </w:r>
      <w:r w:rsidRPr="00F00002">
        <w:t xml:space="preserve">  Private health insurer to provide annual statement to PHIIB</w:t>
      </w:r>
      <w:r w:rsidR="005D420E" w:rsidRPr="00F00002">
        <w:t xml:space="preserve"> if requested</w:t>
      </w:r>
      <w:bookmarkEnd w:id="38"/>
    </w:p>
    <w:p w:rsidR="005D420E" w:rsidRPr="00F00002" w:rsidRDefault="005D420E" w:rsidP="005D420E">
      <w:pPr>
        <w:pStyle w:val="subsection"/>
      </w:pPr>
      <w:r w:rsidRPr="00F00002">
        <w:tab/>
        <w:t>(1)</w:t>
      </w:r>
      <w:r w:rsidRPr="00F00002">
        <w:tab/>
        <w:t>If, during a financial year, a PHIIB insured during an earlier financial year under a complying health insurance policy by a private health insurer requests a statement about that policy for that earlier year, the private health insurer must provide a statement in accordance with this regulation.</w:t>
      </w:r>
    </w:p>
    <w:p w:rsidR="005D420E" w:rsidRPr="00F00002" w:rsidRDefault="005D420E" w:rsidP="005D420E">
      <w:pPr>
        <w:pStyle w:val="subsection"/>
      </w:pPr>
      <w:r w:rsidRPr="00F00002">
        <w:tab/>
        <w:t>(1A)</w:t>
      </w:r>
      <w:r w:rsidRPr="00F00002">
        <w:tab/>
        <w:t>The statement must be in the approved form, and provided to the PHIIB within 14 days after the day the request is given.</w:t>
      </w:r>
    </w:p>
    <w:p w:rsidR="005D420E" w:rsidRPr="00F00002" w:rsidRDefault="005D420E" w:rsidP="005D420E">
      <w:pPr>
        <w:pStyle w:val="notetext"/>
      </w:pPr>
      <w:r w:rsidRPr="00F00002">
        <w:t>Note:</w:t>
      </w:r>
      <w:r w:rsidRPr="00F00002">
        <w:tab/>
        <w:t xml:space="preserve">For </w:t>
      </w:r>
      <w:r w:rsidRPr="00F00002">
        <w:rPr>
          <w:b/>
          <w:i/>
        </w:rPr>
        <w:t>approved form</w:t>
      </w:r>
      <w:r w:rsidRPr="00F00002">
        <w:t>, see section</w:t>
      </w:r>
      <w:r w:rsidR="00F00002">
        <w:t> </w:t>
      </w:r>
      <w:r w:rsidRPr="00F00002">
        <w:t>995</w:t>
      </w:r>
      <w:r w:rsidR="00F00002">
        <w:noBreakHyphen/>
      </w:r>
      <w:r w:rsidRPr="00F00002">
        <w:t>1 of the Act.</w:t>
      </w:r>
    </w:p>
    <w:p w:rsidR="00C33914" w:rsidRPr="00F00002" w:rsidRDefault="00C33914" w:rsidP="00C33914">
      <w:pPr>
        <w:pStyle w:val="subsection"/>
      </w:pPr>
      <w:r w:rsidRPr="00F00002">
        <w:tab/>
        <w:t>(2)</w:t>
      </w:r>
      <w:r w:rsidRPr="00F00002">
        <w:tab/>
        <w:t>The statement may include information in relation to the following:</w:t>
      </w:r>
    </w:p>
    <w:p w:rsidR="00C33914" w:rsidRPr="00F00002" w:rsidRDefault="00C33914" w:rsidP="00C33914">
      <w:pPr>
        <w:pStyle w:val="paragraph"/>
      </w:pPr>
      <w:r w:rsidRPr="00F00002">
        <w:tab/>
        <w:t>(a)</w:t>
      </w:r>
      <w:r w:rsidRPr="00F00002">
        <w:tab/>
        <w:t>the complying health insurance policy held by the PHIIB and payments made under the policy;</w:t>
      </w:r>
    </w:p>
    <w:p w:rsidR="00C33914" w:rsidRPr="00F00002" w:rsidRDefault="00C33914" w:rsidP="00C33914">
      <w:pPr>
        <w:pStyle w:val="paragraph"/>
      </w:pPr>
      <w:r w:rsidRPr="00F00002">
        <w:tab/>
        <w:t>(b)</w:t>
      </w:r>
      <w:r w:rsidRPr="00F00002">
        <w:tab/>
        <w:t xml:space="preserve">the premium, or amounts in respect of the premium, paid during </w:t>
      </w:r>
      <w:r w:rsidR="005D420E" w:rsidRPr="00F00002">
        <w:t>the earlier financial year</w:t>
      </w:r>
      <w:r w:rsidRPr="00F00002">
        <w:t xml:space="preserve"> in relation to the policy;</w:t>
      </w:r>
    </w:p>
    <w:p w:rsidR="00C33914" w:rsidRPr="00F00002" w:rsidRDefault="00C33914" w:rsidP="00C33914">
      <w:pPr>
        <w:pStyle w:val="paragraph"/>
      </w:pPr>
      <w:r w:rsidRPr="00F00002">
        <w:tab/>
        <w:t>(c)</w:t>
      </w:r>
      <w:r w:rsidRPr="00F00002">
        <w:tab/>
        <w:t xml:space="preserve">any reductions of the premium payable, or an amount payable, during </w:t>
      </w:r>
      <w:r w:rsidR="005D420E" w:rsidRPr="00F00002">
        <w:t>the earlier financial year</w:t>
      </w:r>
      <w:r w:rsidRPr="00F00002">
        <w:t>.</w:t>
      </w:r>
    </w:p>
    <w:p w:rsidR="00BB4501" w:rsidRPr="00F00002" w:rsidRDefault="00D150ED" w:rsidP="00EE4631">
      <w:pPr>
        <w:pStyle w:val="ActHead3"/>
        <w:pageBreakBefore/>
      </w:pPr>
      <w:bookmarkStart w:id="39" w:name="_Toc31109623"/>
      <w:r w:rsidRPr="00A26088">
        <w:rPr>
          <w:rStyle w:val="CharDivNo"/>
        </w:rPr>
        <w:lastRenderedPageBreak/>
        <w:t>Division</w:t>
      </w:r>
      <w:r w:rsidR="00F00002" w:rsidRPr="00A26088">
        <w:rPr>
          <w:rStyle w:val="CharDivNo"/>
        </w:rPr>
        <w:t> </w:t>
      </w:r>
      <w:r w:rsidR="00BB4501" w:rsidRPr="00A26088">
        <w:rPr>
          <w:rStyle w:val="CharDivNo"/>
        </w:rPr>
        <w:t>70</w:t>
      </w:r>
      <w:r w:rsidRPr="00F00002">
        <w:t>—</w:t>
      </w:r>
      <w:r w:rsidR="00BB4501" w:rsidRPr="00A26088">
        <w:rPr>
          <w:rStyle w:val="CharDivText"/>
        </w:rPr>
        <w:t>Trading stock</w:t>
      </w:r>
      <w:bookmarkEnd w:id="39"/>
    </w:p>
    <w:p w:rsidR="00BB4501" w:rsidRPr="00F00002" w:rsidRDefault="00BB4501" w:rsidP="00797518">
      <w:pPr>
        <w:pStyle w:val="ActHead5"/>
        <w:ind w:right="-143"/>
      </w:pPr>
      <w:bookmarkStart w:id="40" w:name="_Toc31109624"/>
      <w:r w:rsidRPr="00A26088">
        <w:rPr>
          <w:rStyle w:val="CharSectno"/>
        </w:rPr>
        <w:t>70</w:t>
      </w:r>
      <w:r w:rsidR="00F00002" w:rsidRPr="00A26088">
        <w:rPr>
          <w:rStyle w:val="CharSectno"/>
        </w:rPr>
        <w:noBreakHyphen/>
      </w:r>
      <w:r w:rsidRPr="00A26088">
        <w:rPr>
          <w:rStyle w:val="CharSectno"/>
        </w:rPr>
        <w:t>55.01</w:t>
      </w:r>
      <w:r w:rsidR="00D150ED" w:rsidRPr="00F00002">
        <w:t xml:space="preserve">  </w:t>
      </w:r>
      <w:r w:rsidRPr="00F00002">
        <w:t>Cost of natural increase of live stock</w:t>
      </w:r>
      <w:r w:rsidR="00D150ED" w:rsidRPr="00F00002">
        <w:t>—</w:t>
      </w:r>
      <w:r w:rsidRPr="00F00002">
        <w:t>paragraph</w:t>
      </w:r>
      <w:r w:rsidR="00F00002">
        <w:t> </w:t>
      </w:r>
      <w:r w:rsidRPr="00F00002">
        <w:t>70</w:t>
      </w:r>
      <w:r w:rsidR="00F00002">
        <w:noBreakHyphen/>
      </w:r>
      <w:r w:rsidRPr="00F00002">
        <w:t>55(1</w:t>
      </w:r>
      <w:r w:rsidR="00D150ED" w:rsidRPr="00F00002">
        <w:t>)(</w:t>
      </w:r>
      <w:r w:rsidRPr="00F00002">
        <w:t>b) of Act</w:t>
      </w:r>
      <w:bookmarkEnd w:id="40"/>
    </w:p>
    <w:p w:rsidR="00BB4501" w:rsidRPr="00F00002" w:rsidRDefault="00BB4501" w:rsidP="00D150ED">
      <w:pPr>
        <w:pStyle w:val="subsection"/>
      </w:pPr>
      <w:r w:rsidRPr="00F00002">
        <w:tab/>
      </w:r>
      <w:r w:rsidRPr="00F00002">
        <w:tab/>
        <w:t>For paragraph</w:t>
      </w:r>
      <w:r w:rsidR="00F00002">
        <w:t> </w:t>
      </w:r>
      <w:r w:rsidRPr="00F00002">
        <w:t>70</w:t>
      </w:r>
      <w:r w:rsidR="00F00002">
        <w:noBreakHyphen/>
      </w:r>
      <w:r w:rsidRPr="00F00002">
        <w:t>55(1</w:t>
      </w:r>
      <w:r w:rsidR="00D150ED" w:rsidRPr="00F00002">
        <w:t>)(</w:t>
      </w:r>
      <w:r w:rsidRPr="00F00002">
        <w:t>b) of the Act, the cost prescribed for each animal in a class of live stock set out in column 1 of the following table is the amount applicable to that class in column 2 of the table.</w:t>
      </w:r>
    </w:p>
    <w:p w:rsidR="00D150ED" w:rsidRPr="00F00002" w:rsidRDefault="00D150ED" w:rsidP="00D150E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4052"/>
        <w:gridCol w:w="4475"/>
      </w:tblGrid>
      <w:tr w:rsidR="00BB4501" w:rsidRPr="00F00002" w:rsidTr="000505B9">
        <w:trPr>
          <w:tblHeader/>
        </w:trPr>
        <w:tc>
          <w:tcPr>
            <w:tcW w:w="2376" w:type="pct"/>
            <w:tcBorders>
              <w:top w:val="single" w:sz="12" w:space="0" w:color="auto"/>
              <w:bottom w:val="single" w:sz="12" w:space="0" w:color="auto"/>
            </w:tcBorders>
            <w:shd w:val="clear" w:color="auto" w:fill="auto"/>
          </w:tcPr>
          <w:p w:rsidR="00BB4501" w:rsidRPr="00F00002" w:rsidRDefault="00BB4501" w:rsidP="004A0CAE">
            <w:pPr>
              <w:pStyle w:val="TableHeading"/>
            </w:pPr>
            <w:r w:rsidRPr="00F00002">
              <w:t>Column 1</w:t>
            </w:r>
            <w:r w:rsidRPr="00F00002">
              <w:br/>
              <w:t>Class of live stock</w:t>
            </w:r>
          </w:p>
        </w:tc>
        <w:tc>
          <w:tcPr>
            <w:tcW w:w="2624" w:type="pct"/>
            <w:tcBorders>
              <w:top w:val="single" w:sz="12" w:space="0" w:color="auto"/>
              <w:bottom w:val="single" w:sz="12" w:space="0" w:color="auto"/>
            </w:tcBorders>
            <w:shd w:val="clear" w:color="auto" w:fill="auto"/>
          </w:tcPr>
          <w:p w:rsidR="00BB4501" w:rsidRPr="00F00002" w:rsidRDefault="00BB4501" w:rsidP="004A0CAE">
            <w:pPr>
              <w:pStyle w:val="TableHeading"/>
            </w:pPr>
            <w:r w:rsidRPr="00F00002">
              <w:t>Column 2</w:t>
            </w:r>
            <w:r w:rsidRPr="00F00002">
              <w:br/>
              <w:t>Cost</w:t>
            </w:r>
            <w:r w:rsidRPr="00F00002">
              <w:br/>
              <w:t>$</w:t>
            </w:r>
          </w:p>
        </w:tc>
      </w:tr>
      <w:tr w:rsidR="00BB4501" w:rsidRPr="00F00002" w:rsidTr="000505B9">
        <w:tc>
          <w:tcPr>
            <w:tcW w:w="2376" w:type="pct"/>
            <w:tcBorders>
              <w:top w:val="single" w:sz="12" w:space="0" w:color="auto"/>
            </w:tcBorders>
            <w:shd w:val="clear" w:color="auto" w:fill="auto"/>
          </w:tcPr>
          <w:p w:rsidR="00BB4501" w:rsidRPr="00F00002" w:rsidRDefault="00BB4501" w:rsidP="00D150ED">
            <w:pPr>
              <w:pStyle w:val="Tabletext"/>
            </w:pPr>
            <w:r w:rsidRPr="00F00002">
              <w:t>cattle</w:t>
            </w:r>
          </w:p>
        </w:tc>
        <w:tc>
          <w:tcPr>
            <w:tcW w:w="2624" w:type="pct"/>
            <w:tcBorders>
              <w:top w:val="single" w:sz="12" w:space="0" w:color="auto"/>
            </w:tcBorders>
            <w:shd w:val="clear" w:color="auto" w:fill="auto"/>
          </w:tcPr>
          <w:p w:rsidR="00BB4501" w:rsidRPr="00F00002" w:rsidRDefault="00BB4501" w:rsidP="00D150ED">
            <w:pPr>
              <w:pStyle w:val="Tabletext"/>
            </w:pPr>
            <w:r w:rsidRPr="00F00002">
              <w:t>20.00</w:t>
            </w:r>
          </w:p>
        </w:tc>
      </w:tr>
      <w:tr w:rsidR="00BB4501" w:rsidRPr="00F00002" w:rsidTr="000505B9">
        <w:tc>
          <w:tcPr>
            <w:tcW w:w="2376" w:type="pct"/>
            <w:shd w:val="clear" w:color="auto" w:fill="auto"/>
          </w:tcPr>
          <w:p w:rsidR="00BB4501" w:rsidRPr="00F00002" w:rsidRDefault="00BB4501" w:rsidP="00D150ED">
            <w:pPr>
              <w:pStyle w:val="Tabletext"/>
            </w:pPr>
            <w:r w:rsidRPr="00F00002">
              <w:t>deer</w:t>
            </w:r>
          </w:p>
        </w:tc>
        <w:tc>
          <w:tcPr>
            <w:tcW w:w="2624" w:type="pct"/>
            <w:shd w:val="clear" w:color="auto" w:fill="auto"/>
          </w:tcPr>
          <w:p w:rsidR="00BB4501" w:rsidRPr="00F00002" w:rsidRDefault="00BB4501" w:rsidP="00D150ED">
            <w:pPr>
              <w:pStyle w:val="Tabletext"/>
            </w:pPr>
            <w:r w:rsidRPr="00F00002">
              <w:t>20.00</w:t>
            </w:r>
          </w:p>
        </w:tc>
      </w:tr>
      <w:tr w:rsidR="00BB4501" w:rsidRPr="00F00002" w:rsidTr="000505B9">
        <w:tc>
          <w:tcPr>
            <w:tcW w:w="2376" w:type="pct"/>
            <w:shd w:val="clear" w:color="auto" w:fill="auto"/>
          </w:tcPr>
          <w:p w:rsidR="00BB4501" w:rsidRPr="00F00002" w:rsidRDefault="00BB4501" w:rsidP="00D150ED">
            <w:pPr>
              <w:pStyle w:val="Tabletext"/>
            </w:pPr>
            <w:r w:rsidRPr="00F00002">
              <w:t>emus</w:t>
            </w:r>
          </w:p>
        </w:tc>
        <w:tc>
          <w:tcPr>
            <w:tcW w:w="2624" w:type="pct"/>
            <w:shd w:val="clear" w:color="auto" w:fill="auto"/>
          </w:tcPr>
          <w:p w:rsidR="00BB4501" w:rsidRPr="00F00002" w:rsidRDefault="00BB4501" w:rsidP="00D150ED">
            <w:pPr>
              <w:pStyle w:val="Tabletext"/>
            </w:pPr>
            <w:r w:rsidRPr="00F00002">
              <w:t>8.00</w:t>
            </w:r>
          </w:p>
        </w:tc>
      </w:tr>
      <w:tr w:rsidR="00BB4501" w:rsidRPr="00F00002" w:rsidTr="000505B9">
        <w:tc>
          <w:tcPr>
            <w:tcW w:w="2376" w:type="pct"/>
            <w:shd w:val="clear" w:color="auto" w:fill="auto"/>
          </w:tcPr>
          <w:p w:rsidR="00BB4501" w:rsidRPr="00F00002" w:rsidRDefault="00BB4501" w:rsidP="00D150ED">
            <w:pPr>
              <w:pStyle w:val="Tabletext"/>
            </w:pPr>
            <w:r w:rsidRPr="00F00002">
              <w:t>goats</w:t>
            </w:r>
          </w:p>
        </w:tc>
        <w:tc>
          <w:tcPr>
            <w:tcW w:w="2624" w:type="pct"/>
            <w:shd w:val="clear" w:color="auto" w:fill="auto"/>
          </w:tcPr>
          <w:p w:rsidR="00BB4501" w:rsidRPr="00F00002" w:rsidRDefault="00BB4501" w:rsidP="00D150ED">
            <w:pPr>
              <w:pStyle w:val="Tabletext"/>
            </w:pPr>
            <w:r w:rsidRPr="00F00002">
              <w:t>4.00</w:t>
            </w:r>
          </w:p>
        </w:tc>
      </w:tr>
      <w:tr w:rsidR="00BB4501" w:rsidRPr="00F00002" w:rsidTr="000505B9">
        <w:tc>
          <w:tcPr>
            <w:tcW w:w="2376" w:type="pct"/>
            <w:shd w:val="clear" w:color="auto" w:fill="auto"/>
          </w:tcPr>
          <w:p w:rsidR="00BB4501" w:rsidRPr="00F00002" w:rsidRDefault="00BB4501" w:rsidP="00D150ED">
            <w:pPr>
              <w:pStyle w:val="Tabletext"/>
            </w:pPr>
            <w:r w:rsidRPr="00F00002">
              <w:t>horses</w:t>
            </w:r>
          </w:p>
        </w:tc>
        <w:tc>
          <w:tcPr>
            <w:tcW w:w="2624" w:type="pct"/>
            <w:shd w:val="clear" w:color="auto" w:fill="auto"/>
          </w:tcPr>
          <w:p w:rsidR="00BB4501" w:rsidRPr="00F00002" w:rsidRDefault="00BB4501" w:rsidP="00D150ED">
            <w:pPr>
              <w:pStyle w:val="Tabletext"/>
            </w:pPr>
            <w:r w:rsidRPr="00F00002">
              <w:t>20.00</w:t>
            </w:r>
          </w:p>
        </w:tc>
      </w:tr>
      <w:tr w:rsidR="00BB4501" w:rsidRPr="00F00002" w:rsidTr="000505B9">
        <w:tc>
          <w:tcPr>
            <w:tcW w:w="2376" w:type="pct"/>
            <w:shd w:val="clear" w:color="auto" w:fill="auto"/>
          </w:tcPr>
          <w:p w:rsidR="00BB4501" w:rsidRPr="00F00002" w:rsidRDefault="00BB4501" w:rsidP="00D150ED">
            <w:pPr>
              <w:pStyle w:val="Tabletext"/>
            </w:pPr>
            <w:r w:rsidRPr="00F00002">
              <w:t>pigs</w:t>
            </w:r>
          </w:p>
        </w:tc>
        <w:tc>
          <w:tcPr>
            <w:tcW w:w="2624" w:type="pct"/>
            <w:shd w:val="clear" w:color="auto" w:fill="auto"/>
          </w:tcPr>
          <w:p w:rsidR="00BB4501" w:rsidRPr="00F00002" w:rsidRDefault="00BB4501" w:rsidP="00D150ED">
            <w:pPr>
              <w:pStyle w:val="Tabletext"/>
            </w:pPr>
            <w:r w:rsidRPr="00F00002">
              <w:t>12.00</w:t>
            </w:r>
          </w:p>
        </w:tc>
      </w:tr>
      <w:tr w:rsidR="00BB4501" w:rsidRPr="00F00002" w:rsidTr="000505B9">
        <w:tc>
          <w:tcPr>
            <w:tcW w:w="2376" w:type="pct"/>
            <w:tcBorders>
              <w:bottom w:val="single" w:sz="4" w:space="0" w:color="auto"/>
            </w:tcBorders>
            <w:shd w:val="clear" w:color="auto" w:fill="auto"/>
          </w:tcPr>
          <w:p w:rsidR="00BB4501" w:rsidRPr="00F00002" w:rsidRDefault="00BB4501" w:rsidP="00D150ED">
            <w:pPr>
              <w:pStyle w:val="Tabletext"/>
            </w:pPr>
            <w:r w:rsidRPr="00F00002">
              <w:t>poultry</w:t>
            </w:r>
          </w:p>
        </w:tc>
        <w:tc>
          <w:tcPr>
            <w:tcW w:w="2624" w:type="pct"/>
            <w:tcBorders>
              <w:bottom w:val="single" w:sz="4" w:space="0" w:color="auto"/>
            </w:tcBorders>
            <w:shd w:val="clear" w:color="auto" w:fill="auto"/>
          </w:tcPr>
          <w:p w:rsidR="00BB4501" w:rsidRPr="00F00002" w:rsidRDefault="00BB4501" w:rsidP="00D150ED">
            <w:pPr>
              <w:pStyle w:val="Tabletext"/>
            </w:pPr>
            <w:r w:rsidRPr="00F00002">
              <w:t>0.35</w:t>
            </w:r>
          </w:p>
        </w:tc>
      </w:tr>
      <w:tr w:rsidR="00BB4501" w:rsidRPr="00F00002" w:rsidTr="000505B9">
        <w:tc>
          <w:tcPr>
            <w:tcW w:w="2376" w:type="pct"/>
            <w:tcBorders>
              <w:bottom w:val="single" w:sz="12" w:space="0" w:color="auto"/>
            </w:tcBorders>
            <w:shd w:val="clear" w:color="auto" w:fill="auto"/>
          </w:tcPr>
          <w:p w:rsidR="00BB4501" w:rsidRPr="00F00002" w:rsidRDefault="00BB4501" w:rsidP="00D150ED">
            <w:pPr>
              <w:pStyle w:val="Tabletext"/>
            </w:pPr>
            <w:r w:rsidRPr="00F00002">
              <w:t>sheep</w:t>
            </w:r>
          </w:p>
        </w:tc>
        <w:tc>
          <w:tcPr>
            <w:tcW w:w="2624" w:type="pct"/>
            <w:tcBorders>
              <w:bottom w:val="single" w:sz="12" w:space="0" w:color="auto"/>
            </w:tcBorders>
            <w:shd w:val="clear" w:color="auto" w:fill="auto"/>
          </w:tcPr>
          <w:p w:rsidR="00BB4501" w:rsidRPr="00F00002" w:rsidRDefault="00BB4501" w:rsidP="00D150ED">
            <w:pPr>
              <w:pStyle w:val="Tabletext"/>
            </w:pPr>
            <w:r w:rsidRPr="00F00002">
              <w:t>4.00</w:t>
            </w:r>
          </w:p>
        </w:tc>
      </w:tr>
    </w:tbl>
    <w:p w:rsidR="00241AFB" w:rsidRPr="00F00002" w:rsidRDefault="00D150ED" w:rsidP="00855B8B">
      <w:pPr>
        <w:pStyle w:val="ActHead3"/>
        <w:pageBreakBefore/>
      </w:pPr>
      <w:bookmarkStart w:id="41" w:name="_Toc31109625"/>
      <w:r w:rsidRPr="00A26088">
        <w:rPr>
          <w:rStyle w:val="CharDivNo"/>
        </w:rPr>
        <w:lastRenderedPageBreak/>
        <w:t>Division</w:t>
      </w:r>
      <w:r w:rsidR="00F00002" w:rsidRPr="00A26088">
        <w:rPr>
          <w:rStyle w:val="CharDivNo"/>
        </w:rPr>
        <w:t> </w:t>
      </w:r>
      <w:r w:rsidR="00241AFB" w:rsidRPr="00A26088">
        <w:rPr>
          <w:rStyle w:val="CharDivNo"/>
        </w:rPr>
        <w:t>83A</w:t>
      </w:r>
      <w:r w:rsidRPr="00F00002">
        <w:t>—</w:t>
      </w:r>
      <w:r w:rsidR="00241AFB" w:rsidRPr="00A26088">
        <w:rPr>
          <w:rStyle w:val="CharDivText"/>
        </w:rPr>
        <w:t>Employee share schemes</w:t>
      </w:r>
      <w:bookmarkEnd w:id="41"/>
    </w:p>
    <w:p w:rsidR="00241AFB" w:rsidRPr="00F00002" w:rsidRDefault="00241AFB" w:rsidP="00D150ED">
      <w:pPr>
        <w:pStyle w:val="ActHead5"/>
      </w:pPr>
      <w:bookmarkStart w:id="42" w:name="_Toc31109626"/>
      <w:r w:rsidRPr="00A26088">
        <w:rPr>
          <w:rStyle w:val="CharSectno"/>
        </w:rPr>
        <w:t>83A</w:t>
      </w:r>
      <w:r w:rsidR="00F00002" w:rsidRPr="00A26088">
        <w:rPr>
          <w:rStyle w:val="CharSectno"/>
        </w:rPr>
        <w:noBreakHyphen/>
      </w:r>
      <w:r w:rsidRPr="00A26088">
        <w:rPr>
          <w:rStyle w:val="CharSectno"/>
        </w:rPr>
        <w:t>5.01</w:t>
      </w:r>
      <w:r w:rsidR="00D150ED" w:rsidRPr="00F00002">
        <w:t xml:space="preserve">  </w:t>
      </w:r>
      <w:r w:rsidRPr="00F00002">
        <w:t xml:space="preserve">Object of </w:t>
      </w:r>
      <w:r w:rsidR="00D150ED" w:rsidRPr="00F00002">
        <w:t>Division</w:t>
      </w:r>
      <w:r w:rsidR="00F00002">
        <w:t> </w:t>
      </w:r>
      <w:r w:rsidRPr="00F00002">
        <w:t>83A</w:t>
      </w:r>
      <w:bookmarkEnd w:id="42"/>
    </w:p>
    <w:p w:rsidR="00241AFB" w:rsidRPr="00F00002" w:rsidRDefault="00241AFB" w:rsidP="00D150ED">
      <w:pPr>
        <w:pStyle w:val="subsection"/>
      </w:pPr>
      <w:r w:rsidRPr="00F00002">
        <w:tab/>
      </w:r>
      <w:r w:rsidRPr="00F00002">
        <w:tab/>
        <w:t xml:space="preserve">For </w:t>
      </w:r>
      <w:r w:rsidR="00D150ED" w:rsidRPr="00F00002">
        <w:t>Division</w:t>
      </w:r>
      <w:r w:rsidR="00F00002">
        <w:t> </w:t>
      </w:r>
      <w:r w:rsidRPr="00F00002">
        <w:t xml:space="preserve">83A of the Act, this </w:t>
      </w:r>
      <w:r w:rsidR="00D150ED" w:rsidRPr="00F00002">
        <w:t>Division</w:t>
      </w:r>
      <w:r w:rsidR="00672E95" w:rsidRPr="00F00002">
        <w:t xml:space="preserve"> </w:t>
      </w:r>
      <w:r w:rsidRPr="00F00002">
        <w:t xml:space="preserve">preserves rules under the former </w:t>
      </w:r>
      <w:r w:rsidR="00D150ED" w:rsidRPr="00F00002">
        <w:t>Division</w:t>
      </w:r>
      <w:r w:rsidR="00F00002">
        <w:t> </w:t>
      </w:r>
      <w:r w:rsidRPr="00F00002">
        <w:t xml:space="preserve">13A of </w:t>
      </w:r>
      <w:r w:rsidR="00D150ED" w:rsidRPr="00F00002">
        <w:t>Part</w:t>
      </w:r>
      <w:r w:rsidR="00672E95" w:rsidRPr="00F00002">
        <w:t> </w:t>
      </w:r>
      <w:r w:rsidRPr="00F00002">
        <w:t xml:space="preserve">III of the </w:t>
      </w:r>
      <w:r w:rsidRPr="00F00002">
        <w:rPr>
          <w:i/>
        </w:rPr>
        <w:t xml:space="preserve">Income Tax Assessment Act 1936 </w:t>
      </w:r>
      <w:r w:rsidRPr="00F00002">
        <w:t>about valuing unlisted rights to acquire shares under an employee share scheme.</w:t>
      </w:r>
    </w:p>
    <w:p w:rsidR="00241AFB" w:rsidRPr="00F00002" w:rsidRDefault="00241AFB" w:rsidP="00D150ED">
      <w:pPr>
        <w:pStyle w:val="ActHead5"/>
      </w:pPr>
      <w:bookmarkStart w:id="43" w:name="_Toc31109627"/>
      <w:r w:rsidRPr="00A26088">
        <w:rPr>
          <w:rStyle w:val="CharSectno"/>
        </w:rPr>
        <w:t>83A</w:t>
      </w:r>
      <w:r w:rsidR="00F00002" w:rsidRPr="00A26088">
        <w:rPr>
          <w:rStyle w:val="CharSectno"/>
        </w:rPr>
        <w:noBreakHyphen/>
      </w:r>
      <w:r w:rsidRPr="00A26088">
        <w:rPr>
          <w:rStyle w:val="CharSectno"/>
        </w:rPr>
        <w:t>315.01</w:t>
      </w:r>
      <w:r w:rsidR="00D150ED" w:rsidRPr="00F00002">
        <w:t xml:space="preserve">  </w:t>
      </w:r>
      <w:r w:rsidRPr="00F00002">
        <w:t>Determining the value of a right</w:t>
      </w:r>
      <w:bookmarkEnd w:id="43"/>
    </w:p>
    <w:p w:rsidR="00241AFB" w:rsidRPr="00F00002" w:rsidRDefault="00241AFB" w:rsidP="00D150ED">
      <w:pPr>
        <w:pStyle w:val="subsection"/>
      </w:pPr>
      <w:r w:rsidRPr="00F00002">
        <w:tab/>
        <w:t>(1)</w:t>
      </w:r>
      <w:r w:rsidRPr="00F00002">
        <w:tab/>
        <w:t>For subsection</w:t>
      </w:r>
      <w:r w:rsidR="00F00002">
        <w:t> </w:t>
      </w:r>
      <w:r w:rsidRPr="00F00002">
        <w:t>83A</w:t>
      </w:r>
      <w:r w:rsidR="00F00002">
        <w:noBreakHyphen/>
      </w:r>
      <w:r w:rsidRPr="00F00002">
        <w:t xml:space="preserve">315 of the Act, the amount, in relation to an unlisted right that must be exercised within </w:t>
      </w:r>
      <w:r w:rsidR="00426DB9" w:rsidRPr="00F00002">
        <w:t>15 years</w:t>
      </w:r>
      <w:r w:rsidRPr="00F00002">
        <w:t xml:space="preserve"> after the day when the beneficial interest in the right was acquired is, at the choice of the individual:</w:t>
      </w:r>
    </w:p>
    <w:p w:rsidR="00241AFB" w:rsidRPr="00F00002" w:rsidRDefault="00241AFB" w:rsidP="00D150ED">
      <w:pPr>
        <w:pStyle w:val="paragraph"/>
      </w:pPr>
      <w:r w:rsidRPr="00F00002">
        <w:tab/>
        <w:t>(a)</w:t>
      </w:r>
      <w:r w:rsidRPr="00F00002">
        <w:tab/>
        <w:t>the market value of the right; or</w:t>
      </w:r>
    </w:p>
    <w:p w:rsidR="00241AFB" w:rsidRPr="00F00002" w:rsidRDefault="00241AFB" w:rsidP="00D150ED">
      <w:pPr>
        <w:pStyle w:val="paragraph"/>
      </w:pPr>
      <w:r w:rsidRPr="00F00002">
        <w:tab/>
        <w:t>(b)</w:t>
      </w:r>
      <w:r w:rsidRPr="00F00002">
        <w:tab/>
        <w:t>the amount determined by the application of regulations</w:t>
      </w:r>
      <w:r w:rsidR="00F00002">
        <w:t> </w:t>
      </w:r>
      <w:r w:rsidRPr="00F00002">
        <w:t>83A</w:t>
      </w:r>
      <w:r w:rsidR="00F00002">
        <w:noBreakHyphen/>
      </w:r>
      <w:r w:rsidRPr="00F00002">
        <w:t>315.02 to 83A</w:t>
      </w:r>
      <w:r w:rsidR="00F00002">
        <w:noBreakHyphen/>
      </w:r>
      <w:r w:rsidRPr="00F00002">
        <w:t>315.09.</w:t>
      </w:r>
    </w:p>
    <w:p w:rsidR="00241AFB" w:rsidRPr="00F00002" w:rsidRDefault="00241AFB" w:rsidP="00D150ED">
      <w:pPr>
        <w:pStyle w:val="subsection"/>
      </w:pPr>
      <w:r w:rsidRPr="00F00002">
        <w:tab/>
        <w:t>(2)</w:t>
      </w:r>
      <w:r w:rsidRPr="00F00002">
        <w:tab/>
        <w:t>However, if the ESS deferred taxing point for an ESS interest is:</w:t>
      </w:r>
    </w:p>
    <w:p w:rsidR="00241AFB" w:rsidRPr="00F00002" w:rsidRDefault="00241AFB" w:rsidP="00D150ED">
      <w:pPr>
        <w:pStyle w:val="paragraph"/>
      </w:pPr>
      <w:r w:rsidRPr="00F00002">
        <w:tab/>
        <w:t>(a)</w:t>
      </w:r>
      <w:r w:rsidRPr="00F00002">
        <w:tab/>
        <w:t>the day when the individual disposes of the interest (other than by exercising the right); or</w:t>
      </w:r>
    </w:p>
    <w:p w:rsidR="00241AFB" w:rsidRPr="00F00002" w:rsidRDefault="00241AFB" w:rsidP="00D150ED">
      <w:pPr>
        <w:pStyle w:val="paragraph"/>
      </w:pPr>
      <w:r w:rsidRPr="00F00002">
        <w:tab/>
        <w:t>(b)</w:t>
      </w:r>
      <w:r w:rsidRPr="00F00002">
        <w:tab/>
        <w:t>if the individual exercises the right</w:t>
      </w:r>
      <w:r w:rsidR="00D150ED" w:rsidRPr="00F00002">
        <w:t>—</w:t>
      </w:r>
      <w:r w:rsidRPr="00F00002">
        <w:t>the day when the individual disposes of the beneficial interest in the share;</w:t>
      </w:r>
    </w:p>
    <w:p w:rsidR="00241AFB" w:rsidRPr="00F00002" w:rsidRDefault="00241AFB" w:rsidP="00D150ED">
      <w:pPr>
        <w:pStyle w:val="subsection2"/>
      </w:pPr>
      <w:r w:rsidRPr="00F00002">
        <w:t>the amount is the market value of the right or share.</w:t>
      </w:r>
    </w:p>
    <w:p w:rsidR="00241AFB" w:rsidRPr="00F00002" w:rsidRDefault="00241AFB" w:rsidP="00D150ED">
      <w:pPr>
        <w:pStyle w:val="ActHead5"/>
      </w:pPr>
      <w:bookmarkStart w:id="44" w:name="_Toc31109628"/>
      <w:r w:rsidRPr="00A26088">
        <w:rPr>
          <w:rStyle w:val="CharSectno"/>
        </w:rPr>
        <w:t>83A</w:t>
      </w:r>
      <w:r w:rsidR="00F00002" w:rsidRPr="00A26088">
        <w:rPr>
          <w:rStyle w:val="CharSectno"/>
        </w:rPr>
        <w:noBreakHyphen/>
      </w:r>
      <w:r w:rsidRPr="00A26088">
        <w:rPr>
          <w:rStyle w:val="CharSectno"/>
        </w:rPr>
        <w:t>315.02</w:t>
      </w:r>
      <w:r w:rsidR="00D150ED" w:rsidRPr="00F00002">
        <w:t xml:space="preserve">  </w:t>
      </w:r>
      <w:r w:rsidRPr="00F00002">
        <w:t>Valuing unlisted rights</w:t>
      </w:r>
      <w:bookmarkEnd w:id="44"/>
    </w:p>
    <w:p w:rsidR="00241AFB" w:rsidRPr="00F00002" w:rsidRDefault="00241AFB" w:rsidP="00D150ED">
      <w:pPr>
        <w:pStyle w:val="subsection"/>
      </w:pPr>
      <w:r w:rsidRPr="00F00002">
        <w:tab/>
        <w:t>(1)</w:t>
      </w:r>
      <w:r w:rsidRPr="00F00002">
        <w:tab/>
        <w:t>If a right is not quoted on an approved stock exchange on a particular day, the value of the right is the greater of:</w:t>
      </w:r>
    </w:p>
    <w:p w:rsidR="00241AFB" w:rsidRPr="00F00002" w:rsidRDefault="00241AFB" w:rsidP="00D150ED">
      <w:pPr>
        <w:pStyle w:val="paragraph"/>
      </w:pPr>
      <w:r w:rsidRPr="00F00002">
        <w:tab/>
        <w:t>(a)</w:t>
      </w:r>
      <w:r w:rsidRPr="00F00002">
        <w:tab/>
        <w:t>the market value, on the day, of the share that may be acquired by exercising the right, less the lowest amount that must be paid to exercise the right to acquire the beneficial interest in the share; and</w:t>
      </w:r>
    </w:p>
    <w:p w:rsidR="00241AFB" w:rsidRPr="00F00002" w:rsidRDefault="00241AFB" w:rsidP="00D150ED">
      <w:pPr>
        <w:pStyle w:val="paragraph"/>
      </w:pPr>
      <w:r w:rsidRPr="00F00002">
        <w:tab/>
        <w:t>(b)</w:t>
      </w:r>
      <w:r w:rsidRPr="00F00002">
        <w:tab/>
        <w:t>subject to regulation</w:t>
      </w:r>
      <w:r w:rsidR="00F00002">
        <w:t> </w:t>
      </w:r>
      <w:r w:rsidRPr="00F00002">
        <w:t>83A</w:t>
      </w:r>
      <w:r w:rsidR="00F00002">
        <w:noBreakHyphen/>
      </w:r>
      <w:r w:rsidRPr="00F00002">
        <w:t>315.03, the value determined in accordance with regulations</w:t>
      </w:r>
      <w:r w:rsidR="00F00002">
        <w:t> </w:t>
      </w:r>
      <w:r w:rsidRPr="00F00002">
        <w:t>83A</w:t>
      </w:r>
      <w:r w:rsidR="00F00002">
        <w:noBreakHyphen/>
      </w:r>
      <w:r w:rsidRPr="00F00002">
        <w:t>315.05 to 83A</w:t>
      </w:r>
      <w:r w:rsidR="00F00002">
        <w:noBreakHyphen/>
      </w:r>
      <w:r w:rsidRPr="00F00002">
        <w:t>315.09.</w:t>
      </w:r>
    </w:p>
    <w:p w:rsidR="00241AFB" w:rsidRPr="00F00002" w:rsidRDefault="00241AFB" w:rsidP="00D150ED">
      <w:pPr>
        <w:pStyle w:val="subsection"/>
      </w:pPr>
      <w:r w:rsidRPr="00F00002">
        <w:tab/>
        <w:t>(2)</w:t>
      </w:r>
      <w:r w:rsidRPr="00F00002">
        <w:tab/>
        <w:t>In determining the value of a right, anything that would prevent or restrict conversion of the right to money is to be disregarded.</w:t>
      </w:r>
    </w:p>
    <w:p w:rsidR="00241AFB" w:rsidRPr="00F00002" w:rsidRDefault="00241AFB" w:rsidP="00D150ED">
      <w:pPr>
        <w:pStyle w:val="ActHead5"/>
      </w:pPr>
      <w:bookmarkStart w:id="45" w:name="_Toc31109629"/>
      <w:r w:rsidRPr="00A26088">
        <w:rPr>
          <w:rStyle w:val="CharSectno"/>
        </w:rPr>
        <w:t>83A</w:t>
      </w:r>
      <w:r w:rsidR="00F00002" w:rsidRPr="00A26088">
        <w:rPr>
          <w:rStyle w:val="CharSectno"/>
        </w:rPr>
        <w:noBreakHyphen/>
      </w:r>
      <w:r w:rsidRPr="00A26088">
        <w:rPr>
          <w:rStyle w:val="CharSectno"/>
        </w:rPr>
        <w:t>315.03</w:t>
      </w:r>
      <w:r w:rsidR="00D150ED" w:rsidRPr="00F00002">
        <w:t xml:space="preserve">  </w:t>
      </w:r>
      <w:r w:rsidRPr="00F00002">
        <w:t>Exercise price of right nil or can not be determined</w:t>
      </w:r>
      <w:bookmarkEnd w:id="45"/>
    </w:p>
    <w:p w:rsidR="00241AFB" w:rsidRPr="00F00002" w:rsidRDefault="00241AFB" w:rsidP="00D150ED">
      <w:pPr>
        <w:pStyle w:val="subsection"/>
      </w:pPr>
      <w:r w:rsidRPr="00F00002">
        <w:tab/>
      </w:r>
      <w:r w:rsidRPr="00F00002">
        <w:tab/>
        <w:t>If the lowest amount that must be paid to exercise a right to acquire a beneficial interest in a share is nil or can not be determined, the value of the right on a particular day is the same as the market value of the share on that day.</w:t>
      </w:r>
    </w:p>
    <w:p w:rsidR="00241AFB" w:rsidRPr="00F00002" w:rsidRDefault="00241AFB" w:rsidP="00D150ED">
      <w:pPr>
        <w:pStyle w:val="ActHead5"/>
      </w:pPr>
      <w:bookmarkStart w:id="46" w:name="_Toc31109630"/>
      <w:r w:rsidRPr="00A26088">
        <w:rPr>
          <w:rStyle w:val="CharSectno"/>
        </w:rPr>
        <w:lastRenderedPageBreak/>
        <w:t>83A</w:t>
      </w:r>
      <w:r w:rsidR="00F00002" w:rsidRPr="00A26088">
        <w:rPr>
          <w:rStyle w:val="CharSectno"/>
        </w:rPr>
        <w:noBreakHyphen/>
      </w:r>
      <w:r w:rsidRPr="00A26088">
        <w:rPr>
          <w:rStyle w:val="CharSectno"/>
        </w:rPr>
        <w:t>315.04</w:t>
      </w:r>
      <w:r w:rsidR="00D150ED" w:rsidRPr="00F00002">
        <w:t xml:space="preserve">  </w:t>
      </w:r>
      <w:r w:rsidRPr="00F00002">
        <w:t>Value of beneficial interests</w:t>
      </w:r>
      <w:bookmarkEnd w:id="46"/>
    </w:p>
    <w:p w:rsidR="00241AFB" w:rsidRPr="00F00002" w:rsidRDefault="00241AFB" w:rsidP="00D150ED">
      <w:pPr>
        <w:pStyle w:val="subsection"/>
      </w:pPr>
      <w:r w:rsidRPr="00F00002">
        <w:tab/>
      </w:r>
      <w:r w:rsidRPr="00F00002">
        <w:tab/>
        <w:t xml:space="preserve">To avoid doubt, if an individual acquires the beneficial interest in a share or right, the value that is applicable for the purposes of this </w:t>
      </w:r>
      <w:r w:rsidR="00D150ED" w:rsidRPr="00F00002">
        <w:t>Division</w:t>
      </w:r>
      <w:r w:rsidR="00672E95" w:rsidRPr="00F00002">
        <w:t xml:space="preserve"> </w:t>
      </w:r>
      <w:r w:rsidRPr="00F00002">
        <w:t>is the value of the share or right, not the value of the interest in the share or right.</w:t>
      </w:r>
    </w:p>
    <w:p w:rsidR="00241AFB" w:rsidRPr="00F00002" w:rsidRDefault="00241AFB" w:rsidP="00D150ED">
      <w:pPr>
        <w:pStyle w:val="ActHead5"/>
      </w:pPr>
      <w:bookmarkStart w:id="47" w:name="_Toc31109631"/>
      <w:r w:rsidRPr="00A26088">
        <w:rPr>
          <w:rStyle w:val="CharSectno"/>
        </w:rPr>
        <w:t>83A</w:t>
      </w:r>
      <w:r w:rsidR="00F00002" w:rsidRPr="00A26088">
        <w:rPr>
          <w:rStyle w:val="CharSectno"/>
        </w:rPr>
        <w:noBreakHyphen/>
      </w:r>
      <w:r w:rsidRPr="00A26088">
        <w:rPr>
          <w:rStyle w:val="CharSectno"/>
        </w:rPr>
        <w:t>315.05</w:t>
      </w:r>
      <w:r w:rsidR="00D150ED" w:rsidRPr="00F00002">
        <w:t xml:space="preserve">  </w:t>
      </w:r>
      <w:r w:rsidRPr="00F00002">
        <w:t>Outline of remainder of Division</w:t>
      </w:r>
      <w:bookmarkEnd w:id="47"/>
    </w:p>
    <w:p w:rsidR="00241AFB" w:rsidRPr="00F00002" w:rsidRDefault="00241AFB" w:rsidP="00D150ED">
      <w:pPr>
        <w:pStyle w:val="subsection"/>
      </w:pPr>
      <w:r w:rsidRPr="00F00002">
        <w:tab/>
      </w:r>
      <w:r w:rsidRPr="00F00002">
        <w:tab/>
        <w:t xml:space="preserve">The remainder of this </w:t>
      </w:r>
      <w:r w:rsidR="00D150ED" w:rsidRPr="00F00002">
        <w:t>Division</w:t>
      </w:r>
      <w:r w:rsidR="00672E95" w:rsidRPr="00F00002">
        <w:t xml:space="preserve"> </w:t>
      </w:r>
      <w:r w:rsidRPr="00F00002">
        <w:t>sets out the method of calculating, for the purposes of paragraph</w:t>
      </w:r>
      <w:r w:rsidR="00F00002">
        <w:t> </w:t>
      </w:r>
      <w:r w:rsidRPr="00F00002">
        <w:t>83A</w:t>
      </w:r>
      <w:r w:rsidR="00F00002">
        <w:noBreakHyphen/>
      </w:r>
      <w:r w:rsidRPr="00F00002">
        <w:t>315.0</w:t>
      </w:r>
      <w:r w:rsidR="00D150ED" w:rsidRPr="00F00002">
        <w:t>2(</w:t>
      </w:r>
      <w:r w:rsidRPr="00F00002">
        <w:t>1</w:t>
      </w:r>
      <w:r w:rsidR="00D150ED" w:rsidRPr="00F00002">
        <w:t>)(</w:t>
      </w:r>
      <w:r w:rsidRPr="00F00002">
        <w:t>b)</w:t>
      </w:r>
      <w:r w:rsidR="00672E95" w:rsidRPr="00F00002">
        <w:t xml:space="preserve"> </w:t>
      </w:r>
      <w:r w:rsidRPr="00F00002">
        <w:t xml:space="preserve"> the value, on a particular day, of a right to acquire the beneficial interest in a share.</w:t>
      </w:r>
    </w:p>
    <w:p w:rsidR="00241AFB" w:rsidRPr="00F00002" w:rsidRDefault="00241AFB" w:rsidP="00D150ED">
      <w:pPr>
        <w:pStyle w:val="ActHead5"/>
      </w:pPr>
      <w:bookmarkStart w:id="48" w:name="_Toc31109632"/>
      <w:r w:rsidRPr="00A26088">
        <w:rPr>
          <w:rStyle w:val="CharSectno"/>
        </w:rPr>
        <w:t>83A</w:t>
      </w:r>
      <w:r w:rsidR="00F00002" w:rsidRPr="00A26088">
        <w:rPr>
          <w:rStyle w:val="CharSectno"/>
        </w:rPr>
        <w:noBreakHyphen/>
      </w:r>
      <w:r w:rsidRPr="00A26088">
        <w:rPr>
          <w:rStyle w:val="CharSectno"/>
        </w:rPr>
        <w:t>315.06</w:t>
      </w:r>
      <w:r w:rsidR="00D150ED" w:rsidRPr="00F00002">
        <w:t xml:space="preserve">  </w:t>
      </w:r>
      <w:r w:rsidRPr="00F00002">
        <w:t>Step 1</w:t>
      </w:r>
      <w:r w:rsidR="00D150ED" w:rsidRPr="00F00002">
        <w:t>—</w:t>
      </w:r>
      <w:r w:rsidRPr="00F00002">
        <w:t>calculate the calculation percentage</w:t>
      </w:r>
      <w:bookmarkEnd w:id="48"/>
    </w:p>
    <w:p w:rsidR="00241AFB" w:rsidRPr="00F00002" w:rsidRDefault="00241AFB" w:rsidP="00D150ED">
      <w:pPr>
        <w:pStyle w:val="subsection"/>
      </w:pPr>
      <w:r w:rsidRPr="00F00002">
        <w:tab/>
      </w:r>
      <w:r w:rsidRPr="00F00002">
        <w:tab/>
        <w:t xml:space="preserve">Apply the following formula. The result is the </w:t>
      </w:r>
      <w:r w:rsidRPr="00F00002">
        <w:rPr>
          <w:b/>
          <w:i/>
        </w:rPr>
        <w:t>calculation percentage</w:t>
      </w:r>
      <w:r w:rsidRPr="00F00002">
        <w:t>.</w:t>
      </w:r>
    </w:p>
    <w:p w:rsidR="00241AFB" w:rsidRPr="00F00002" w:rsidRDefault="008B79DF" w:rsidP="004231B0">
      <w:pPr>
        <w:pStyle w:val="subsection"/>
        <w:ind w:firstLine="0"/>
      </w:pPr>
      <w:r w:rsidRPr="00F00002">
        <w:rPr>
          <w:noProof/>
        </w:rPr>
        <w:drawing>
          <wp:inline distT="0" distB="0" distL="0" distR="0" wp14:anchorId="1A06F148" wp14:editId="1763167A">
            <wp:extent cx="2790825"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p w:rsidR="00241AFB" w:rsidRPr="00F00002" w:rsidRDefault="00241AFB" w:rsidP="00D150ED">
      <w:pPr>
        <w:pStyle w:val="ActHead5"/>
      </w:pPr>
      <w:bookmarkStart w:id="49" w:name="_Toc31109633"/>
      <w:r w:rsidRPr="00A26088">
        <w:rPr>
          <w:rStyle w:val="CharSectno"/>
        </w:rPr>
        <w:t>83A</w:t>
      </w:r>
      <w:r w:rsidR="00F00002" w:rsidRPr="00A26088">
        <w:rPr>
          <w:rStyle w:val="CharSectno"/>
        </w:rPr>
        <w:noBreakHyphen/>
      </w:r>
      <w:r w:rsidRPr="00A26088">
        <w:rPr>
          <w:rStyle w:val="CharSectno"/>
        </w:rPr>
        <w:t>315.07</w:t>
      </w:r>
      <w:r w:rsidR="00D150ED" w:rsidRPr="00F00002">
        <w:t xml:space="preserve">  </w:t>
      </w:r>
      <w:r w:rsidRPr="00F00002">
        <w:t>Step 2</w:t>
      </w:r>
      <w:r w:rsidR="00D150ED" w:rsidRPr="00F00002">
        <w:t>—</w:t>
      </w:r>
      <w:r w:rsidRPr="00F00002">
        <w:t>how to use calculation percentage</w:t>
      </w:r>
      <w:bookmarkEnd w:id="49"/>
    </w:p>
    <w:p w:rsidR="00241AFB" w:rsidRPr="00F00002" w:rsidRDefault="00241AFB" w:rsidP="00D150ED">
      <w:pPr>
        <w:pStyle w:val="subsection"/>
      </w:pPr>
      <w:r w:rsidRPr="00F00002">
        <w:tab/>
        <w:t>(1)</w:t>
      </w:r>
      <w:r w:rsidRPr="00F00002">
        <w:tab/>
        <w:t>If the calculation percentage is less than 50%, the</w:t>
      </w:r>
      <w:r w:rsidRPr="00F00002">
        <w:rPr>
          <w:b/>
        </w:rPr>
        <w:t xml:space="preserve"> </w:t>
      </w:r>
      <w:r w:rsidRPr="00F00002">
        <w:rPr>
          <w:b/>
          <w:i/>
        </w:rPr>
        <w:t>value of the right</w:t>
      </w:r>
      <w:r w:rsidRPr="00F00002">
        <w:rPr>
          <w:i/>
        </w:rPr>
        <w:t xml:space="preserve"> </w:t>
      </w:r>
      <w:r w:rsidRPr="00F00002">
        <w:t>is nil.</w:t>
      </w:r>
    </w:p>
    <w:p w:rsidR="00241AFB" w:rsidRPr="00F00002" w:rsidRDefault="00241AFB" w:rsidP="00D150ED">
      <w:pPr>
        <w:pStyle w:val="subsection"/>
      </w:pPr>
      <w:r w:rsidRPr="00F00002">
        <w:tab/>
        <w:t>(2)</w:t>
      </w:r>
      <w:r w:rsidRPr="00F00002">
        <w:tab/>
        <w:t>If the calculation percentage is equal to, or greater than, 50% but less than 110%, go to the instructions for using Table 1 in regulation</w:t>
      </w:r>
      <w:r w:rsidR="00F00002">
        <w:t> </w:t>
      </w:r>
      <w:r w:rsidRPr="00F00002">
        <w:t>83A</w:t>
      </w:r>
      <w:r w:rsidR="00F00002">
        <w:noBreakHyphen/>
      </w:r>
      <w:r w:rsidRPr="00F00002">
        <w:t>315.08 that are set out below that Table.</w:t>
      </w:r>
    </w:p>
    <w:p w:rsidR="00241AFB" w:rsidRPr="00F00002" w:rsidRDefault="00241AFB" w:rsidP="00D150ED">
      <w:pPr>
        <w:pStyle w:val="subsection"/>
      </w:pPr>
      <w:r w:rsidRPr="00F00002">
        <w:tab/>
        <w:t>(3)</w:t>
      </w:r>
      <w:r w:rsidRPr="00F00002">
        <w:tab/>
        <w:t>If the calculation percentage is equal to, or greater than, 110%, go to the instructions for using Table 2 in regulation</w:t>
      </w:r>
      <w:r w:rsidR="00F00002">
        <w:t> </w:t>
      </w:r>
      <w:r w:rsidRPr="00F00002">
        <w:t>83A</w:t>
      </w:r>
      <w:r w:rsidR="00F00002">
        <w:noBreakHyphen/>
      </w:r>
      <w:r w:rsidRPr="00F00002">
        <w:t>315.09 that are set out below that Table.</w:t>
      </w:r>
    </w:p>
    <w:p w:rsidR="00241AFB" w:rsidRPr="00F00002" w:rsidRDefault="00241AFB" w:rsidP="00D150ED">
      <w:pPr>
        <w:pStyle w:val="ActHead5"/>
      </w:pPr>
      <w:bookmarkStart w:id="50" w:name="_Toc31109634"/>
      <w:r w:rsidRPr="00A26088">
        <w:rPr>
          <w:rStyle w:val="CharSectno"/>
        </w:rPr>
        <w:t>83A</w:t>
      </w:r>
      <w:r w:rsidR="00F00002" w:rsidRPr="00A26088">
        <w:rPr>
          <w:rStyle w:val="CharSectno"/>
        </w:rPr>
        <w:noBreakHyphen/>
      </w:r>
      <w:r w:rsidRPr="00A26088">
        <w:rPr>
          <w:rStyle w:val="CharSectno"/>
        </w:rPr>
        <w:t>315.08</w:t>
      </w:r>
      <w:r w:rsidR="00D150ED" w:rsidRPr="00F00002">
        <w:t xml:space="preserve">  </w:t>
      </w:r>
      <w:r w:rsidRPr="00F00002">
        <w:t>Table 1 and instructions</w:t>
      </w:r>
      <w:bookmarkEnd w:id="50"/>
    </w:p>
    <w:p w:rsidR="00707853" w:rsidRPr="00F00002" w:rsidRDefault="00707853" w:rsidP="00707853">
      <w:pPr>
        <w:pStyle w:val="subsection"/>
      </w:pPr>
      <w:r w:rsidRPr="00F00002">
        <w:tab/>
        <w:t>(1)</w:t>
      </w:r>
      <w:r w:rsidRPr="00F00002">
        <w:tab/>
        <w:t>The following table sets out the Table 1 percentages for calculation percentages of 50% or more and less than 110%.</w:t>
      </w:r>
    </w:p>
    <w:p w:rsidR="00707853" w:rsidRPr="00F00002" w:rsidRDefault="00707853" w:rsidP="0070785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3"/>
        <w:gridCol w:w="913"/>
        <w:gridCol w:w="911"/>
        <w:gridCol w:w="911"/>
        <w:gridCol w:w="911"/>
        <w:gridCol w:w="911"/>
        <w:gridCol w:w="911"/>
        <w:gridCol w:w="1008"/>
      </w:tblGrid>
      <w:tr w:rsidR="00707853" w:rsidRPr="00F00002" w:rsidTr="000505B9">
        <w:trPr>
          <w:tblHeader/>
        </w:trPr>
        <w:tc>
          <w:tcPr>
            <w:tcW w:w="5000" w:type="pct"/>
            <w:gridSpan w:val="8"/>
            <w:tcBorders>
              <w:top w:val="single" w:sz="12" w:space="0" w:color="auto"/>
              <w:bottom w:val="single" w:sz="12" w:space="0" w:color="auto"/>
            </w:tcBorders>
          </w:tcPr>
          <w:p w:rsidR="00707853" w:rsidRPr="00F00002" w:rsidRDefault="00707853" w:rsidP="00AB0B8F">
            <w:pPr>
              <w:pStyle w:val="TableHeading"/>
            </w:pPr>
            <w:r w:rsidRPr="00F00002">
              <w:t>Table 1—Table 1 percentages</w:t>
            </w:r>
          </w:p>
        </w:tc>
      </w:tr>
      <w:tr w:rsidR="00707853" w:rsidRPr="00F00002" w:rsidTr="000505B9">
        <w:trPr>
          <w:tblHeader/>
        </w:trPr>
        <w:tc>
          <w:tcPr>
            <w:tcW w:w="5000" w:type="pct"/>
            <w:gridSpan w:val="8"/>
            <w:tcBorders>
              <w:top w:val="single" w:sz="6" w:space="0" w:color="auto"/>
              <w:bottom w:val="nil"/>
            </w:tcBorders>
          </w:tcPr>
          <w:p w:rsidR="00707853" w:rsidRPr="00F00002" w:rsidRDefault="00707853" w:rsidP="00AB0B8F">
            <w:pPr>
              <w:pStyle w:val="TableHeading"/>
            </w:pPr>
            <w:r w:rsidRPr="00F00002">
              <w:t>Calculation percentage 50% to 92.5%</w:t>
            </w:r>
          </w:p>
        </w:tc>
      </w:tr>
      <w:tr w:rsidR="00707853" w:rsidRPr="00F00002" w:rsidTr="000505B9">
        <w:trPr>
          <w:tblHeader/>
        </w:trPr>
        <w:tc>
          <w:tcPr>
            <w:tcW w:w="1204" w:type="pct"/>
            <w:vMerge w:val="restart"/>
            <w:tcBorders>
              <w:top w:val="single" w:sz="6" w:space="0" w:color="auto"/>
            </w:tcBorders>
          </w:tcPr>
          <w:p w:rsidR="00707853" w:rsidRPr="00F00002" w:rsidRDefault="00707853" w:rsidP="00AB0B8F">
            <w:pPr>
              <w:pStyle w:val="TableHeading"/>
            </w:pPr>
            <w:r w:rsidRPr="00F00002">
              <w:t>Exercise period (months)</w:t>
            </w:r>
          </w:p>
        </w:tc>
        <w:tc>
          <w:tcPr>
            <w:tcW w:w="3796" w:type="pct"/>
            <w:gridSpan w:val="7"/>
            <w:tcBorders>
              <w:top w:val="single" w:sz="6" w:space="0" w:color="auto"/>
              <w:bottom w:val="nil"/>
            </w:tcBorders>
            <w:shd w:val="clear" w:color="auto" w:fill="auto"/>
          </w:tcPr>
          <w:p w:rsidR="00707853" w:rsidRPr="00F00002" w:rsidRDefault="00707853" w:rsidP="00AB0B8F">
            <w:pPr>
              <w:pStyle w:val="TableHeading"/>
            </w:pPr>
            <w:r w:rsidRPr="00F00002">
              <w:t>Calculation percentage (%)</w:t>
            </w:r>
          </w:p>
        </w:tc>
      </w:tr>
      <w:tr w:rsidR="00707853" w:rsidRPr="00F00002" w:rsidTr="000505B9">
        <w:trPr>
          <w:tblHeader/>
        </w:trPr>
        <w:tc>
          <w:tcPr>
            <w:tcW w:w="1204" w:type="pct"/>
            <w:vMerge/>
            <w:tcBorders>
              <w:bottom w:val="single" w:sz="12" w:space="0" w:color="auto"/>
            </w:tcBorders>
          </w:tcPr>
          <w:p w:rsidR="00707853" w:rsidRPr="00F00002" w:rsidRDefault="00707853" w:rsidP="00AB0B8F">
            <w:pPr>
              <w:pStyle w:val="TableHeading"/>
            </w:pPr>
          </w:p>
        </w:tc>
        <w:tc>
          <w:tcPr>
            <w:tcW w:w="535" w:type="pct"/>
            <w:tcBorders>
              <w:top w:val="nil"/>
              <w:bottom w:val="single" w:sz="12" w:space="0" w:color="auto"/>
            </w:tcBorders>
            <w:shd w:val="clear" w:color="auto" w:fill="auto"/>
          </w:tcPr>
          <w:p w:rsidR="00707853" w:rsidRPr="00F00002" w:rsidRDefault="00707853" w:rsidP="00AB0B8F">
            <w:pPr>
              <w:pStyle w:val="TableHeading"/>
            </w:pPr>
            <w:r w:rsidRPr="00F00002">
              <w:t>50 to 60</w:t>
            </w:r>
          </w:p>
        </w:tc>
        <w:tc>
          <w:tcPr>
            <w:tcW w:w="534" w:type="pct"/>
            <w:tcBorders>
              <w:top w:val="nil"/>
              <w:bottom w:val="single" w:sz="12" w:space="0" w:color="auto"/>
            </w:tcBorders>
            <w:shd w:val="clear" w:color="auto" w:fill="auto"/>
          </w:tcPr>
          <w:p w:rsidR="00707853" w:rsidRPr="00F00002" w:rsidRDefault="00707853" w:rsidP="00AB0B8F">
            <w:pPr>
              <w:pStyle w:val="TableHeading"/>
            </w:pPr>
            <w:r w:rsidRPr="00F00002">
              <w:t>60 to 70</w:t>
            </w:r>
          </w:p>
        </w:tc>
        <w:tc>
          <w:tcPr>
            <w:tcW w:w="534" w:type="pct"/>
            <w:tcBorders>
              <w:top w:val="nil"/>
              <w:bottom w:val="single" w:sz="12" w:space="0" w:color="auto"/>
            </w:tcBorders>
            <w:shd w:val="clear" w:color="auto" w:fill="auto"/>
          </w:tcPr>
          <w:p w:rsidR="00707853" w:rsidRPr="00F00002" w:rsidRDefault="00707853" w:rsidP="00AB0B8F">
            <w:pPr>
              <w:pStyle w:val="TableHeading"/>
            </w:pPr>
            <w:r w:rsidRPr="00F00002">
              <w:t>70 to 75</w:t>
            </w:r>
          </w:p>
        </w:tc>
        <w:tc>
          <w:tcPr>
            <w:tcW w:w="534" w:type="pct"/>
            <w:tcBorders>
              <w:top w:val="nil"/>
              <w:bottom w:val="single" w:sz="12" w:space="0" w:color="auto"/>
            </w:tcBorders>
            <w:shd w:val="clear" w:color="auto" w:fill="auto"/>
          </w:tcPr>
          <w:p w:rsidR="00707853" w:rsidRPr="00F00002" w:rsidRDefault="00707853" w:rsidP="00AB0B8F">
            <w:pPr>
              <w:pStyle w:val="TableHeading"/>
            </w:pPr>
            <w:r w:rsidRPr="00F00002">
              <w:t>75 to 80</w:t>
            </w:r>
          </w:p>
        </w:tc>
        <w:tc>
          <w:tcPr>
            <w:tcW w:w="534" w:type="pct"/>
            <w:tcBorders>
              <w:top w:val="nil"/>
              <w:bottom w:val="single" w:sz="12" w:space="0" w:color="auto"/>
            </w:tcBorders>
            <w:shd w:val="clear" w:color="auto" w:fill="auto"/>
          </w:tcPr>
          <w:p w:rsidR="00707853" w:rsidRPr="00F00002" w:rsidRDefault="00707853" w:rsidP="00AB0B8F">
            <w:pPr>
              <w:pStyle w:val="TableHeading"/>
            </w:pPr>
            <w:r w:rsidRPr="00F00002">
              <w:t>80 to 85</w:t>
            </w:r>
          </w:p>
        </w:tc>
        <w:tc>
          <w:tcPr>
            <w:tcW w:w="534" w:type="pct"/>
            <w:tcBorders>
              <w:top w:val="nil"/>
              <w:bottom w:val="single" w:sz="12" w:space="0" w:color="auto"/>
            </w:tcBorders>
            <w:shd w:val="clear" w:color="auto" w:fill="auto"/>
          </w:tcPr>
          <w:p w:rsidR="00707853" w:rsidRPr="00F00002" w:rsidRDefault="00707853" w:rsidP="00AB0B8F">
            <w:pPr>
              <w:pStyle w:val="TableHeading"/>
            </w:pPr>
            <w:r w:rsidRPr="00F00002">
              <w:t>85 to 90</w:t>
            </w:r>
          </w:p>
        </w:tc>
        <w:tc>
          <w:tcPr>
            <w:tcW w:w="591" w:type="pct"/>
            <w:tcBorders>
              <w:top w:val="nil"/>
              <w:bottom w:val="single" w:sz="12" w:space="0" w:color="auto"/>
            </w:tcBorders>
            <w:shd w:val="clear" w:color="auto" w:fill="auto"/>
          </w:tcPr>
          <w:p w:rsidR="00707853" w:rsidRPr="00F00002" w:rsidRDefault="00707853" w:rsidP="00AB0B8F">
            <w:pPr>
              <w:pStyle w:val="TableHeading"/>
            </w:pPr>
            <w:r w:rsidRPr="00F00002">
              <w:t>90 to 92.5</w:t>
            </w:r>
          </w:p>
        </w:tc>
      </w:tr>
      <w:tr w:rsidR="00707853" w:rsidRPr="00F00002" w:rsidTr="000505B9">
        <w:tc>
          <w:tcPr>
            <w:tcW w:w="1204" w:type="pct"/>
            <w:tcBorders>
              <w:top w:val="single" w:sz="12" w:space="0" w:color="auto"/>
              <w:bottom w:val="single" w:sz="4" w:space="0" w:color="auto"/>
            </w:tcBorders>
          </w:tcPr>
          <w:p w:rsidR="00707853" w:rsidRPr="00F00002" w:rsidRDefault="00707853" w:rsidP="00AB0B8F">
            <w:pPr>
              <w:pStyle w:val="Tabletext"/>
            </w:pPr>
            <w:r w:rsidRPr="00F00002">
              <w:t>168 to 180</w:t>
            </w:r>
          </w:p>
        </w:tc>
        <w:tc>
          <w:tcPr>
            <w:tcW w:w="535"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0.5%</w:t>
            </w:r>
          </w:p>
        </w:tc>
        <w:tc>
          <w:tcPr>
            <w:tcW w:w="534"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1.3%</w:t>
            </w:r>
          </w:p>
        </w:tc>
        <w:tc>
          <w:tcPr>
            <w:tcW w:w="534"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2.6%</w:t>
            </w:r>
          </w:p>
        </w:tc>
        <w:tc>
          <w:tcPr>
            <w:tcW w:w="534"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3.5%</w:t>
            </w:r>
          </w:p>
        </w:tc>
        <w:tc>
          <w:tcPr>
            <w:tcW w:w="534"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4.6%</w:t>
            </w:r>
          </w:p>
        </w:tc>
        <w:tc>
          <w:tcPr>
            <w:tcW w:w="534"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5.8%</w:t>
            </w:r>
          </w:p>
        </w:tc>
        <w:tc>
          <w:tcPr>
            <w:tcW w:w="591" w:type="pct"/>
            <w:tcBorders>
              <w:top w:val="single" w:sz="12" w:space="0" w:color="auto"/>
              <w:bottom w:val="single" w:sz="4" w:space="0" w:color="auto"/>
            </w:tcBorders>
            <w:shd w:val="clear" w:color="auto" w:fill="auto"/>
          </w:tcPr>
          <w:p w:rsidR="00707853" w:rsidRPr="00F00002" w:rsidRDefault="00707853" w:rsidP="00AB0B8F">
            <w:pPr>
              <w:pStyle w:val="Tabletext"/>
            </w:pPr>
            <w:r w:rsidRPr="00F00002">
              <w:t>7.1%</w:t>
            </w:r>
          </w:p>
        </w:tc>
      </w:tr>
      <w:tr w:rsidR="00707853" w:rsidRPr="00F00002" w:rsidTr="000505B9">
        <w:tc>
          <w:tcPr>
            <w:tcW w:w="1204" w:type="pct"/>
            <w:tcBorders>
              <w:top w:val="single" w:sz="4" w:space="0" w:color="auto"/>
              <w:bottom w:val="single" w:sz="4" w:space="0" w:color="auto"/>
            </w:tcBorders>
          </w:tcPr>
          <w:p w:rsidR="00707853" w:rsidRPr="00F00002" w:rsidRDefault="00707853" w:rsidP="00AB0B8F">
            <w:pPr>
              <w:pStyle w:val="Tabletext"/>
            </w:pPr>
            <w:r w:rsidRPr="00F00002">
              <w:t>156 to 168</w:t>
            </w:r>
          </w:p>
        </w:tc>
        <w:tc>
          <w:tcPr>
            <w:tcW w:w="535"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0.4%</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1.2%</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2.5%</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3.4%</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4.4%</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5.7%</w:t>
            </w:r>
          </w:p>
        </w:tc>
        <w:tc>
          <w:tcPr>
            <w:tcW w:w="591"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7.1%</w:t>
            </w:r>
          </w:p>
        </w:tc>
      </w:tr>
      <w:tr w:rsidR="00707853" w:rsidRPr="00F00002" w:rsidTr="000505B9">
        <w:tc>
          <w:tcPr>
            <w:tcW w:w="1204" w:type="pct"/>
            <w:tcBorders>
              <w:top w:val="single" w:sz="4" w:space="0" w:color="auto"/>
              <w:bottom w:val="single" w:sz="4" w:space="0" w:color="auto"/>
            </w:tcBorders>
          </w:tcPr>
          <w:p w:rsidR="00707853" w:rsidRPr="00F00002" w:rsidRDefault="00707853" w:rsidP="00AB0B8F">
            <w:pPr>
              <w:pStyle w:val="Tabletext"/>
            </w:pPr>
            <w:r w:rsidRPr="00F00002">
              <w:lastRenderedPageBreak/>
              <w:t>144 to 156</w:t>
            </w:r>
          </w:p>
        </w:tc>
        <w:tc>
          <w:tcPr>
            <w:tcW w:w="535"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0.4%</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1.0%</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2.3%</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3.2%</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4.3%</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5.5%</w:t>
            </w:r>
          </w:p>
        </w:tc>
        <w:tc>
          <w:tcPr>
            <w:tcW w:w="591"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7.0%</w:t>
            </w:r>
          </w:p>
        </w:tc>
      </w:tr>
      <w:tr w:rsidR="00707853" w:rsidRPr="00F00002" w:rsidTr="000505B9">
        <w:tc>
          <w:tcPr>
            <w:tcW w:w="1204" w:type="pct"/>
            <w:tcBorders>
              <w:top w:val="single" w:sz="4" w:space="0" w:color="auto"/>
              <w:bottom w:val="single" w:sz="4" w:space="0" w:color="auto"/>
            </w:tcBorders>
          </w:tcPr>
          <w:p w:rsidR="00707853" w:rsidRPr="00F00002" w:rsidRDefault="00707853" w:rsidP="00AB0B8F">
            <w:pPr>
              <w:pStyle w:val="Tabletext"/>
            </w:pPr>
            <w:r w:rsidRPr="00F00002">
              <w:t>132 to 144</w:t>
            </w:r>
          </w:p>
        </w:tc>
        <w:tc>
          <w:tcPr>
            <w:tcW w:w="535"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0.3%</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0.9%</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2.2%</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3.0%</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4.1%</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5.4%</w:t>
            </w:r>
          </w:p>
        </w:tc>
        <w:tc>
          <w:tcPr>
            <w:tcW w:w="591"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6.8%</w:t>
            </w:r>
          </w:p>
        </w:tc>
      </w:tr>
      <w:tr w:rsidR="00707853" w:rsidRPr="00F00002" w:rsidTr="000505B9">
        <w:tc>
          <w:tcPr>
            <w:tcW w:w="1204" w:type="pct"/>
            <w:tcBorders>
              <w:top w:val="single" w:sz="4" w:space="0" w:color="auto"/>
              <w:bottom w:val="single" w:sz="4" w:space="0" w:color="auto"/>
            </w:tcBorders>
          </w:tcPr>
          <w:p w:rsidR="00707853" w:rsidRPr="00F00002" w:rsidRDefault="00707853" w:rsidP="00AB0B8F">
            <w:pPr>
              <w:pStyle w:val="Tabletext"/>
            </w:pPr>
            <w:r w:rsidRPr="00F00002">
              <w:t>120 to 132</w:t>
            </w:r>
          </w:p>
        </w:tc>
        <w:tc>
          <w:tcPr>
            <w:tcW w:w="535"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0.2%</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0.8%</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2.0%</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2.8%</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3.9%</w:t>
            </w:r>
          </w:p>
        </w:tc>
        <w:tc>
          <w:tcPr>
            <w:tcW w:w="534"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5.2%</w:t>
            </w:r>
          </w:p>
        </w:tc>
        <w:tc>
          <w:tcPr>
            <w:tcW w:w="591" w:type="pct"/>
            <w:tcBorders>
              <w:top w:val="single" w:sz="4" w:space="0" w:color="auto"/>
              <w:bottom w:val="single" w:sz="4" w:space="0" w:color="auto"/>
            </w:tcBorders>
            <w:shd w:val="clear" w:color="auto" w:fill="auto"/>
          </w:tcPr>
          <w:p w:rsidR="00707853" w:rsidRPr="00F00002" w:rsidRDefault="00707853" w:rsidP="00AB0B8F">
            <w:pPr>
              <w:pStyle w:val="Tabletext"/>
            </w:pPr>
            <w:r w:rsidRPr="00F00002">
              <w:t>6.6%</w:t>
            </w:r>
          </w:p>
        </w:tc>
      </w:tr>
      <w:tr w:rsidR="00707853" w:rsidRPr="00F00002" w:rsidTr="000505B9">
        <w:tc>
          <w:tcPr>
            <w:tcW w:w="1204" w:type="pct"/>
            <w:tcBorders>
              <w:top w:val="single" w:sz="4" w:space="0" w:color="auto"/>
            </w:tcBorders>
          </w:tcPr>
          <w:p w:rsidR="00707853" w:rsidRPr="00F00002" w:rsidRDefault="00707853" w:rsidP="00AB0B8F">
            <w:pPr>
              <w:pStyle w:val="Tabletext"/>
            </w:pPr>
            <w:r w:rsidRPr="00F00002">
              <w:t>108 to 120</w:t>
            </w:r>
          </w:p>
        </w:tc>
        <w:tc>
          <w:tcPr>
            <w:tcW w:w="535" w:type="pct"/>
            <w:tcBorders>
              <w:top w:val="single" w:sz="4" w:space="0" w:color="auto"/>
            </w:tcBorders>
            <w:shd w:val="clear" w:color="auto" w:fill="auto"/>
          </w:tcPr>
          <w:p w:rsidR="00707853" w:rsidRPr="00F00002" w:rsidRDefault="00707853" w:rsidP="00AB0B8F">
            <w:pPr>
              <w:pStyle w:val="Tabletext"/>
            </w:pPr>
            <w:r w:rsidRPr="00F00002">
              <w:t>0.2%</w:t>
            </w:r>
          </w:p>
        </w:tc>
        <w:tc>
          <w:tcPr>
            <w:tcW w:w="534" w:type="pct"/>
            <w:tcBorders>
              <w:top w:val="single" w:sz="4" w:space="0" w:color="auto"/>
            </w:tcBorders>
            <w:shd w:val="clear" w:color="auto" w:fill="auto"/>
          </w:tcPr>
          <w:p w:rsidR="00707853" w:rsidRPr="00F00002" w:rsidRDefault="00707853" w:rsidP="00AB0B8F">
            <w:pPr>
              <w:pStyle w:val="Tabletext"/>
            </w:pPr>
            <w:r w:rsidRPr="00F00002">
              <w:t>0.7%</w:t>
            </w:r>
          </w:p>
        </w:tc>
        <w:tc>
          <w:tcPr>
            <w:tcW w:w="534" w:type="pct"/>
            <w:tcBorders>
              <w:top w:val="single" w:sz="4" w:space="0" w:color="auto"/>
            </w:tcBorders>
            <w:shd w:val="clear" w:color="auto" w:fill="auto"/>
          </w:tcPr>
          <w:p w:rsidR="00707853" w:rsidRPr="00F00002" w:rsidRDefault="00707853" w:rsidP="00AB0B8F">
            <w:pPr>
              <w:pStyle w:val="Tabletext"/>
            </w:pPr>
            <w:r w:rsidRPr="00F00002">
              <w:t>1.8%</w:t>
            </w:r>
          </w:p>
        </w:tc>
        <w:tc>
          <w:tcPr>
            <w:tcW w:w="534" w:type="pct"/>
            <w:tcBorders>
              <w:top w:val="single" w:sz="4" w:space="0" w:color="auto"/>
            </w:tcBorders>
            <w:shd w:val="clear" w:color="auto" w:fill="auto"/>
          </w:tcPr>
          <w:p w:rsidR="00707853" w:rsidRPr="00F00002" w:rsidRDefault="00707853" w:rsidP="00AB0B8F">
            <w:pPr>
              <w:pStyle w:val="Tabletext"/>
            </w:pPr>
            <w:r w:rsidRPr="00F00002">
              <w:t>2.6%</w:t>
            </w:r>
          </w:p>
        </w:tc>
        <w:tc>
          <w:tcPr>
            <w:tcW w:w="534" w:type="pct"/>
            <w:tcBorders>
              <w:top w:val="single" w:sz="4" w:space="0" w:color="auto"/>
            </w:tcBorders>
            <w:shd w:val="clear" w:color="auto" w:fill="auto"/>
          </w:tcPr>
          <w:p w:rsidR="00707853" w:rsidRPr="00F00002" w:rsidRDefault="00707853" w:rsidP="00AB0B8F">
            <w:pPr>
              <w:pStyle w:val="Tabletext"/>
            </w:pPr>
            <w:r w:rsidRPr="00F00002">
              <w:t>3.7%</w:t>
            </w:r>
          </w:p>
        </w:tc>
        <w:tc>
          <w:tcPr>
            <w:tcW w:w="534" w:type="pct"/>
            <w:tcBorders>
              <w:top w:val="single" w:sz="4" w:space="0" w:color="auto"/>
            </w:tcBorders>
            <w:shd w:val="clear" w:color="auto" w:fill="auto"/>
          </w:tcPr>
          <w:p w:rsidR="00707853" w:rsidRPr="00F00002" w:rsidRDefault="00707853" w:rsidP="00AB0B8F">
            <w:pPr>
              <w:pStyle w:val="Tabletext"/>
            </w:pPr>
            <w:r w:rsidRPr="00F00002">
              <w:t>4.9%</w:t>
            </w:r>
          </w:p>
        </w:tc>
        <w:tc>
          <w:tcPr>
            <w:tcW w:w="591" w:type="pct"/>
            <w:tcBorders>
              <w:top w:val="single" w:sz="4" w:space="0" w:color="auto"/>
            </w:tcBorders>
            <w:shd w:val="clear" w:color="auto" w:fill="auto"/>
          </w:tcPr>
          <w:p w:rsidR="00707853" w:rsidRPr="00F00002" w:rsidRDefault="00707853" w:rsidP="00AB0B8F">
            <w:pPr>
              <w:pStyle w:val="Tabletext"/>
            </w:pPr>
            <w:r w:rsidRPr="00F00002">
              <w:t>6.4%</w:t>
            </w:r>
          </w:p>
        </w:tc>
      </w:tr>
      <w:tr w:rsidR="00707853" w:rsidRPr="00F00002" w:rsidTr="000505B9">
        <w:tc>
          <w:tcPr>
            <w:tcW w:w="1204" w:type="pct"/>
          </w:tcPr>
          <w:p w:rsidR="00707853" w:rsidRPr="00F00002" w:rsidRDefault="00707853" w:rsidP="00AB0B8F">
            <w:pPr>
              <w:pStyle w:val="Tabletext"/>
            </w:pPr>
            <w:r w:rsidRPr="00F00002">
              <w:t>96 to 108</w:t>
            </w:r>
          </w:p>
        </w:tc>
        <w:tc>
          <w:tcPr>
            <w:tcW w:w="535"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0.6%</w:t>
            </w:r>
          </w:p>
        </w:tc>
        <w:tc>
          <w:tcPr>
            <w:tcW w:w="534" w:type="pct"/>
            <w:shd w:val="clear" w:color="auto" w:fill="auto"/>
          </w:tcPr>
          <w:p w:rsidR="00707853" w:rsidRPr="00F00002" w:rsidRDefault="00707853" w:rsidP="00AB0B8F">
            <w:pPr>
              <w:pStyle w:val="Tabletext"/>
            </w:pPr>
            <w:r w:rsidRPr="00F00002">
              <w:t>1.6%</w:t>
            </w:r>
          </w:p>
        </w:tc>
        <w:tc>
          <w:tcPr>
            <w:tcW w:w="534" w:type="pct"/>
            <w:shd w:val="clear" w:color="auto" w:fill="auto"/>
          </w:tcPr>
          <w:p w:rsidR="00707853" w:rsidRPr="00F00002" w:rsidRDefault="00707853" w:rsidP="00AB0B8F">
            <w:pPr>
              <w:pStyle w:val="Tabletext"/>
            </w:pPr>
            <w:r w:rsidRPr="00F00002">
              <w:t>2.4%</w:t>
            </w:r>
          </w:p>
        </w:tc>
        <w:tc>
          <w:tcPr>
            <w:tcW w:w="534" w:type="pct"/>
            <w:shd w:val="clear" w:color="auto" w:fill="auto"/>
          </w:tcPr>
          <w:p w:rsidR="00707853" w:rsidRPr="00F00002" w:rsidRDefault="00707853" w:rsidP="00AB0B8F">
            <w:pPr>
              <w:pStyle w:val="Tabletext"/>
            </w:pPr>
            <w:r w:rsidRPr="00F00002">
              <w:t>3.4%</w:t>
            </w:r>
          </w:p>
        </w:tc>
        <w:tc>
          <w:tcPr>
            <w:tcW w:w="534" w:type="pct"/>
            <w:shd w:val="clear" w:color="auto" w:fill="auto"/>
          </w:tcPr>
          <w:p w:rsidR="00707853" w:rsidRPr="00F00002" w:rsidRDefault="00707853" w:rsidP="00AB0B8F">
            <w:pPr>
              <w:pStyle w:val="Tabletext"/>
            </w:pPr>
            <w:r w:rsidRPr="00F00002">
              <w:t>4.6%</w:t>
            </w:r>
          </w:p>
        </w:tc>
        <w:tc>
          <w:tcPr>
            <w:tcW w:w="591" w:type="pct"/>
            <w:shd w:val="clear" w:color="auto" w:fill="auto"/>
          </w:tcPr>
          <w:p w:rsidR="00707853" w:rsidRPr="00F00002" w:rsidRDefault="00707853" w:rsidP="00AB0B8F">
            <w:pPr>
              <w:pStyle w:val="Tabletext"/>
            </w:pPr>
            <w:r w:rsidRPr="00F00002">
              <w:t>6.1%</w:t>
            </w:r>
          </w:p>
        </w:tc>
      </w:tr>
      <w:tr w:rsidR="00707853" w:rsidRPr="00F00002" w:rsidTr="000505B9">
        <w:tc>
          <w:tcPr>
            <w:tcW w:w="1204" w:type="pct"/>
          </w:tcPr>
          <w:p w:rsidR="00707853" w:rsidRPr="00F00002" w:rsidRDefault="00707853" w:rsidP="00AB0B8F">
            <w:pPr>
              <w:pStyle w:val="Tabletext"/>
            </w:pPr>
            <w:r w:rsidRPr="00F00002">
              <w:t>84 to 96</w:t>
            </w:r>
          </w:p>
        </w:tc>
        <w:tc>
          <w:tcPr>
            <w:tcW w:w="535"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0.4%</w:t>
            </w:r>
          </w:p>
        </w:tc>
        <w:tc>
          <w:tcPr>
            <w:tcW w:w="534" w:type="pct"/>
            <w:shd w:val="clear" w:color="auto" w:fill="auto"/>
          </w:tcPr>
          <w:p w:rsidR="00707853" w:rsidRPr="00F00002" w:rsidRDefault="00707853" w:rsidP="00AB0B8F">
            <w:pPr>
              <w:pStyle w:val="Tabletext"/>
            </w:pPr>
            <w:r w:rsidRPr="00F00002">
              <w:t>1.3%</w:t>
            </w:r>
          </w:p>
        </w:tc>
        <w:tc>
          <w:tcPr>
            <w:tcW w:w="534" w:type="pct"/>
            <w:shd w:val="clear" w:color="auto" w:fill="auto"/>
          </w:tcPr>
          <w:p w:rsidR="00707853" w:rsidRPr="00F00002" w:rsidRDefault="00707853" w:rsidP="00AB0B8F">
            <w:pPr>
              <w:pStyle w:val="Tabletext"/>
            </w:pPr>
            <w:r w:rsidRPr="00F00002">
              <w:t>2.1%</w:t>
            </w:r>
          </w:p>
        </w:tc>
        <w:tc>
          <w:tcPr>
            <w:tcW w:w="534" w:type="pct"/>
            <w:shd w:val="clear" w:color="auto" w:fill="auto"/>
          </w:tcPr>
          <w:p w:rsidR="00707853" w:rsidRPr="00F00002" w:rsidRDefault="00707853" w:rsidP="00AB0B8F">
            <w:pPr>
              <w:pStyle w:val="Tabletext"/>
            </w:pPr>
            <w:r w:rsidRPr="00F00002">
              <w:t>3.0%</w:t>
            </w:r>
          </w:p>
        </w:tc>
        <w:tc>
          <w:tcPr>
            <w:tcW w:w="534" w:type="pct"/>
            <w:shd w:val="clear" w:color="auto" w:fill="auto"/>
          </w:tcPr>
          <w:p w:rsidR="00707853" w:rsidRPr="00F00002" w:rsidRDefault="00707853" w:rsidP="00AB0B8F">
            <w:pPr>
              <w:pStyle w:val="Tabletext"/>
            </w:pPr>
            <w:r w:rsidRPr="00F00002">
              <w:t>4.3%</w:t>
            </w:r>
          </w:p>
        </w:tc>
        <w:tc>
          <w:tcPr>
            <w:tcW w:w="591" w:type="pct"/>
            <w:shd w:val="clear" w:color="auto" w:fill="auto"/>
          </w:tcPr>
          <w:p w:rsidR="00707853" w:rsidRPr="00F00002" w:rsidRDefault="00707853" w:rsidP="00AB0B8F">
            <w:pPr>
              <w:pStyle w:val="Tabletext"/>
            </w:pPr>
            <w:r w:rsidRPr="00F00002">
              <w:t>5.8%</w:t>
            </w:r>
          </w:p>
        </w:tc>
      </w:tr>
      <w:tr w:rsidR="00707853" w:rsidRPr="00F00002" w:rsidTr="000505B9">
        <w:tc>
          <w:tcPr>
            <w:tcW w:w="1204" w:type="pct"/>
          </w:tcPr>
          <w:p w:rsidR="00707853" w:rsidRPr="00F00002" w:rsidRDefault="00707853" w:rsidP="00AB0B8F">
            <w:pPr>
              <w:pStyle w:val="Tabletext"/>
            </w:pPr>
            <w:r w:rsidRPr="00F00002">
              <w:t>72 to 84</w:t>
            </w:r>
          </w:p>
        </w:tc>
        <w:tc>
          <w:tcPr>
            <w:tcW w:w="535"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0.3%</w:t>
            </w:r>
          </w:p>
        </w:tc>
        <w:tc>
          <w:tcPr>
            <w:tcW w:w="534" w:type="pct"/>
            <w:shd w:val="clear" w:color="auto" w:fill="auto"/>
          </w:tcPr>
          <w:p w:rsidR="00707853" w:rsidRPr="00F00002" w:rsidRDefault="00707853" w:rsidP="00AB0B8F">
            <w:pPr>
              <w:pStyle w:val="Tabletext"/>
            </w:pPr>
            <w:r w:rsidRPr="00F00002">
              <w:t>1.1%</w:t>
            </w:r>
          </w:p>
        </w:tc>
        <w:tc>
          <w:tcPr>
            <w:tcW w:w="534" w:type="pct"/>
            <w:shd w:val="clear" w:color="auto" w:fill="auto"/>
          </w:tcPr>
          <w:p w:rsidR="00707853" w:rsidRPr="00F00002" w:rsidRDefault="00707853" w:rsidP="00AB0B8F">
            <w:pPr>
              <w:pStyle w:val="Tabletext"/>
            </w:pPr>
            <w:r w:rsidRPr="00F00002">
              <w:t>1.7%</w:t>
            </w:r>
          </w:p>
        </w:tc>
        <w:tc>
          <w:tcPr>
            <w:tcW w:w="534" w:type="pct"/>
            <w:shd w:val="clear" w:color="auto" w:fill="auto"/>
          </w:tcPr>
          <w:p w:rsidR="00707853" w:rsidRPr="00F00002" w:rsidRDefault="00707853" w:rsidP="00AB0B8F">
            <w:pPr>
              <w:pStyle w:val="Tabletext"/>
            </w:pPr>
            <w:r w:rsidRPr="00F00002">
              <w:t>2.7%</w:t>
            </w:r>
          </w:p>
        </w:tc>
        <w:tc>
          <w:tcPr>
            <w:tcW w:w="534" w:type="pct"/>
            <w:shd w:val="clear" w:color="auto" w:fill="auto"/>
          </w:tcPr>
          <w:p w:rsidR="00707853" w:rsidRPr="00F00002" w:rsidRDefault="00707853" w:rsidP="00AB0B8F">
            <w:pPr>
              <w:pStyle w:val="Tabletext"/>
            </w:pPr>
            <w:r w:rsidRPr="00F00002">
              <w:t>3.9%</w:t>
            </w:r>
          </w:p>
        </w:tc>
        <w:tc>
          <w:tcPr>
            <w:tcW w:w="591" w:type="pct"/>
            <w:shd w:val="clear" w:color="auto" w:fill="auto"/>
          </w:tcPr>
          <w:p w:rsidR="00707853" w:rsidRPr="00F00002" w:rsidRDefault="00707853" w:rsidP="00AB0B8F">
            <w:pPr>
              <w:pStyle w:val="Tabletext"/>
            </w:pPr>
            <w:r w:rsidRPr="00F00002">
              <w:t>5.4%</w:t>
            </w:r>
          </w:p>
        </w:tc>
      </w:tr>
      <w:tr w:rsidR="00707853" w:rsidRPr="00F00002" w:rsidTr="000505B9">
        <w:tc>
          <w:tcPr>
            <w:tcW w:w="1204" w:type="pct"/>
          </w:tcPr>
          <w:p w:rsidR="00707853" w:rsidRPr="00F00002" w:rsidRDefault="00707853" w:rsidP="00AB0B8F">
            <w:pPr>
              <w:pStyle w:val="Tabletext"/>
            </w:pPr>
            <w:r w:rsidRPr="00F00002">
              <w:t>60 to 72</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0.2%</w:t>
            </w:r>
          </w:p>
        </w:tc>
        <w:tc>
          <w:tcPr>
            <w:tcW w:w="534" w:type="pct"/>
            <w:shd w:val="clear" w:color="auto" w:fill="auto"/>
          </w:tcPr>
          <w:p w:rsidR="00707853" w:rsidRPr="00F00002" w:rsidRDefault="00707853" w:rsidP="00AB0B8F">
            <w:pPr>
              <w:pStyle w:val="Tabletext"/>
            </w:pPr>
            <w:r w:rsidRPr="00F00002">
              <w:t>0.8%</w:t>
            </w:r>
          </w:p>
        </w:tc>
        <w:tc>
          <w:tcPr>
            <w:tcW w:w="534" w:type="pct"/>
            <w:shd w:val="clear" w:color="auto" w:fill="auto"/>
          </w:tcPr>
          <w:p w:rsidR="00707853" w:rsidRPr="00F00002" w:rsidRDefault="00707853" w:rsidP="00AB0B8F">
            <w:pPr>
              <w:pStyle w:val="Tabletext"/>
            </w:pPr>
            <w:r w:rsidRPr="00F00002">
              <w:t>1.4%</w:t>
            </w:r>
          </w:p>
        </w:tc>
        <w:tc>
          <w:tcPr>
            <w:tcW w:w="534" w:type="pct"/>
            <w:shd w:val="clear" w:color="auto" w:fill="auto"/>
          </w:tcPr>
          <w:p w:rsidR="00707853" w:rsidRPr="00F00002" w:rsidRDefault="00707853" w:rsidP="00AB0B8F">
            <w:pPr>
              <w:pStyle w:val="Tabletext"/>
            </w:pPr>
            <w:r w:rsidRPr="00F00002">
              <w:t>2.2%</w:t>
            </w:r>
          </w:p>
        </w:tc>
        <w:tc>
          <w:tcPr>
            <w:tcW w:w="534" w:type="pct"/>
            <w:shd w:val="clear" w:color="auto" w:fill="auto"/>
          </w:tcPr>
          <w:p w:rsidR="00707853" w:rsidRPr="00F00002" w:rsidRDefault="00707853" w:rsidP="00AB0B8F">
            <w:pPr>
              <w:pStyle w:val="Tabletext"/>
            </w:pPr>
            <w:r w:rsidRPr="00F00002">
              <w:t>3.4%</w:t>
            </w:r>
          </w:p>
        </w:tc>
        <w:tc>
          <w:tcPr>
            <w:tcW w:w="591" w:type="pct"/>
            <w:shd w:val="clear" w:color="auto" w:fill="auto"/>
          </w:tcPr>
          <w:p w:rsidR="00707853" w:rsidRPr="00F00002" w:rsidRDefault="00707853" w:rsidP="00AB0B8F">
            <w:pPr>
              <w:pStyle w:val="Tabletext"/>
            </w:pPr>
            <w:r w:rsidRPr="00F00002">
              <w:t>4.9%</w:t>
            </w:r>
          </w:p>
        </w:tc>
      </w:tr>
      <w:tr w:rsidR="00707853" w:rsidRPr="00F00002" w:rsidTr="000505B9">
        <w:tc>
          <w:tcPr>
            <w:tcW w:w="1204" w:type="pct"/>
          </w:tcPr>
          <w:p w:rsidR="00707853" w:rsidRPr="00F00002" w:rsidRDefault="00707853" w:rsidP="00AB0B8F">
            <w:pPr>
              <w:pStyle w:val="Tabletext"/>
            </w:pPr>
            <w:r w:rsidRPr="00F00002">
              <w:t>48 to 60</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0.5%</w:t>
            </w:r>
          </w:p>
        </w:tc>
        <w:tc>
          <w:tcPr>
            <w:tcW w:w="534" w:type="pct"/>
            <w:shd w:val="clear" w:color="auto" w:fill="auto"/>
          </w:tcPr>
          <w:p w:rsidR="00707853" w:rsidRPr="00F00002" w:rsidRDefault="00707853" w:rsidP="00AB0B8F">
            <w:pPr>
              <w:pStyle w:val="Tabletext"/>
            </w:pPr>
            <w:r w:rsidRPr="00F00002">
              <w:t>1.0%</w:t>
            </w:r>
          </w:p>
        </w:tc>
        <w:tc>
          <w:tcPr>
            <w:tcW w:w="534" w:type="pct"/>
            <w:shd w:val="clear" w:color="auto" w:fill="auto"/>
          </w:tcPr>
          <w:p w:rsidR="00707853" w:rsidRPr="00F00002" w:rsidRDefault="00707853" w:rsidP="00AB0B8F">
            <w:pPr>
              <w:pStyle w:val="Tabletext"/>
            </w:pPr>
            <w:r w:rsidRPr="00F00002">
              <w:t>1.7%</w:t>
            </w:r>
          </w:p>
        </w:tc>
        <w:tc>
          <w:tcPr>
            <w:tcW w:w="534" w:type="pct"/>
            <w:shd w:val="clear" w:color="auto" w:fill="auto"/>
          </w:tcPr>
          <w:p w:rsidR="00707853" w:rsidRPr="00F00002" w:rsidRDefault="00707853" w:rsidP="00AB0B8F">
            <w:pPr>
              <w:pStyle w:val="Tabletext"/>
            </w:pPr>
            <w:r w:rsidRPr="00F00002">
              <w:t>2.8%</w:t>
            </w:r>
          </w:p>
        </w:tc>
        <w:tc>
          <w:tcPr>
            <w:tcW w:w="591" w:type="pct"/>
            <w:shd w:val="clear" w:color="auto" w:fill="auto"/>
          </w:tcPr>
          <w:p w:rsidR="00707853" w:rsidRPr="00F00002" w:rsidRDefault="00707853" w:rsidP="00AB0B8F">
            <w:pPr>
              <w:pStyle w:val="Tabletext"/>
            </w:pPr>
            <w:r w:rsidRPr="00F00002">
              <w:t>4.2%</w:t>
            </w:r>
          </w:p>
        </w:tc>
      </w:tr>
      <w:tr w:rsidR="00707853" w:rsidRPr="00F00002" w:rsidTr="000505B9">
        <w:tc>
          <w:tcPr>
            <w:tcW w:w="1204" w:type="pct"/>
          </w:tcPr>
          <w:p w:rsidR="00707853" w:rsidRPr="00F00002" w:rsidRDefault="00707853" w:rsidP="00AB0B8F">
            <w:pPr>
              <w:pStyle w:val="Tabletext"/>
            </w:pPr>
            <w:r w:rsidRPr="00F00002">
              <w:t>36 to 48</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0.3%</w:t>
            </w:r>
          </w:p>
        </w:tc>
        <w:tc>
          <w:tcPr>
            <w:tcW w:w="534" w:type="pct"/>
            <w:shd w:val="clear" w:color="auto" w:fill="auto"/>
          </w:tcPr>
          <w:p w:rsidR="00707853" w:rsidRPr="00F00002" w:rsidRDefault="00707853" w:rsidP="00AB0B8F">
            <w:pPr>
              <w:pStyle w:val="Tabletext"/>
            </w:pPr>
            <w:r w:rsidRPr="00F00002">
              <w:t>0.6%</w:t>
            </w:r>
          </w:p>
        </w:tc>
        <w:tc>
          <w:tcPr>
            <w:tcW w:w="534" w:type="pct"/>
            <w:shd w:val="clear" w:color="auto" w:fill="auto"/>
          </w:tcPr>
          <w:p w:rsidR="00707853" w:rsidRPr="00F00002" w:rsidRDefault="00707853" w:rsidP="00AB0B8F">
            <w:pPr>
              <w:pStyle w:val="Tabletext"/>
            </w:pPr>
            <w:r w:rsidRPr="00F00002">
              <w:t>1.2%</w:t>
            </w:r>
          </w:p>
        </w:tc>
        <w:tc>
          <w:tcPr>
            <w:tcW w:w="534" w:type="pct"/>
            <w:shd w:val="clear" w:color="auto" w:fill="auto"/>
          </w:tcPr>
          <w:p w:rsidR="00707853" w:rsidRPr="00F00002" w:rsidRDefault="00707853" w:rsidP="00AB0B8F">
            <w:pPr>
              <w:pStyle w:val="Tabletext"/>
            </w:pPr>
            <w:r w:rsidRPr="00F00002">
              <w:t>2.1%</w:t>
            </w:r>
          </w:p>
        </w:tc>
        <w:tc>
          <w:tcPr>
            <w:tcW w:w="591" w:type="pct"/>
            <w:shd w:val="clear" w:color="auto" w:fill="auto"/>
          </w:tcPr>
          <w:p w:rsidR="00707853" w:rsidRPr="00F00002" w:rsidRDefault="00707853" w:rsidP="00AB0B8F">
            <w:pPr>
              <w:pStyle w:val="Tabletext"/>
            </w:pPr>
            <w:r w:rsidRPr="00F00002">
              <w:t>3.4%</w:t>
            </w:r>
          </w:p>
        </w:tc>
      </w:tr>
      <w:tr w:rsidR="00707853" w:rsidRPr="00F00002" w:rsidTr="000505B9">
        <w:tc>
          <w:tcPr>
            <w:tcW w:w="1204" w:type="pct"/>
          </w:tcPr>
          <w:p w:rsidR="00707853" w:rsidRPr="00F00002" w:rsidRDefault="00707853" w:rsidP="00AB0B8F">
            <w:pPr>
              <w:pStyle w:val="Tabletext"/>
            </w:pPr>
            <w:r w:rsidRPr="00F00002">
              <w:t>24 to 36</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0.3%</w:t>
            </w:r>
          </w:p>
        </w:tc>
        <w:tc>
          <w:tcPr>
            <w:tcW w:w="534" w:type="pct"/>
            <w:shd w:val="clear" w:color="auto" w:fill="auto"/>
          </w:tcPr>
          <w:p w:rsidR="00707853" w:rsidRPr="00F00002" w:rsidRDefault="00707853" w:rsidP="00AB0B8F">
            <w:pPr>
              <w:pStyle w:val="Tabletext"/>
            </w:pPr>
            <w:r w:rsidRPr="00F00002">
              <w:t>0.6%</w:t>
            </w:r>
          </w:p>
        </w:tc>
        <w:tc>
          <w:tcPr>
            <w:tcW w:w="534" w:type="pct"/>
            <w:shd w:val="clear" w:color="auto" w:fill="auto"/>
          </w:tcPr>
          <w:p w:rsidR="00707853" w:rsidRPr="00F00002" w:rsidRDefault="00707853" w:rsidP="00AB0B8F">
            <w:pPr>
              <w:pStyle w:val="Tabletext"/>
            </w:pPr>
            <w:r w:rsidRPr="00F00002">
              <w:t>1.3%</w:t>
            </w:r>
          </w:p>
        </w:tc>
        <w:tc>
          <w:tcPr>
            <w:tcW w:w="591" w:type="pct"/>
            <w:shd w:val="clear" w:color="auto" w:fill="auto"/>
          </w:tcPr>
          <w:p w:rsidR="00707853" w:rsidRPr="00F00002" w:rsidRDefault="00707853" w:rsidP="00AB0B8F">
            <w:pPr>
              <w:pStyle w:val="Tabletext"/>
            </w:pPr>
            <w:r w:rsidRPr="00F00002">
              <w:t>2.4%</w:t>
            </w:r>
          </w:p>
        </w:tc>
      </w:tr>
      <w:tr w:rsidR="00707853" w:rsidRPr="00F00002" w:rsidTr="000505B9">
        <w:tc>
          <w:tcPr>
            <w:tcW w:w="1204" w:type="pct"/>
          </w:tcPr>
          <w:p w:rsidR="00707853" w:rsidRPr="00F00002" w:rsidRDefault="00707853" w:rsidP="00AB0B8F">
            <w:pPr>
              <w:pStyle w:val="Tabletext"/>
            </w:pPr>
            <w:r w:rsidRPr="00F00002">
              <w:t>18 to 24</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0.3%</w:t>
            </w:r>
          </w:p>
        </w:tc>
        <w:tc>
          <w:tcPr>
            <w:tcW w:w="534" w:type="pct"/>
            <w:shd w:val="clear" w:color="auto" w:fill="auto"/>
          </w:tcPr>
          <w:p w:rsidR="00707853" w:rsidRPr="00F00002" w:rsidRDefault="00707853" w:rsidP="00AB0B8F">
            <w:pPr>
              <w:pStyle w:val="Tabletext"/>
            </w:pPr>
            <w:r w:rsidRPr="00F00002">
              <w:t>0.9%</w:t>
            </w:r>
          </w:p>
        </w:tc>
        <w:tc>
          <w:tcPr>
            <w:tcW w:w="591" w:type="pct"/>
            <w:shd w:val="clear" w:color="auto" w:fill="auto"/>
          </w:tcPr>
          <w:p w:rsidR="00707853" w:rsidRPr="00F00002" w:rsidRDefault="00707853" w:rsidP="00AB0B8F">
            <w:pPr>
              <w:pStyle w:val="Tabletext"/>
            </w:pPr>
            <w:r w:rsidRPr="00F00002">
              <w:t>1.8%</w:t>
            </w:r>
          </w:p>
        </w:tc>
      </w:tr>
      <w:tr w:rsidR="00707853" w:rsidRPr="00F00002" w:rsidTr="000505B9">
        <w:tc>
          <w:tcPr>
            <w:tcW w:w="1204" w:type="pct"/>
          </w:tcPr>
          <w:p w:rsidR="00707853" w:rsidRPr="00F00002" w:rsidRDefault="00707853" w:rsidP="00AB0B8F">
            <w:pPr>
              <w:pStyle w:val="Tabletext"/>
            </w:pPr>
            <w:r w:rsidRPr="00F00002">
              <w:t>12 to 18</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0.4%</w:t>
            </w:r>
          </w:p>
        </w:tc>
        <w:tc>
          <w:tcPr>
            <w:tcW w:w="591" w:type="pct"/>
            <w:shd w:val="clear" w:color="auto" w:fill="auto"/>
          </w:tcPr>
          <w:p w:rsidR="00707853" w:rsidRPr="00F00002" w:rsidRDefault="00707853" w:rsidP="00AB0B8F">
            <w:pPr>
              <w:pStyle w:val="Tabletext"/>
            </w:pPr>
            <w:r w:rsidRPr="00F00002">
              <w:t>1.1%</w:t>
            </w:r>
          </w:p>
        </w:tc>
      </w:tr>
      <w:tr w:rsidR="00707853" w:rsidRPr="00F00002" w:rsidTr="000505B9">
        <w:tc>
          <w:tcPr>
            <w:tcW w:w="1204" w:type="pct"/>
          </w:tcPr>
          <w:p w:rsidR="00707853" w:rsidRPr="00F00002" w:rsidRDefault="00707853" w:rsidP="00AB0B8F">
            <w:pPr>
              <w:pStyle w:val="Tabletext"/>
            </w:pPr>
            <w:r w:rsidRPr="00F00002">
              <w:t>9 to 12</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0.1%</w:t>
            </w:r>
          </w:p>
        </w:tc>
        <w:tc>
          <w:tcPr>
            <w:tcW w:w="534" w:type="pct"/>
            <w:shd w:val="clear" w:color="auto" w:fill="auto"/>
          </w:tcPr>
          <w:p w:rsidR="00707853" w:rsidRPr="00F00002" w:rsidRDefault="00707853" w:rsidP="00AB0B8F">
            <w:pPr>
              <w:pStyle w:val="Tabletext"/>
            </w:pPr>
            <w:r w:rsidRPr="00F00002">
              <w:t>0.2%</w:t>
            </w:r>
          </w:p>
        </w:tc>
        <w:tc>
          <w:tcPr>
            <w:tcW w:w="591" w:type="pct"/>
            <w:shd w:val="clear" w:color="auto" w:fill="auto"/>
          </w:tcPr>
          <w:p w:rsidR="00707853" w:rsidRPr="00F00002" w:rsidRDefault="00707853" w:rsidP="00AB0B8F">
            <w:pPr>
              <w:pStyle w:val="Tabletext"/>
            </w:pPr>
            <w:r w:rsidRPr="00F00002">
              <w:t>0.8%</w:t>
            </w:r>
          </w:p>
        </w:tc>
      </w:tr>
      <w:tr w:rsidR="00707853" w:rsidRPr="00F00002" w:rsidTr="000505B9">
        <w:tc>
          <w:tcPr>
            <w:tcW w:w="1204" w:type="pct"/>
          </w:tcPr>
          <w:p w:rsidR="00707853" w:rsidRPr="00F00002" w:rsidRDefault="00707853" w:rsidP="00AB0B8F">
            <w:pPr>
              <w:pStyle w:val="Tabletext"/>
            </w:pPr>
            <w:r w:rsidRPr="00F00002">
              <w:t>6 to 9</w:t>
            </w:r>
          </w:p>
        </w:tc>
        <w:tc>
          <w:tcPr>
            <w:tcW w:w="535"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0.0%</w:t>
            </w:r>
          </w:p>
        </w:tc>
        <w:tc>
          <w:tcPr>
            <w:tcW w:w="534" w:type="pct"/>
            <w:shd w:val="clear" w:color="auto" w:fill="auto"/>
          </w:tcPr>
          <w:p w:rsidR="00707853" w:rsidRPr="00F00002" w:rsidRDefault="00707853" w:rsidP="00AB0B8F">
            <w:pPr>
              <w:pStyle w:val="Tabletext"/>
            </w:pPr>
            <w:r w:rsidRPr="00F00002">
              <w:t>0.1%</w:t>
            </w:r>
          </w:p>
        </w:tc>
        <w:tc>
          <w:tcPr>
            <w:tcW w:w="591" w:type="pct"/>
            <w:shd w:val="clear" w:color="auto" w:fill="auto"/>
          </w:tcPr>
          <w:p w:rsidR="00707853" w:rsidRPr="00F00002" w:rsidRDefault="00707853" w:rsidP="00AB0B8F">
            <w:pPr>
              <w:pStyle w:val="Tabletext"/>
            </w:pPr>
            <w:r w:rsidRPr="00F00002">
              <w:t>0.4%</w:t>
            </w:r>
          </w:p>
        </w:tc>
      </w:tr>
      <w:tr w:rsidR="00707853" w:rsidRPr="00F00002" w:rsidTr="000505B9">
        <w:tc>
          <w:tcPr>
            <w:tcW w:w="1204" w:type="pct"/>
            <w:tcBorders>
              <w:bottom w:val="single" w:sz="4" w:space="0" w:color="auto"/>
            </w:tcBorders>
          </w:tcPr>
          <w:p w:rsidR="00707853" w:rsidRPr="00F00002" w:rsidRDefault="00707853" w:rsidP="00AB0B8F">
            <w:pPr>
              <w:pStyle w:val="Tabletext"/>
            </w:pPr>
            <w:r w:rsidRPr="00F00002">
              <w:t>3 to 6</w:t>
            </w:r>
          </w:p>
        </w:tc>
        <w:tc>
          <w:tcPr>
            <w:tcW w:w="535" w:type="pct"/>
            <w:tcBorders>
              <w:bottom w:val="single" w:sz="4" w:space="0" w:color="auto"/>
            </w:tcBorders>
            <w:shd w:val="clear" w:color="auto" w:fill="auto"/>
          </w:tcPr>
          <w:p w:rsidR="00707853" w:rsidRPr="00F00002" w:rsidRDefault="00707853" w:rsidP="00AB0B8F">
            <w:pPr>
              <w:pStyle w:val="Tabletext"/>
            </w:pPr>
            <w:r w:rsidRPr="00F00002">
              <w:t>0.0%</w:t>
            </w:r>
          </w:p>
        </w:tc>
        <w:tc>
          <w:tcPr>
            <w:tcW w:w="534" w:type="pct"/>
            <w:tcBorders>
              <w:bottom w:val="single" w:sz="4" w:space="0" w:color="auto"/>
            </w:tcBorders>
            <w:shd w:val="clear" w:color="auto" w:fill="auto"/>
          </w:tcPr>
          <w:p w:rsidR="00707853" w:rsidRPr="00F00002" w:rsidRDefault="00707853" w:rsidP="00AB0B8F">
            <w:pPr>
              <w:pStyle w:val="Tabletext"/>
            </w:pPr>
            <w:r w:rsidRPr="00F00002">
              <w:t>0.0%</w:t>
            </w:r>
          </w:p>
        </w:tc>
        <w:tc>
          <w:tcPr>
            <w:tcW w:w="534" w:type="pct"/>
            <w:tcBorders>
              <w:bottom w:val="single" w:sz="4" w:space="0" w:color="auto"/>
            </w:tcBorders>
            <w:shd w:val="clear" w:color="auto" w:fill="auto"/>
          </w:tcPr>
          <w:p w:rsidR="00707853" w:rsidRPr="00F00002" w:rsidRDefault="00707853" w:rsidP="00AB0B8F">
            <w:pPr>
              <w:pStyle w:val="Tabletext"/>
            </w:pPr>
            <w:r w:rsidRPr="00F00002">
              <w:t>0.0%</w:t>
            </w:r>
          </w:p>
        </w:tc>
        <w:tc>
          <w:tcPr>
            <w:tcW w:w="534" w:type="pct"/>
            <w:tcBorders>
              <w:bottom w:val="single" w:sz="4" w:space="0" w:color="auto"/>
            </w:tcBorders>
            <w:shd w:val="clear" w:color="auto" w:fill="auto"/>
          </w:tcPr>
          <w:p w:rsidR="00707853" w:rsidRPr="00F00002" w:rsidRDefault="00707853" w:rsidP="00AB0B8F">
            <w:pPr>
              <w:pStyle w:val="Tabletext"/>
            </w:pPr>
            <w:r w:rsidRPr="00F00002">
              <w:t>0.0%</w:t>
            </w:r>
          </w:p>
        </w:tc>
        <w:tc>
          <w:tcPr>
            <w:tcW w:w="534" w:type="pct"/>
            <w:tcBorders>
              <w:bottom w:val="single" w:sz="4" w:space="0" w:color="auto"/>
            </w:tcBorders>
            <w:shd w:val="clear" w:color="auto" w:fill="auto"/>
          </w:tcPr>
          <w:p w:rsidR="00707853" w:rsidRPr="00F00002" w:rsidRDefault="00707853" w:rsidP="00AB0B8F">
            <w:pPr>
              <w:pStyle w:val="Tabletext"/>
            </w:pPr>
            <w:r w:rsidRPr="00F00002">
              <w:t>0.0%</w:t>
            </w:r>
          </w:p>
        </w:tc>
        <w:tc>
          <w:tcPr>
            <w:tcW w:w="534" w:type="pct"/>
            <w:tcBorders>
              <w:bottom w:val="single" w:sz="4" w:space="0" w:color="auto"/>
            </w:tcBorders>
            <w:shd w:val="clear" w:color="auto" w:fill="auto"/>
          </w:tcPr>
          <w:p w:rsidR="00707853" w:rsidRPr="00F00002" w:rsidRDefault="00707853" w:rsidP="00AB0B8F">
            <w:pPr>
              <w:pStyle w:val="Tabletext"/>
            </w:pPr>
            <w:r w:rsidRPr="00F00002">
              <w:t>0.0%</w:t>
            </w:r>
          </w:p>
        </w:tc>
        <w:tc>
          <w:tcPr>
            <w:tcW w:w="591" w:type="pct"/>
            <w:tcBorders>
              <w:bottom w:val="single" w:sz="4" w:space="0" w:color="auto"/>
            </w:tcBorders>
            <w:shd w:val="clear" w:color="auto" w:fill="auto"/>
          </w:tcPr>
          <w:p w:rsidR="00707853" w:rsidRPr="00F00002" w:rsidRDefault="00707853" w:rsidP="00AB0B8F">
            <w:pPr>
              <w:pStyle w:val="Tabletext"/>
            </w:pPr>
            <w:r w:rsidRPr="00F00002">
              <w:t>0.1%</w:t>
            </w:r>
          </w:p>
        </w:tc>
      </w:tr>
      <w:tr w:rsidR="00707853" w:rsidRPr="00F00002" w:rsidTr="000505B9">
        <w:tc>
          <w:tcPr>
            <w:tcW w:w="1204" w:type="pct"/>
            <w:tcBorders>
              <w:bottom w:val="nil"/>
            </w:tcBorders>
          </w:tcPr>
          <w:p w:rsidR="00707853" w:rsidRPr="00F00002" w:rsidRDefault="00707853" w:rsidP="00AB0B8F">
            <w:pPr>
              <w:pStyle w:val="Tabletext"/>
            </w:pPr>
            <w:r w:rsidRPr="00F00002">
              <w:t>0 to 3</w:t>
            </w:r>
          </w:p>
        </w:tc>
        <w:tc>
          <w:tcPr>
            <w:tcW w:w="535" w:type="pct"/>
            <w:tcBorders>
              <w:bottom w:val="nil"/>
            </w:tcBorders>
            <w:shd w:val="clear" w:color="auto" w:fill="auto"/>
          </w:tcPr>
          <w:p w:rsidR="00707853" w:rsidRPr="00F00002" w:rsidRDefault="00707853" w:rsidP="00AB0B8F">
            <w:pPr>
              <w:pStyle w:val="Tabletext"/>
            </w:pPr>
            <w:r w:rsidRPr="00F00002">
              <w:t>0.0%</w:t>
            </w:r>
          </w:p>
        </w:tc>
        <w:tc>
          <w:tcPr>
            <w:tcW w:w="534" w:type="pct"/>
            <w:tcBorders>
              <w:bottom w:val="nil"/>
            </w:tcBorders>
            <w:shd w:val="clear" w:color="auto" w:fill="auto"/>
          </w:tcPr>
          <w:p w:rsidR="00707853" w:rsidRPr="00F00002" w:rsidRDefault="00707853" w:rsidP="00AB0B8F">
            <w:pPr>
              <w:pStyle w:val="Tabletext"/>
            </w:pPr>
            <w:r w:rsidRPr="00F00002">
              <w:t>0.0%</w:t>
            </w:r>
          </w:p>
        </w:tc>
        <w:tc>
          <w:tcPr>
            <w:tcW w:w="534" w:type="pct"/>
            <w:tcBorders>
              <w:bottom w:val="nil"/>
            </w:tcBorders>
            <w:shd w:val="clear" w:color="auto" w:fill="auto"/>
          </w:tcPr>
          <w:p w:rsidR="00707853" w:rsidRPr="00F00002" w:rsidRDefault="00707853" w:rsidP="00AB0B8F">
            <w:pPr>
              <w:pStyle w:val="Tabletext"/>
            </w:pPr>
            <w:r w:rsidRPr="00F00002">
              <w:t>0.0%</w:t>
            </w:r>
          </w:p>
        </w:tc>
        <w:tc>
          <w:tcPr>
            <w:tcW w:w="534" w:type="pct"/>
            <w:tcBorders>
              <w:bottom w:val="nil"/>
            </w:tcBorders>
            <w:shd w:val="clear" w:color="auto" w:fill="auto"/>
          </w:tcPr>
          <w:p w:rsidR="00707853" w:rsidRPr="00F00002" w:rsidRDefault="00707853" w:rsidP="00AB0B8F">
            <w:pPr>
              <w:pStyle w:val="Tabletext"/>
            </w:pPr>
            <w:r w:rsidRPr="00F00002">
              <w:t>0.0%</w:t>
            </w:r>
          </w:p>
        </w:tc>
        <w:tc>
          <w:tcPr>
            <w:tcW w:w="534" w:type="pct"/>
            <w:tcBorders>
              <w:bottom w:val="nil"/>
            </w:tcBorders>
            <w:shd w:val="clear" w:color="auto" w:fill="auto"/>
          </w:tcPr>
          <w:p w:rsidR="00707853" w:rsidRPr="00F00002" w:rsidRDefault="00707853" w:rsidP="00AB0B8F">
            <w:pPr>
              <w:pStyle w:val="Tabletext"/>
            </w:pPr>
            <w:r w:rsidRPr="00F00002">
              <w:t>0.0%</w:t>
            </w:r>
          </w:p>
        </w:tc>
        <w:tc>
          <w:tcPr>
            <w:tcW w:w="534" w:type="pct"/>
            <w:tcBorders>
              <w:bottom w:val="nil"/>
            </w:tcBorders>
            <w:shd w:val="clear" w:color="auto" w:fill="auto"/>
          </w:tcPr>
          <w:p w:rsidR="00707853" w:rsidRPr="00F00002" w:rsidRDefault="00707853" w:rsidP="00AB0B8F">
            <w:pPr>
              <w:pStyle w:val="Tabletext"/>
            </w:pPr>
            <w:r w:rsidRPr="00F00002">
              <w:t>0.0%</w:t>
            </w:r>
          </w:p>
        </w:tc>
        <w:tc>
          <w:tcPr>
            <w:tcW w:w="591" w:type="pct"/>
            <w:tcBorders>
              <w:bottom w:val="nil"/>
            </w:tcBorders>
            <w:shd w:val="clear" w:color="auto" w:fill="auto"/>
          </w:tcPr>
          <w:p w:rsidR="00707853" w:rsidRPr="00F00002" w:rsidRDefault="00707853" w:rsidP="00AB0B8F">
            <w:pPr>
              <w:pStyle w:val="Tabletext"/>
            </w:pPr>
            <w:r w:rsidRPr="00F00002">
              <w:t>0.0%</w:t>
            </w:r>
          </w:p>
        </w:tc>
      </w:tr>
    </w:tbl>
    <w:p w:rsidR="00707853" w:rsidRPr="00F00002" w:rsidRDefault="00707853" w:rsidP="00707853">
      <w:pPr>
        <w:pStyle w:val="Tabletext"/>
        <w:spacing w:before="0" w:line="14" w:lineRule="exac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577"/>
        <w:gridCol w:w="870"/>
        <w:gridCol w:w="870"/>
        <w:gridCol w:w="901"/>
        <w:gridCol w:w="1018"/>
        <w:gridCol w:w="1018"/>
        <w:gridCol w:w="1018"/>
        <w:gridCol w:w="1257"/>
      </w:tblGrid>
      <w:tr w:rsidR="00707853" w:rsidRPr="00F00002" w:rsidTr="000505B9">
        <w:trPr>
          <w:tblHeader/>
        </w:trPr>
        <w:tc>
          <w:tcPr>
            <w:tcW w:w="5000" w:type="pct"/>
            <w:gridSpan w:val="8"/>
            <w:tcBorders>
              <w:top w:val="single" w:sz="12" w:space="0" w:color="auto"/>
              <w:bottom w:val="nil"/>
            </w:tcBorders>
          </w:tcPr>
          <w:p w:rsidR="00707853" w:rsidRPr="00F00002" w:rsidRDefault="00707853" w:rsidP="00AB0B8F">
            <w:pPr>
              <w:pStyle w:val="TableHeading"/>
            </w:pPr>
            <w:r w:rsidRPr="00F00002">
              <w:t>Calculation percentage 92.5% to less than 110%</w:t>
            </w:r>
          </w:p>
        </w:tc>
      </w:tr>
      <w:tr w:rsidR="00707853" w:rsidRPr="00F00002" w:rsidTr="000505B9">
        <w:trPr>
          <w:tblHeader/>
        </w:trPr>
        <w:tc>
          <w:tcPr>
            <w:tcW w:w="924" w:type="pct"/>
            <w:vMerge w:val="restart"/>
            <w:tcBorders>
              <w:top w:val="single" w:sz="6" w:space="0" w:color="auto"/>
            </w:tcBorders>
          </w:tcPr>
          <w:p w:rsidR="00707853" w:rsidRPr="00F00002" w:rsidRDefault="00707853" w:rsidP="00AB0B8F">
            <w:pPr>
              <w:pStyle w:val="TableHeading"/>
            </w:pPr>
            <w:r w:rsidRPr="00F00002">
              <w:t>Exercise period (months)</w:t>
            </w:r>
          </w:p>
        </w:tc>
        <w:tc>
          <w:tcPr>
            <w:tcW w:w="4076" w:type="pct"/>
            <w:gridSpan w:val="7"/>
            <w:tcBorders>
              <w:top w:val="single" w:sz="6" w:space="0" w:color="auto"/>
              <w:bottom w:val="nil"/>
            </w:tcBorders>
            <w:shd w:val="clear" w:color="auto" w:fill="auto"/>
          </w:tcPr>
          <w:p w:rsidR="00707853" w:rsidRPr="00F00002" w:rsidRDefault="00707853" w:rsidP="00AB0B8F">
            <w:pPr>
              <w:pStyle w:val="TableHeading"/>
            </w:pPr>
            <w:r w:rsidRPr="00F00002">
              <w:t>Calculation percentage (%)</w:t>
            </w:r>
          </w:p>
        </w:tc>
      </w:tr>
      <w:tr w:rsidR="00707853" w:rsidRPr="00F00002" w:rsidTr="000505B9">
        <w:trPr>
          <w:tblHeader/>
        </w:trPr>
        <w:tc>
          <w:tcPr>
            <w:tcW w:w="924" w:type="pct"/>
            <w:vMerge/>
            <w:tcBorders>
              <w:bottom w:val="single" w:sz="12" w:space="0" w:color="auto"/>
            </w:tcBorders>
          </w:tcPr>
          <w:p w:rsidR="00707853" w:rsidRPr="00F00002" w:rsidRDefault="00707853" w:rsidP="00AB0B8F">
            <w:pPr>
              <w:pStyle w:val="TableHeading"/>
            </w:pPr>
          </w:p>
        </w:tc>
        <w:tc>
          <w:tcPr>
            <w:tcW w:w="510" w:type="pct"/>
            <w:tcBorders>
              <w:top w:val="nil"/>
              <w:bottom w:val="single" w:sz="12" w:space="0" w:color="auto"/>
            </w:tcBorders>
            <w:shd w:val="clear" w:color="auto" w:fill="auto"/>
          </w:tcPr>
          <w:p w:rsidR="00707853" w:rsidRPr="00F00002" w:rsidRDefault="00707853" w:rsidP="00AB0B8F">
            <w:pPr>
              <w:pStyle w:val="TableHeading"/>
            </w:pPr>
            <w:r w:rsidRPr="00F00002">
              <w:t>92.5 to 95</w:t>
            </w:r>
          </w:p>
        </w:tc>
        <w:tc>
          <w:tcPr>
            <w:tcW w:w="510" w:type="pct"/>
            <w:tcBorders>
              <w:top w:val="nil"/>
              <w:bottom w:val="single" w:sz="12" w:space="0" w:color="auto"/>
            </w:tcBorders>
            <w:shd w:val="clear" w:color="auto" w:fill="auto"/>
          </w:tcPr>
          <w:p w:rsidR="00707853" w:rsidRPr="00F00002" w:rsidRDefault="00707853" w:rsidP="00AB0B8F">
            <w:pPr>
              <w:pStyle w:val="TableHeading"/>
            </w:pPr>
            <w:r w:rsidRPr="00F00002">
              <w:t>95 to 97.5</w:t>
            </w:r>
          </w:p>
        </w:tc>
        <w:tc>
          <w:tcPr>
            <w:tcW w:w="528" w:type="pct"/>
            <w:tcBorders>
              <w:top w:val="nil"/>
              <w:bottom w:val="single" w:sz="12" w:space="0" w:color="auto"/>
            </w:tcBorders>
            <w:shd w:val="clear" w:color="auto" w:fill="auto"/>
          </w:tcPr>
          <w:p w:rsidR="00707853" w:rsidRPr="00F00002" w:rsidRDefault="00707853" w:rsidP="00AB0B8F">
            <w:pPr>
              <w:pStyle w:val="TableHeading"/>
            </w:pPr>
            <w:r w:rsidRPr="00F00002">
              <w:t>97.5 to 100</w:t>
            </w:r>
          </w:p>
        </w:tc>
        <w:tc>
          <w:tcPr>
            <w:tcW w:w="597" w:type="pct"/>
            <w:tcBorders>
              <w:top w:val="nil"/>
              <w:bottom w:val="single" w:sz="12" w:space="0" w:color="auto"/>
            </w:tcBorders>
            <w:shd w:val="clear" w:color="auto" w:fill="auto"/>
          </w:tcPr>
          <w:p w:rsidR="00707853" w:rsidRPr="00F00002" w:rsidRDefault="00707853" w:rsidP="00AB0B8F">
            <w:pPr>
              <w:pStyle w:val="TableHeading"/>
            </w:pPr>
            <w:r w:rsidRPr="00F00002">
              <w:t>100 to 102.5</w:t>
            </w:r>
          </w:p>
        </w:tc>
        <w:tc>
          <w:tcPr>
            <w:tcW w:w="597" w:type="pct"/>
            <w:tcBorders>
              <w:top w:val="nil"/>
              <w:bottom w:val="single" w:sz="12" w:space="0" w:color="auto"/>
            </w:tcBorders>
            <w:shd w:val="clear" w:color="auto" w:fill="auto"/>
          </w:tcPr>
          <w:p w:rsidR="00707853" w:rsidRPr="00F00002" w:rsidRDefault="00707853" w:rsidP="00AB0B8F">
            <w:pPr>
              <w:pStyle w:val="TableHeading"/>
            </w:pPr>
            <w:r w:rsidRPr="00F00002">
              <w:t>102.5 to 105</w:t>
            </w:r>
          </w:p>
        </w:tc>
        <w:tc>
          <w:tcPr>
            <w:tcW w:w="597" w:type="pct"/>
            <w:tcBorders>
              <w:top w:val="nil"/>
              <w:bottom w:val="single" w:sz="12" w:space="0" w:color="auto"/>
            </w:tcBorders>
            <w:shd w:val="clear" w:color="auto" w:fill="auto"/>
          </w:tcPr>
          <w:p w:rsidR="00707853" w:rsidRPr="00F00002" w:rsidRDefault="00707853" w:rsidP="00AB0B8F">
            <w:pPr>
              <w:pStyle w:val="TableHeading"/>
            </w:pPr>
            <w:r w:rsidRPr="00F00002">
              <w:t>105 to 107.5</w:t>
            </w:r>
          </w:p>
        </w:tc>
        <w:tc>
          <w:tcPr>
            <w:tcW w:w="737" w:type="pct"/>
            <w:tcBorders>
              <w:top w:val="nil"/>
              <w:bottom w:val="single" w:sz="12" w:space="0" w:color="auto"/>
            </w:tcBorders>
            <w:shd w:val="clear" w:color="auto" w:fill="auto"/>
          </w:tcPr>
          <w:p w:rsidR="00707853" w:rsidRPr="00F00002" w:rsidRDefault="00707853" w:rsidP="00AB0B8F">
            <w:pPr>
              <w:pStyle w:val="TableHeading"/>
            </w:pPr>
            <w:r w:rsidRPr="00F00002">
              <w:t>107.5 to less than 110</w:t>
            </w:r>
          </w:p>
        </w:tc>
      </w:tr>
      <w:tr w:rsidR="00707853" w:rsidRPr="00F00002" w:rsidTr="000505B9">
        <w:tc>
          <w:tcPr>
            <w:tcW w:w="924" w:type="pct"/>
            <w:tcBorders>
              <w:top w:val="single" w:sz="6" w:space="0" w:color="auto"/>
            </w:tcBorders>
          </w:tcPr>
          <w:p w:rsidR="00707853" w:rsidRPr="00F00002" w:rsidRDefault="00707853" w:rsidP="00AB0B8F">
            <w:pPr>
              <w:pStyle w:val="Tabletext"/>
            </w:pPr>
            <w:r w:rsidRPr="00F00002">
              <w:t>168 to 180</w:t>
            </w:r>
          </w:p>
        </w:tc>
        <w:tc>
          <w:tcPr>
            <w:tcW w:w="510" w:type="pct"/>
            <w:tcBorders>
              <w:top w:val="single" w:sz="6" w:space="0" w:color="auto"/>
            </w:tcBorders>
            <w:shd w:val="clear" w:color="auto" w:fill="auto"/>
          </w:tcPr>
          <w:p w:rsidR="00707853" w:rsidRPr="00F00002" w:rsidRDefault="00707853" w:rsidP="00AB0B8F">
            <w:pPr>
              <w:pStyle w:val="Tabletext"/>
            </w:pPr>
            <w:r w:rsidRPr="00F00002">
              <w:t>7.9%</w:t>
            </w:r>
          </w:p>
        </w:tc>
        <w:tc>
          <w:tcPr>
            <w:tcW w:w="510" w:type="pct"/>
            <w:tcBorders>
              <w:top w:val="single" w:sz="6" w:space="0" w:color="auto"/>
            </w:tcBorders>
            <w:shd w:val="clear" w:color="auto" w:fill="auto"/>
          </w:tcPr>
          <w:p w:rsidR="00707853" w:rsidRPr="00F00002" w:rsidRDefault="00707853" w:rsidP="00AB0B8F">
            <w:pPr>
              <w:pStyle w:val="Tabletext"/>
            </w:pPr>
            <w:r w:rsidRPr="00F00002">
              <w:t>8.6%</w:t>
            </w:r>
          </w:p>
        </w:tc>
        <w:tc>
          <w:tcPr>
            <w:tcW w:w="528" w:type="pct"/>
            <w:tcBorders>
              <w:top w:val="single" w:sz="6" w:space="0" w:color="auto"/>
            </w:tcBorders>
            <w:shd w:val="clear" w:color="auto" w:fill="auto"/>
          </w:tcPr>
          <w:p w:rsidR="00707853" w:rsidRPr="00F00002" w:rsidRDefault="00707853" w:rsidP="00AB0B8F">
            <w:pPr>
              <w:pStyle w:val="Tabletext"/>
            </w:pPr>
            <w:r w:rsidRPr="00F00002">
              <w:t>9.4%</w:t>
            </w:r>
          </w:p>
        </w:tc>
        <w:tc>
          <w:tcPr>
            <w:tcW w:w="597" w:type="pct"/>
            <w:tcBorders>
              <w:top w:val="single" w:sz="6" w:space="0" w:color="auto"/>
            </w:tcBorders>
            <w:shd w:val="clear" w:color="auto" w:fill="auto"/>
          </w:tcPr>
          <w:p w:rsidR="00707853" w:rsidRPr="00F00002" w:rsidRDefault="00707853" w:rsidP="00AB0B8F">
            <w:pPr>
              <w:pStyle w:val="Tabletext"/>
            </w:pPr>
            <w:r w:rsidRPr="00F00002">
              <w:t>10.3%</w:t>
            </w:r>
          </w:p>
        </w:tc>
        <w:tc>
          <w:tcPr>
            <w:tcW w:w="597" w:type="pct"/>
            <w:tcBorders>
              <w:top w:val="single" w:sz="6" w:space="0" w:color="auto"/>
            </w:tcBorders>
            <w:shd w:val="clear" w:color="auto" w:fill="auto"/>
          </w:tcPr>
          <w:p w:rsidR="00707853" w:rsidRPr="00F00002" w:rsidRDefault="00707853" w:rsidP="00AB0B8F">
            <w:pPr>
              <w:pStyle w:val="Tabletext"/>
            </w:pPr>
            <w:r w:rsidRPr="00F00002">
              <w:t>11.2%</w:t>
            </w:r>
          </w:p>
        </w:tc>
        <w:tc>
          <w:tcPr>
            <w:tcW w:w="597" w:type="pct"/>
            <w:tcBorders>
              <w:top w:val="single" w:sz="6" w:space="0" w:color="auto"/>
            </w:tcBorders>
            <w:shd w:val="clear" w:color="auto" w:fill="auto"/>
          </w:tcPr>
          <w:p w:rsidR="00707853" w:rsidRPr="00F00002" w:rsidRDefault="00707853" w:rsidP="00AB0B8F">
            <w:pPr>
              <w:pStyle w:val="Tabletext"/>
            </w:pPr>
            <w:r w:rsidRPr="00F00002">
              <w:t>12.2%</w:t>
            </w:r>
          </w:p>
        </w:tc>
        <w:tc>
          <w:tcPr>
            <w:tcW w:w="737" w:type="pct"/>
            <w:tcBorders>
              <w:top w:val="single" w:sz="6" w:space="0" w:color="auto"/>
            </w:tcBorders>
            <w:shd w:val="clear" w:color="auto" w:fill="auto"/>
          </w:tcPr>
          <w:p w:rsidR="00707853" w:rsidRPr="00F00002" w:rsidRDefault="00707853" w:rsidP="00AB0B8F">
            <w:pPr>
              <w:pStyle w:val="Tabletext"/>
            </w:pPr>
            <w:r w:rsidRPr="00F00002">
              <w:t>13.3%</w:t>
            </w:r>
          </w:p>
        </w:tc>
      </w:tr>
      <w:tr w:rsidR="00707853" w:rsidRPr="00F00002" w:rsidTr="000505B9">
        <w:tc>
          <w:tcPr>
            <w:tcW w:w="924" w:type="pct"/>
            <w:tcBorders>
              <w:top w:val="single" w:sz="6" w:space="0" w:color="auto"/>
            </w:tcBorders>
          </w:tcPr>
          <w:p w:rsidR="00707853" w:rsidRPr="00F00002" w:rsidRDefault="00707853" w:rsidP="00AB0B8F">
            <w:pPr>
              <w:pStyle w:val="Tabletext"/>
            </w:pPr>
            <w:r w:rsidRPr="00F00002">
              <w:t>156 to 168</w:t>
            </w:r>
          </w:p>
        </w:tc>
        <w:tc>
          <w:tcPr>
            <w:tcW w:w="510" w:type="pct"/>
            <w:tcBorders>
              <w:top w:val="single" w:sz="6" w:space="0" w:color="auto"/>
            </w:tcBorders>
            <w:shd w:val="clear" w:color="auto" w:fill="auto"/>
          </w:tcPr>
          <w:p w:rsidR="00707853" w:rsidRPr="00F00002" w:rsidRDefault="00707853" w:rsidP="00AB0B8F">
            <w:pPr>
              <w:pStyle w:val="Tabletext"/>
            </w:pPr>
            <w:r w:rsidRPr="00F00002">
              <w:t>7.8%</w:t>
            </w:r>
          </w:p>
        </w:tc>
        <w:tc>
          <w:tcPr>
            <w:tcW w:w="510" w:type="pct"/>
            <w:tcBorders>
              <w:top w:val="single" w:sz="6" w:space="0" w:color="auto"/>
            </w:tcBorders>
            <w:shd w:val="clear" w:color="auto" w:fill="auto"/>
          </w:tcPr>
          <w:p w:rsidR="00707853" w:rsidRPr="00F00002" w:rsidRDefault="00707853" w:rsidP="00AB0B8F">
            <w:pPr>
              <w:pStyle w:val="Tabletext"/>
            </w:pPr>
            <w:r w:rsidRPr="00F00002">
              <w:t>8.6%</w:t>
            </w:r>
          </w:p>
        </w:tc>
        <w:tc>
          <w:tcPr>
            <w:tcW w:w="528" w:type="pct"/>
            <w:tcBorders>
              <w:top w:val="single" w:sz="6" w:space="0" w:color="auto"/>
            </w:tcBorders>
            <w:shd w:val="clear" w:color="auto" w:fill="auto"/>
          </w:tcPr>
          <w:p w:rsidR="00707853" w:rsidRPr="00F00002" w:rsidRDefault="00707853" w:rsidP="00AB0B8F">
            <w:pPr>
              <w:pStyle w:val="Tabletext"/>
            </w:pPr>
            <w:r w:rsidRPr="00F00002">
              <w:t>9.4%</w:t>
            </w:r>
          </w:p>
        </w:tc>
        <w:tc>
          <w:tcPr>
            <w:tcW w:w="597" w:type="pct"/>
            <w:tcBorders>
              <w:top w:val="single" w:sz="6" w:space="0" w:color="auto"/>
            </w:tcBorders>
            <w:shd w:val="clear" w:color="auto" w:fill="auto"/>
          </w:tcPr>
          <w:p w:rsidR="00707853" w:rsidRPr="00F00002" w:rsidRDefault="00707853" w:rsidP="00AB0B8F">
            <w:pPr>
              <w:pStyle w:val="Tabletext"/>
            </w:pPr>
            <w:r w:rsidRPr="00F00002">
              <w:t>10.3%</w:t>
            </w:r>
          </w:p>
        </w:tc>
        <w:tc>
          <w:tcPr>
            <w:tcW w:w="597" w:type="pct"/>
            <w:tcBorders>
              <w:top w:val="single" w:sz="6" w:space="0" w:color="auto"/>
            </w:tcBorders>
            <w:shd w:val="clear" w:color="auto" w:fill="auto"/>
          </w:tcPr>
          <w:p w:rsidR="00707853" w:rsidRPr="00F00002" w:rsidRDefault="00707853" w:rsidP="00AB0B8F">
            <w:pPr>
              <w:pStyle w:val="Tabletext"/>
            </w:pPr>
            <w:r w:rsidRPr="00F00002">
              <w:t>11.2%</w:t>
            </w:r>
          </w:p>
        </w:tc>
        <w:tc>
          <w:tcPr>
            <w:tcW w:w="597" w:type="pct"/>
            <w:tcBorders>
              <w:top w:val="single" w:sz="6" w:space="0" w:color="auto"/>
            </w:tcBorders>
            <w:shd w:val="clear" w:color="auto" w:fill="auto"/>
          </w:tcPr>
          <w:p w:rsidR="00707853" w:rsidRPr="00F00002" w:rsidRDefault="00707853" w:rsidP="00AB0B8F">
            <w:pPr>
              <w:pStyle w:val="Tabletext"/>
            </w:pPr>
            <w:r w:rsidRPr="00F00002">
              <w:t>12.2%</w:t>
            </w:r>
          </w:p>
        </w:tc>
        <w:tc>
          <w:tcPr>
            <w:tcW w:w="737" w:type="pct"/>
            <w:tcBorders>
              <w:top w:val="single" w:sz="6" w:space="0" w:color="auto"/>
            </w:tcBorders>
            <w:shd w:val="clear" w:color="auto" w:fill="auto"/>
          </w:tcPr>
          <w:p w:rsidR="00707853" w:rsidRPr="00F00002" w:rsidRDefault="00707853" w:rsidP="00AB0B8F">
            <w:pPr>
              <w:pStyle w:val="Tabletext"/>
            </w:pPr>
            <w:r w:rsidRPr="00F00002">
              <w:t>13.3%</w:t>
            </w:r>
          </w:p>
        </w:tc>
      </w:tr>
      <w:tr w:rsidR="00707853" w:rsidRPr="00F00002" w:rsidTr="000505B9">
        <w:tc>
          <w:tcPr>
            <w:tcW w:w="924" w:type="pct"/>
            <w:tcBorders>
              <w:top w:val="single" w:sz="6" w:space="0" w:color="auto"/>
            </w:tcBorders>
          </w:tcPr>
          <w:p w:rsidR="00707853" w:rsidRPr="00F00002" w:rsidRDefault="00707853" w:rsidP="00AB0B8F">
            <w:pPr>
              <w:pStyle w:val="Tabletext"/>
            </w:pPr>
            <w:r w:rsidRPr="00F00002">
              <w:t>144 to 156</w:t>
            </w:r>
          </w:p>
        </w:tc>
        <w:tc>
          <w:tcPr>
            <w:tcW w:w="510" w:type="pct"/>
            <w:tcBorders>
              <w:top w:val="single" w:sz="6" w:space="0" w:color="auto"/>
            </w:tcBorders>
            <w:shd w:val="clear" w:color="auto" w:fill="auto"/>
          </w:tcPr>
          <w:p w:rsidR="00707853" w:rsidRPr="00F00002" w:rsidRDefault="00707853" w:rsidP="00AB0B8F">
            <w:pPr>
              <w:pStyle w:val="Tabletext"/>
            </w:pPr>
            <w:r w:rsidRPr="00F00002">
              <w:t>7.7%</w:t>
            </w:r>
          </w:p>
        </w:tc>
        <w:tc>
          <w:tcPr>
            <w:tcW w:w="510" w:type="pct"/>
            <w:tcBorders>
              <w:top w:val="single" w:sz="6" w:space="0" w:color="auto"/>
            </w:tcBorders>
            <w:shd w:val="clear" w:color="auto" w:fill="auto"/>
          </w:tcPr>
          <w:p w:rsidR="00707853" w:rsidRPr="00F00002" w:rsidRDefault="00707853" w:rsidP="00AB0B8F">
            <w:pPr>
              <w:pStyle w:val="Tabletext"/>
            </w:pPr>
            <w:r w:rsidRPr="00F00002">
              <w:t>8.5%</w:t>
            </w:r>
          </w:p>
        </w:tc>
        <w:tc>
          <w:tcPr>
            <w:tcW w:w="528" w:type="pct"/>
            <w:tcBorders>
              <w:top w:val="single" w:sz="6" w:space="0" w:color="auto"/>
            </w:tcBorders>
            <w:shd w:val="clear" w:color="auto" w:fill="auto"/>
          </w:tcPr>
          <w:p w:rsidR="00707853" w:rsidRPr="00F00002" w:rsidRDefault="00707853" w:rsidP="00AB0B8F">
            <w:pPr>
              <w:pStyle w:val="Tabletext"/>
            </w:pPr>
            <w:r w:rsidRPr="00F00002">
              <w:t>9.4%</w:t>
            </w:r>
          </w:p>
        </w:tc>
        <w:tc>
          <w:tcPr>
            <w:tcW w:w="597" w:type="pct"/>
            <w:tcBorders>
              <w:top w:val="single" w:sz="6" w:space="0" w:color="auto"/>
            </w:tcBorders>
            <w:shd w:val="clear" w:color="auto" w:fill="auto"/>
          </w:tcPr>
          <w:p w:rsidR="00707853" w:rsidRPr="00F00002" w:rsidRDefault="00707853" w:rsidP="00AB0B8F">
            <w:pPr>
              <w:pStyle w:val="Tabletext"/>
            </w:pPr>
            <w:r w:rsidRPr="00F00002">
              <w:t>10.3%</w:t>
            </w:r>
          </w:p>
        </w:tc>
        <w:tc>
          <w:tcPr>
            <w:tcW w:w="597" w:type="pct"/>
            <w:tcBorders>
              <w:top w:val="single" w:sz="6" w:space="0" w:color="auto"/>
            </w:tcBorders>
            <w:shd w:val="clear" w:color="auto" w:fill="auto"/>
          </w:tcPr>
          <w:p w:rsidR="00707853" w:rsidRPr="00F00002" w:rsidRDefault="00707853" w:rsidP="00AB0B8F">
            <w:pPr>
              <w:pStyle w:val="Tabletext"/>
            </w:pPr>
            <w:r w:rsidRPr="00F00002">
              <w:t>11.2%</w:t>
            </w:r>
          </w:p>
        </w:tc>
        <w:tc>
          <w:tcPr>
            <w:tcW w:w="597" w:type="pct"/>
            <w:tcBorders>
              <w:top w:val="single" w:sz="6" w:space="0" w:color="auto"/>
            </w:tcBorders>
            <w:shd w:val="clear" w:color="auto" w:fill="auto"/>
          </w:tcPr>
          <w:p w:rsidR="00707853" w:rsidRPr="00F00002" w:rsidRDefault="00707853" w:rsidP="00AB0B8F">
            <w:pPr>
              <w:pStyle w:val="Tabletext"/>
            </w:pPr>
            <w:r w:rsidRPr="00F00002">
              <w:t>12.2%</w:t>
            </w:r>
          </w:p>
        </w:tc>
        <w:tc>
          <w:tcPr>
            <w:tcW w:w="737" w:type="pct"/>
            <w:tcBorders>
              <w:top w:val="single" w:sz="6" w:space="0" w:color="auto"/>
            </w:tcBorders>
            <w:shd w:val="clear" w:color="auto" w:fill="auto"/>
          </w:tcPr>
          <w:p w:rsidR="00707853" w:rsidRPr="00F00002" w:rsidRDefault="00707853" w:rsidP="00AB0B8F">
            <w:pPr>
              <w:pStyle w:val="Tabletext"/>
            </w:pPr>
            <w:r w:rsidRPr="00F00002">
              <w:t>13.3%</w:t>
            </w:r>
          </w:p>
        </w:tc>
      </w:tr>
      <w:tr w:rsidR="00707853" w:rsidRPr="00F00002" w:rsidTr="000505B9">
        <w:tc>
          <w:tcPr>
            <w:tcW w:w="924" w:type="pct"/>
            <w:tcBorders>
              <w:top w:val="single" w:sz="6" w:space="0" w:color="auto"/>
            </w:tcBorders>
          </w:tcPr>
          <w:p w:rsidR="00707853" w:rsidRPr="00F00002" w:rsidRDefault="00707853" w:rsidP="00AB0B8F">
            <w:pPr>
              <w:pStyle w:val="Tabletext"/>
            </w:pPr>
            <w:r w:rsidRPr="00F00002">
              <w:t>132 to 144</w:t>
            </w:r>
          </w:p>
        </w:tc>
        <w:tc>
          <w:tcPr>
            <w:tcW w:w="510" w:type="pct"/>
            <w:tcBorders>
              <w:top w:val="single" w:sz="6" w:space="0" w:color="auto"/>
            </w:tcBorders>
            <w:shd w:val="clear" w:color="auto" w:fill="auto"/>
          </w:tcPr>
          <w:p w:rsidR="00707853" w:rsidRPr="00F00002" w:rsidRDefault="00707853" w:rsidP="00AB0B8F">
            <w:pPr>
              <w:pStyle w:val="Tabletext"/>
            </w:pPr>
            <w:r w:rsidRPr="00F00002">
              <w:t>7.6%</w:t>
            </w:r>
          </w:p>
        </w:tc>
        <w:tc>
          <w:tcPr>
            <w:tcW w:w="510" w:type="pct"/>
            <w:tcBorders>
              <w:top w:val="single" w:sz="6" w:space="0" w:color="auto"/>
            </w:tcBorders>
            <w:shd w:val="clear" w:color="auto" w:fill="auto"/>
          </w:tcPr>
          <w:p w:rsidR="00707853" w:rsidRPr="00F00002" w:rsidRDefault="00707853" w:rsidP="00AB0B8F">
            <w:pPr>
              <w:pStyle w:val="Tabletext"/>
            </w:pPr>
            <w:r w:rsidRPr="00F00002">
              <w:t>8.4%</w:t>
            </w:r>
          </w:p>
        </w:tc>
        <w:tc>
          <w:tcPr>
            <w:tcW w:w="528" w:type="pct"/>
            <w:tcBorders>
              <w:top w:val="single" w:sz="6" w:space="0" w:color="auto"/>
            </w:tcBorders>
            <w:shd w:val="clear" w:color="auto" w:fill="auto"/>
          </w:tcPr>
          <w:p w:rsidR="00707853" w:rsidRPr="00F00002" w:rsidRDefault="00707853" w:rsidP="00AB0B8F">
            <w:pPr>
              <w:pStyle w:val="Tabletext"/>
            </w:pPr>
            <w:r w:rsidRPr="00F00002">
              <w:t>9.3%</w:t>
            </w:r>
          </w:p>
        </w:tc>
        <w:tc>
          <w:tcPr>
            <w:tcW w:w="597" w:type="pct"/>
            <w:tcBorders>
              <w:top w:val="single" w:sz="6" w:space="0" w:color="auto"/>
            </w:tcBorders>
            <w:shd w:val="clear" w:color="auto" w:fill="auto"/>
          </w:tcPr>
          <w:p w:rsidR="00707853" w:rsidRPr="00F00002" w:rsidRDefault="00707853" w:rsidP="00AB0B8F">
            <w:pPr>
              <w:pStyle w:val="Tabletext"/>
            </w:pPr>
            <w:r w:rsidRPr="00F00002">
              <w:t>10.2%</w:t>
            </w:r>
          </w:p>
        </w:tc>
        <w:tc>
          <w:tcPr>
            <w:tcW w:w="597" w:type="pct"/>
            <w:tcBorders>
              <w:top w:val="single" w:sz="6" w:space="0" w:color="auto"/>
            </w:tcBorders>
            <w:shd w:val="clear" w:color="auto" w:fill="auto"/>
          </w:tcPr>
          <w:p w:rsidR="00707853" w:rsidRPr="00F00002" w:rsidRDefault="00707853" w:rsidP="00AB0B8F">
            <w:pPr>
              <w:pStyle w:val="Tabletext"/>
            </w:pPr>
            <w:r w:rsidRPr="00F00002">
              <w:t>11.2%</w:t>
            </w:r>
          </w:p>
        </w:tc>
        <w:tc>
          <w:tcPr>
            <w:tcW w:w="597" w:type="pct"/>
            <w:tcBorders>
              <w:top w:val="single" w:sz="6" w:space="0" w:color="auto"/>
            </w:tcBorders>
            <w:shd w:val="clear" w:color="auto" w:fill="auto"/>
          </w:tcPr>
          <w:p w:rsidR="00707853" w:rsidRPr="00F00002" w:rsidRDefault="00707853" w:rsidP="00AB0B8F">
            <w:pPr>
              <w:pStyle w:val="Tabletext"/>
            </w:pPr>
            <w:r w:rsidRPr="00F00002">
              <w:t>12.2%</w:t>
            </w:r>
          </w:p>
        </w:tc>
        <w:tc>
          <w:tcPr>
            <w:tcW w:w="737" w:type="pct"/>
            <w:tcBorders>
              <w:top w:val="single" w:sz="6" w:space="0" w:color="auto"/>
            </w:tcBorders>
            <w:shd w:val="clear" w:color="auto" w:fill="auto"/>
          </w:tcPr>
          <w:p w:rsidR="00707853" w:rsidRPr="00F00002" w:rsidRDefault="00707853" w:rsidP="00AB0B8F">
            <w:pPr>
              <w:pStyle w:val="Tabletext"/>
            </w:pPr>
            <w:r w:rsidRPr="00F00002">
              <w:t>13.3%</w:t>
            </w:r>
          </w:p>
        </w:tc>
      </w:tr>
      <w:tr w:rsidR="00707853" w:rsidRPr="00F00002" w:rsidTr="000505B9">
        <w:tc>
          <w:tcPr>
            <w:tcW w:w="924" w:type="pct"/>
            <w:tcBorders>
              <w:top w:val="single" w:sz="6" w:space="0" w:color="auto"/>
            </w:tcBorders>
          </w:tcPr>
          <w:p w:rsidR="00707853" w:rsidRPr="00F00002" w:rsidRDefault="00707853" w:rsidP="00AB0B8F">
            <w:pPr>
              <w:pStyle w:val="Tabletext"/>
            </w:pPr>
            <w:r w:rsidRPr="00F00002">
              <w:t>120 to 132</w:t>
            </w:r>
          </w:p>
        </w:tc>
        <w:tc>
          <w:tcPr>
            <w:tcW w:w="510" w:type="pct"/>
            <w:tcBorders>
              <w:top w:val="single" w:sz="6" w:space="0" w:color="auto"/>
            </w:tcBorders>
            <w:shd w:val="clear" w:color="auto" w:fill="auto"/>
          </w:tcPr>
          <w:p w:rsidR="00707853" w:rsidRPr="00F00002" w:rsidRDefault="00707853" w:rsidP="00AB0B8F">
            <w:pPr>
              <w:pStyle w:val="Tabletext"/>
            </w:pPr>
            <w:r w:rsidRPr="00F00002">
              <w:t>7.5%</w:t>
            </w:r>
          </w:p>
        </w:tc>
        <w:tc>
          <w:tcPr>
            <w:tcW w:w="510" w:type="pct"/>
            <w:tcBorders>
              <w:top w:val="single" w:sz="6" w:space="0" w:color="auto"/>
            </w:tcBorders>
            <w:shd w:val="clear" w:color="auto" w:fill="auto"/>
          </w:tcPr>
          <w:p w:rsidR="00707853" w:rsidRPr="00F00002" w:rsidRDefault="00707853" w:rsidP="00AB0B8F">
            <w:pPr>
              <w:pStyle w:val="Tabletext"/>
            </w:pPr>
            <w:r w:rsidRPr="00F00002">
              <w:t>8.3%</w:t>
            </w:r>
          </w:p>
        </w:tc>
        <w:tc>
          <w:tcPr>
            <w:tcW w:w="528" w:type="pct"/>
            <w:tcBorders>
              <w:top w:val="single" w:sz="6" w:space="0" w:color="auto"/>
            </w:tcBorders>
            <w:shd w:val="clear" w:color="auto" w:fill="auto"/>
          </w:tcPr>
          <w:p w:rsidR="00707853" w:rsidRPr="00F00002" w:rsidRDefault="00707853" w:rsidP="00AB0B8F">
            <w:pPr>
              <w:pStyle w:val="Tabletext"/>
            </w:pPr>
            <w:r w:rsidRPr="00F00002">
              <w:t>9.2%</w:t>
            </w:r>
          </w:p>
        </w:tc>
        <w:tc>
          <w:tcPr>
            <w:tcW w:w="597" w:type="pct"/>
            <w:tcBorders>
              <w:top w:val="single" w:sz="6" w:space="0" w:color="auto"/>
            </w:tcBorders>
            <w:shd w:val="clear" w:color="auto" w:fill="auto"/>
          </w:tcPr>
          <w:p w:rsidR="00707853" w:rsidRPr="00F00002" w:rsidRDefault="00707853" w:rsidP="00AB0B8F">
            <w:pPr>
              <w:pStyle w:val="Tabletext"/>
            </w:pPr>
            <w:r w:rsidRPr="00F00002">
              <w:t>10.2%</w:t>
            </w:r>
          </w:p>
        </w:tc>
        <w:tc>
          <w:tcPr>
            <w:tcW w:w="597" w:type="pct"/>
            <w:tcBorders>
              <w:top w:val="single" w:sz="6" w:space="0" w:color="auto"/>
            </w:tcBorders>
            <w:shd w:val="clear" w:color="auto" w:fill="auto"/>
          </w:tcPr>
          <w:p w:rsidR="00707853" w:rsidRPr="00F00002" w:rsidRDefault="00707853" w:rsidP="00AB0B8F">
            <w:pPr>
              <w:pStyle w:val="Tabletext"/>
            </w:pPr>
            <w:r w:rsidRPr="00F00002">
              <w:t>11.2%</w:t>
            </w:r>
          </w:p>
        </w:tc>
        <w:tc>
          <w:tcPr>
            <w:tcW w:w="597" w:type="pct"/>
            <w:tcBorders>
              <w:top w:val="single" w:sz="6" w:space="0" w:color="auto"/>
            </w:tcBorders>
            <w:shd w:val="clear" w:color="auto" w:fill="auto"/>
          </w:tcPr>
          <w:p w:rsidR="00707853" w:rsidRPr="00F00002" w:rsidRDefault="00707853" w:rsidP="00AB0B8F">
            <w:pPr>
              <w:pStyle w:val="Tabletext"/>
            </w:pPr>
            <w:r w:rsidRPr="00F00002">
              <w:t>12.2%</w:t>
            </w:r>
          </w:p>
        </w:tc>
        <w:tc>
          <w:tcPr>
            <w:tcW w:w="737" w:type="pct"/>
            <w:tcBorders>
              <w:top w:val="single" w:sz="6" w:space="0" w:color="auto"/>
            </w:tcBorders>
            <w:shd w:val="clear" w:color="auto" w:fill="auto"/>
          </w:tcPr>
          <w:p w:rsidR="00707853" w:rsidRPr="00F00002" w:rsidRDefault="00707853" w:rsidP="00AB0B8F">
            <w:pPr>
              <w:pStyle w:val="Tabletext"/>
            </w:pPr>
            <w:r w:rsidRPr="00F00002">
              <w:t>13.3%</w:t>
            </w:r>
          </w:p>
        </w:tc>
      </w:tr>
      <w:tr w:rsidR="00707853" w:rsidRPr="00F00002" w:rsidTr="000505B9">
        <w:tc>
          <w:tcPr>
            <w:tcW w:w="924" w:type="pct"/>
            <w:tcBorders>
              <w:top w:val="single" w:sz="6" w:space="0" w:color="auto"/>
            </w:tcBorders>
          </w:tcPr>
          <w:p w:rsidR="00707853" w:rsidRPr="00F00002" w:rsidRDefault="00707853" w:rsidP="00AB0B8F">
            <w:pPr>
              <w:pStyle w:val="Tabletext"/>
            </w:pPr>
            <w:r w:rsidRPr="00F00002">
              <w:t>108 to 120</w:t>
            </w:r>
          </w:p>
        </w:tc>
        <w:tc>
          <w:tcPr>
            <w:tcW w:w="510" w:type="pct"/>
            <w:tcBorders>
              <w:top w:val="single" w:sz="6" w:space="0" w:color="auto"/>
            </w:tcBorders>
            <w:shd w:val="clear" w:color="auto" w:fill="auto"/>
          </w:tcPr>
          <w:p w:rsidR="00707853" w:rsidRPr="00F00002" w:rsidRDefault="00707853" w:rsidP="00AB0B8F">
            <w:pPr>
              <w:pStyle w:val="Tabletext"/>
            </w:pPr>
            <w:r w:rsidRPr="00F00002">
              <w:t>7.2%</w:t>
            </w:r>
          </w:p>
        </w:tc>
        <w:tc>
          <w:tcPr>
            <w:tcW w:w="510" w:type="pct"/>
            <w:tcBorders>
              <w:top w:val="single" w:sz="6" w:space="0" w:color="auto"/>
            </w:tcBorders>
            <w:shd w:val="clear" w:color="auto" w:fill="auto"/>
          </w:tcPr>
          <w:p w:rsidR="00707853" w:rsidRPr="00F00002" w:rsidRDefault="00707853" w:rsidP="00AB0B8F">
            <w:pPr>
              <w:pStyle w:val="Tabletext"/>
            </w:pPr>
            <w:r w:rsidRPr="00F00002">
              <w:t>8.1%</w:t>
            </w:r>
          </w:p>
        </w:tc>
        <w:tc>
          <w:tcPr>
            <w:tcW w:w="528" w:type="pct"/>
            <w:tcBorders>
              <w:top w:val="single" w:sz="6" w:space="0" w:color="auto"/>
            </w:tcBorders>
            <w:shd w:val="clear" w:color="auto" w:fill="auto"/>
          </w:tcPr>
          <w:p w:rsidR="00707853" w:rsidRPr="00F00002" w:rsidRDefault="00707853" w:rsidP="00AB0B8F">
            <w:pPr>
              <w:pStyle w:val="Tabletext"/>
            </w:pPr>
            <w:r w:rsidRPr="00F00002">
              <w:t>9.1%</w:t>
            </w:r>
          </w:p>
        </w:tc>
        <w:tc>
          <w:tcPr>
            <w:tcW w:w="597" w:type="pct"/>
            <w:tcBorders>
              <w:top w:val="single" w:sz="6" w:space="0" w:color="auto"/>
            </w:tcBorders>
            <w:shd w:val="clear" w:color="auto" w:fill="auto"/>
          </w:tcPr>
          <w:p w:rsidR="00707853" w:rsidRPr="00F00002" w:rsidRDefault="00707853" w:rsidP="00AB0B8F">
            <w:pPr>
              <w:pStyle w:val="Tabletext"/>
            </w:pPr>
            <w:r w:rsidRPr="00F00002">
              <w:t>10.0%</w:t>
            </w:r>
          </w:p>
        </w:tc>
        <w:tc>
          <w:tcPr>
            <w:tcW w:w="597" w:type="pct"/>
            <w:tcBorders>
              <w:top w:val="single" w:sz="6" w:space="0" w:color="auto"/>
            </w:tcBorders>
            <w:shd w:val="clear" w:color="auto" w:fill="auto"/>
          </w:tcPr>
          <w:p w:rsidR="00707853" w:rsidRPr="00F00002" w:rsidRDefault="00707853" w:rsidP="00AB0B8F">
            <w:pPr>
              <w:pStyle w:val="Tabletext"/>
            </w:pPr>
            <w:r w:rsidRPr="00F00002">
              <w:t>11.1%</w:t>
            </w:r>
          </w:p>
        </w:tc>
        <w:tc>
          <w:tcPr>
            <w:tcW w:w="597" w:type="pct"/>
            <w:tcBorders>
              <w:top w:val="single" w:sz="6" w:space="0" w:color="auto"/>
            </w:tcBorders>
            <w:shd w:val="clear" w:color="auto" w:fill="auto"/>
          </w:tcPr>
          <w:p w:rsidR="00707853" w:rsidRPr="00F00002" w:rsidRDefault="00707853" w:rsidP="00AB0B8F">
            <w:pPr>
              <w:pStyle w:val="Tabletext"/>
            </w:pPr>
            <w:r w:rsidRPr="00F00002">
              <w:t>12.1%</w:t>
            </w:r>
          </w:p>
        </w:tc>
        <w:tc>
          <w:tcPr>
            <w:tcW w:w="737" w:type="pct"/>
            <w:tcBorders>
              <w:top w:val="single" w:sz="6" w:space="0" w:color="auto"/>
            </w:tcBorders>
            <w:shd w:val="clear" w:color="auto" w:fill="auto"/>
          </w:tcPr>
          <w:p w:rsidR="00707853" w:rsidRPr="00F00002" w:rsidRDefault="00707853" w:rsidP="00AB0B8F">
            <w:pPr>
              <w:pStyle w:val="Tabletext"/>
            </w:pPr>
            <w:r w:rsidRPr="00F00002">
              <w:t>13.3%</w:t>
            </w:r>
          </w:p>
        </w:tc>
      </w:tr>
      <w:tr w:rsidR="00707853" w:rsidRPr="00F00002" w:rsidTr="000505B9">
        <w:tc>
          <w:tcPr>
            <w:tcW w:w="924" w:type="pct"/>
          </w:tcPr>
          <w:p w:rsidR="00707853" w:rsidRPr="00F00002" w:rsidRDefault="00707853" w:rsidP="00AB0B8F">
            <w:pPr>
              <w:pStyle w:val="Tabletext"/>
            </w:pPr>
            <w:r w:rsidRPr="00F00002">
              <w:t>96 to 108</w:t>
            </w:r>
          </w:p>
        </w:tc>
        <w:tc>
          <w:tcPr>
            <w:tcW w:w="510" w:type="pct"/>
            <w:shd w:val="clear" w:color="auto" w:fill="auto"/>
          </w:tcPr>
          <w:p w:rsidR="00707853" w:rsidRPr="00F00002" w:rsidRDefault="00707853" w:rsidP="00AB0B8F">
            <w:pPr>
              <w:pStyle w:val="Tabletext"/>
            </w:pPr>
            <w:r w:rsidRPr="00F00002">
              <w:t>7.0%</w:t>
            </w:r>
          </w:p>
        </w:tc>
        <w:tc>
          <w:tcPr>
            <w:tcW w:w="510" w:type="pct"/>
            <w:shd w:val="clear" w:color="auto" w:fill="auto"/>
          </w:tcPr>
          <w:p w:rsidR="00707853" w:rsidRPr="00F00002" w:rsidRDefault="00707853" w:rsidP="00AB0B8F">
            <w:pPr>
              <w:pStyle w:val="Tabletext"/>
            </w:pPr>
            <w:r w:rsidRPr="00F00002">
              <w:t>7.9%</w:t>
            </w:r>
          </w:p>
        </w:tc>
        <w:tc>
          <w:tcPr>
            <w:tcW w:w="528" w:type="pct"/>
            <w:shd w:val="clear" w:color="auto" w:fill="auto"/>
          </w:tcPr>
          <w:p w:rsidR="00707853" w:rsidRPr="00F00002" w:rsidRDefault="00707853" w:rsidP="00AB0B8F">
            <w:pPr>
              <w:pStyle w:val="Tabletext"/>
            </w:pPr>
            <w:r w:rsidRPr="00F00002">
              <w:t>8.8%</w:t>
            </w:r>
          </w:p>
        </w:tc>
        <w:tc>
          <w:tcPr>
            <w:tcW w:w="597" w:type="pct"/>
            <w:shd w:val="clear" w:color="auto" w:fill="auto"/>
          </w:tcPr>
          <w:p w:rsidR="00707853" w:rsidRPr="00F00002" w:rsidRDefault="00707853" w:rsidP="00AB0B8F">
            <w:pPr>
              <w:pStyle w:val="Tabletext"/>
            </w:pPr>
            <w:r w:rsidRPr="00F00002">
              <w:t>9.8%</w:t>
            </w:r>
          </w:p>
        </w:tc>
        <w:tc>
          <w:tcPr>
            <w:tcW w:w="597" w:type="pct"/>
            <w:shd w:val="clear" w:color="auto" w:fill="auto"/>
          </w:tcPr>
          <w:p w:rsidR="00707853" w:rsidRPr="00F00002" w:rsidRDefault="00707853" w:rsidP="00AB0B8F">
            <w:pPr>
              <w:pStyle w:val="Tabletext"/>
            </w:pPr>
            <w:r w:rsidRPr="00F00002">
              <w:t>10.9%</w:t>
            </w:r>
          </w:p>
        </w:tc>
        <w:tc>
          <w:tcPr>
            <w:tcW w:w="597" w:type="pct"/>
            <w:shd w:val="clear" w:color="auto" w:fill="auto"/>
          </w:tcPr>
          <w:p w:rsidR="00707853" w:rsidRPr="00F00002" w:rsidRDefault="00707853" w:rsidP="00AB0B8F">
            <w:pPr>
              <w:pStyle w:val="Tabletext"/>
            </w:pPr>
            <w:r w:rsidRPr="00F00002">
              <w:t>12.0%</w:t>
            </w:r>
          </w:p>
        </w:tc>
        <w:tc>
          <w:tcPr>
            <w:tcW w:w="737" w:type="pct"/>
            <w:shd w:val="clear" w:color="auto" w:fill="auto"/>
          </w:tcPr>
          <w:p w:rsidR="00707853" w:rsidRPr="00F00002" w:rsidRDefault="00707853" w:rsidP="00AB0B8F">
            <w:pPr>
              <w:pStyle w:val="Tabletext"/>
            </w:pPr>
            <w:r w:rsidRPr="00F00002">
              <w:t>13.2%</w:t>
            </w:r>
          </w:p>
        </w:tc>
      </w:tr>
      <w:tr w:rsidR="00707853" w:rsidRPr="00F00002" w:rsidTr="000505B9">
        <w:tc>
          <w:tcPr>
            <w:tcW w:w="924" w:type="pct"/>
          </w:tcPr>
          <w:p w:rsidR="00707853" w:rsidRPr="00F00002" w:rsidRDefault="00707853" w:rsidP="00AB0B8F">
            <w:pPr>
              <w:pStyle w:val="Tabletext"/>
            </w:pPr>
            <w:r w:rsidRPr="00F00002">
              <w:t>84 to 96</w:t>
            </w:r>
          </w:p>
        </w:tc>
        <w:tc>
          <w:tcPr>
            <w:tcW w:w="510" w:type="pct"/>
            <w:shd w:val="clear" w:color="auto" w:fill="auto"/>
          </w:tcPr>
          <w:p w:rsidR="00707853" w:rsidRPr="00F00002" w:rsidRDefault="00707853" w:rsidP="00AB0B8F">
            <w:pPr>
              <w:pStyle w:val="Tabletext"/>
            </w:pPr>
            <w:r w:rsidRPr="00F00002">
              <w:t>6.6%</w:t>
            </w:r>
          </w:p>
        </w:tc>
        <w:tc>
          <w:tcPr>
            <w:tcW w:w="510" w:type="pct"/>
            <w:shd w:val="clear" w:color="auto" w:fill="auto"/>
          </w:tcPr>
          <w:p w:rsidR="00707853" w:rsidRPr="00F00002" w:rsidRDefault="00707853" w:rsidP="00AB0B8F">
            <w:pPr>
              <w:pStyle w:val="Tabletext"/>
            </w:pPr>
            <w:r w:rsidRPr="00F00002">
              <w:t>7.6%</w:t>
            </w:r>
          </w:p>
        </w:tc>
        <w:tc>
          <w:tcPr>
            <w:tcW w:w="528" w:type="pct"/>
            <w:shd w:val="clear" w:color="auto" w:fill="auto"/>
          </w:tcPr>
          <w:p w:rsidR="00707853" w:rsidRPr="00F00002" w:rsidRDefault="00707853" w:rsidP="00AB0B8F">
            <w:pPr>
              <w:pStyle w:val="Tabletext"/>
            </w:pPr>
            <w:r w:rsidRPr="00F00002">
              <w:t>8.5%</w:t>
            </w:r>
          </w:p>
        </w:tc>
        <w:tc>
          <w:tcPr>
            <w:tcW w:w="597" w:type="pct"/>
            <w:shd w:val="clear" w:color="auto" w:fill="auto"/>
          </w:tcPr>
          <w:p w:rsidR="00707853" w:rsidRPr="00F00002" w:rsidRDefault="00707853" w:rsidP="00AB0B8F">
            <w:pPr>
              <w:pStyle w:val="Tabletext"/>
            </w:pPr>
            <w:r w:rsidRPr="00F00002">
              <w:t>9.6%</w:t>
            </w:r>
          </w:p>
        </w:tc>
        <w:tc>
          <w:tcPr>
            <w:tcW w:w="597" w:type="pct"/>
            <w:shd w:val="clear" w:color="auto" w:fill="auto"/>
          </w:tcPr>
          <w:p w:rsidR="00707853" w:rsidRPr="00F00002" w:rsidRDefault="00707853" w:rsidP="00AB0B8F">
            <w:pPr>
              <w:pStyle w:val="Tabletext"/>
            </w:pPr>
            <w:r w:rsidRPr="00F00002">
              <w:t>10.7%</w:t>
            </w:r>
          </w:p>
        </w:tc>
        <w:tc>
          <w:tcPr>
            <w:tcW w:w="597" w:type="pct"/>
            <w:shd w:val="clear" w:color="auto" w:fill="auto"/>
          </w:tcPr>
          <w:p w:rsidR="00707853" w:rsidRPr="00F00002" w:rsidRDefault="00707853" w:rsidP="00AB0B8F">
            <w:pPr>
              <w:pStyle w:val="Tabletext"/>
            </w:pPr>
            <w:r w:rsidRPr="00F00002">
              <w:t>11.8%</w:t>
            </w:r>
          </w:p>
        </w:tc>
        <w:tc>
          <w:tcPr>
            <w:tcW w:w="737" w:type="pct"/>
            <w:shd w:val="clear" w:color="auto" w:fill="auto"/>
          </w:tcPr>
          <w:p w:rsidR="00707853" w:rsidRPr="00F00002" w:rsidRDefault="00707853" w:rsidP="00AB0B8F">
            <w:pPr>
              <w:pStyle w:val="Tabletext"/>
            </w:pPr>
            <w:r w:rsidRPr="00F00002">
              <w:t>13.0%</w:t>
            </w:r>
          </w:p>
        </w:tc>
      </w:tr>
      <w:tr w:rsidR="00707853" w:rsidRPr="00F00002" w:rsidTr="000505B9">
        <w:tc>
          <w:tcPr>
            <w:tcW w:w="924" w:type="pct"/>
          </w:tcPr>
          <w:p w:rsidR="00707853" w:rsidRPr="00F00002" w:rsidRDefault="00707853" w:rsidP="00AB0B8F">
            <w:pPr>
              <w:pStyle w:val="Tabletext"/>
            </w:pPr>
            <w:r w:rsidRPr="00F00002">
              <w:t>72 to 84</w:t>
            </w:r>
          </w:p>
        </w:tc>
        <w:tc>
          <w:tcPr>
            <w:tcW w:w="510" w:type="pct"/>
            <w:shd w:val="clear" w:color="auto" w:fill="auto"/>
          </w:tcPr>
          <w:p w:rsidR="00707853" w:rsidRPr="00F00002" w:rsidRDefault="00707853" w:rsidP="00AB0B8F">
            <w:pPr>
              <w:pStyle w:val="Tabletext"/>
            </w:pPr>
            <w:r w:rsidRPr="00F00002">
              <w:t>6.2%</w:t>
            </w:r>
          </w:p>
        </w:tc>
        <w:tc>
          <w:tcPr>
            <w:tcW w:w="510" w:type="pct"/>
            <w:shd w:val="clear" w:color="auto" w:fill="auto"/>
          </w:tcPr>
          <w:p w:rsidR="00707853" w:rsidRPr="00F00002" w:rsidRDefault="00707853" w:rsidP="00AB0B8F">
            <w:pPr>
              <w:pStyle w:val="Tabletext"/>
            </w:pPr>
            <w:r w:rsidRPr="00F00002">
              <w:t>7.2%</w:t>
            </w:r>
          </w:p>
        </w:tc>
        <w:tc>
          <w:tcPr>
            <w:tcW w:w="528" w:type="pct"/>
            <w:shd w:val="clear" w:color="auto" w:fill="auto"/>
          </w:tcPr>
          <w:p w:rsidR="00707853" w:rsidRPr="00F00002" w:rsidRDefault="00707853" w:rsidP="00AB0B8F">
            <w:pPr>
              <w:pStyle w:val="Tabletext"/>
            </w:pPr>
            <w:r w:rsidRPr="00F00002">
              <w:t>8.2%</w:t>
            </w:r>
          </w:p>
        </w:tc>
        <w:tc>
          <w:tcPr>
            <w:tcW w:w="597" w:type="pct"/>
            <w:shd w:val="clear" w:color="auto" w:fill="auto"/>
          </w:tcPr>
          <w:p w:rsidR="00707853" w:rsidRPr="00F00002" w:rsidRDefault="00707853" w:rsidP="00AB0B8F">
            <w:pPr>
              <w:pStyle w:val="Tabletext"/>
            </w:pPr>
            <w:r w:rsidRPr="00F00002">
              <w:t>9.2%</w:t>
            </w:r>
          </w:p>
        </w:tc>
        <w:tc>
          <w:tcPr>
            <w:tcW w:w="597" w:type="pct"/>
            <w:shd w:val="clear" w:color="auto" w:fill="auto"/>
          </w:tcPr>
          <w:p w:rsidR="00707853" w:rsidRPr="00F00002" w:rsidRDefault="00707853" w:rsidP="00AB0B8F">
            <w:pPr>
              <w:pStyle w:val="Tabletext"/>
            </w:pPr>
            <w:r w:rsidRPr="00F00002">
              <w:t>10.4%</w:t>
            </w:r>
          </w:p>
        </w:tc>
        <w:tc>
          <w:tcPr>
            <w:tcW w:w="597" w:type="pct"/>
            <w:shd w:val="clear" w:color="auto" w:fill="auto"/>
          </w:tcPr>
          <w:p w:rsidR="00707853" w:rsidRPr="00F00002" w:rsidRDefault="00707853" w:rsidP="00AB0B8F">
            <w:pPr>
              <w:pStyle w:val="Tabletext"/>
            </w:pPr>
            <w:r w:rsidRPr="00F00002">
              <w:t>11.6%</w:t>
            </w:r>
          </w:p>
        </w:tc>
        <w:tc>
          <w:tcPr>
            <w:tcW w:w="737" w:type="pct"/>
            <w:shd w:val="clear" w:color="auto" w:fill="auto"/>
          </w:tcPr>
          <w:p w:rsidR="00707853" w:rsidRPr="00F00002" w:rsidRDefault="00707853" w:rsidP="00AB0B8F">
            <w:pPr>
              <w:pStyle w:val="Tabletext"/>
            </w:pPr>
            <w:r w:rsidRPr="00F00002">
              <w:t>12.8%</w:t>
            </w:r>
          </w:p>
        </w:tc>
      </w:tr>
      <w:tr w:rsidR="00707853" w:rsidRPr="00F00002" w:rsidTr="000505B9">
        <w:tc>
          <w:tcPr>
            <w:tcW w:w="924" w:type="pct"/>
          </w:tcPr>
          <w:p w:rsidR="00707853" w:rsidRPr="00F00002" w:rsidRDefault="00707853" w:rsidP="00AB0B8F">
            <w:pPr>
              <w:pStyle w:val="Tabletext"/>
            </w:pPr>
            <w:r w:rsidRPr="00F00002">
              <w:t>60 to 72</w:t>
            </w:r>
          </w:p>
        </w:tc>
        <w:tc>
          <w:tcPr>
            <w:tcW w:w="510" w:type="pct"/>
            <w:shd w:val="clear" w:color="auto" w:fill="auto"/>
          </w:tcPr>
          <w:p w:rsidR="00707853" w:rsidRPr="00F00002" w:rsidRDefault="00707853" w:rsidP="00AB0B8F">
            <w:pPr>
              <w:pStyle w:val="Tabletext"/>
            </w:pPr>
            <w:r w:rsidRPr="00F00002">
              <w:t>5.7%</w:t>
            </w:r>
          </w:p>
        </w:tc>
        <w:tc>
          <w:tcPr>
            <w:tcW w:w="510" w:type="pct"/>
            <w:shd w:val="clear" w:color="auto" w:fill="auto"/>
          </w:tcPr>
          <w:p w:rsidR="00707853" w:rsidRPr="00F00002" w:rsidRDefault="00707853" w:rsidP="00AB0B8F">
            <w:pPr>
              <w:pStyle w:val="Tabletext"/>
            </w:pPr>
            <w:r w:rsidRPr="00F00002">
              <w:t>6.7%</w:t>
            </w:r>
          </w:p>
        </w:tc>
        <w:tc>
          <w:tcPr>
            <w:tcW w:w="528" w:type="pct"/>
            <w:shd w:val="clear" w:color="auto" w:fill="auto"/>
          </w:tcPr>
          <w:p w:rsidR="00707853" w:rsidRPr="00F00002" w:rsidRDefault="00707853" w:rsidP="00AB0B8F">
            <w:pPr>
              <w:pStyle w:val="Tabletext"/>
            </w:pPr>
            <w:r w:rsidRPr="00F00002">
              <w:t>7.7%</w:t>
            </w:r>
          </w:p>
        </w:tc>
        <w:tc>
          <w:tcPr>
            <w:tcW w:w="597" w:type="pct"/>
            <w:shd w:val="clear" w:color="auto" w:fill="auto"/>
          </w:tcPr>
          <w:p w:rsidR="00707853" w:rsidRPr="00F00002" w:rsidRDefault="00707853" w:rsidP="00AB0B8F">
            <w:pPr>
              <w:pStyle w:val="Tabletext"/>
            </w:pPr>
            <w:r w:rsidRPr="00F00002">
              <w:t>8.8%</w:t>
            </w:r>
          </w:p>
        </w:tc>
        <w:tc>
          <w:tcPr>
            <w:tcW w:w="597" w:type="pct"/>
            <w:shd w:val="clear" w:color="auto" w:fill="auto"/>
          </w:tcPr>
          <w:p w:rsidR="00707853" w:rsidRPr="00F00002" w:rsidRDefault="00707853" w:rsidP="00AB0B8F">
            <w:pPr>
              <w:pStyle w:val="Tabletext"/>
            </w:pPr>
            <w:r w:rsidRPr="00F00002">
              <w:t>9.9%</w:t>
            </w:r>
          </w:p>
        </w:tc>
        <w:tc>
          <w:tcPr>
            <w:tcW w:w="597" w:type="pct"/>
            <w:shd w:val="clear" w:color="auto" w:fill="auto"/>
          </w:tcPr>
          <w:p w:rsidR="00707853" w:rsidRPr="00F00002" w:rsidRDefault="00707853" w:rsidP="00AB0B8F">
            <w:pPr>
              <w:pStyle w:val="Tabletext"/>
            </w:pPr>
            <w:r w:rsidRPr="00F00002">
              <w:t>11.2%</w:t>
            </w:r>
          </w:p>
        </w:tc>
        <w:tc>
          <w:tcPr>
            <w:tcW w:w="737" w:type="pct"/>
            <w:shd w:val="clear" w:color="auto" w:fill="auto"/>
          </w:tcPr>
          <w:p w:rsidR="00707853" w:rsidRPr="00F00002" w:rsidRDefault="00707853" w:rsidP="00AB0B8F">
            <w:pPr>
              <w:pStyle w:val="Tabletext"/>
            </w:pPr>
            <w:r w:rsidRPr="00F00002">
              <w:t>12.5%</w:t>
            </w:r>
          </w:p>
        </w:tc>
      </w:tr>
      <w:tr w:rsidR="00707853" w:rsidRPr="00F00002" w:rsidTr="000505B9">
        <w:tc>
          <w:tcPr>
            <w:tcW w:w="924" w:type="pct"/>
          </w:tcPr>
          <w:p w:rsidR="00707853" w:rsidRPr="00F00002" w:rsidRDefault="00707853" w:rsidP="00AB0B8F">
            <w:pPr>
              <w:pStyle w:val="Tabletext"/>
            </w:pPr>
            <w:r w:rsidRPr="00F00002">
              <w:lastRenderedPageBreak/>
              <w:t>48 to 60</w:t>
            </w:r>
          </w:p>
        </w:tc>
        <w:tc>
          <w:tcPr>
            <w:tcW w:w="510" w:type="pct"/>
            <w:shd w:val="clear" w:color="auto" w:fill="auto"/>
          </w:tcPr>
          <w:p w:rsidR="00707853" w:rsidRPr="00F00002" w:rsidRDefault="00707853" w:rsidP="00AB0B8F">
            <w:pPr>
              <w:pStyle w:val="Tabletext"/>
            </w:pPr>
            <w:r w:rsidRPr="00F00002">
              <w:t>5.1%</w:t>
            </w:r>
          </w:p>
        </w:tc>
        <w:tc>
          <w:tcPr>
            <w:tcW w:w="510" w:type="pct"/>
            <w:shd w:val="clear" w:color="auto" w:fill="auto"/>
          </w:tcPr>
          <w:p w:rsidR="00707853" w:rsidRPr="00F00002" w:rsidRDefault="00707853" w:rsidP="00AB0B8F">
            <w:pPr>
              <w:pStyle w:val="Tabletext"/>
            </w:pPr>
            <w:r w:rsidRPr="00F00002">
              <w:t>6.0%</w:t>
            </w:r>
          </w:p>
        </w:tc>
        <w:tc>
          <w:tcPr>
            <w:tcW w:w="528" w:type="pct"/>
            <w:shd w:val="clear" w:color="auto" w:fill="auto"/>
          </w:tcPr>
          <w:p w:rsidR="00707853" w:rsidRPr="00F00002" w:rsidRDefault="00707853" w:rsidP="00AB0B8F">
            <w:pPr>
              <w:pStyle w:val="Tabletext"/>
            </w:pPr>
            <w:r w:rsidRPr="00F00002">
              <w:t>7.0%</w:t>
            </w:r>
          </w:p>
        </w:tc>
        <w:tc>
          <w:tcPr>
            <w:tcW w:w="597" w:type="pct"/>
            <w:shd w:val="clear" w:color="auto" w:fill="auto"/>
          </w:tcPr>
          <w:p w:rsidR="00707853" w:rsidRPr="00F00002" w:rsidRDefault="00707853" w:rsidP="00AB0B8F">
            <w:pPr>
              <w:pStyle w:val="Tabletext"/>
            </w:pPr>
            <w:r w:rsidRPr="00F00002">
              <w:t>8.2%</w:t>
            </w:r>
          </w:p>
        </w:tc>
        <w:tc>
          <w:tcPr>
            <w:tcW w:w="597" w:type="pct"/>
            <w:shd w:val="clear" w:color="auto" w:fill="auto"/>
          </w:tcPr>
          <w:p w:rsidR="00707853" w:rsidRPr="00F00002" w:rsidRDefault="00707853" w:rsidP="00AB0B8F">
            <w:pPr>
              <w:pStyle w:val="Tabletext"/>
            </w:pPr>
            <w:r w:rsidRPr="00F00002">
              <w:t>9.4%</w:t>
            </w:r>
          </w:p>
        </w:tc>
        <w:tc>
          <w:tcPr>
            <w:tcW w:w="597" w:type="pct"/>
            <w:shd w:val="clear" w:color="auto" w:fill="auto"/>
          </w:tcPr>
          <w:p w:rsidR="00707853" w:rsidRPr="00F00002" w:rsidRDefault="00707853" w:rsidP="00AB0B8F">
            <w:pPr>
              <w:pStyle w:val="Tabletext"/>
            </w:pPr>
            <w:r w:rsidRPr="00F00002">
              <w:t>10.7%</w:t>
            </w:r>
          </w:p>
        </w:tc>
        <w:tc>
          <w:tcPr>
            <w:tcW w:w="737" w:type="pct"/>
            <w:shd w:val="clear" w:color="auto" w:fill="auto"/>
          </w:tcPr>
          <w:p w:rsidR="00707853" w:rsidRPr="00F00002" w:rsidRDefault="00707853" w:rsidP="00AB0B8F">
            <w:pPr>
              <w:pStyle w:val="Tabletext"/>
            </w:pPr>
            <w:r w:rsidRPr="00F00002">
              <w:t>12.1%</w:t>
            </w:r>
          </w:p>
        </w:tc>
      </w:tr>
      <w:tr w:rsidR="00707853" w:rsidRPr="00F00002" w:rsidTr="000505B9">
        <w:tc>
          <w:tcPr>
            <w:tcW w:w="924" w:type="pct"/>
          </w:tcPr>
          <w:p w:rsidR="00707853" w:rsidRPr="00F00002" w:rsidRDefault="00707853" w:rsidP="00AB0B8F">
            <w:pPr>
              <w:pStyle w:val="Tabletext"/>
            </w:pPr>
            <w:r w:rsidRPr="00F00002">
              <w:t>36 to 48</w:t>
            </w:r>
          </w:p>
        </w:tc>
        <w:tc>
          <w:tcPr>
            <w:tcW w:w="510" w:type="pct"/>
            <w:shd w:val="clear" w:color="auto" w:fill="auto"/>
          </w:tcPr>
          <w:p w:rsidR="00707853" w:rsidRPr="00F00002" w:rsidRDefault="00707853" w:rsidP="00AB0B8F">
            <w:pPr>
              <w:pStyle w:val="Tabletext"/>
            </w:pPr>
            <w:r w:rsidRPr="00F00002">
              <w:t>4.2%</w:t>
            </w:r>
          </w:p>
        </w:tc>
        <w:tc>
          <w:tcPr>
            <w:tcW w:w="510" w:type="pct"/>
            <w:shd w:val="clear" w:color="auto" w:fill="auto"/>
          </w:tcPr>
          <w:p w:rsidR="00707853" w:rsidRPr="00F00002" w:rsidRDefault="00707853" w:rsidP="00AB0B8F">
            <w:pPr>
              <w:pStyle w:val="Tabletext"/>
            </w:pPr>
            <w:r w:rsidRPr="00F00002">
              <w:t>5.2%</w:t>
            </w:r>
          </w:p>
        </w:tc>
        <w:tc>
          <w:tcPr>
            <w:tcW w:w="528" w:type="pct"/>
            <w:shd w:val="clear" w:color="auto" w:fill="auto"/>
          </w:tcPr>
          <w:p w:rsidR="00707853" w:rsidRPr="00F00002" w:rsidRDefault="00707853" w:rsidP="00AB0B8F">
            <w:pPr>
              <w:pStyle w:val="Tabletext"/>
            </w:pPr>
            <w:r w:rsidRPr="00F00002">
              <w:t>6.2%</w:t>
            </w:r>
          </w:p>
        </w:tc>
        <w:tc>
          <w:tcPr>
            <w:tcW w:w="597" w:type="pct"/>
            <w:shd w:val="clear" w:color="auto" w:fill="auto"/>
          </w:tcPr>
          <w:p w:rsidR="00707853" w:rsidRPr="00F00002" w:rsidRDefault="00707853" w:rsidP="00AB0B8F">
            <w:pPr>
              <w:pStyle w:val="Tabletext"/>
            </w:pPr>
            <w:r w:rsidRPr="00F00002">
              <w:t>7.4%</w:t>
            </w:r>
          </w:p>
        </w:tc>
        <w:tc>
          <w:tcPr>
            <w:tcW w:w="597" w:type="pct"/>
            <w:shd w:val="clear" w:color="auto" w:fill="auto"/>
          </w:tcPr>
          <w:p w:rsidR="00707853" w:rsidRPr="00F00002" w:rsidRDefault="00707853" w:rsidP="00AB0B8F">
            <w:pPr>
              <w:pStyle w:val="Tabletext"/>
            </w:pPr>
            <w:r w:rsidRPr="00F00002">
              <w:t>8.6%</w:t>
            </w:r>
          </w:p>
        </w:tc>
        <w:tc>
          <w:tcPr>
            <w:tcW w:w="597" w:type="pct"/>
            <w:shd w:val="clear" w:color="auto" w:fill="auto"/>
          </w:tcPr>
          <w:p w:rsidR="00707853" w:rsidRPr="00F00002" w:rsidRDefault="00707853" w:rsidP="00AB0B8F">
            <w:pPr>
              <w:pStyle w:val="Tabletext"/>
            </w:pPr>
            <w:r w:rsidRPr="00F00002">
              <w:t>10.0%</w:t>
            </w:r>
          </w:p>
        </w:tc>
        <w:tc>
          <w:tcPr>
            <w:tcW w:w="737" w:type="pct"/>
            <w:shd w:val="clear" w:color="auto" w:fill="auto"/>
          </w:tcPr>
          <w:p w:rsidR="00707853" w:rsidRPr="00F00002" w:rsidRDefault="00707853" w:rsidP="00AB0B8F">
            <w:pPr>
              <w:pStyle w:val="Tabletext"/>
            </w:pPr>
            <w:r w:rsidRPr="00F00002">
              <w:t>11.4%</w:t>
            </w:r>
          </w:p>
        </w:tc>
      </w:tr>
      <w:tr w:rsidR="00707853" w:rsidRPr="00F00002" w:rsidTr="000505B9">
        <w:tc>
          <w:tcPr>
            <w:tcW w:w="924" w:type="pct"/>
          </w:tcPr>
          <w:p w:rsidR="00707853" w:rsidRPr="00F00002" w:rsidRDefault="00707853" w:rsidP="00AB0B8F">
            <w:pPr>
              <w:pStyle w:val="Tabletext"/>
            </w:pPr>
            <w:r w:rsidRPr="00F00002">
              <w:t>24 to 36</w:t>
            </w:r>
          </w:p>
        </w:tc>
        <w:tc>
          <w:tcPr>
            <w:tcW w:w="510" w:type="pct"/>
            <w:shd w:val="clear" w:color="auto" w:fill="auto"/>
          </w:tcPr>
          <w:p w:rsidR="00707853" w:rsidRPr="00F00002" w:rsidRDefault="00707853" w:rsidP="00AB0B8F">
            <w:pPr>
              <w:pStyle w:val="Tabletext"/>
            </w:pPr>
            <w:r w:rsidRPr="00F00002">
              <w:t>3.2%</w:t>
            </w:r>
          </w:p>
        </w:tc>
        <w:tc>
          <w:tcPr>
            <w:tcW w:w="510" w:type="pct"/>
            <w:shd w:val="clear" w:color="auto" w:fill="auto"/>
          </w:tcPr>
          <w:p w:rsidR="00707853" w:rsidRPr="00F00002" w:rsidRDefault="00707853" w:rsidP="00AB0B8F">
            <w:pPr>
              <w:pStyle w:val="Tabletext"/>
            </w:pPr>
            <w:r w:rsidRPr="00F00002">
              <w:t>4.1%</w:t>
            </w:r>
          </w:p>
        </w:tc>
        <w:tc>
          <w:tcPr>
            <w:tcW w:w="528" w:type="pct"/>
            <w:shd w:val="clear" w:color="auto" w:fill="auto"/>
          </w:tcPr>
          <w:p w:rsidR="00707853" w:rsidRPr="00F00002" w:rsidRDefault="00707853" w:rsidP="00AB0B8F">
            <w:pPr>
              <w:pStyle w:val="Tabletext"/>
            </w:pPr>
            <w:r w:rsidRPr="00F00002">
              <w:t>5.1%</w:t>
            </w:r>
          </w:p>
        </w:tc>
        <w:tc>
          <w:tcPr>
            <w:tcW w:w="597" w:type="pct"/>
            <w:shd w:val="clear" w:color="auto" w:fill="auto"/>
          </w:tcPr>
          <w:p w:rsidR="00707853" w:rsidRPr="00F00002" w:rsidRDefault="00707853" w:rsidP="00AB0B8F">
            <w:pPr>
              <w:pStyle w:val="Tabletext"/>
            </w:pPr>
            <w:r w:rsidRPr="00F00002">
              <w:t>6.3%</w:t>
            </w:r>
          </w:p>
        </w:tc>
        <w:tc>
          <w:tcPr>
            <w:tcW w:w="597" w:type="pct"/>
            <w:shd w:val="clear" w:color="auto" w:fill="auto"/>
          </w:tcPr>
          <w:p w:rsidR="00707853" w:rsidRPr="00F00002" w:rsidRDefault="00707853" w:rsidP="00AB0B8F">
            <w:pPr>
              <w:pStyle w:val="Tabletext"/>
            </w:pPr>
            <w:r w:rsidRPr="00F00002">
              <w:t>7.6%</w:t>
            </w:r>
          </w:p>
        </w:tc>
        <w:tc>
          <w:tcPr>
            <w:tcW w:w="597" w:type="pct"/>
            <w:shd w:val="clear" w:color="auto" w:fill="auto"/>
          </w:tcPr>
          <w:p w:rsidR="00707853" w:rsidRPr="00F00002" w:rsidRDefault="00707853" w:rsidP="00AB0B8F">
            <w:pPr>
              <w:pStyle w:val="Tabletext"/>
            </w:pPr>
            <w:r w:rsidRPr="00F00002">
              <w:t>9.0%</w:t>
            </w:r>
          </w:p>
        </w:tc>
        <w:tc>
          <w:tcPr>
            <w:tcW w:w="737" w:type="pct"/>
            <w:shd w:val="clear" w:color="auto" w:fill="auto"/>
          </w:tcPr>
          <w:p w:rsidR="00707853" w:rsidRPr="00F00002" w:rsidRDefault="00707853" w:rsidP="00AB0B8F">
            <w:pPr>
              <w:pStyle w:val="Tabletext"/>
            </w:pPr>
            <w:r w:rsidRPr="00F00002">
              <w:t>10.5%</w:t>
            </w:r>
          </w:p>
        </w:tc>
      </w:tr>
      <w:tr w:rsidR="00707853" w:rsidRPr="00F00002" w:rsidTr="000505B9">
        <w:tc>
          <w:tcPr>
            <w:tcW w:w="924" w:type="pct"/>
          </w:tcPr>
          <w:p w:rsidR="00707853" w:rsidRPr="00F00002" w:rsidRDefault="00707853" w:rsidP="00AB0B8F">
            <w:pPr>
              <w:pStyle w:val="Tabletext"/>
            </w:pPr>
            <w:r w:rsidRPr="00F00002">
              <w:t>18 to 24</w:t>
            </w:r>
          </w:p>
        </w:tc>
        <w:tc>
          <w:tcPr>
            <w:tcW w:w="510" w:type="pct"/>
            <w:shd w:val="clear" w:color="auto" w:fill="auto"/>
          </w:tcPr>
          <w:p w:rsidR="00707853" w:rsidRPr="00F00002" w:rsidRDefault="00707853" w:rsidP="00AB0B8F">
            <w:pPr>
              <w:pStyle w:val="Tabletext"/>
            </w:pPr>
            <w:r w:rsidRPr="00F00002">
              <w:t>2.5%</w:t>
            </w:r>
          </w:p>
        </w:tc>
        <w:tc>
          <w:tcPr>
            <w:tcW w:w="510" w:type="pct"/>
            <w:shd w:val="clear" w:color="auto" w:fill="auto"/>
          </w:tcPr>
          <w:p w:rsidR="00707853" w:rsidRPr="00F00002" w:rsidRDefault="00707853" w:rsidP="00AB0B8F">
            <w:pPr>
              <w:pStyle w:val="Tabletext"/>
            </w:pPr>
            <w:r w:rsidRPr="00F00002">
              <w:t>3.4%</w:t>
            </w:r>
          </w:p>
        </w:tc>
        <w:tc>
          <w:tcPr>
            <w:tcW w:w="528" w:type="pct"/>
            <w:shd w:val="clear" w:color="auto" w:fill="auto"/>
          </w:tcPr>
          <w:p w:rsidR="00707853" w:rsidRPr="00F00002" w:rsidRDefault="00707853" w:rsidP="00AB0B8F">
            <w:pPr>
              <w:pStyle w:val="Tabletext"/>
            </w:pPr>
            <w:r w:rsidRPr="00F00002">
              <w:t>4.4%</w:t>
            </w:r>
          </w:p>
        </w:tc>
        <w:tc>
          <w:tcPr>
            <w:tcW w:w="597" w:type="pct"/>
            <w:shd w:val="clear" w:color="auto" w:fill="auto"/>
          </w:tcPr>
          <w:p w:rsidR="00707853" w:rsidRPr="00F00002" w:rsidRDefault="00707853" w:rsidP="00AB0B8F">
            <w:pPr>
              <w:pStyle w:val="Tabletext"/>
            </w:pPr>
            <w:r w:rsidRPr="00F00002">
              <w:t>5.5%</w:t>
            </w:r>
          </w:p>
        </w:tc>
        <w:tc>
          <w:tcPr>
            <w:tcW w:w="597" w:type="pct"/>
            <w:shd w:val="clear" w:color="auto" w:fill="auto"/>
          </w:tcPr>
          <w:p w:rsidR="00707853" w:rsidRPr="00F00002" w:rsidRDefault="00707853" w:rsidP="00AB0B8F">
            <w:pPr>
              <w:pStyle w:val="Tabletext"/>
            </w:pPr>
            <w:r w:rsidRPr="00F00002">
              <w:t>6.8%</w:t>
            </w:r>
          </w:p>
        </w:tc>
        <w:tc>
          <w:tcPr>
            <w:tcW w:w="597" w:type="pct"/>
            <w:shd w:val="clear" w:color="auto" w:fill="auto"/>
          </w:tcPr>
          <w:p w:rsidR="00707853" w:rsidRPr="00F00002" w:rsidRDefault="00707853" w:rsidP="00AB0B8F">
            <w:pPr>
              <w:pStyle w:val="Tabletext"/>
            </w:pPr>
            <w:r w:rsidRPr="00F00002">
              <w:t>8.3%</w:t>
            </w:r>
          </w:p>
        </w:tc>
        <w:tc>
          <w:tcPr>
            <w:tcW w:w="737" w:type="pct"/>
            <w:shd w:val="clear" w:color="auto" w:fill="auto"/>
          </w:tcPr>
          <w:p w:rsidR="00707853" w:rsidRPr="00F00002" w:rsidRDefault="00707853" w:rsidP="00AB0B8F">
            <w:pPr>
              <w:pStyle w:val="Tabletext"/>
            </w:pPr>
            <w:r w:rsidRPr="00F00002">
              <w:t>9.9%</w:t>
            </w:r>
          </w:p>
        </w:tc>
      </w:tr>
      <w:tr w:rsidR="00707853" w:rsidRPr="00F00002" w:rsidTr="000505B9">
        <w:tc>
          <w:tcPr>
            <w:tcW w:w="924" w:type="pct"/>
          </w:tcPr>
          <w:p w:rsidR="00707853" w:rsidRPr="00F00002" w:rsidRDefault="00707853" w:rsidP="00AB0B8F">
            <w:pPr>
              <w:pStyle w:val="Tabletext"/>
            </w:pPr>
            <w:r w:rsidRPr="00F00002">
              <w:t>12 to 18</w:t>
            </w:r>
          </w:p>
        </w:tc>
        <w:tc>
          <w:tcPr>
            <w:tcW w:w="510" w:type="pct"/>
            <w:shd w:val="clear" w:color="auto" w:fill="auto"/>
          </w:tcPr>
          <w:p w:rsidR="00707853" w:rsidRPr="00F00002" w:rsidRDefault="00707853" w:rsidP="00AB0B8F">
            <w:pPr>
              <w:pStyle w:val="Tabletext"/>
            </w:pPr>
            <w:r w:rsidRPr="00F00002">
              <w:t>1.7%</w:t>
            </w:r>
          </w:p>
        </w:tc>
        <w:tc>
          <w:tcPr>
            <w:tcW w:w="510" w:type="pct"/>
            <w:shd w:val="clear" w:color="auto" w:fill="auto"/>
          </w:tcPr>
          <w:p w:rsidR="00707853" w:rsidRPr="00F00002" w:rsidRDefault="00707853" w:rsidP="00AB0B8F">
            <w:pPr>
              <w:pStyle w:val="Tabletext"/>
            </w:pPr>
            <w:r w:rsidRPr="00F00002">
              <w:t>2.5%</w:t>
            </w:r>
          </w:p>
        </w:tc>
        <w:tc>
          <w:tcPr>
            <w:tcW w:w="528" w:type="pct"/>
            <w:shd w:val="clear" w:color="auto" w:fill="auto"/>
          </w:tcPr>
          <w:p w:rsidR="00707853" w:rsidRPr="00F00002" w:rsidRDefault="00707853" w:rsidP="00AB0B8F">
            <w:pPr>
              <w:pStyle w:val="Tabletext"/>
            </w:pPr>
            <w:r w:rsidRPr="00F00002">
              <w:t>3.4%</w:t>
            </w:r>
          </w:p>
        </w:tc>
        <w:tc>
          <w:tcPr>
            <w:tcW w:w="597" w:type="pct"/>
            <w:shd w:val="clear" w:color="auto" w:fill="auto"/>
          </w:tcPr>
          <w:p w:rsidR="00707853" w:rsidRPr="00F00002" w:rsidRDefault="00707853" w:rsidP="00AB0B8F">
            <w:pPr>
              <w:pStyle w:val="Tabletext"/>
            </w:pPr>
            <w:r w:rsidRPr="00F00002">
              <w:t>4.6%</w:t>
            </w:r>
          </w:p>
        </w:tc>
        <w:tc>
          <w:tcPr>
            <w:tcW w:w="597" w:type="pct"/>
            <w:shd w:val="clear" w:color="auto" w:fill="auto"/>
          </w:tcPr>
          <w:p w:rsidR="00707853" w:rsidRPr="00F00002" w:rsidRDefault="00707853" w:rsidP="00AB0B8F">
            <w:pPr>
              <w:pStyle w:val="Tabletext"/>
            </w:pPr>
            <w:r w:rsidRPr="00F00002">
              <w:t>6.0%</w:t>
            </w:r>
          </w:p>
        </w:tc>
        <w:tc>
          <w:tcPr>
            <w:tcW w:w="597" w:type="pct"/>
            <w:shd w:val="clear" w:color="auto" w:fill="auto"/>
          </w:tcPr>
          <w:p w:rsidR="00707853" w:rsidRPr="00F00002" w:rsidRDefault="00707853" w:rsidP="00AB0B8F">
            <w:pPr>
              <w:pStyle w:val="Tabletext"/>
            </w:pPr>
            <w:r w:rsidRPr="00F00002">
              <w:t>7.5%</w:t>
            </w:r>
          </w:p>
        </w:tc>
        <w:tc>
          <w:tcPr>
            <w:tcW w:w="737" w:type="pct"/>
            <w:shd w:val="clear" w:color="auto" w:fill="auto"/>
          </w:tcPr>
          <w:p w:rsidR="00707853" w:rsidRPr="00F00002" w:rsidRDefault="00707853" w:rsidP="00AB0B8F">
            <w:pPr>
              <w:pStyle w:val="Tabletext"/>
            </w:pPr>
            <w:r w:rsidRPr="00F00002">
              <w:t>9.2%</w:t>
            </w:r>
          </w:p>
        </w:tc>
      </w:tr>
      <w:tr w:rsidR="00707853" w:rsidRPr="00F00002" w:rsidTr="000505B9">
        <w:tc>
          <w:tcPr>
            <w:tcW w:w="924" w:type="pct"/>
          </w:tcPr>
          <w:p w:rsidR="00707853" w:rsidRPr="00F00002" w:rsidRDefault="00707853" w:rsidP="00AB0B8F">
            <w:pPr>
              <w:pStyle w:val="Tabletext"/>
            </w:pPr>
            <w:r w:rsidRPr="00F00002">
              <w:t>9 to 12</w:t>
            </w:r>
          </w:p>
        </w:tc>
        <w:tc>
          <w:tcPr>
            <w:tcW w:w="510" w:type="pct"/>
            <w:shd w:val="clear" w:color="auto" w:fill="auto"/>
          </w:tcPr>
          <w:p w:rsidR="00707853" w:rsidRPr="00F00002" w:rsidRDefault="00707853" w:rsidP="00AB0B8F">
            <w:pPr>
              <w:pStyle w:val="Tabletext"/>
            </w:pPr>
            <w:r w:rsidRPr="00F00002">
              <w:t>1.3%</w:t>
            </w:r>
          </w:p>
        </w:tc>
        <w:tc>
          <w:tcPr>
            <w:tcW w:w="510" w:type="pct"/>
            <w:shd w:val="clear" w:color="auto" w:fill="auto"/>
          </w:tcPr>
          <w:p w:rsidR="00707853" w:rsidRPr="00F00002" w:rsidRDefault="00707853" w:rsidP="00AB0B8F">
            <w:pPr>
              <w:pStyle w:val="Tabletext"/>
            </w:pPr>
            <w:r w:rsidRPr="00F00002">
              <w:t>2.0%</w:t>
            </w:r>
          </w:p>
        </w:tc>
        <w:tc>
          <w:tcPr>
            <w:tcW w:w="528" w:type="pct"/>
            <w:shd w:val="clear" w:color="auto" w:fill="auto"/>
          </w:tcPr>
          <w:p w:rsidR="00707853" w:rsidRPr="00F00002" w:rsidRDefault="00707853" w:rsidP="00AB0B8F">
            <w:pPr>
              <w:pStyle w:val="Tabletext"/>
            </w:pPr>
            <w:r w:rsidRPr="00F00002">
              <w:t>2.9%</w:t>
            </w:r>
          </w:p>
        </w:tc>
        <w:tc>
          <w:tcPr>
            <w:tcW w:w="597" w:type="pct"/>
            <w:shd w:val="clear" w:color="auto" w:fill="auto"/>
          </w:tcPr>
          <w:p w:rsidR="00707853" w:rsidRPr="00F00002" w:rsidRDefault="00707853" w:rsidP="00AB0B8F">
            <w:pPr>
              <w:pStyle w:val="Tabletext"/>
            </w:pPr>
            <w:r w:rsidRPr="00F00002">
              <w:t>4.0%</w:t>
            </w:r>
          </w:p>
        </w:tc>
        <w:tc>
          <w:tcPr>
            <w:tcW w:w="597" w:type="pct"/>
            <w:shd w:val="clear" w:color="auto" w:fill="auto"/>
          </w:tcPr>
          <w:p w:rsidR="00707853" w:rsidRPr="00F00002" w:rsidRDefault="00707853" w:rsidP="00AB0B8F">
            <w:pPr>
              <w:pStyle w:val="Tabletext"/>
            </w:pPr>
            <w:r w:rsidRPr="00F00002">
              <w:t>5.4%</w:t>
            </w:r>
          </w:p>
        </w:tc>
        <w:tc>
          <w:tcPr>
            <w:tcW w:w="597" w:type="pct"/>
            <w:shd w:val="clear" w:color="auto" w:fill="auto"/>
          </w:tcPr>
          <w:p w:rsidR="00707853" w:rsidRPr="00F00002" w:rsidRDefault="00707853" w:rsidP="00AB0B8F">
            <w:pPr>
              <w:pStyle w:val="Tabletext"/>
            </w:pPr>
            <w:r w:rsidRPr="00F00002">
              <w:t>7.0%</w:t>
            </w:r>
          </w:p>
        </w:tc>
        <w:tc>
          <w:tcPr>
            <w:tcW w:w="737" w:type="pct"/>
            <w:shd w:val="clear" w:color="auto" w:fill="auto"/>
          </w:tcPr>
          <w:p w:rsidR="00707853" w:rsidRPr="00F00002" w:rsidRDefault="00707853" w:rsidP="00AB0B8F">
            <w:pPr>
              <w:pStyle w:val="Tabletext"/>
            </w:pPr>
            <w:r w:rsidRPr="00F00002">
              <w:t>8.8%</w:t>
            </w:r>
          </w:p>
        </w:tc>
      </w:tr>
      <w:tr w:rsidR="00707853" w:rsidRPr="00F00002" w:rsidTr="000505B9">
        <w:tc>
          <w:tcPr>
            <w:tcW w:w="924" w:type="pct"/>
          </w:tcPr>
          <w:p w:rsidR="00707853" w:rsidRPr="00F00002" w:rsidRDefault="00707853" w:rsidP="00AB0B8F">
            <w:pPr>
              <w:pStyle w:val="Tabletext"/>
            </w:pPr>
            <w:r w:rsidRPr="00F00002">
              <w:t>6 to 9</w:t>
            </w:r>
          </w:p>
        </w:tc>
        <w:tc>
          <w:tcPr>
            <w:tcW w:w="510" w:type="pct"/>
            <w:shd w:val="clear" w:color="auto" w:fill="auto"/>
          </w:tcPr>
          <w:p w:rsidR="00707853" w:rsidRPr="00F00002" w:rsidRDefault="00707853" w:rsidP="00AB0B8F">
            <w:pPr>
              <w:pStyle w:val="Tabletext"/>
            </w:pPr>
            <w:r w:rsidRPr="00F00002">
              <w:t>0.8%</w:t>
            </w:r>
          </w:p>
        </w:tc>
        <w:tc>
          <w:tcPr>
            <w:tcW w:w="510" w:type="pct"/>
            <w:shd w:val="clear" w:color="auto" w:fill="auto"/>
          </w:tcPr>
          <w:p w:rsidR="00707853" w:rsidRPr="00F00002" w:rsidRDefault="00707853" w:rsidP="00AB0B8F">
            <w:pPr>
              <w:pStyle w:val="Tabletext"/>
            </w:pPr>
            <w:r w:rsidRPr="00F00002">
              <w:t>1.4%</w:t>
            </w:r>
          </w:p>
        </w:tc>
        <w:tc>
          <w:tcPr>
            <w:tcW w:w="528" w:type="pct"/>
            <w:shd w:val="clear" w:color="auto" w:fill="auto"/>
          </w:tcPr>
          <w:p w:rsidR="00707853" w:rsidRPr="00F00002" w:rsidRDefault="00707853" w:rsidP="00AB0B8F">
            <w:pPr>
              <w:pStyle w:val="Tabletext"/>
            </w:pPr>
            <w:r w:rsidRPr="00F00002">
              <w:t>2.2%</w:t>
            </w:r>
          </w:p>
        </w:tc>
        <w:tc>
          <w:tcPr>
            <w:tcW w:w="597" w:type="pct"/>
            <w:shd w:val="clear" w:color="auto" w:fill="auto"/>
          </w:tcPr>
          <w:p w:rsidR="00707853" w:rsidRPr="00F00002" w:rsidRDefault="00707853" w:rsidP="00AB0B8F">
            <w:pPr>
              <w:pStyle w:val="Tabletext"/>
            </w:pPr>
            <w:r w:rsidRPr="00F00002">
              <w:t>3.3%</w:t>
            </w:r>
          </w:p>
        </w:tc>
        <w:tc>
          <w:tcPr>
            <w:tcW w:w="597" w:type="pct"/>
            <w:shd w:val="clear" w:color="auto" w:fill="auto"/>
          </w:tcPr>
          <w:p w:rsidR="00707853" w:rsidRPr="00F00002" w:rsidRDefault="00707853" w:rsidP="00AB0B8F">
            <w:pPr>
              <w:pStyle w:val="Tabletext"/>
            </w:pPr>
            <w:r w:rsidRPr="00F00002">
              <w:t>4.7%</w:t>
            </w:r>
          </w:p>
        </w:tc>
        <w:tc>
          <w:tcPr>
            <w:tcW w:w="597" w:type="pct"/>
            <w:shd w:val="clear" w:color="auto" w:fill="auto"/>
          </w:tcPr>
          <w:p w:rsidR="00707853" w:rsidRPr="00F00002" w:rsidRDefault="00707853" w:rsidP="00AB0B8F">
            <w:pPr>
              <w:pStyle w:val="Tabletext"/>
            </w:pPr>
            <w:r w:rsidRPr="00F00002">
              <w:t>6.4%</w:t>
            </w:r>
          </w:p>
        </w:tc>
        <w:tc>
          <w:tcPr>
            <w:tcW w:w="737" w:type="pct"/>
            <w:shd w:val="clear" w:color="auto" w:fill="auto"/>
          </w:tcPr>
          <w:p w:rsidR="00707853" w:rsidRPr="00F00002" w:rsidRDefault="00707853" w:rsidP="00AB0B8F">
            <w:pPr>
              <w:pStyle w:val="Tabletext"/>
            </w:pPr>
            <w:r w:rsidRPr="00F00002">
              <w:t>8.3%</w:t>
            </w:r>
          </w:p>
        </w:tc>
      </w:tr>
      <w:tr w:rsidR="00707853" w:rsidRPr="00F00002" w:rsidTr="000505B9">
        <w:tc>
          <w:tcPr>
            <w:tcW w:w="924" w:type="pct"/>
            <w:tcBorders>
              <w:bottom w:val="single" w:sz="4" w:space="0" w:color="auto"/>
            </w:tcBorders>
          </w:tcPr>
          <w:p w:rsidR="00707853" w:rsidRPr="00F00002" w:rsidRDefault="00707853" w:rsidP="00AB0B8F">
            <w:pPr>
              <w:pStyle w:val="Tabletext"/>
            </w:pPr>
            <w:r w:rsidRPr="00F00002">
              <w:t>3 to 6</w:t>
            </w:r>
          </w:p>
        </w:tc>
        <w:tc>
          <w:tcPr>
            <w:tcW w:w="510" w:type="pct"/>
            <w:tcBorders>
              <w:bottom w:val="single" w:sz="4" w:space="0" w:color="auto"/>
            </w:tcBorders>
            <w:shd w:val="clear" w:color="auto" w:fill="auto"/>
          </w:tcPr>
          <w:p w:rsidR="00707853" w:rsidRPr="00F00002" w:rsidRDefault="00707853" w:rsidP="00AB0B8F">
            <w:pPr>
              <w:pStyle w:val="Tabletext"/>
            </w:pPr>
            <w:r w:rsidRPr="00F00002">
              <w:t>0.3%</w:t>
            </w:r>
          </w:p>
        </w:tc>
        <w:tc>
          <w:tcPr>
            <w:tcW w:w="510" w:type="pct"/>
            <w:tcBorders>
              <w:bottom w:val="single" w:sz="4" w:space="0" w:color="auto"/>
            </w:tcBorders>
            <w:shd w:val="clear" w:color="auto" w:fill="auto"/>
          </w:tcPr>
          <w:p w:rsidR="00707853" w:rsidRPr="00F00002" w:rsidRDefault="00707853" w:rsidP="00AB0B8F">
            <w:pPr>
              <w:pStyle w:val="Tabletext"/>
            </w:pPr>
            <w:r w:rsidRPr="00F00002">
              <w:t>0.6%</w:t>
            </w:r>
          </w:p>
        </w:tc>
        <w:tc>
          <w:tcPr>
            <w:tcW w:w="528" w:type="pct"/>
            <w:tcBorders>
              <w:bottom w:val="single" w:sz="4" w:space="0" w:color="auto"/>
            </w:tcBorders>
            <w:shd w:val="clear" w:color="auto" w:fill="auto"/>
          </w:tcPr>
          <w:p w:rsidR="00707853" w:rsidRPr="00F00002" w:rsidRDefault="00707853" w:rsidP="00AB0B8F">
            <w:pPr>
              <w:pStyle w:val="Tabletext"/>
            </w:pPr>
            <w:r w:rsidRPr="00F00002">
              <w:t>1.3%</w:t>
            </w:r>
          </w:p>
        </w:tc>
        <w:tc>
          <w:tcPr>
            <w:tcW w:w="597" w:type="pct"/>
            <w:tcBorders>
              <w:bottom w:val="single" w:sz="4" w:space="0" w:color="auto"/>
            </w:tcBorders>
            <w:shd w:val="clear" w:color="auto" w:fill="auto"/>
          </w:tcPr>
          <w:p w:rsidR="00707853" w:rsidRPr="00F00002" w:rsidRDefault="00707853" w:rsidP="00AB0B8F">
            <w:pPr>
              <w:pStyle w:val="Tabletext"/>
            </w:pPr>
            <w:r w:rsidRPr="00F00002">
              <w:t>2.4%</w:t>
            </w:r>
          </w:p>
        </w:tc>
        <w:tc>
          <w:tcPr>
            <w:tcW w:w="597" w:type="pct"/>
            <w:tcBorders>
              <w:bottom w:val="single" w:sz="4" w:space="0" w:color="auto"/>
            </w:tcBorders>
            <w:shd w:val="clear" w:color="auto" w:fill="auto"/>
          </w:tcPr>
          <w:p w:rsidR="00707853" w:rsidRPr="00F00002" w:rsidRDefault="00707853" w:rsidP="00AB0B8F">
            <w:pPr>
              <w:pStyle w:val="Tabletext"/>
            </w:pPr>
            <w:r w:rsidRPr="00F00002">
              <w:t>3.8%</w:t>
            </w:r>
          </w:p>
        </w:tc>
        <w:tc>
          <w:tcPr>
            <w:tcW w:w="597" w:type="pct"/>
            <w:tcBorders>
              <w:bottom w:val="single" w:sz="4" w:space="0" w:color="auto"/>
            </w:tcBorders>
            <w:shd w:val="clear" w:color="auto" w:fill="auto"/>
          </w:tcPr>
          <w:p w:rsidR="00707853" w:rsidRPr="00F00002" w:rsidRDefault="00707853" w:rsidP="00AB0B8F">
            <w:pPr>
              <w:pStyle w:val="Tabletext"/>
            </w:pPr>
            <w:r w:rsidRPr="00F00002">
              <w:t>5.7%</w:t>
            </w:r>
          </w:p>
        </w:tc>
        <w:tc>
          <w:tcPr>
            <w:tcW w:w="737" w:type="pct"/>
            <w:tcBorders>
              <w:bottom w:val="single" w:sz="4" w:space="0" w:color="auto"/>
            </w:tcBorders>
            <w:shd w:val="clear" w:color="auto" w:fill="auto"/>
          </w:tcPr>
          <w:p w:rsidR="00707853" w:rsidRPr="00F00002" w:rsidRDefault="00707853" w:rsidP="00AB0B8F">
            <w:pPr>
              <w:pStyle w:val="Tabletext"/>
            </w:pPr>
            <w:r w:rsidRPr="00F00002">
              <w:t>7.8%</w:t>
            </w:r>
          </w:p>
        </w:tc>
      </w:tr>
      <w:tr w:rsidR="00707853" w:rsidRPr="00F00002" w:rsidTr="000505B9">
        <w:tc>
          <w:tcPr>
            <w:tcW w:w="924" w:type="pct"/>
            <w:tcBorders>
              <w:bottom w:val="single" w:sz="12" w:space="0" w:color="auto"/>
            </w:tcBorders>
          </w:tcPr>
          <w:p w:rsidR="00707853" w:rsidRPr="00F00002" w:rsidRDefault="00707853" w:rsidP="00AB0B8F">
            <w:pPr>
              <w:pStyle w:val="Tabletext"/>
            </w:pPr>
            <w:r w:rsidRPr="00F00002">
              <w:t>0 to 3</w:t>
            </w:r>
          </w:p>
        </w:tc>
        <w:tc>
          <w:tcPr>
            <w:tcW w:w="510" w:type="pct"/>
            <w:tcBorders>
              <w:bottom w:val="single" w:sz="12" w:space="0" w:color="auto"/>
            </w:tcBorders>
            <w:shd w:val="clear" w:color="auto" w:fill="auto"/>
          </w:tcPr>
          <w:p w:rsidR="00707853" w:rsidRPr="00F00002" w:rsidRDefault="00707853" w:rsidP="00AB0B8F">
            <w:pPr>
              <w:pStyle w:val="Tabletext"/>
            </w:pPr>
            <w:r w:rsidRPr="00F00002">
              <w:t>0.0%</w:t>
            </w:r>
          </w:p>
        </w:tc>
        <w:tc>
          <w:tcPr>
            <w:tcW w:w="510" w:type="pct"/>
            <w:tcBorders>
              <w:bottom w:val="single" w:sz="12" w:space="0" w:color="auto"/>
            </w:tcBorders>
            <w:shd w:val="clear" w:color="auto" w:fill="auto"/>
          </w:tcPr>
          <w:p w:rsidR="00707853" w:rsidRPr="00F00002" w:rsidRDefault="00707853" w:rsidP="00AB0B8F">
            <w:pPr>
              <w:pStyle w:val="Tabletext"/>
            </w:pPr>
            <w:r w:rsidRPr="00F00002">
              <w:t>0.1%</w:t>
            </w:r>
          </w:p>
        </w:tc>
        <w:tc>
          <w:tcPr>
            <w:tcW w:w="528" w:type="pct"/>
            <w:tcBorders>
              <w:bottom w:val="single" w:sz="12" w:space="0" w:color="auto"/>
            </w:tcBorders>
            <w:shd w:val="clear" w:color="auto" w:fill="auto"/>
          </w:tcPr>
          <w:p w:rsidR="00707853" w:rsidRPr="00F00002" w:rsidRDefault="00707853" w:rsidP="00AB0B8F">
            <w:pPr>
              <w:pStyle w:val="Tabletext"/>
            </w:pPr>
            <w:r w:rsidRPr="00F00002">
              <w:t>0.5%</w:t>
            </w:r>
          </w:p>
        </w:tc>
        <w:tc>
          <w:tcPr>
            <w:tcW w:w="597" w:type="pct"/>
            <w:tcBorders>
              <w:bottom w:val="single" w:sz="12" w:space="0" w:color="auto"/>
            </w:tcBorders>
            <w:shd w:val="clear" w:color="auto" w:fill="auto"/>
          </w:tcPr>
          <w:p w:rsidR="00707853" w:rsidRPr="00F00002" w:rsidRDefault="00707853" w:rsidP="00AB0B8F">
            <w:pPr>
              <w:pStyle w:val="Tabletext"/>
            </w:pPr>
            <w:r w:rsidRPr="00F00002">
              <w:t>1.4%</w:t>
            </w:r>
          </w:p>
        </w:tc>
        <w:tc>
          <w:tcPr>
            <w:tcW w:w="597" w:type="pct"/>
            <w:tcBorders>
              <w:bottom w:val="single" w:sz="12" w:space="0" w:color="auto"/>
            </w:tcBorders>
            <w:shd w:val="clear" w:color="auto" w:fill="auto"/>
          </w:tcPr>
          <w:p w:rsidR="00707853" w:rsidRPr="00F00002" w:rsidRDefault="00707853" w:rsidP="00AB0B8F">
            <w:pPr>
              <w:pStyle w:val="Tabletext"/>
            </w:pPr>
            <w:r w:rsidRPr="00F00002">
              <w:t>3.0%</w:t>
            </w:r>
          </w:p>
        </w:tc>
        <w:tc>
          <w:tcPr>
            <w:tcW w:w="597" w:type="pct"/>
            <w:tcBorders>
              <w:bottom w:val="single" w:sz="12" w:space="0" w:color="auto"/>
            </w:tcBorders>
            <w:shd w:val="clear" w:color="auto" w:fill="auto"/>
          </w:tcPr>
          <w:p w:rsidR="00707853" w:rsidRPr="00F00002" w:rsidRDefault="00707853" w:rsidP="00AB0B8F">
            <w:pPr>
              <w:pStyle w:val="Tabletext"/>
            </w:pPr>
            <w:r w:rsidRPr="00F00002">
              <w:t>5.1%</w:t>
            </w:r>
          </w:p>
        </w:tc>
        <w:tc>
          <w:tcPr>
            <w:tcW w:w="737" w:type="pct"/>
            <w:tcBorders>
              <w:bottom w:val="single" w:sz="12" w:space="0" w:color="auto"/>
            </w:tcBorders>
            <w:shd w:val="clear" w:color="auto" w:fill="auto"/>
          </w:tcPr>
          <w:p w:rsidR="00707853" w:rsidRPr="00F00002" w:rsidRDefault="00707853" w:rsidP="00AB0B8F">
            <w:pPr>
              <w:pStyle w:val="Tabletext"/>
            </w:pPr>
            <w:r w:rsidRPr="00F00002">
              <w:t>7.5%</w:t>
            </w:r>
          </w:p>
        </w:tc>
      </w:tr>
    </w:tbl>
    <w:p w:rsidR="00241AFB" w:rsidRPr="00F00002" w:rsidRDefault="00241AFB" w:rsidP="00D150ED">
      <w:pPr>
        <w:pStyle w:val="subsection"/>
      </w:pPr>
      <w:r w:rsidRPr="00F00002">
        <w:tab/>
        <w:t>(2)</w:t>
      </w:r>
      <w:r w:rsidRPr="00F00002">
        <w:tab/>
        <w:t xml:space="preserve">From Table 1, select the percentage (the </w:t>
      </w:r>
      <w:r w:rsidRPr="00F00002">
        <w:rPr>
          <w:b/>
          <w:i/>
        </w:rPr>
        <w:t>Table 1 percentage</w:t>
      </w:r>
      <w:r w:rsidRPr="00F00002">
        <w:t>) that corresponds to:</w:t>
      </w:r>
    </w:p>
    <w:p w:rsidR="00241AFB" w:rsidRPr="00F00002" w:rsidRDefault="00241AFB" w:rsidP="00D150ED">
      <w:pPr>
        <w:pStyle w:val="paragraph"/>
      </w:pPr>
      <w:r w:rsidRPr="00F00002">
        <w:tab/>
        <w:t>(a)</w:t>
      </w:r>
      <w:r w:rsidRPr="00F00002">
        <w:tab/>
        <w:t xml:space="preserve">the period, in months, from the particular day until the last day on which the right may be exercised (the </w:t>
      </w:r>
      <w:r w:rsidRPr="00F00002">
        <w:rPr>
          <w:b/>
          <w:i/>
        </w:rPr>
        <w:t>exercise period</w:t>
      </w:r>
      <w:r w:rsidRPr="00F00002">
        <w:t>); and</w:t>
      </w:r>
    </w:p>
    <w:p w:rsidR="00241AFB" w:rsidRPr="00F00002" w:rsidRDefault="00241AFB" w:rsidP="00D150ED">
      <w:pPr>
        <w:pStyle w:val="paragraph"/>
      </w:pPr>
      <w:r w:rsidRPr="00F00002">
        <w:tab/>
        <w:t>(b)</w:t>
      </w:r>
      <w:r w:rsidRPr="00F00002">
        <w:tab/>
        <w:t>the calculation percentage;</w:t>
      </w:r>
    </w:p>
    <w:p w:rsidR="00241AFB" w:rsidRPr="00F00002" w:rsidRDefault="00241AFB" w:rsidP="00D150ED">
      <w:pPr>
        <w:pStyle w:val="subsection2"/>
      </w:pPr>
      <w:r w:rsidRPr="00F00002">
        <w:t>and then multiply the amount, or lowest amount, that must be paid to exercise the right by the Table 1 percentage. The result is the</w:t>
      </w:r>
      <w:r w:rsidRPr="00F00002">
        <w:rPr>
          <w:b/>
          <w:i/>
        </w:rPr>
        <w:t xml:space="preserve"> value of the right</w:t>
      </w:r>
      <w:r w:rsidRPr="00F00002">
        <w:t>.</w:t>
      </w:r>
    </w:p>
    <w:p w:rsidR="0081371D" w:rsidRPr="00F00002" w:rsidRDefault="0081371D" w:rsidP="0081371D">
      <w:pPr>
        <w:pStyle w:val="notetext"/>
      </w:pPr>
      <w:r w:rsidRPr="00F00002">
        <w:t>Note:</w:t>
      </w:r>
      <w:r w:rsidRPr="00F00002">
        <w:tab/>
        <w:t>The following assumptions were used to work out the Table 1 percentages:</w:t>
      </w:r>
    </w:p>
    <w:p w:rsidR="0081371D" w:rsidRPr="00F00002" w:rsidRDefault="0081371D" w:rsidP="0081371D">
      <w:pPr>
        <w:pStyle w:val="notepara"/>
      </w:pPr>
      <w:r w:rsidRPr="00F00002">
        <w:t>(a)</w:t>
      </w:r>
      <w:r w:rsidRPr="00F00002">
        <w:tab/>
        <w:t>a risk</w:t>
      </w:r>
      <w:r w:rsidR="00F00002">
        <w:noBreakHyphen/>
      </w:r>
      <w:r w:rsidRPr="00F00002">
        <w:t>free interest rate of 4%;</w:t>
      </w:r>
    </w:p>
    <w:p w:rsidR="0081371D" w:rsidRPr="00F00002" w:rsidRDefault="0081371D" w:rsidP="0081371D">
      <w:pPr>
        <w:pStyle w:val="notepara"/>
      </w:pPr>
      <w:r w:rsidRPr="00F00002">
        <w:t>(b)</w:t>
      </w:r>
      <w:r w:rsidRPr="00F00002">
        <w:tab/>
        <w:t>a dividend yield of 4%;</w:t>
      </w:r>
    </w:p>
    <w:p w:rsidR="0081371D" w:rsidRPr="00F00002" w:rsidRDefault="0081371D" w:rsidP="0081371D">
      <w:pPr>
        <w:pStyle w:val="notepara"/>
      </w:pPr>
      <w:r w:rsidRPr="00F00002">
        <w:t>(c)</w:t>
      </w:r>
      <w:r w:rsidRPr="00F00002">
        <w:tab/>
        <w:t>volatility of 12%.</w:t>
      </w:r>
    </w:p>
    <w:p w:rsidR="008612AE" w:rsidRPr="00F00002" w:rsidRDefault="008612AE" w:rsidP="008612AE">
      <w:pPr>
        <w:pStyle w:val="subsection"/>
      </w:pPr>
      <w:r w:rsidRPr="00F00002">
        <w:tab/>
        <w:t>(3)</w:t>
      </w:r>
      <w:r w:rsidRPr="00F00002">
        <w:tab/>
        <w:t>If, in relation to a particular right:</w:t>
      </w:r>
    </w:p>
    <w:p w:rsidR="008612AE" w:rsidRPr="00F00002" w:rsidRDefault="008612AE" w:rsidP="008612AE">
      <w:pPr>
        <w:pStyle w:val="paragraph"/>
      </w:pPr>
      <w:r w:rsidRPr="00F00002">
        <w:tab/>
        <w:t>(a)</w:t>
      </w:r>
      <w:r w:rsidRPr="00F00002">
        <w:tab/>
        <w:t>the exercise period; or</w:t>
      </w:r>
    </w:p>
    <w:p w:rsidR="008612AE" w:rsidRPr="00F00002" w:rsidRDefault="008612AE" w:rsidP="008612AE">
      <w:pPr>
        <w:pStyle w:val="paragraph"/>
      </w:pPr>
      <w:r w:rsidRPr="00F00002">
        <w:tab/>
        <w:t>(b)</w:t>
      </w:r>
      <w:r w:rsidRPr="00F00002">
        <w:tab/>
        <w:t>the calculation percentage;</w:t>
      </w:r>
    </w:p>
    <w:p w:rsidR="008612AE" w:rsidRPr="00F00002" w:rsidRDefault="008612AE" w:rsidP="008612AE">
      <w:pPr>
        <w:pStyle w:val="subsection2"/>
      </w:pPr>
      <w:r w:rsidRPr="00F00002">
        <w:t>is the top of one range in Table 1 and is also the bottom of another range in the table, it is taken to be in the lower range and not in the higher range.</w:t>
      </w:r>
    </w:p>
    <w:p w:rsidR="00241AFB" w:rsidRPr="00F00002" w:rsidRDefault="00241AFB" w:rsidP="00D150ED">
      <w:pPr>
        <w:pStyle w:val="ActHead5"/>
      </w:pPr>
      <w:bookmarkStart w:id="51" w:name="_Toc31109635"/>
      <w:r w:rsidRPr="00A26088">
        <w:rPr>
          <w:rStyle w:val="CharSectno"/>
        </w:rPr>
        <w:t>83A</w:t>
      </w:r>
      <w:r w:rsidR="00F00002" w:rsidRPr="00A26088">
        <w:rPr>
          <w:rStyle w:val="CharSectno"/>
        </w:rPr>
        <w:noBreakHyphen/>
      </w:r>
      <w:r w:rsidRPr="00A26088">
        <w:rPr>
          <w:rStyle w:val="CharSectno"/>
        </w:rPr>
        <w:t>315.09</w:t>
      </w:r>
      <w:r w:rsidR="00D150ED" w:rsidRPr="00F00002">
        <w:t xml:space="preserve">  </w:t>
      </w:r>
      <w:r w:rsidRPr="00F00002">
        <w:t>Table 2 and instructions</w:t>
      </w:r>
      <w:bookmarkEnd w:id="51"/>
    </w:p>
    <w:p w:rsidR="004D48BD" w:rsidRPr="00F00002" w:rsidRDefault="004D48BD" w:rsidP="004D48BD">
      <w:pPr>
        <w:pStyle w:val="subsection"/>
      </w:pPr>
      <w:r w:rsidRPr="00F00002">
        <w:tab/>
        <w:t>(1)</w:t>
      </w:r>
      <w:r w:rsidRPr="00F00002">
        <w:tab/>
        <w:t>The following table sets out the base percentages for calculation percentages of 110% or more.</w:t>
      </w:r>
    </w:p>
    <w:p w:rsidR="004D48BD" w:rsidRPr="00F00002" w:rsidRDefault="004D48BD" w:rsidP="004D48B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967"/>
        <w:gridCol w:w="2966"/>
        <w:gridCol w:w="2596"/>
      </w:tblGrid>
      <w:tr w:rsidR="004D48BD" w:rsidRPr="00F00002" w:rsidTr="000505B9">
        <w:trPr>
          <w:tblHeader/>
        </w:trPr>
        <w:tc>
          <w:tcPr>
            <w:tcW w:w="5000" w:type="pct"/>
            <w:gridSpan w:val="3"/>
            <w:tcBorders>
              <w:top w:val="single" w:sz="12" w:space="0" w:color="auto"/>
              <w:bottom w:val="single" w:sz="2" w:space="0" w:color="auto"/>
            </w:tcBorders>
            <w:shd w:val="clear" w:color="auto" w:fill="auto"/>
          </w:tcPr>
          <w:p w:rsidR="004D48BD" w:rsidRPr="00F00002" w:rsidRDefault="004D48BD" w:rsidP="00BB39F6">
            <w:pPr>
              <w:pStyle w:val="TableHeading"/>
            </w:pPr>
            <w:r w:rsidRPr="00F00002">
              <w:t>Table 2—Base percentages</w:t>
            </w:r>
          </w:p>
        </w:tc>
      </w:tr>
      <w:tr w:rsidR="004D48BD" w:rsidRPr="00F00002" w:rsidTr="000505B9">
        <w:trPr>
          <w:tblHeader/>
        </w:trPr>
        <w:tc>
          <w:tcPr>
            <w:tcW w:w="1739" w:type="pct"/>
            <w:tcBorders>
              <w:top w:val="single" w:sz="2" w:space="0" w:color="auto"/>
              <w:bottom w:val="single" w:sz="12" w:space="0" w:color="auto"/>
            </w:tcBorders>
            <w:shd w:val="clear" w:color="auto" w:fill="auto"/>
          </w:tcPr>
          <w:p w:rsidR="004D48BD" w:rsidRPr="00F00002" w:rsidRDefault="004D48BD" w:rsidP="00BB39F6">
            <w:pPr>
              <w:pStyle w:val="TableHeading"/>
            </w:pPr>
            <w:r w:rsidRPr="00F00002">
              <w:t>Exercise period (months)</w:t>
            </w:r>
          </w:p>
        </w:tc>
        <w:tc>
          <w:tcPr>
            <w:tcW w:w="1739" w:type="pct"/>
            <w:tcBorders>
              <w:top w:val="single" w:sz="2" w:space="0" w:color="auto"/>
              <w:bottom w:val="single" w:sz="12" w:space="0" w:color="auto"/>
            </w:tcBorders>
            <w:shd w:val="clear" w:color="auto" w:fill="auto"/>
          </w:tcPr>
          <w:p w:rsidR="004D48BD" w:rsidRPr="00F00002" w:rsidRDefault="004D48BD" w:rsidP="00BB39F6">
            <w:pPr>
              <w:pStyle w:val="TableHeading"/>
            </w:pPr>
            <w:r w:rsidRPr="00F00002">
              <w:t>Column 1</w:t>
            </w:r>
          </w:p>
        </w:tc>
        <w:tc>
          <w:tcPr>
            <w:tcW w:w="1522" w:type="pct"/>
            <w:tcBorders>
              <w:top w:val="single" w:sz="2" w:space="0" w:color="auto"/>
              <w:bottom w:val="single" w:sz="12" w:space="0" w:color="auto"/>
            </w:tcBorders>
            <w:shd w:val="clear" w:color="auto" w:fill="auto"/>
          </w:tcPr>
          <w:p w:rsidR="004D48BD" w:rsidRPr="00F00002" w:rsidRDefault="004D48BD" w:rsidP="00BB39F6">
            <w:pPr>
              <w:pStyle w:val="TableHeading"/>
            </w:pPr>
            <w:r w:rsidRPr="00F00002">
              <w:t>Column 2</w:t>
            </w:r>
          </w:p>
        </w:tc>
      </w:tr>
      <w:tr w:rsidR="004D48BD" w:rsidRPr="00F00002" w:rsidTr="000505B9">
        <w:tc>
          <w:tcPr>
            <w:tcW w:w="1739" w:type="pct"/>
            <w:tcBorders>
              <w:top w:val="single" w:sz="12" w:space="0" w:color="auto"/>
            </w:tcBorders>
            <w:shd w:val="clear" w:color="auto" w:fill="auto"/>
          </w:tcPr>
          <w:p w:rsidR="004D48BD" w:rsidRPr="00F00002" w:rsidRDefault="004D48BD" w:rsidP="00BB39F6">
            <w:pPr>
              <w:pStyle w:val="Tabletext"/>
            </w:pPr>
            <w:r w:rsidRPr="00F00002">
              <w:t>168 to 180</w:t>
            </w:r>
          </w:p>
        </w:tc>
        <w:tc>
          <w:tcPr>
            <w:tcW w:w="1739" w:type="pct"/>
            <w:tcBorders>
              <w:top w:val="single" w:sz="12" w:space="0" w:color="auto"/>
            </w:tcBorders>
            <w:shd w:val="clear" w:color="auto" w:fill="auto"/>
          </w:tcPr>
          <w:p w:rsidR="004D48BD" w:rsidRPr="00F00002" w:rsidRDefault="004D48BD" w:rsidP="00BB39F6">
            <w:pPr>
              <w:pStyle w:val="Tabletext"/>
            </w:pPr>
            <w:r w:rsidRPr="00F00002">
              <w:t>13.3%</w:t>
            </w:r>
          </w:p>
        </w:tc>
        <w:tc>
          <w:tcPr>
            <w:tcW w:w="1522" w:type="pct"/>
            <w:tcBorders>
              <w:top w:val="single" w:sz="12" w:space="0" w:color="auto"/>
            </w:tcBorders>
            <w:shd w:val="clear" w:color="auto" w:fill="auto"/>
          </w:tcPr>
          <w:p w:rsidR="004D48BD" w:rsidRPr="00F00002" w:rsidRDefault="004D48BD" w:rsidP="00BB39F6">
            <w:pPr>
              <w:pStyle w:val="Tabletext"/>
            </w:pPr>
            <w:r w:rsidRPr="00F00002">
              <w:t>0.5%</w:t>
            </w:r>
          </w:p>
        </w:tc>
      </w:tr>
      <w:tr w:rsidR="004D48BD" w:rsidRPr="00F00002" w:rsidTr="000505B9">
        <w:tc>
          <w:tcPr>
            <w:tcW w:w="1739" w:type="pct"/>
            <w:shd w:val="clear" w:color="auto" w:fill="auto"/>
          </w:tcPr>
          <w:p w:rsidR="004D48BD" w:rsidRPr="00F00002" w:rsidRDefault="004D48BD" w:rsidP="00BB39F6">
            <w:pPr>
              <w:pStyle w:val="Tabletext"/>
            </w:pPr>
            <w:r w:rsidRPr="00F00002">
              <w:t>156 to 168</w:t>
            </w:r>
          </w:p>
        </w:tc>
        <w:tc>
          <w:tcPr>
            <w:tcW w:w="1739" w:type="pct"/>
            <w:shd w:val="clear" w:color="auto" w:fill="auto"/>
          </w:tcPr>
          <w:p w:rsidR="004D48BD" w:rsidRPr="00F00002" w:rsidRDefault="004D48BD" w:rsidP="00BB39F6">
            <w:pPr>
              <w:pStyle w:val="Tabletext"/>
            </w:pPr>
            <w:r w:rsidRPr="00F00002">
              <w:t>13.3%</w:t>
            </w:r>
          </w:p>
        </w:tc>
        <w:tc>
          <w:tcPr>
            <w:tcW w:w="1522" w:type="pct"/>
            <w:shd w:val="clear" w:color="auto" w:fill="auto"/>
          </w:tcPr>
          <w:p w:rsidR="004D48BD" w:rsidRPr="00F00002" w:rsidRDefault="004D48BD" w:rsidP="00BB39F6">
            <w:pPr>
              <w:pStyle w:val="Tabletext"/>
            </w:pPr>
            <w:r w:rsidRPr="00F00002">
              <w:t>0.5%</w:t>
            </w:r>
          </w:p>
        </w:tc>
      </w:tr>
      <w:tr w:rsidR="004D48BD" w:rsidRPr="00F00002" w:rsidTr="000505B9">
        <w:tc>
          <w:tcPr>
            <w:tcW w:w="1739" w:type="pct"/>
            <w:shd w:val="clear" w:color="auto" w:fill="auto"/>
          </w:tcPr>
          <w:p w:rsidR="004D48BD" w:rsidRPr="00F00002" w:rsidRDefault="004D48BD" w:rsidP="00BB39F6">
            <w:pPr>
              <w:pStyle w:val="Tabletext"/>
            </w:pPr>
            <w:r w:rsidRPr="00F00002">
              <w:t>144 to 156</w:t>
            </w:r>
          </w:p>
        </w:tc>
        <w:tc>
          <w:tcPr>
            <w:tcW w:w="1739" w:type="pct"/>
            <w:shd w:val="clear" w:color="auto" w:fill="auto"/>
          </w:tcPr>
          <w:p w:rsidR="004D48BD" w:rsidRPr="00F00002" w:rsidRDefault="004D48BD" w:rsidP="00BB39F6">
            <w:pPr>
              <w:pStyle w:val="Tabletext"/>
            </w:pPr>
            <w:r w:rsidRPr="00F00002">
              <w:t>13.3%</w:t>
            </w:r>
          </w:p>
        </w:tc>
        <w:tc>
          <w:tcPr>
            <w:tcW w:w="1522" w:type="pct"/>
            <w:shd w:val="clear" w:color="auto" w:fill="auto"/>
          </w:tcPr>
          <w:p w:rsidR="004D48BD" w:rsidRPr="00F00002" w:rsidRDefault="004D48BD" w:rsidP="00BB39F6">
            <w:pPr>
              <w:pStyle w:val="Tabletext"/>
            </w:pPr>
            <w:r w:rsidRPr="00F00002">
              <w:t>0.5%</w:t>
            </w:r>
          </w:p>
        </w:tc>
      </w:tr>
      <w:tr w:rsidR="004D48BD" w:rsidRPr="00F00002" w:rsidTr="000505B9">
        <w:tc>
          <w:tcPr>
            <w:tcW w:w="1739" w:type="pct"/>
            <w:shd w:val="clear" w:color="auto" w:fill="auto"/>
          </w:tcPr>
          <w:p w:rsidR="004D48BD" w:rsidRPr="00F00002" w:rsidRDefault="004D48BD" w:rsidP="00BB39F6">
            <w:pPr>
              <w:pStyle w:val="Tabletext"/>
            </w:pPr>
            <w:r w:rsidRPr="00F00002">
              <w:lastRenderedPageBreak/>
              <w:t>132 to 144</w:t>
            </w:r>
          </w:p>
        </w:tc>
        <w:tc>
          <w:tcPr>
            <w:tcW w:w="1739" w:type="pct"/>
            <w:shd w:val="clear" w:color="auto" w:fill="auto"/>
          </w:tcPr>
          <w:p w:rsidR="004D48BD" w:rsidRPr="00F00002" w:rsidRDefault="004D48BD" w:rsidP="00BB39F6">
            <w:pPr>
              <w:pStyle w:val="Tabletext"/>
            </w:pPr>
            <w:r w:rsidRPr="00F00002">
              <w:t>13.3%</w:t>
            </w:r>
          </w:p>
        </w:tc>
        <w:tc>
          <w:tcPr>
            <w:tcW w:w="1522" w:type="pct"/>
            <w:shd w:val="clear" w:color="auto" w:fill="auto"/>
          </w:tcPr>
          <w:p w:rsidR="004D48BD" w:rsidRPr="00F00002" w:rsidRDefault="004D48BD" w:rsidP="00BB39F6">
            <w:pPr>
              <w:pStyle w:val="Tabletext"/>
            </w:pPr>
            <w:r w:rsidRPr="00F00002">
              <w:t>0.6%</w:t>
            </w:r>
          </w:p>
        </w:tc>
      </w:tr>
      <w:tr w:rsidR="004D48BD" w:rsidRPr="00F00002" w:rsidTr="000505B9">
        <w:tc>
          <w:tcPr>
            <w:tcW w:w="1739" w:type="pct"/>
            <w:shd w:val="clear" w:color="auto" w:fill="auto"/>
          </w:tcPr>
          <w:p w:rsidR="004D48BD" w:rsidRPr="00F00002" w:rsidRDefault="004D48BD" w:rsidP="00BB39F6">
            <w:pPr>
              <w:pStyle w:val="Tabletext"/>
            </w:pPr>
            <w:r w:rsidRPr="00F00002">
              <w:t>120 to 132</w:t>
            </w:r>
          </w:p>
        </w:tc>
        <w:tc>
          <w:tcPr>
            <w:tcW w:w="1739" w:type="pct"/>
            <w:shd w:val="clear" w:color="auto" w:fill="auto"/>
          </w:tcPr>
          <w:p w:rsidR="004D48BD" w:rsidRPr="00F00002" w:rsidRDefault="004D48BD" w:rsidP="00BB39F6">
            <w:pPr>
              <w:pStyle w:val="Tabletext"/>
            </w:pPr>
            <w:r w:rsidRPr="00F00002">
              <w:t>13.3%</w:t>
            </w:r>
          </w:p>
        </w:tc>
        <w:tc>
          <w:tcPr>
            <w:tcW w:w="1522" w:type="pct"/>
            <w:shd w:val="clear" w:color="auto" w:fill="auto"/>
          </w:tcPr>
          <w:p w:rsidR="004D48BD" w:rsidRPr="00F00002" w:rsidRDefault="004D48BD" w:rsidP="00BB39F6">
            <w:pPr>
              <w:pStyle w:val="Tabletext"/>
            </w:pPr>
            <w:r w:rsidRPr="00F00002">
              <w:t>0.6%</w:t>
            </w:r>
          </w:p>
        </w:tc>
      </w:tr>
      <w:tr w:rsidR="004D48BD" w:rsidRPr="00F00002" w:rsidTr="000505B9">
        <w:tc>
          <w:tcPr>
            <w:tcW w:w="1739" w:type="pct"/>
            <w:shd w:val="clear" w:color="auto" w:fill="auto"/>
          </w:tcPr>
          <w:p w:rsidR="004D48BD" w:rsidRPr="00F00002" w:rsidRDefault="004D48BD" w:rsidP="00BB39F6">
            <w:pPr>
              <w:pStyle w:val="Tabletext"/>
            </w:pPr>
            <w:r w:rsidRPr="00F00002">
              <w:t>108 to 120</w:t>
            </w:r>
          </w:p>
        </w:tc>
        <w:tc>
          <w:tcPr>
            <w:tcW w:w="1739" w:type="pct"/>
            <w:shd w:val="clear" w:color="auto" w:fill="auto"/>
          </w:tcPr>
          <w:p w:rsidR="004D48BD" w:rsidRPr="00F00002" w:rsidRDefault="004D48BD" w:rsidP="00BB39F6">
            <w:pPr>
              <w:pStyle w:val="Tabletext"/>
            </w:pPr>
            <w:r w:rsidRPr="00F00002">
              <w:t>13.3%</w:t>
            </w:r>
          </w:p>
        </w:tc>
        <w:tc>
          <w:tcPr>
            <w:tcW w:w="1522" w:type="pct"/>
            <w:shd w:val="clear" w:color="auto" w:fill="auto"/>
          </w:tcPr>
          <w:p w:rsidR="004D48BD" w:rsidRPr="00F00002" w:rsidRDefault="004D48BD" w:rsidP="00BB39F6">
            <w:pPr>
              <w:pStyle w:val="Tabletext"/>
            </w:pPr>
            <w:r w:rsidRPr="00F00002">
              <w:t>0.6%</w:t>
            </w:r>
          </w:p>
        </w:tc>
      </w:tr>
      <w:tr w:rsidR="004D48BD" w:rsidRPr="00F00002" w:rsidTr="000505B9">
        <w:tc>
          <w:tcPr>
            <w:tcW w:w="1739" w:type="pct"/>
            <w:shd w:val="clear" w:color="auto" w:fill="auto"/>
          </w:tcPr>
          <w:p w:rsidR="004D48BD" w:rsidRPr="00F00002" w:rsidRDefault="004D48BD" w:rsidP="00BB39F6">
            <w:pPr>
              <w:pStyle w:val="Tabletext"/>
            </w:pPr>
            <w:r w:rsidRPr="00F00002">
              <w:t>96 to 108</w:t>
            </w:r>
          </w:p>
        </w:tc>
        <w:tc>
          <w:tcPr>
            <w:tcW w:w="1739" w:type="pct"/>
            <w:shd w:val="clear" w:color="auto" w:fill="auto"/>
          </w:tcPr>
          <w:p w:rsidR="004D48BD" w:rsidRPr="00F00002" w:rsidRDefault="004D48BD" w:rsidP="00BB39F6">
            <w:pPr>
              <w:pStyle w:val="Tabletext"/>
            </w:pPr>
            <w:r w:rsidRPr="00F00002">
              <w:t>13.2%</w:t>
            </w:r>
          </w:p>
        </w:tc>
        <w:tc>
          <w:tcPr>
            <w:tcW w:w="1522" w:type="pct"/>
            <w:shd w:val="clear" w:color="auto" w:fill="auto"/>
          </w:tcPr>
          <w:p w:rsidR="004D48BD" w:rsidRPr="00F00002" w:rsidRDefault="004D48BD" w:rsidP="00BB39F6">
            <w:pPr>
              <w:pStyle w:val="Tabletext"/>
            </w:pPr>
            <w:r w:rsidRPr="00F00002">
              <w:t>0.6%</w:t>
            </w:r>
          </w:p>
        </w:tc>
      </w:tr>
      <w:tr w:rsidR="004D48BD" w:rsidRPr="00F00002" w:rsidTr="000505B9">
        <w:tc>
          <w:tcPr>
            <w:tcW w:w="1739" w:type="pct"/>
            <w:shd w:val="clear" w:color="auto" w:fill="auto"/>
          </w:tcPr>
          <w:p w:rsidR="004D48BD" w:rsidRPr="00F00002" w:rsidRDefault="004D48BD" w:rsidP="00BB39F6">
            <w:pPr>
              <w:pStyle w:val="Tabletext"/>
            </w:pPr>
            <w:r w:rsidRPr="00F00002">
              <w:t>84 to 96</w:t>
            </w:r>
          </w:p>
        </w:tc>
        <w:tc>
          <w:tcPr>
            <w:tcW w:w="1739" w:type="pct"/>
            <w:shd w:val="clear" w:color="auto" w:fill="auto"/>
          </w:tcPr>
          <w:p w:rsidR="004D48BD" w:rsidRPr="00F00002" w:rsidRDefault="004D48BD" w:rsidP="00BB39F6">
            <w:pPr>
              <w:pStyle w:val="Tabletext"/>
            </w:pPr>
            <w:r w:rsidRPr="00F00002">
              <w:t>13.0%</w:t>
            </w:r>
          </w:p>
        </w:tc>
        <w:tc>
          <w:tcPr>
            <w:tcW w:w="1522" w:type="pct"/>
            <w:shd w:val="clear" w:color="auto" w:fill="auto"/>
          </w:tcPr>
          <w:p w:rsidR="004D48BD" w:rsidRPr="00F00002" w:rsidRDefault="004D48BD" w:rsidP="00BB39F6">
            <w:pPr>
              <w:pStyle w:val="Tabletext"/>
            </w:pPr>
            <w:r w:rsidRPr="00F00002">
              <w:t>0.6%</w:t>
            </w:r>
          </w:p>
        </w:tc>
      </w:tr>
      <w:tr w:rsidR="004D48BD" w:rsidRPr="00F00002" w:rsidTr="000505B9">
        <w:tc>
          <w:tcPr>
            <w:tcW w:w="1739" w:type="pct"/>
            <w:shd w:val="clear" w:color="auto" w:fill="auto"/>
          </w:tcPr>
          <w:p w:rsidR="004D48BD" w:rsidRPr="00F00002" w:rsidRDefault="004D48BD" w:rsidP="00BB39F6">
            <w:pPr>
              <w:pStyle w:val="Tabletext"/>
            </w:pPr>
            <w:r w:rsidRPr="00F00002">
              <w:t>72 to 84</w:t>
            </w:r>
          </w:p>
        </w:tc>
        <w:tc>
          <w:tcPr>
            <w:tcW w:w="1739" w:type="pct"/>
            <w:shd w:val="clear" w:color="auto" w:fill="auto"/>
          </w:tcPr>
          <w:p w:rsidR="004D48BD" w:rsidRPr="00F00002" w:rsidRDefault="004D48BD" w:rsidP="00BB39F6">
            <w:pPr>
              <w:pStyle w:val="Tabletext"/>
            </w:pPr>
            <w:r w:rsidRPr="00F00002">
              <w:t>12.8%</w:t>
            </w:r>
          </w:p>
        </w:tc>
        <w:tc>
          <w:tcPr>
            <w:tcW w:w="1522" w:type="pct"/>
            <w:shd w:val="clear" w:color="auto" w:fill="auto"/>
          </w:tcPr>
          <w:p w:rsidR="004D48BD" w:rsidRPr="00F00002" w:rsidRDefault="004D48BD" w:rsidP="00BB39F6">
            <w:pPr>
              <w:pStyle w:val="Tabletext"/>
            </w:pPr>
            <w:r w:rsidRPr="00F00002">
              <w:t>0.7%</w:t>
            </w:r>
          </w:p>
        </w:tc>
      </w:tr>
      <w:tr w:rsidR="004D48BD" w:rsidRPr="00F00002" w:rsidTr="000505B9">
        <w:tc>
          <w:tcPr>
            <w:tcW w:w="1739" w:type="pct"/>
            <w:shd w:val="clear" w:color="auto" w:fill="auto"/>
          </w:tcPr>
          <w:p w:rsidR="004D48BD" w:rsidRPr="00F00002" w:rsidRDefault="004D48BD" w:rsidP="00BB39F6">
            <w:pPr>
              <w:pStyle w:val="Tabletext"/>
            </w:pPr>
            <w:r w:rsidRPr="00F00002">
              <w:t>60 to 72</w:t>
            </w:r>
          </w:p>
        </w:tc>
        <w:tc>
          <w:tcPr>
            <w:tcW w:w="1739" w:type="pct"/>
            <w:shd w:val="clear" w:color="auto" w:fill="auto"/>
          </w:tcPr>
          <w:p w:rsidR="004D48BD" w:rsidRPr="00F00002" w:rsidRDefault="004D48BD" w:rsidP="00BB39F6">
            <w:pPr>
              <w:pStyle w:val="Tabletext"/>
            </w:pPr>
            <w:r w:rsidRPr="00F00002">
              <w:t>12.5%</w:t>
            </w:r>
          </w:p>
        </w:tc>
        <w:tc>
          <w:tcPr>
            <w:tcW w:w="1522" w:type="pct"/>
            <w:shd w:val="clear" w:color="auto" w:fill="auto"/>
          </w:tcPr>
          <w:p w:rsidR="004D48BD" w:rsidRPr="00F00002" w:rsidRDefault="004D48BD" w:rsidP="00BB39F6">
            <w:pPr>
              <w:pStyle w:val="Tabletext"/>
            </w:pPr>
            <w:r w:rsidRPr="00F00002">
              <w:t>0.7%</w:t>
            </w:r>
          </w:p>
        </w:tc>
      </w:tr>
      <w:tr w:rsidR="004D48BD" w:rsidRPr="00F00002" w:rsidTr="000505B9">
        <w:tc>
          <w:tcPr>
            <w:tcW w:w="1739" w:type="pct"/>
            <w:shd w:val="clear" w:color="auto" w:fill="auto"/>
          </w:tcPr>
          <w:p w:rsidR="004D48BD" w:rsidRPr="00F00002" w:rsidRDefault="004D48BD" w:rsidP="00BB39F6">
            <w:pPr>
              <w:pStyle w:val="Tabletext"/>
            </w:pPr>
            <w:r w:rsidRPr="00F00002">
              <w:t>48 to 60</w:t>
            </w:r>
          </w:p>
        </w:tc>
        <w:tc>
          <w:tcPr>
            <w:tcW w:w="1739" w:type="pct"/>
            <w:shd w:val="clear" w:color="auto" w:fill="auto"/>
          </w:tcPr>
          <w:p w:rsidR="004D48BD" w:rsidRPr="00F00002" w:rsidRDefault="004D48BD" w:rsidP="00BB39F6">
            <w:pPr>
              <w:pStyle w:val="Tabletext"/>
            </w:pPr>
            <w:r w:rsidRPr="00F00002">
              <w:t>12.1%</w:t>
            </w:r>
          </w:p>
        </w:tc>
        <w:tc>
          <w:tcPr>
            <w:tcW w:w="1522" w:type="pct"/>
            <w:shd w:val="clear" w:color="auto" w:fill="auto"/>
          </w:tcPr>
          <w:p w:rsidR="004D48BD" w:rsidRPr="00F00002" w:rsidRDefault="004D48BD" w:rsidP="00BB39F6">
            <w:pPr>
              <w:pStyle w:val="Tabletext"/>
            </w:pPr>
            <w:r w:rsidRPr="00F00002">
              <w:t>0.7%</w:t>
            </w:r>
          </w:p>
        </w:tc>
      </w:tr>
      <w:tr w:rsidR="004D48BD" w:rsidRPr="00F00002" w:rsidTr="000505B9">
        <w:tc>
          <w:tcPr>
            <w:tcW w:w="1739" w:type="pct"/>
            <w:shd w:val="clear" w:color="auto" w:fill="auto"/>
          </w:tcPr>
          <w:p w:rsidR="004D48BD" w:rsidRPr="00F00002" w:rsidRDefault="004D48BD" w:rsidP="00BB39F6">
            <w:pPr>
              <w:pStyle w:val="Tabletext"/>
            </w:pPr>
            <w:r w:rsidRPr="00F00002">
              <w:t>36 to 48</w:t>
            </w:r>
          </w:p>
        </w:tc>
        <w:tc>
          <w:tcPr>
            <w:tcW w:w="1739" w:type="pct"/>
            <w:shd w:val="clear" w:color="auto" w:fill="auto"/>
          </w:tcPr>
          <w:p w:rsidR="004D48BD" w:rsidRPr="00F00002" w:rsidRDefault="004D48BD" w:rsidP="00BB39F6">
            <w:pPr>
              <w:pStyle w:val="Tabletext"/>
            </w:pPr>
            <w:r w:rsidRPr="00F00002">
              <w:t>11.4%</w:t>
            </w:r>
          </w:p>
        </w:tc>
        <w:tc>
          <w:tcPr>
            <w:tcW w:w="1522" w:type="pct"/>
            <w:shd w:val="clear" w:color="auto" w:fill="auto"/>
          </w:tcPr>
          <w:p w:rsidR="004D48BD" w:rsidRPr="00F00002" w:rsidRDefault="004D48BD" w:rsidP="00BB39F6">
            <w:pPr>
              <w:pStyle w:val="Tabletext"/>
            </w:pPr>
            <w:r w:rsidRPr="00F00002">
              <w:t>0.8%</w:t>
            </w:r>
          </w:p>
        </w:tc>
      </w:tr>
      <w:tr w:rsidR="004D48BD" w:rsidRPr="00F00002" w:rsidTr="000505B9">
        <w:tc>
          <w:tcPr>
            <w:tcW w:w="1739" w:type="pct"/>
            <w:shd w:val="clear" w:color="auto" w:fill="auto"/>
          </w:tcPr>
          <w:p w:rsidR="004D48BD" w:rsidRPr="00F00002" w:rsidRDefault="004D48BD" w:rsidP="00BB39F6">
            <w:pPr>
              <w:pStyle w:val="Tabletext"/>
            </w:pPr>
            <w:r w:rsidRPr="00F00002">
              <w:t>24 to 36</w:t>
            </w:r>
          </w:p>
        </w:tc>
        <w:tc>
          <w:tcPr>
            <w:tcW w:w="1739" w:type="pct"/>
            <w:shd w:val="clear" w:color="auto" w:fill="auto"/>
          </w:tcPr>
          <w:p w:rsidR="004D48BD" w:rsidRPr="00F00002" w:rsidRDefault="004D48BD" w:rsidP="00BB39F6">
            <w:pPr>
              <w:pStyle w:val="Tabletext"/>
            </w:pPr>
            <w:r w:rsidRPr="00F00002">
              <w:t>10.5%</w:t>
            </w:r>
          </w:p>
        </w:tc>
        <w:tc>
          <w:tcPr>
            <w:tcW w:w="1522" w:type="pct"/>
            <w:shd w:val="clear" w:color="auto" w:fill="auto"/>
          </w:tcPr>
          <w:p w:rsidR="004D48BD" w:rsidRPr="00F00002" w:rsidRDefault="004D48BD" w:rsidP="00BB39F6">
            <w:pPr>
              <w:pStyle w:val="Tabletext"/>
            </w:pPr>
            <w:r w:rsidRPr="00F00002">
              <w:t>0.8%</w:t>
            </w:r>
          </w:p>
        </w:tc>
      </w:tr>
      <w:tr w:rsidR="004D48BD" w:rsidRPr="00F00002" w:rsidTr="000505B9">
        <w:tc>
          <w:tcPr>
            <w:tcW w:w="1739" w:type="pct"/>
            <w:shd w:val="clear" w:color="auto" w:fill="auto"/>
          </w:tcPr>
          <w:p w:rsidR="004D48BD" w:rsidRPr="00F00002" w:rsidRDefault="004D48BD" w:rsidP="00BB39F6">
            <w:pPr>
              <w:pStyle w:val="Tabletext"/>
            </w:pPr>
            <w:r w:rsidRPr="00F00002">
              <w:t>18 to 24</w:t>
            </w:r>
          </w:p>
        </w:tc>
        <w:tc>
          <w:tcPr>
            <w:tcW w:w="1739" w:type="pct"/>
            <w:shd w:val="clear" w:color="auto" w:fill="auto"/>
          </w:tcPr>
          <w:p w:rsidR="004D48BD" w:rsidRPr="00F00002" w:rsidRDefault="004D48BD" w:rsidP="00BB39F6">
            <w:pPr>
              <w:pStyle w:val="Tabletext"/>
            </w:pPr>
            <w:r w:rsidRPr="00F00002">
              <w:t>9.9%</w:t>
            </w:r>
          </w:p>
        </w:tc>
        <w:tc>
          <w:tcPr>
            <w:tcW w:w="1522" w:type="pct"/>
            <w:shd w:val="clear" w:color="auto" w:fill="auto"/>
          </w:tcPr>
          <w:p w:rsidR="004D48BD" w:rsidRPr="00F00002" w:rsidRDefault="004D48BD" w:rsidP="00BB39F6">
            <w:pPr>
              <w:pStyle w:val="Tabletext"/>
            </w:pPr>
            <w:r w:rsidRPr="00F00002">
              <w:t>0.8%</w:t>
            </w:r>
          </w:p>
        </w:tc>
      </w:tr>
      <w:tr w:rsidR="004D48BD" w:rsidRPr="00F00002" w:rsidTr="000505B9">
        <w:tc>
          <w:tcPr>
            <w:tcW w:w="1739" w:type="pct"/>
            <w:shd w:val="clear" w:color="auto" w:fill="auto"/>
          </w:tcPr>
          <w:p w:rsidR="004D48BD" w:rsidRPr="00F00002" w:rsidRDefault="004D48BD" w:rsidP="00BB39F6">
            <w:pPr>
              <w:pStyle w:val="Tabletext"/>
            </w:pPr>
            <w:r w:rsidRPr="00F00002">
              <w:t>12 to 18</w:t>
            </w:r>
          </w:p>
        </w:tc>
        <w:tc>
          <w:tcPr>
            <w:tcW w:w="1739" w:type="pct"/>
            <w:shd w:val="clear" w:color="auto" w:fill="auto"/>
          </w:tcPr>
          <w:p w:rsidR="004D48BD" w:rsidRPr="00F00002" w:rsidRDefault="004D48BD" w:rsidP="00BB39F6">
            <w:pPr>
              <w:pStyle w:val="Tabletext"/>
            </w:pPr>
            <w:r w:rsidRPr="00F00002">
              <w:t>9.2%</w:t>
            </w:r>
          </w:p>
        </w:tc>
        <w:tc>
          <w:tcPr>
            <w:tcW w:w="1522" w:type="pct"/>
            <w:shd w:val="clear" w:color="auto" w:fill="auto"/>
          </w:tcPr>
          <w:p w:rsidR="004D48BD" w:rsidRPr="00F00002" w:rsidRDefault="004D48BD" w:rsidP="00BB39F6">
            <w:pPr>
              <w:pStyle w:val="Tabletext"/>
            </w:pPr>
            <w:r w:rsidRPr="00F00002">
              <w:t>0.9%</w:t>
            </w:r>
          </w:p>
        </w:tc>
      </w:tr>
      <w:tr w:rsidR="004D48BD" w:rsidRPr="00F00002" w:rsidTr="000505B9">
        <w:tc>
          <w:tcPr>
            <w:tcW w:w="1739" w:type="pct"/>
            <w:shd w:val="clear" w:color="auto" w:fill="auto"/>
          </w:tcPr>
          <w:p w:rsidR="004D48BD" w:rsidRPr="00F00002" w:rsidRDefault="004D48BD" w:rsidP="00BB39F6">
            <w:pPr>
              <w:pStyle w:val="Tabletext"/>
            </w:pPr>
            <w:r w:rsidRPr="00F00002">
              <w:t>9 to 12</w:t>
            </w:r>
          </w:p>
        </w:tc>
        <w:tc>
          <w:tcPr>
            <w:tcW w:w="1739" w:type="pct"/>
            <w:shd w:val="clear" w:color="auto" w:fill="auto"/>
          </w:tcPr>
          <w:p w:rsidR="004D48BD" w:rsidRPr="00F00002" w:rsidRDefault="004D48BD" w:rsidP="00BB39F6">
            <w:pPr>
              <w:pStyle w:val="Tabletext"/>
            </w:pPr>
            <w:r w:rsidRPr="00F00002">
              <w:t>8.8%</w:t>
            </w:r>
          </w:p>
        </w:tc>
        <w:tc>
          <w:tcPr>
            <w:tcW w:w="1522" w:type="pct"/>
            <w:shd w:val="clear" w:color="auto" w:fill="auto"/>
          </w:tcPr>
          <w:p w:rsidR="004D48BD" w:rsidRPr="00F00002" w:rsidRDefault="004D48BD" w:rsidP="00BB39F6">
            <w:pPr>
              <w:pStyle w:val="Tabletext"/>
            </w:pPr>
            <w:r w:rsidRPr="00F00002">
              <w:t>0.9%</w:t>
            </w:r>
          </w:p>
        </w:tc>
      </w:tr>
      <w:tr w:rsidR="004D48BD" w:rsidRPr="00F00002" w:rsidTr="000505B9">
        <w:tc>
          <w:tcPr>
            <w:tcW w:w="1739" w:type="pct"/>
            <w:shd w:val="clear" w:color="auto" w:fill="auto"/>
          </w:tcPr>
          <w:p w:rsidR="004D48BD" w:rsidRPr="00F00002" w:rsidRDefault="004D48BD" w:rsidP="00BB39F6">
            <w:pPr>
              <w:pStyle w:val="Tabletext"/>
            </w:pPr>
            <w:r w:rsidRPr="00F00002">
              <w:t>6 to 9</w:t>
            </w:r>
          </w:p>
        </w:tc>
        <w:tc>
          <w:tcPr>
            <w:tcW w:w="1739" w:type="pct"/>
            <w:shd w:val="clear" w:color="auto" w:fill="auto"/>
          </w:tcPr>
          <w:p w:rsidR="004D48BD" w:rsidRPr="00F00002" w:rsidRDefault="004D48BD" w:rsidP="00BB39F6">
            <w:pPr>
              <w:pStyle w:val="Tabletext"/>
            </w:pPr>
            <w:r w:rsidRPr="00F00002">
              <w:t>8.3%</w:t>
            </w:r>
          </w:p>
        </w:tc>
        <w:tc>
          <w:tcPr>
            <w:tcW w:w="1522" w:type="pct"/>
            <w:shd w:val="clear" w:color="auto" w:fill="auto"/>
          </w:tcPr>
          <w:p w:rsidR="004D48BD" w:rsidRPr="00F00002" w:rsidRDefault="004D48BD" w:rsidP="00BB39F6">
            <w:pPr>
              <w:pStyle w:val="Tabletext"/>
            </w:pPr>
            <w:r w:rsidRPr="00F00002">
              <w:t>0.9%</w:t>
            </w:r>
          </w:p>
        </w:tc>
      </w:tr>
      <w:tr w:rsidR="004D48BD" w:rsidRPr="00F00002" w:rsidTr="000505B9">
        <w:tc>
          <w:tcPr>
            <w:tcW w:w="1739" w:type="pct"/>
            <w:tcBorders>
              <w:bottom w:val="single" w:sz="4" w:space="0" w:color="auto"/>
            </w:tcBorders>
            <w:shd w:val="clear" w:color="auto" w:fill="auto"/>
          </w:tcPr>
          <w:p w:rsidR="004D48BD" w:rsidRPr="00F00002" w:rsidRDefault="004D48BD" w:rsidP="00BB39F6">
            <w:pPr>
              <w:pStyle w:val="Tabletext"/>
            </w:pPr>
            <w:r w:rsidRPr="00F00002">
              <w:t>3 to 6</w:t>
            </w:r>
          </w:p>
        </w:tc>
        <w:tc>
          <w:tcPr>
            <w:tcW w:w="1739" w:type="pct"/>
            <w:tcBorders>
              <w:bottom w:val="single" w:sz="4" w:space="0" w:color="auto"/>
            </w:tcBorders>
            <w:shd w:val="clear" w:color="auto" w:fill="auto"/>
          </w:tcPr>
          <w:p w:rsidR="004D48BD" w:rsidRPr="00F00002" w:rsidRDefault="004D48BD" w:rsidP="00BB39F6">
            <w:pPr>
              <w:pStyle w:val="Tabletext"/>
            </w:pPr>
            <w:r w:rsidRPr="00F00002">
              <w:t>7.8%</w:t>
            </w:r>
          </w:p>
        </w:tc>
        <w:tc>
          <w:tcPr>
            <w:tcW w:w="1522" w:type="pct"/>
            <w:tcBorders>
              <w:bottom w:val="single" w:sz="4" w:space="0" w:color="auto"/>
            </w:tcBorders>
            <w:shd w:val="clear" w:color="auto" w:fill="auto"/>
          </w:tcPr>
          <w:p w:rsidR="004D48BD" w:rsidRPr="00F00002" w:rsidRDefault="004D48BD" w:rsidP="00BB39F6">
            <w:pPr>
              <w:pStyle w:val="Tabletext"/>
            </w:pPr>
            <w:r w:rsidRPr="00F00002">
              <w:t>0.9%</w:t>
            </w:r>
          </w:p>
        </w:tc>
      </w:tr>
      <w:tr w:rsidR="004D48BD" w:rsidRPr="00F00002" w:rsidTr="000505B9">
        <w:tc>
          <w:tcPr>
            <w:tcW w:w="1739" w:type="pct"/>
            <w:tcBorders>
              <w:bottom w:val="single" w:sz="12" w:space="0" w:color="auto"/>
            </w:tcBorders>
            <w:shd w:val="clear" w:color="auto" w:fill="auto"/>
          </w:tcPr>
          <w:p w:rsidR="004D48BD" w:rsidRPr="00F00002" w:rsidRDefault="004D48BD" w:rsidP="00BB39F6">
            <w:pPr>
              <w:pStyle w:val="Tabletext"/>
            </w:pPr>
            <w:r w:rsidRPr="00F00002">
              <w:t>0 to 3</w:t>
            </w:r>
          </w:p>
        </w:tc>
        <w:tc>
          <w:tcPr>
            <w:tcW w:w="1739" w:type="pct"/>
            <w:tcBorders>
              <w:bottom w:val="single" w:sz="12" w:space="0" w:color="auto"/>
            </w:tcBorders>
            <w:shd w:val="clear" w:color="auto" w:fill="auto"/>
          </w:tcPr>
          <w:p w:rsidR="004D48BD" w:rsidRPr="00F00002" w:rsidRDefault="004D48BD" w:rsidP="00BB39F6">
            <w:pPr>
              <w:pStyle w:val="Tabletext"/>
            </w:pPr>
            <w:r w:rsidRPr="00F00002">
              <w:t>7.5%</w:t>
            </w:r>
          </w:p>
        </w:tc>
        <w:tc>
          <w:tcPr>
            <w:tcW w:w="1522" w:type="pct"/>
            <w:tcBorders>
              <w:bottom w:val="single" w:sz="12" w:space="0" w:color="auto"/>
            </w:tcBorders>
            <w:shd w:val="clear" w:color="auto" w:fill="auto"/>
          </w:tcPr>
          <w:p w:rsidR="004D48BD" w:rsidRPr="00F00002" w:rsidRDefault="004D48BD" w:rsidP="00BB39F6">
            <w:pPr>
              <w:pStyle w:val="Tabletext"/>
            </w:pPr>
            <w:r w:rsidRPr="00F00002">
              <w:t>1.0%</w:t>
            </w:r>
          </w:p>
        </w:tc>
      </w:tr>
    </w:tbl>
    <w:p w:rsidR="00241AFB" w:rsidRPr="00F00002" w:rsidRDefault="00241AFB" w:rsidP="00D150ED">
      <w:pPr>
        <w:pStyle w:val="subsection"/>
      </w:pPr>
      <w:r w:rsidRPr="00F00002">
        <w:tab/>
        <w:t>(2)</w:t>
      </w:r>
      <w:r w:rsidRPr="00F00002">
        <w:tab/>
        <w:t xml:space="preserve">From column 1 of Table 2, select the percentage that corresponds to the period, in months, from the particular day until the last day on which the right may be exercised (the </w:t>
      </w:r>
      <w:r w:rsidRPr="00F00002">
        <w:rPr>
          <w:b/>
          <w:i/>
        </w:rPr>
        <w:t>exercise period</w:t>
      </w:r>
      <w:r w:rsidRPr="00F00002">
        <w:t xml:space="preserve">). This percentage is called the </w:t>
      </w:r>
      <w:r w:rsidRPr="00F00002">
        <w:rPr>
          <w:b/>
          <w:i/>
        </w:rPr>
        <w:t>base percentage</w:t>
      </w:r>
      <w:r w:rsidRPr="00F00002">
        <w:t>.</w:t>
      </w:r>
    </w:p>
    <w:p w:rsidR="00BB39F6" w:rsidRPr="00F00002" w:rsidRDefault="00BB39F6" w:rsidP="00BB39F6">
      <w:pPr>
        <w:pStyle w:val="notetext"/>
      </w:pPr>
      <w:r w:rsidRPr="00F00002">
        <w:t>Note:</w:t>
      </w:r>
      <w:r w:rsidRPr="00F00002">
        <w:tab/>
        <w:t>The following assumptions were used to work out the base percentages:</w:t>
      </w:r>
    </w:p>
    <w:p w:rsidR="00BB39F6" w:rsidRPr="00F00002" w:rsidRDefault="00BB39F6" w:rsidP="00BB39F6">
      <w:pPr>
        <w:pStyle w:val="notepara"/>
      </w:pPr>
      <w:r w:rsidRPr="00F00002">
        <w:t>(a)</w:t>
      </w:r>
      <w:r w:rsidRPr="00F00002">
        <w:tab/>
        <w:t>a risk</w:t>
      </w:r>
      <w:r w:rsidR="00F00002">
        <w:noBreakHyphen/>
      </w:r>
      <w:r w:rsidRPr="00F00002">
        <w:t>free interest rate of 4%;</w:t>
      </w:r>
    </w:p>
    <w:p w:rsidR="00BB39F6" w:rsidRPr="00F00002" w:rsidRDefault="00BB39F6" w:rsidP="00BB39F6">
      <w:pPr>
        <w:pStyle w:val="notepara"/>
      </w:pPr>
      <w:r w:rsidRPr="00F00002">
        <w:t>(b)</w:t>
      </w:r>
      <w:r w:rsidRPr="00F00002">
        <w:tab/>
        <w:t>a dividend yield of 4%;</w:t>
      </w:r>
    </w:p>
    <w:p w:rsidR="00BB39F6" w:rsidRPr="00F00002" w:rsidRDefault="00BB39F6" w:rsidP="00BB39F6">
      <w:pPr>
        <w:pStyle w:val="notepara"/>
      </w:pPr>
      <w:r w:rsidRPr="00F00002">
        <w:t>(c)</w:t>
      </w:r>
      <w:r w:rsidRPr="00F00002">
        <w:tab/>
        <w:t>volatility of 12%.</w:t>
      </w:r>
    </w:p>
    <w:p w:rsidR="00241AFB" w:rsidRPr="00F00002" w:rsidRDefault="00241AFB" w:rsidP="00D150ED">
      <w:pPr>
        <w:pStyle w:val="subsection"/>
        <w:rPr>
          <w:i/>
        </w:rPr>
      </w:pPr>
      <w:r w:rsidRPr="00F00002">
        <w:tab/>
        <w:t>(3)</w:t>
      </w:r>
      <w:r w:rsidRPr="00F00002">
        <w:tab/>
        <w:t xml:space="preserve">From column 2 of Table 2, select the percentage that corresponds to the exercise period. This percentage is called </w:t>
      </w:r>
      <w:r w:rsidRPr="00F00002">
        <w:rPr>
          <w:i/>
        </w:rPr>
        <w:t xml:space="preserve">the </w:t>
      </w:r>
      <w:r w:rsidRPr="00F00002">
        <w:rPr>
          <w:b/>
          <w:i/>
        </w:rPr>
        <w:t>additional percentage</w:t>
      </w:r>
      <w:r w:rsidRPr="00F00002">
        <w:rPr>
          <w:i/>
        </w:rPr>
        <w:t>.</w:t>
      </w:r>
    </w:p>
    <w:p w:rsidR="00241AFB" w:rsidRPr="00F00002" w:rsidRDefault="00241AFB" w:rsidP="00D150ED">
      <w:pPr>
        <w:pStyle w:val="subsection"/>
      </w:pPr>
      <w:r w:rsidRPr="00F00002">
        <w:tab/>
        <w:t>(4)</w:t>
      </w:r>
      <w:r w:rsidRPr="00F00002">
        <w:tab/>
        <w:t>Work out the result of the following formula. Disregard any fraction. The result is called the</w:t>
      </w:r>
      <w:r w:rsidRPr="00F00002">
        <w:rPr>
          <w:b/>
        </w:rPr>
        <w:t xml:space="preserve"> </w:t>
      </w:r>
      <w:r w:rsidRPr="00F00002">
        <w:rPr>
          <w:b/>
          <w:i/>
        </w:rPr>
        <w:t>excess</w:t>
      </w:r>
      <w:r w:rsidRPr="00F00002">
        <w:t>.</w:t>
      </w:r>
    </w:p>
    <w:p w:rsidR="00241AFB" w:rsidRPr="00F00002" w:rsidRDefault="008B79DF" w:rsidP="00D150ED">
      <w:pPr>
        <w:pStyle w:val="Formula"/>
        <w:keepNext/>
        <w:spacing w:before="120" w:after="120"/>
      </w:pPr>
      <w:r w:rsidRPr="00F00002">
        <w:rPr>
          <w:noProof/>
        </w:rPr>
        <w:drawing>
          <wp:inline distT="0" distB="0" distL="0" distR="0" wp14:anchorId="4F61FD18" wp14:editId="7D375316">
            <wp:extent cx="189547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5475" cy="342900"/>
                    </a:xfrm>
                    <a:prstGeom prst="rect">
                      <a:avLst/>
                    </a:prstGeom>
                    <a:noFill/>
                    <a:ln>
                      <a:noFill/>
                    </a:ln>
                  </pic:spPr>
                </pic:pic>
              </a:graphicData>
            </a:graphic>
          </wp:inline>
        </w:drawing>
      </w:r>
    </w:p>
    <w:p w:rsidR="00241AFB" w:rsidRPr="00F00002" w:rsidRDefault="00241AFB" w:rsidP="00D150ED">
      <w:pPr>
        <w:pStyle w:val="subsection"/>
      </w:pPr>
      <w:r w:rsidRPr="00F00002">
        <w:tab/>
        <w:t>(5)</w:t>
      </w:r>
      <w:r w:rsidRPr="00F00002">
        <w:tab/>
        <w:t>The value of the right is the amount worked out using the following formula:</w:t>
      </w:r>
    </w:p>
    <w:p w:rsidR="00241AFB" w:rsidRPr="00F00002" w:rsidRDefault="008B79DF" w:rsidP="00D150ED">
      <w:pPr>
        <w:pStyle w:val="Formula"/>
        <w:spacing w:before="120" w:after="120"/>
        <w:ind w:left="990"/>
      </w:pPr>
      <w:r w:rsidRPr="00F00002">
        <w:rPr>
          <w:noProof/>
        </w:rPr>
        <w:drawing>
          <wp:inline distT="0" distB="0" distL="0" distR="0" wp14:anchorId="4E7B7D3C" wp14:editId="72804594">
            <wp:extent cx="38100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0" cy="495300"/>
                    </a:xfrm>
                    <a:prstGeom prst="rect">
                      <a:avLst/>
                    </a:prstGeom>
                    <a:noFill/>
                    <a:ln>
                      <a:noFill/>
                    </a:ln>
                  </pic:spPr>
                </pic:pic>
              </a:graphicData>
            </a:graphic>
          </wp:inline>
        </w:drawing>
      </w:r>
    </w:p>
    <w:p w:rsidR="00BB39F6" w:rsidRPr="00F00002" w:rsidRDefault="00BB39F6" w:rsidP="00BB39F6">
      <w:pPr>
        <w:pStyle w:val="subsection"/>
      </w:pPr>
      <w:r w:rsidRPr="00F00002">
        <w:lastRenderedPageBreak/>
        <w:tab/>
        <w:t>(6)</w:t>
      </w:r>
      <w:r w:rsidRPr="00F00002">
        <w:tab/>
        <w:t>If the exercise period is the top of one range in Table 2 and is also the bottom of another range in the table, it is taken to be in the lower range and not in the higher range.</w:t>
      </w:r>
    </w:p>
    <w:p w:rsidR="00EC55B1" w:rsidRPr="00F00002" w:rsidRDefault="00D150ED" w:rsidP="00D150ED">
      <w:pPr>
        <w:pStyle w:val="ActHead2"/>
        <w:pageBreakBefore/>
      </w:pPr>
      <w:bookmarkStart w:id="52" w:name="_Toc31109636"/>
      <w:r w:rsidRPr="00A26088">
        <w:rPr>
          <w:rStyle w:val="CharPartNo"/>
        </w:rPr>
        <w:lastRenderedPageBreak/>
        <w:t>Part</w:t>
      </w:r>
      <w:r w:rsidR="00F00002" w:rsidRPr="00A26088">
        <w:rPr>
          <w:rStyle w:val="CharPartNo"/>
        </w:rPr>
        <w:t> </w:t>
      </w:r>
      <w:r w:rsidR="00EC55B1" w:rsidRPr="00A26088">
        <w:rPr>
          <w:rStyle w:val="CharPartNo"/>
        </w:rPr>
        <w:t>2A</w:t>
      </w:r>
      <w:r w:rsidRPr="00F00002">
        <w:t>—</w:t>
      </w:r>
      <w:r w:rsidR="00EC55B1" w:rsidRPr="00A26088">
        <w:rPr>
          <w:rStyle w:val="CharPartText"/>
        </w:rPr>
        <w:t>Specialist liability rules</w:t>
      </w:r>
      <w:bookmarkEnd w:id="52"/>
    </w:p>
    <w:p w:rsidR="00EC55B1" w:rsidRPr="00F00002" w:rsidRDefault="00D150ED" w:rsidP="00D150ED">
      <w:pPr>
        <w:pStyle w:val="ActHead3"/>
      </w:pPr>
      <w:bookmarkStart w:id="53" w:name="_Toc31109637"/>
      <w:r w:rsidRPr="00A26088">
        <w:rPr>
          <w:rStyle w:val="CharDivNo"/>
        </w:rPr>
        <w:t>Division</w:t>
      </w:r>
      <w:r w:rsidR="00F00002" w:rsidRPr="00A26088">
        <w:rPr>
          <w:rStyle w:val="CharDivNo"/>
        </w:rPr>
        <w:t> </w:t>
      </w:r>
      <w:r w:rsidR="00EC55B1" w:rsidRPr="00A26088">
        <w:rPr>
          <w:rStyle w:val="CharDivNo"/>
        </w:rPr>
        <w:t>230</w:t>
      </w:r>
      <w:r w:rsidRPr="00F00002">
        <w:t>—</w:t>
      </w:r>
      <w:r w:rsidR="00EC55B1" w:rsidRPr="00A26088">
        <w:rPr>
          <w:rStyle w:val="CharDivText"/>
        </w:rPr>
        <w:t>Taxation of financial arrangements</w:t>
      </w:r>
      <w:bookmarkEnd w:id="53"/>
    </w:p>
    <w:p w:rsidR="00EC55B1" w:rsidRPr="00F00002" w:rsidRDefault="00EC55B1" w:rsidP="00D150ED">
      <w:pPr>
        <w:pStyle w:val="ActHead5"/>
      </w:pPr>
      <w:bookmarkStart w:id="54" w:name="_Toc31109638"/>
      <w:r w:rsidRPr="00A26088">
        <w:rPr>
          <w:rStyle w:val="CharSectno"/>
        </w:rPr>
        <w:t>230</w:t>
      </w:r>
      <w:r w:rsidR="00F00002" w:rsidRPr="00A26088">
        <w:rPr>
          <w:rStyle w:val="CharSectno"/>
        </w:rPr>
        <w:noBreakHyphen/>
      </w:r>
      <w:r w:rsidRPr="00A26088">
        <w:rPr>
          <w:rStyle w:val="CharSectno"/>
        </w:rPr>
        <w:t>355.01</w:t>
      </w:r>
      <w:r w:rsidR="00D150ED" w:rsidRPr="00F00002">
        <w:t xml:space="preserve">  </w:t>
      </w:r>
      <w:r w:rsidRPr="00F00002">
        <w:t>Recording requirements</w:t>
      </w:r>
      <w:bookmarkEnd w:id="54"/>
    </w:p>
    <w:p w:rsidR="00EC55B1" w:rsidRPr="00F00002" w:rsidRDefault="00EC55B1" w:rsidP="00D150ED">
      <w:pPr>
        <w:pStyle w:val="subsection"/>
      </w:pPr>
      <w:r w:rsidRPr="00F00002">
        <w:tab/>
      </w:r>
      <w:r w:rsidRPr="00F00002">
        <w:tab/>
        <w:t>For paragraph</w:t>
      </w:r>
      <w:r w:rsidR="00F00002">
        <w:t> </w:t>
      </w:r>
      <w:r w:rsidRPr="00F00002">
        <w:t>230</w:t>
      </w:r>
      <w:r w:rsidR="00F00002">
        <w:noBreakHyphen/>
      </w:r>
      <w:r w:rsidRPr="00F00002">
        <w:t>35</w:t>
      </w:r>
      <w:r w:rsidR="00D150ED" w:rsidRPr="00F00002">
        <w:t>5(</w:t>
      </w:r>
      <w:r w:rsidRPr="00F00002">
        <w:t>3</w:t>
      </w:r>
      <w:r w:rsidR="00D150ED" w:rsidRPr="00F00002">
        <w:t>)(</w:t>
      </w:r>
      <w:r w:rsidRPr="00F00002">
        <w:t>b) of the Act, the record mentioned in paragraph</w:t>
      </w:r>
      <w:r w:rsidR="00F00002">
        <w:t> </w:t>
      </w:r>
      <w:r w:rsidRPr="00F00002">
        <w:t>230</w:t>
      </w:r>
      <w:r w:rsidR="00F00002">
        <w:noBreakHyphen/>
      </w:r>
      <w:r w:rsidRPr="00F00002">
        <w:t>35</w:t>
      </w:r>
      <w:r w:rsidR="00D150ED" w:rsidRPr="00F00002">
        <w:t>5(</w:t>
      </w:r>
      <w:r w:rsidRPr="00F00002">
        <w:t>1</w:t>
      </w:r>
      <w:r w:rsidR="00D150ED" w:rsidRPr="00F00002">
        <w:t>)(</w:t>
      </w:r>
      <w:r w:rsidRPr="00F00002">
        <w:t>c) of the Act must be made or in place by the later of:</w:t>
      </w:r>
    </w:p>
    <w:p w:rsidR="00EC55B1" w:rsidRPr="00F00002" w:rsidRDefault="00EC55B1" w:rsidP="00D150ED">
      <w:pPr>
        <w:pStyle w:val="paragraph"/>
      </w:pPr>
      <w:r w:rsidRPr="00F00002">
        <w:tab/>
        <w:t>(a)</w:t>
      </w:r>
      <w:r w:rsidRPr="00F00002">
        <w:tab/>
        <w:t>the time, or soon after the time, the hedging financial arrangement is created</w:t>
      </w:r>
      <w:r w:rsidRPr="00F00002">
        <w:rPr>
          <w:shd w:val="clear" w:color="auto" w:fill="FFFFFF"/>
        </w:rPr>
        <w:t>, acquired</w:t>
      </w:r>
      <w:r w:rsidRPr="00F00002">
        <w:t xml:space="preserve"> or applied; and</w:t>
      </w:r>
    </w:p>
    <w:p w:rsidR="00EC55B1" w:rsidRPr="00F00002" w:rsidRDefault="00EC55B1" w:rsidP="00D150ED">
      <w:pPr>
        <w:pStyle w:val="paragraph"/>
      </w:pPr>
      <w:r w:rsidRPr="00F00002">
        <w:tab/>
        <w:t>(b)</w:t>
      </w:r>
      <w:r w:rsidRPr="00F00002">
        <w:tab/>
        <w:t>30</w:t>
      </w:r>
      <w:r w:rsidR="00F00002">
        <w:t> </w:t>
      </w:r>
      <w:r w:rsidRPr="00F00002">
        <w:t>June 2011.</w:t>
      </w:r>
    </w:p>
    <w:p w:rsidR="00BB4501" w:rsidRPr="00F00002" w:rsidRDefault="00D150ED" w:rsidP="00D150ED">
      <w:pPr>
        <w:pStyle w:val="ActHead3"/>
        <w:pageBreakBefore/>
        <w:rPr>
          <w:color w:val="000000"/>
        </w:rPr>
      </w:pPr>
      <w:bookmarkStart w:id="55" w:name="_Toc31109639"/>
      <w:r w:rsidRPr="00A26088">
        <w:rPr>
          <w:rStyle w:val="CharDivNo"/>
        </w:rPr>
        <w:lastRenderedPageBreak/>
        <w:t>Division</w:t>
      </w:r>
      <w:r w:rsidR="00F00002" w:rsidRPr="00A26088">
        <w:rPr>
          <w:rStyle w:val="CharDivNo"/>
        </w:rPr>
        <w:t> </w:t>
      </w:r>
      <w:r w:rsidR="00BB4501" w:rsidRPr="00A26088">
        <w:rPr>
          <w:rStyle w:val="CharDivNo"/>
        </w:rPr>
        <w:t>290</w:t>
      </w:r>
      <w:r w:rsidRPr="00F00002">
        <w:rPr>
          <w:color w:val="000000"/>
        </w:rPr>
        <w:t>—</w:t>
      </w:r>
      <w:r w:rsidR="00BB4501" w:rsidRPr="00A26088">
        <w:rPr>
          <w:rStyle w:val="CharDivText"/>
        </w:rPr>
        <w:t>Contributions to superannuation funds</w:t>
      </w:r>
      <w:bookmarkEnd w:id="55"/>
    </w:p>
    <w:p w:rsidR="00BB4501" w:rsidRPr="00F00002" w:rsidRDefault="00D150ED" w:rsidP="00D150ED">
      <w:pPr>
        <w:pStyle w:val="ActHead4"/>
      </w:pPr>
      <w:bookmarkStart w:id="56" w:name="_Toc31109640"/>
      <w:r w:rsidRPr="00A26088">
        <w:rPr>
          <w:rStyle w:val="CharSubdNo"/>
        </w:rPr>
        <w:t>Subdivision</w:t>
      </w:r>
      <w:r w:rsidR="00F00002" w:rsidRPr="00A26088">
        <w:rPr>
          <w:rStyle w:val="CharSubdNo"/>
        </w:rPr>
        <w:t> </w:t>
      </w:r>
      <w:r w:rsidR="00BB4501" w:rsidRPr="00A26088">
        <w:rPr>
          <w:rStyle w:val="CharSubdNo"/>
        </w:rPr>
        <w:t>290</w:t>
      </w:r>
      <w:r w:rsidR="00F00002" w:rsidRPr="00A26088">
        <w:rPr>
          <w:rStyle w:val="CharSubdNo"/>
        </w:rPr>
        <w:noBreakHyphen/>
      </w:r>
      <w:r w:rsidR="00BB4501" w:rsidRPr="00A26088">
        <w:rPr>
          <w:rStyle w:val="CharSubdNo"/>
        </w:rPr>
        <w:t>C</w:t>
      </w:r>
      <w:r w:rsidRPr="00F00002">
        <w:t>—</w:t>
      </w:r>
      <w:r w:rsidR="00BB4501" w:rsidRPr="00A26088">
        <w:rPr>
          <w:rStyle w:val="CharSubdText"/>
        </w:rPr>
        <w:t>Deducting personal contributions</w:t>
      </w:r>
      <w:bookmarkEnd w:id="56"/>
    </w:p>
    <w:p w:rsidR="003A37E0" w:rsidRPr="00F00002" w:rsidRDefault="003A37E0" w:rsidP="003A37E0">
      <w:pPr>
        <w:pStyle w:val="ActHead5"/>
      </w:pPr>
      <w:bookmarkStart w:id="57" w:name="_Toc31109641"/>
      <w:r w:rsidRPr="00A26088">
        <w:rPr>
          <w:rStyle w:val="CharSectno"/>
        </w:rPr>
        <w:t>290</w:t>
      </w:r>
      <w:r w:rsidR="00F00002" w:rsidRPr="00A26088">
        <w:rPr>
          <w:rStyle w:val="CharSectno"/>
        </w:rPr>
        <w:noBreakHyphen/>
      </w:r>
      <w:r w:rsidRPr="00A26088">
        <w:rPr>
          <w:rStyle w:val="CharSectno"/>
        </w:rPr>
        <w:t>155.01</w:t>
      </w:r>
      <w:r w:rsidRPr="00F00002">
        <w:t xml:space="preserve">  Complying superannuation fund condition—prescribed superannuation funds</w:t>
      </w:r>
      <w:bookmarkEnd w:id="57"/>
    </w:p>
    <w:p w:rsidR="003A37E0" w:rsidRPr="00F00002" w:rsidRDefault="003A37E0" w:rsidP="003A37E0">
      <w:pPr>
        <w:pStyle w:val="subsection"/>
      </w:pPr>
      <w:r w:rsidRPr="00F00002">
        <w:tab/>
      </w:r>
      <w:r w:rsidRPr="00F00002">
        <w:tab/>
        <w:t>A superannuation fund is prescribed for the purposes of subparagraph</w:t>
      </w:r>
      <w:r w:rsidR="00F00002">
        <w:t> </w:t>
      </w:r>
      <w:r w:rsidRPr="00F00002">
        <w:t>290</w:t>
      </w:r>
      <w:r w:rsidR="00F00002">
        <w:noBreakHyphen/>
      </w:r>
      <w:r w:rsidRPr="00F00002">
        <w:t>155(1)(a)(iii) of the Act if:</w:t>
      </w:r>
    </w:p>
    <w:p w:rsidR="003A37E0" w:rsidRPr="00F00002" w:rsidRDefault="003A37E0" w:rsidP="003A37E0">
      <w:pPr>
        <w:pStyle w:val="paragraph"/>
      </w:pPr>
      <w:r w:rsidRPr="00F00002">
        <w:tab/>
        <w:t>(a)</w:t>
      </w:r>
      <w:r w:rsidRPr="00F00002">
        <w:tab/>
        <w:t>the fund has one or more members that have a superannuation interest in the fund that is a defined benefit interest; and</w:t>
      </w:r>
    </w:p>
    <w:p w:rsidR="003A37E0" w:rsidRPr="00F00002" w:rsidRDefault="003A37E0" w:rsidP="003A37E0">
      <w:pPr>
        <w:pStyle w:val="paragraph"/>
      </w:pPr>
      <w:r w:rsidRPr="00F00002">
        <w:tab/>
        <w:t>(b)</w:t>
      </w:r>
      <w:r w:rsidRPr="00F00002">
        <w:tab/>
        <w:t>the trustee of the fund elects to have this regulation apply to the fund; and</w:t>
      </w:r>
    </w:p>
    <w:p w:rsidR="003A37E0" w:rsidRPr="00F00002" w:rsidRDefault="003A37E0" w:rsidP="003A37E0">
      <w:pPr>
        <w:pStyle w:val="paragraph"/>
      </w:pPr>
      <w:r w:rsidRPr="00F00002">
        <w:tab/>
        <w:t>(c)</w:t>
      </w:r>
      <w:r w:rsidRPr="00F00002">
        <w:tab/>
        <w:t>the election:</w:t>
      </w:r>
    </w:p>
    <w:p w:rsidR="003A37E0" w:rsidRPr="00F00002" w:rsidRDefault="003A37E0" w:rsidP="003A37E0">
      <w:pPr>
        <w:pStyle w:val="paragraphsub"/>
      </w:pPr>
      <w:r w:rsidRPr="00F00002">
        <w:tab/>
        <w:t>(i)</w:t>
      </w:r>
      <w:r w:rsidRPr="00F00002">
        <w:tab/>
        <w:t>is made before the start of the income year of the fund in which the contribution is made; and</w:t>
      </w:r>
    </w:p>
    <w:p w:rsidR="003A37E0" w:rsidRPr="00F00002" w:rsidRDefault="003A37E0" w:rsidP="003A37E0">
      <w:pPr>
        <w:pStyle w:val="paragraphsub"/>
      </w:pPr>
      <w:r w:rsidRPr="00F00002">
        <w:tab/>
        <w:t>(ii)</w:t>
      </w:r>
      <w:r w:rsidRPr="00F00002">
        <w:tab/>
        <w:t>is not revoked before the start of that year; and</w:t>
      </w:r>
    </w:p>
    <w:p w:rsidR="003A37E0" w:rsidRPr="00F00002" w:rsidRDefault="003A37E0" w:rsidP="003A37E0">
      <w:pPr>
        <w:pStyle w:val="paragraphsub"/>
      </w:pPr>
      <w:r w:rsidRPr="00F00002">
        <w:tab/>
        <w:t>(iii)</w:t>
      </w:r>
      <w:r w:rsidRPr="00F00002">
        <w:tab/>
        <w:t>is made by notifying the Commissioner in the approved form.</w:t>
      </w:r>
    </w:p>
    <w:p w:rsidR="003A37E0" w:rsidRPr="00F00002" w:rsidRDefault="003A37E0" w:rsidP="003A37E0">
      <w:pPr>
        <w:pStyle w:val="ActHead5"/>
      </w:pPr>
      <w:bookmarkStart w:id="58" w:name="_Toc31109642"/>
      <w:r w:rsidRPr="00A26088">
        <w:rPr>
          <w:rStyle w:val="CharSectno"/>
        </w:rPr>
        <w:t>290</w:t>
      </w:r>
      <w:r w:rsidR="00F00002" w:rsidRPr="00A26088">
        <w:rPr>
          <w:rStyle w:val="CharSectno"/>
        </w:rPr>
        <w:noBreakHyphen/>
      </w:r>
      <w:r w:rsidRPr="00A26088">
        <w:rPr>
          <w:rStyle w:val="CharSectno"/>
        </w:rPr>
        <w:t>155.05</w:t>
      </w:r>
      <w:r w:rsidRPr="00F00002">
        <w:t xml:space="preserve">  Complying superannuation fund condition—prescribed contributions and superannuation funds</w:t>
      </w:r>
      <w:bookmarkEnd w:id="58"/>
    </w:p>
    <w:p w:rsidR="003A37E0" w:rsidRPr="00F00002" w:rsidRDefault="003A37E0" w:rsidP="003A37E0">
      <w:pPr>
        <w:pStyle w:val="subsection"/>
      </w:pPr>
      <w:r w:rsidRPr="00F00002">
        <w:tab/>
      </w:r>
      <w:r w:rsidRPr="00F00002">
        <w:tab/>
        <w:t>For the purposes of paragraph</w:t>
      </w:r>
      <w:r w:rsidR="00F00002">
        <w:t> </w:t>
      </w:r>
      <w:r w:rsidRPr="00F00002">
        <w:t>290</w:t>
      </w:r>
      <w:r w:rsidR="00F00002">
        <w:noBreakHyphen/>
      </w:r>
      <w:r w:rsidRPr="00F00002">
        <w:t>155(1)(b) of the Act, a contribution to a superannuation fund is a prescribed kind of contribution to a prescribed kind of fund if:</w:t>
      </w:r>
    </w:p>
    <w:p w:rsidR="003A37E0" w:rsidRPr="00F00002" w:rsidRDefault="003A37E0" w:rsidP="003A37E0">
      <w:pPr>
        <w:pStyle w:val="paragraph"/>
      </w:pPr>
      <w:r w:rsidRPr="00F00002">
        <w:tab/>
        <w:t>(a)</w:t>
      </w:r>
      <w:r w:rsidRPr="00F00002">
        <w:tab/>
        <w:t>the contribution is made to a defined benefit interest in the fund; and</w:t>
      </w:r>
    </w:p>
    <w:p w:rsidR="003A37E0" w:rsidRPr="00F00002" w:rsidRDefault="003A37E0" w:rsidP="003A37E0">
      <w:pPr>
        <w:pStyle w:val="paragraph"/>
      </w:pPr>
      <w:r w:rsidRPr="00F00002">
        <w:tab/>
        <w:t>(b)</w:t>
      </w:r>
      <w:r w:rsidRPr="00F00002">
        <w:tab/>
        <w:t>the trustee of the fund elects to have this regulation apply to the fund; and</w:t>
      </w:r>
    </w:p>
    <w:p w:rsidR="003A37E0" w:rsidRPr="00F00002" w:rsidRDefault="00C71190" w:rsidP="003A37E0">
      <w:pPr>
        <w:pStyle w:val="paragraph"/>
      </w:pPr>
      <w:r w:rsidRPr="00F00002">
        <w:tab/>
        <w:t>(c)</w:t>
      </w:r>
      <w:r w:rsidRPr="00F00002">
        <w:tab/>
      </w:r>
      <w:r w:rsidR="003A37E0" w:rsidRPr="00F00002">
        <w:t>the election:</w:t>
      </w:r>
    </w:p>
    <w:p w:rsidR="003A37E0" w:rsidRPr="00F00002" w:rsidRDefault="003A37E0" w:rsidP="003A37E0">
      <w:pPr>
        <w:pStyle w:val="paragraphsub"/>
      </w:pPr>
      <w:r w:rsidRPr="00F00002">
        <w:tab/>
        <w:t>(i)</w:t>
      </w:r>
      <w:r w:rsidRPr="00F00002">
        <w:tab/>
        <w:t>is made before the start of the income year of the fund in which the contribution is made; and</w:t>
      </w:r>
    </w:p>
    <w:p w:rsidR="003A37E0" w:rsidRPr="00F00002" w:rsidRDefault="003A37E0" w:rsidP="003A37E0">
      <w:pPr>
        <w:pStyle w:val="paragraphsub"/>
      </w:pPr>
      <w:r w:rsidRPr="00F00002">
        <w:tab/>
        <w:t>(ii)</w:t>
      </w:r>
      <w:r w:rsidRPr="00F00002">
        <w:tab/>
        <w:t>is not revoked before the start of that year; and</w:t>
      </w:r>
    </w:p>
    <w:p w:rsidR="003A37E0" w:rsidRPr="00F00002" w:rsidRDefault="003A37E0" w:rsidP="003A37E0">
      <w:pPr>
        <w:pStyle w:val="paragraphsub"/>
      </w:pPr>
      <w:r w:rsidRPr="00F00002">
        <w:tab/>
        <w:t>(iii)</w:t>
      </w:r>
      <w:r w:rsidRPr="00F00002">
        <w:tab/>
        <w:t>is made by notifying the Commissioner in the approved form.</w:t>
      </w:r>
    </w:p>
    <w:p w:rsidR="00BB4501" w:rsidRPr="00F00002" w:rsidRDefault="00BB4501" w:rsidP="00D150ED">
      <w:pPr>
        <w:pStyle w:val="ActHead5"/>
      </w:pPr>
      <w:bookmarkStart w:id="59" w:name="_Toc31109643"/>
      <w:r w:rsidRPr="00A26088">
        <w:rPr>
          <w:rStyle w:val="CharSectno"/>
        </w:rPr>
        <w:t>290</w:t>
      </w:r>
      <w:r w:rsidR="00F00002" w:rsidRPr="00A26088">
        <w:rPr>
          <w:rStyle w:val="CharSectno"/>
        </w:rPr>
        <w:noBreakHyphen/>
      </w:r>
      <w:r w:rsidRPr="00A26088">
        <w:rPr>
          <w:rStyle w:val="CharSectno"/>
        </w:rPr>
        <w:t>170.01</w:t>
      </w:r>
      <w:r w:rsidR="00D150ED" w:rsidRPr="00F00002">
        <w:t xml:space="preserve">  </w:t>
      </w:r>
      <w:r w:rsidRPr="00F00002">
        <w:t>Notice of intent to deduct contributions</w:t>
      </w:r>
      <w:r w:rsidR="00D150ED" w:rsidRPr="00F00002">
        <w:t>—</w:t>
      </w:r>
      <w:r w:rsidRPr="00F00002">
        <w:t>contributions</w:t>
      </w:r>
      <w:r w:rsidR="00F00002">
        <w:noBreakHyphen/>
      </w:r>
      <w:r w:rsidRPr="00F00002">
        <w:t>splitting applications</w:t>
      </w:r>
      <w:bookmarkEnd w:id="59"/>
    </w:p>
    <w:p w:rsidR="00BB4501" w:rsidRPr="00F00002" w:rsidRDefault="00BB4501" w:rsidP="00D150ED">
      <w:pPr>
        <w:pStyle w:val="subsection"/>
      </w:pPr>
      <w:r w:rsidRPr="00F00002">
        <w:tab/>
      </w:r>
      <w:r w:rsidRPr="00F00002">
        <w:tab/>
        <w:t>For subparagraph</w:t>
      </w:r>
      <w:r w:rsidR="00F00002">
        <w:t> </w:t>
      </w:r>
      <w:r w:rsidRPr="00F00002">
        <w:t>290</w:t>
      </w:r>
      <w:r w:rsidR="00F00002">
        <w:noBreakHyphen/>
      </w:r>
      <w:r w:rsidRPr="00F00002">
        <w:t>170(2</w:t>
      </w:r>
      <w:r w:rsidR="00D150ED" w:rsidRPr="00F00002">
        <w:t>)(</w:t>
      </w:r>
      <w:r w:rsidRPr="00F00002">
        <w:t>d</w:t>
      </w:r>
      <w:r w:rsidR="00D150ED" w:rsidRPr="00F00002">
        <w:t>)(</w:t>
      </w:r>
      <w:r w:rsidRPr="00F00002">
        <w:t>i) of the Act, each of the following is a contributions</w:t>
      </w:r>
      <w:r w:rsidR="00F00002">
        <w:noBreakHyphen/>
      </w:r>
      <w:r w:rsidRPr="00F00002">
        <w:t>splitting application:</w:t>
      </w:r>
    </w:p>
    <w:p w:rsidR="00BB4501" w:rsidRPr="00F00002" w:rsidRDefault="00BB4501" w:rsidP="00D150ED">
      <w:pPr>
        <w:pStyle w:val="paragraph"/>
      </w:pPr>
      <w:r w:rsidRPr="00F00002">
        <w:rPr>
          <w:color w:val="000000"/>
        </w:rPr>
        <w:tab/>
        <w:t>(a)</w:t>
      </w:r>
      <w:r w:rsidRPr="00F00002">
        <w:rPr>
          <w:color w:val="000000"/>
        </w:rPr>
        <w:tab/>
        <w:t>an application under regulation</w:t>
      </w:r>
      <w:r w:rsidR="00F00002">
        <w:rPr>
          <w:color w:val="000000"/>
        </w:rPr>
        <w:t> </w:t>
      </w:r>
      <w:r w:rsidRPr="00F00002">
        <w:rPr>
          <w:color w:val="000000"/>
        </w:rPr>
        <w:t>6.44 of the SIS Regulations;</w:t>
      </w:r>
    </w:p>
    <w:p w:rsidR="00BB4501" w:rsidRPr="00F00002" w:rsidRDefault="00BB4501" w:rsidP="00D150ED">
      <w:pPr>
        <w:pStyle w:val="paragraph"/>
      </w:pPr>
      <w:r w:rsidRPr="00F00002">
        <w:tab/>
        <w:t>(b)</w:t>
      </w:r>
      <w:r w:rsidRPr="00F00002">
        <w:tab/>
        <w:t>an application under regulation</w:t>
      </w:r>
      <w:r w:rsidR="00F00002">
        <w:t> </w:t>
      </w:r>
      <w:r w:rsidRPr="00F00002">
        <w:t>4.41 of the RSA Regulations;</w:t>
      </w:r>
    </w:p>
    <w:p w:rsidR="00BB4501" w:rsidRPr="00F00002" w:rsidRDefault="00BB4501" w:rsidP="00D150ED">
      <w:pPr>
        <w:pStyle w:val="paragraph"/>
      </w:pPr>
      <w:r w:rsidRPr="00F00002">
        <w:tab/>
        <w:t>(c)</w:t>
      </w:r>
      <w:r w:rsidRPr="00F00002">
        <w:tab/>
        <w:t>an application to deal with an amount in a way that would result in the amount becoming a contributions</w:t>
      </w:r>
      <w:r w:rsidR="00F00002">
        <w:noBreakHyphen/>
      </w:r>
      <w:r w:rsidRPr="00F00002">
        <w:t>splitting superannuation benefit in accordance with the SIS Regulations or the RSA Regulations.</w:t>
      </w:r>
    </w:p>
    <w:p w:rsidR="00BB4501" w:rsidRPr="00F00002" w:rsidRDefault="003A37E0" w:rsidP="001A320C">
      <w:pPr>
        <w:pStyle w:val="ActHead3"/>
        <w:pageBreakBefore/>
        <w:rPr>
          <w:color w:val="000000"/>
        </w:rPr>
      </w:pPr>
      <w:bookmarkStart w:id="60" w:name="_Toc31109644"/>
      <w:r w:rsidRPr="00A26088">
        <w:rPr>
          <w:rStyle w:val="CharDivNo"/>
        </w:rPr>
        <w:lastRenderedPageBreak/>
        <w:t>Division</w:t>
      </w:r>
      <w:r w:rsidR="00F00002" w:rsidRPr="00A26088">
        <w:rPr>
          <w:rStyle w:val="CharDivNo"/>
        </w:rPr>
        <w:t> </w:t>
      </w:r>
      <w:r w:rsidRPr="00A26088">
        <w:rPr>
          <w:rStyle w:val="CharDivNo"/>
        </w:rPr>
        <w:t>291</w:t>
      </w:r>
      <w:r w:rsidRPr="00F00002">
        <w:t>—</w:t>
      </w:r>
      <w:r w:rsidRPr="00A26088">
        <w:rPr>
          <w:rStyle w:val="CharDivText"/>
        </w:rPr>
        <w:t>Excess concessional contributions</w:t>
      </w:r>
      <w:bookmarkEnd w:id="60"/>
    </w:p>
    <w:p w:rsidR="00BB4501" w:rsidRPr="00F00002" w:rsidRDefault="003A37E0" w:rsidP="001A320C">
      <w:pPr>
        <w:pStyle w:val="ActHead4"/>
      </w:pPr>
      <w:bookmarkStart w:id="61" w:name="_Toc31109645"/>
      <w:r w:rsidRPr="00A26088">
        <w:rPr>
          <w:rStyle w:val="CharSubdNo"/>
        </w:rPr>
        <w:t>Subdivision</w:t>
      </w:r>
      <w:r w:rsidR="00F00002" w:rsidRPr="00A26088">
        <w:rPr>
          <w:rStyle w:val="CharSubdNo"/>
        </w:rPr>
        <w:t> </w:t>
      </w:r>
      <w:r w:rsidRPr="00A26088">
        <w:rPr>
          <w:rStyle w:val="CharSubdNo"/>
        </w:rPr>
        <w:t>291</w:t>
      </w:r>
      <w:r w:rsidR="00F00002" w:rsidRPr="00A26088">
        <w:rPr>
          <w:rStyle w:val="CharSubdNo"/>
        </w:rPr>
        <w:noBreakHyphen/>
      </w:r>
      <w:r w:rsidRPr="00A26088">
        <w:rPr>
          <w:rStyle w:val="CharSubdNo"/>
        </w:rPr>
        <w:t>B</w:t>
      </w:r>
      <w:r w:rsidRPr="00F00002">
        <w:t>—</w:t>
      </w:r>
      <w:r w:rsidRPr="00A26088">
        <w:rPr>
          <w:rStyle w:val="CharSubdText"/>
        </w:rPr>
        <w:t>Excess concessional contributions</w:t>
      </w:r>
      <w:bookmarkEnd w:id="61"/>
    </w:p>
    <w:p w:rsidR="003A37E0" w:rsidRPr="00F00002" w:rsidRDefault="003A37E0" w:rsidP="003A37E0">
      <w:pPr>
        <w:pStyle w:val="ActHead5"/>
      </w:pPr>
      <w:bookmarkStart w:id="62" w:name="_Toc31109646"/>
      <w:r w:rsidRPr="00A26088">
        <w:rPr>
          <w:rStyle w:val="CharSectno"/>
        </w:rPr>
        <w:t>291</w:t>
      </w:r>
      <w:r w:rsidR="00F00002" w:rsidRPr="00A26088">
        <w:rPr>
          <w:rStyle w:val="CharSectno"/>
        </w:rPr>
        <w:noBreakHyphen/>
      </w:r>
      <w:r w:rsidRPr="00A26088">
        <w:rPr>
          <w:rStyle w:val="CharSectno"/>
        </w:rPr>
        <w:t>25.01</w:t>
      </w:r>
      <w:r w:rsidRPr="00F00002">
        <w:t xml:space="preserve">  Concessional contributions for a financial year</w:t>
      </w:r>
      <w:bookmarkEnd w:id="62"/>
    </w:p>
    <w:p w:rsidR="00BB4501" w:rsidRPr="00F00002" w:rsidRDefault="00BB4501" w:rsidP="00D150ED">
      <w:pPr>
        <w:pStyle w:val="subsection"/>
      </w:pPr>
      <w:r w:rsidRPr="00F00002">
        <w:rPr>
          <w:color w:val="000000"/>
        </w:rPr>
        <w:tab/>
        <w:t>(1)</w:t>
      </w:r>
      <w:r w:rsidRPr="00F00002">
        <w:rPr>
          <w:color w:val="000000"/>
        </w:rPr>
        <w:tab/>
        <w:t xml:space="preserve">For </w:t>
      </w:r>
      <w:r w:rsidR="003A37E0" w:rsidRPr="00F00002">
        <w:t>subsection</w:t>
      </w:r>
      <w:r w:rsidR="00F00002">
        <w:t> </w:t>
      </w:r>
      <w:r w:rsidR="003A37E0" w:rsidRPr="00F00002">
        <w:t>291</w:t>
      </w:r>
      <w:r w:rsidR="00F00002">
        <w:noBreakHyphen/>
      </w:r>
      <w:r w:rsidR="003A37E0" w:rsidRPr="00F00002">
        <w:t>25(3)</w:t>
      </w:r>
      <w:r w:rsidRPr="00F00002">
        <w:rPr>
          <w:color w:val="000000"/>
        </w:rPr>
        <w:t xml:space="preserve"> of the Act, this regulation sets out conditions for the purpose of allocating an amount in a complying superannuation plan.</w:t>
      </w:r>
    </w:p>
    <w:p w:rsidR="00BB4501" w:rsidRPr="00F00002" w:rsidRDefault="00BB4501" w:rsidP="00D150ED">
      <w:pPr>
        <w:pStyle w:val="subsection"/>
      </w:pPr>
      <w:r w:rsidRPr="00F00002">
        <w:tab/>
        <w:t>(2)</w:t>
      </w:r>
      <w:r w:rsidRPr="00F00002">
        <w:tab/>
        <w:t>Subject to subregulation</w:t>
      </w:r>
      <w:r w:rsidR="00135C25" w:rsidRPr="00F00002">
        <w:t> </w:t>
      </w:r>
      <w:r w:rsidRPr="00F00002">
        <w:t>(3), an amount that is:</w:t>
      </w:r>
    </w:p>
    <w:p w:rsidR="00BB4501" w:rsidRPr="00F00002" w:rsidRDefault="00BB4501" w:rsidP="00D150ED">
      <w:pPr>
        <w:pStyle w:val="paragraph"/>
      </w:pPr>
      <w:r w:rsidRPr="00F00002">
        <w:rPr>
          <w:color w:val="000000"/>
        </w:rPr>
        <w:tab/>
        <w:t>(a)</w:t>
      </w:r>
      <w:r w:rsidRPr="00F00002">
        <w:rPr>
          <w:color w:val="000000"/>
        </w:rPr>
        <w:tab/>
        <w:t>allocated under Division</w:t>
      </w:r>
      <w:r w:rsidR="00F00002">
        <w:rPr>
          <w:color w:val="000000"/>
        </w:rPr>
        <w:t> </w:t>
      </w:r>
      <w:r w:rsidRPr="00F00002">
        <w:rPr>
          <w:color w:val="000000"/>
        </w:rPr>
        <w:t>7.2 of the SIS Regulations; and</w:t>
      </w:r>
    </w:p>
    <w:p w:rsidR="00BB4501" w:rsidRPr="00F00002" w:rsidRDefault="00BB4501" w:rsidP="00D150ED">
      <w:pPr>
        <w:pStyle w:val="paragraph"/>
      </w:pPr>
      <w:r w:rsidRPr="00F00002">
        <w:tab/>
        <w:t>(b)</w:t>
      </w:r>
      <w:r w:rsidRPr="00F00002">
        <w:tab/>
        <w:t xml:space="preserve">an assessable contribution under </w:t>
      </w:r>
      <w:r w:rsidR="00D150ED" w:rsidRPr="00F00002">
        <w:t>Subdivision</w:t>
      </w:r>
      <w:r w:rsidR="00F00002">
        <w:t> </w:t>
      </w:r>
      <w:r w:rsidRPr="00F00002">
        <w:t>295</w:t>
      </w:r>
      <w:r w:rsidR="00F00002">
        <w:noBreakHyphen/>
      </w:r>
      <w:r w:rsidRPr="00F00002">
        <w:t>C of the Act;</w:t>
      </w:r>
    </w:p>
    <w:p w:rsidR="00BB4501" w:rsidRPr="00F00002" w:rsidRDefault="00BB4501" w:rsidP="00D150ED">
      <w:pPr>
        <w:pStyle w:val="subsection2"/>
      </w:pPr>
      <w:r w:rsidRPr="00F00002">
        <w:rPr>
          <w:color w:val="000000"/>
        </w:rPr>
        <w:t xml:space="preserve">is to be treated as having been allocated by the superannuation provider in a way that is covered by </w:t>
      </w:r>
      <w:r w:rsidR="003A37E0" w:rsidRPr="00F00002">
        <w:t>subsection</w:t>
      </w:r>
      <w:r w:rsidR="00F00002">
        <w:t> </w:t>
      </w:r>
      <w:r w:rsidR="003A37E0" w:rsidRPr="00F00002">
        <w:t>291</w:t>
      </w:r>
      <w:r w:rsidR="00F00002">
        <w:noBreakHyphen/>
      </w:r>
      <w:r w:rsidR="003A37E0" w:rsidRPr="00F00002">
        <w:t>25(3)</w:t>
      </w:r>
      <w:r w:rsidRPr="00F00002">
        <w:rPr>
          <w:color w:val="000000"/>
        </w:rPr>
        <w:t xml:space="preserve"> of the Act.</w:t>
      </w:r>
    </w:p>
    <w:p w:rsidR="00BB4501" w:rsidRPr="00F00002" w:rsidRDefault="00BB4501" w:rsidP="00D150ED">
      <w:pPr>
        <w:pStyle w:val="subsection"/>
      </w:pPr>
      <w:r w:rsidRPr="00F00002">
        <w:tab/>
        <w:t>(3)</w:t>
      </w:r>
      <w:r w:rsidRPr="00F00002">
        <w:tab/>
        <w:t xml:space="preserve">Each of the following amounts is to be treated as not having been allocated by the superannuation provider in a way that is covered by </w:t>
      </w:r>
      <w:r w:rsidR="003A37E0" w:rsidRPr="00F00002">
        <w:t>subsection</w:t>
      </w:r>
      <w:r w:rsidR="00F00002">
        <w:t> </w:t>
      </w:r>
      <w:r w:rsidR="003A37E0" w:rsidRPr="00F00002">
        <w:t>291</w:t>
      </w:r>
      <w:r w:rsidR="00F00002">
        <w:noBreakHyphen/>
      </w:r>
      <w:r w:rsidR="003A37E0" w:rsidRPr="00F00002">
        <w:t>25(3)</w:t>
      </w:r>
      <w:r w:rsidRPr="00F00002">
        <w:t xml:space="preserve"> of the Act, even if subregulation</w:t>
      </w:r>
      <w:r w:rsidR="00135C25" w:rsidRPr="00F00002">
        <w:t> </w:t>
      </w:r>
      <w:r w:rsidRPr="00F00002">
        <w:t>(2) would also apply to the amount:</w:t>
      </w:r>
    </w:p>
    <w:p w:rsidR="00BB4501" w:rsidRPr="00F00002" w:rsidRDefault="00BB4501" w:rsidP="00D150ED">
      <w:pPr>
        <w:pStyle w:val="paragraph"/>
      </w:pPr>
      <w:r w:rsidRPr="00F00002">
        <w:rPr>
          <w:color w:val="000000"/>
        </w:rPr>
        <w:tab/>
        <w:t>(a)</w:t>
      </w:r>
      <w:r w:rsidRPr="00F00002">
        <w:rPr>
          <w:color w:val="000000"/>
        </w:rPr>
        <w:tab/>
        <w:t>an amount mentioned in item</w:t>
      </w:r>
      <w:r w:rsidR="00F00002">
        <w:rPr>
          <w:color w:val="000000"/>
        </w:rPr>
        <w:t> </w:t>
      </w:r>
      <w:r w:rsidRPr="00F00002">
        <w:rPr>
          <w:color w:val="000000"/>
        </w:rPr>
        <w:t>2 of the table in subsection</w:t>
      </w:r>
      <w:r w:rsidR="00F00002">
        <w:rPr>
          <w:color w:val="000000"/>
        </w:rPr>
        <w:t> </w:t>
      </w:r>
      <w:r w:rsidRPr="00F00002">
        <w:rPr>
          <w:color w:val="000000"/>
        </w:rPr>
        <w:t>295</w:t>
      </w:r>
      <w:r w:rsidR="00F00002">
        <w:rPr>
          <w:color w:val="000000"/>
        </w:rPr>
        <w:noBreakHyphen/>
      </w:r>
      <w:r w:rsidRPr="00F00002">
        <w:rPr>
          <w:color w:val="000000"/>
        </w:rPr>
        <w:t>190(1) of the Act;</w:t>
      </w:r>
    </w:p>
    <w:p w:rsidR="00BB4501" w:rsidRPr="00F00002" w:rsidRDefault="00BB4501" w:rsidP="00D150ED">
      <w:pPr>
        <w:pStyle w:val="paragraph"/>
      </w:pPr>
      <w:r w:rsidRPr="00F00002">
        <w:tab/>
        <w:t>(b)</w:t>
      </w:r>
      <w:r w:rsidRPr="00F00002">
        <w:tab/>
        <w:t>an amount mentioned in subsection</w:t>
      </w:r>
      <w:r w:rsidR="00F00002">
        <w:t> </w:t>
      </w:r>
      <w:r w:rsidRPr="00F00002">
        <w:t>295</w:t>
      </w:r>
      <w:r w:rsidR="00F00002">
        <w:noBreakHyphen/>
      </w:r>
      <w:r w:rsidRPr="00F00002">
        <w:t xml:space="preserve">200(2) of the </w:t>
      </w:r>
      <w:r w:rsidR="003A37E0" w:rsidRPr="00F00002">
        <w:t>Act.</w:t>
      </w:r>
    </w:p>
    <w:p w:rsidR="00BB4501" w:rsidRPr="00F00002" w:rsidRDefault="00BB4501" w:rsidP="00D150ED">
      <w:pPr>
        <w:pStyle w:val="subsection"/>
      </w:pPr>
      <w:r w:rsidRPr="00F00002">
        <w:tab/>
        <w:t>(4)</w:t>
      </w:r>
      <w:r w:rsidRPr="00F00002">
        <w:tab/>
        <w:t>An amount that is allocated from a reserve, other than an amount that is covered by subregulation</w:t>
      </w:r>
      <w:r w:rsidR="00135C25" w:rsidRPr="00F00002">
        <w:t> </w:t>
      </w:r>
      <w:r w:rsidRPr="00F00002">
        <w:t xml:space="preserve">(2), is to be treated as having been allocated by the superannuation provider in a way that is covered by </w:t>
      </w:r>
      <w:r w:rsidR="003A37E0" w:rsidRPr="00F00002">
        <w:t>subsection</w:t>
      </w:r>
      <w:r w:rsidR="00F00002">
        <w:t> </w:t>
      </w:r>
      <w:r w:rsidR="003A37E0" w:rsidRPr="00F00002">
        <w:t>291</w:t>
      </w:r>
      <w:r w:rsidR="00F00002">
        <w:noBreakHyphen/>
      </w:r>
      <w:r w:rsidR="003A37E0" w:rsidRPr="00F00002">
        <w:t>25(3)</w:t>
      </w:r>
      <w:r w:rsidRPr="00F00002">
        <w:t xml:space="preserve"> of the Act:</w:t>
      </w:r>
    </w:p>
    <w:p w:rsidR="00BB4501" w:rsidRPr="00F00002" w:rsidRDefault="00BB4501" w:rsidP="00D150ED">
      <w:pPr>
        <w:pStyle w:val="paragraph"/>
      </w:pPr>
      <w:r w:rsidRPr="00F00002">
        <w:tab/>
        <w:t>(a)</w:t>
      </w:r>
      <w:r w:rsidRPr="00F00002">
        <w:tab/>
        <w:t>unless:</w:t>
      </w:r>
    </w:p>
    <w:p w:rsidR="00BB4501" w:rsidRPr="00F00002" w:rsidRDefault="00BB4501" w:rsidP="00D150ED">
      <w:pPr>
        <w:pStyle w:val="paragraphsub"/>
      </w:pPr>
      <w:r w:rsidRPr="00F00002">
        <w:tab/>
        <w:t>(i)</w:t>
      </w:r>
      <w:r w:rsidRPr="00F00002">
        <w:tab/>
        <w:t>the amount is allocated, in a fair and reasonable manner:</w:t>
      </w:r>
    </w:p>
    <w:p w:rsidR="00BB4501" w:rsidRPr="00F00002" w:rsidRDefault="00BB4501" w:rsidP="00D150ED">
      <w:pPr>
        <w:pStyle w:val="paragraphsub-sub"/>
      </w:pPr>
      <w:r w:rsidRPr="00F00002">
        <w:rPr>
          <w:color w:val="000000"/>
        </w:rPr>
        <w:tab/>
        <w:t>(A)</w:t>
      </w:r>
      <w:r w:rsidRPr="00F00002">
        <w:rPr>
          <w:color w:val="000000"/>
        </w:rPr>
        <w:tab/>
        <w:t>to an account for every member of the complying superannuation plan; or</w:t>
      </w:r>
    </w:p>
    <w:p w:rsidR="00BB4501" w:rsidRPr="00F00002" w:rsidRDefault="00BB4501" w:rsidP="00D150ED">
      <w:pPr>
        <w:pStyle w:val="paragraphsub-sub"/>
      </w:pPr>
      <w:r w:rsidRPr="00F00002">
        <w:tab/>
        <w:t>(B)</w:t>
      </w:r>
      <w:r w:rsidRPr="00F00002">
        <w:tab/>
        <w:t>if the member is a member of a class of members of the complying superannuation plan, and the amount in the reserve relates only to that class of members</w:t>
      </w:r>
      <w:r w:rsidR="00D150ED" w:rsidRPr="00F00002">
        <w:t>—</w:t>
      </w:r>
      <w:r w:rsidRPr="00F00002">
        <w:t>to an account for every member of the class; and</w:t>
      </w:r>
    </w:p>
    <w:p w:rsidR="00BB4501" w:rsidRPr="00F00002" w:rsidRDefault="00BB4501" w:rsidP="00D150ED">
      <w:pPr>
        <w:pStyle w:val="paragraphsub"/>
      </w:pPr>
      <w:r w:rsidRPr="00F00002">
        <w:rPr>
          <w:color w:val="000000"/>
        </w:rPr>
        <w:tab/>
        <w:t>(ii)</w:t>
      </w:r>
      <w:r w:rsidRPr="00F00002">
        <w:rPr>
          <w:color w:val="000000"/>
        </w:rPr>
        <w:tab/>
        <w:t>the amount that is allocated for the financial year is less than 5% of the value of the member’s interest in the complying superannuation plan at the time of allocation; or</w:t>
      </w:r>
    </w:p>
    <w:p w:rsidR="00BB4501" w:rsidRPr="00F00002" w:rsidRDefault="00BB4501" w:rsidP="00D150ED">
      <w:pPr>
        <w:pStyle w:val="paragraph"/>
      </w:pPr>
      <w:r w:rsidRPr="00F00002">
        <w:tab/>
        <w:t>(b)</w:t>
      </w:r>
      <w:r w:rsidRPr="00F00002">
        <w:tab/>
        <w:t>unless:</w:t>
      </w:r>
    </w:p>
    <w:p w:rsidR="00BB4501" w:rsidRPr="00F00002" w:rsidRDefault="00BB4501" w:rsidP="00D150ED">
      <w:pPr>
        <w:pStyle w:val="paragraphsub"/>
      </w:pPr>
      <w:r w:rsidRPr="00F00002">
        <w:rPr>
          <w:color w:val="000000"/>
        </w:rPr>
        <w:tab/>
        <w:t>(i)</w:t>
      </w:r>
      <w:r w:rsidRPr="00F00002">
        <w:rPr>
          <w:color w:val="000000"/>
        </w:rPr>
        <w:tab/>
        <w:t>the amount is allocated from a reserve used solely for the purpose of enabling the fund to discharge all or part of its liabilities (contingent or not), as soon as they become due, in respect of superannuation income stream benefits that are payable by the fund at that time; and</w:t>
      </w:r>
    </w:p>
    <w:p w:rsidR="00BB4501" w:rsidRPr="00F00002" w:rsidRDefault="00BB4501" w:rsidP="00D150ED">
      <w:pPr>
        <w:pStyle w:val="paragraphsub"/>
      </w:pPr>
      <w:r w:rsidRPr="00F00002">
        <w:lastRenderedPageBreak/>
        <w:tab/>
        <w:t>(ii)</w:t>
      </w:r>
      <w:r w:rsidRPr="00F00002">
        <w:tab/>
        <w:t>any of the following applies:</w:t>
      </w:r>
    </w:p>
    <w:p w:rsidR="00BB4501" w:rsidRPr="00F00002" w:rsidRDefault="00BB4501" w:rsidP="00D150ED">
      <w:pPr>
        <w:pStyle w:val="paragraphsub-sub"/>
      </w:pPr>
      <w:r w:rsidRPr="00F00002">
        <w:rPr>
          <w:color w:val="000000"/>
        </w:rPr>
        <w:tab/>
        <w:t>(A)</w:t>
      </w:r>
      <w:r w:rsidRPr="00F00002">
        <w:rPr>
          <w:color w:val="000000"/>
        </w:rPr>
        <w:tab/>
        <w:t xml:space="preserve">the amount has been </w:t>
      </w:r>
      <w:r w:rsidRPr="00F00002">
        <w:t>allocated to satisfy a pension liability of the plan paid during the financial year;</w:t>
      </w:r>
    </w:p>
    <w:p w:rsidR="00BB4501" w:rsidRPr="00F00002" w:rsidRDefault="00BB4501" w:rsidP="00D150ED">
      <w:pPr>
        <w:pStyle w:val="paragraphsub-sub"/>
      </w:pPr>
      <w:r w:rsidRPr="00F00002">
        <w:tab/>
        <w:t>(B)</w:t>
      </w:r>
      <w:r w:rsidRPr="00F00002">
        <w:tab/>
        <w:t>on the commutation of the income stream, except as a result of the death of the primary beneficiary, the amount is allocated to the recipient of the income stream, to commence another income stream, as soon as practicable;</w:t>
      </w:r>
    </w:p>
    <w:p w:rsidR="00BB4501" w:rsidRPr="00F00002" w:rsidRDefault="00BB4501" w:rsidP="00D150ED">
      <w:pPr>
        <w:pStyle w:val="paragraphsub-sub"/>
      </w:pPr>
      <w:r w:rsidRPr="00F00002">
        <w:tab/>
        <w:t>(C)</w:t>
      </w:r>
      <w:r w:rsidRPr="00F00002">
        <w:tab/>
        <w:t>on the commutation of the income stream as a result of the death of the primary beneficiary, the amount:</w:t>
      </w:r>
    </w:p>
    <w:p w:rsidR="00BB4501" w:rsidRPr="00F00002" w:rsidRDefault="00BB4501" w:rsidP="004816BD">
      <w:pPr>
        <w:pStyle w:val="Paragraphsub-sub-sub"/>
      </w:pPr>
      <w:r w:rsidRPr="00F00002">
        <w:rPr>
          <w:color w:val="000000"/>
        </w:rPr>
        <w:tab/>
        <w:t>(I)</w:t>
      </w:r>
      <w:r w:rsidRPr="00F00002">
        <w:rPr>
          <w:color w:val="000000"/>
        </w:rPr>
        <w:tab/>
      </w:r>
      <w:r w:rsidRPr="00F00002">
        <w:t>is allocated to a death benefits dependant to discharge liabilities in respect of a superannuation income stream benefit that is payable by the plan as a result of the death; or</w:t>
      </w:r>
    </w:p>
    <w:p w:rsidR="00BB4501" w:rsidRPr="00F00002" w:rsidRDefault="00BB4501" w:rsidP="004816BD">
      <w:pPr>
        <w:pStyle w:val="Paragraphsub-sub-sub"/>
        <w:rPr>
          <w:color w:val="000000"/>
        </w:rPr>
      </w:pPr>
      <w:r w:rsidRPr="00F00002">
        <w:tab/>
        <w:t>(II)</w:t>
      </w:r>
      <w:r w:rsidRPr="00F00002">
        <w:tab/>
        <w:t>if sub</w:t>
      </w:r>
      <w:r w:rsidR="00F00002">
        <w:noBreakHyphen/>
        <w:t>sub</w:t>
      </w:r>
      <w:r w:rsidR="00F00002">
        <w:noBreakHyphen/>
        <w:t>subparagraph (</w:t>
      </w:r>
      <w:r w:rsidRPr="00F00002">
        <w:t>I) does not apply</w:t>
      </w:r>
      <w:r w:rsidR="00D150ED" w:rsidRPr="00F00002">
        <w:t>—</w:t>
      </w:r>
      <w:r w:rsidRPr="00F00002">
        <w:t>is paid as a superannuation lump sum and as a superannuation death benefit;</w:t>
      </w:r>
    </w:p>
    <w:p w:rsidR="00BB4501" w:rsidRPr="00F00002" w:rsidRDefault="00BB4501" w:rsidP="00D150ED">
      <w:pPr>
        <w:pStyle w:val="paragraphsub-sub"/>
      </w:pPr>
      <w:r w:rsidRPr="00F00002">
        <w:rPr>
          <w:color w:val="000000"/>
        </w:rPr>
        <w:tab/>
      </w:r>
      <w:r w:rsidRPr="00F00002">
        <w:rPr>
          <w:color w:val="000000"/>
        </w:rPr>
        <w:tab/>
        <w:t>as soon as practicable.</w:t>
      </w:r>
    </w:p>
    <w:p w:rsidR="00BB4501" w:rsidRPr="00F00002" w:rsidRDefault="00BB4501" w:rsidP="00D150ED">
      <w:pPr>
        <w:pStyle w:val="subsection"/>
      </w:pPr>
      <w:r w:rsidRPr="00F00002">
        <w:rPr>
          <w:color w:val="000000"/>
        </w:rPr>
        <w:tab/>
        <w:t>(5)</w:t>
      </w:r>
      <w:r w:rsidRPr="00F00002">
        <w:rPr>
          <w:color w:val="000000"/>
        </w:rPr>
        <w:tab/>
      </w:r>
      <w:r w:rsidR="00F00002">
        <w:t>Paragraph (</w:t>
      </w:r>
      <w:r w:rsidRPr="00F00002">
        <w:t>4</w:t>
      </w:r>
      <w:r w:rsidR="00D150ED" w:rsidRPr="00F00002">
        <w:t>)(</w:t>
      </w:r>
      <w:r w:rsidRPr="00F00002">
        <w:t>a) does not apply to an amount that:</w:t>
      </w:r>
    </w:p>
    <w:p w:rsidR="00BB4501" w:rsidRPr="00F00002" w:rsidRDefault="00BB4501" w:rsidP="00D150ED">
      <w:pPr>
        <w:pStyle w:val="paragraph"/>
      </w:pPr>
      <w:r w:rsidRPr="00F00002">
        <w:tab/>
        <w:t>(a)</w:t>
      </w:r>
      <w:r w:rsidRPr="00F00002">
        <w:tab/>
        <w:t>is required to be allocated under subregulation</w:t>
      </w:r>
      <w:r w:rsidR="00135C25" w:rsidRPr="00F00002">
        <w:t> </w:t>
      </w:r>
      <w:r w:rsidRPr="00F00002">
        <w:t>(2); or</w:t>
      </w:r>
    </w:p>
    <w:p w:rsidR="00BB4501" w:rsidRPr="00F00002" w:rsidRDefault="00BB4501" w:rsidP="00D150ED">
      <w:pPr>
        <w:pStyle w:val="paragraph"/>
      </w:pPr>
      <w:r w:rsidRPr="00F00002">
        <w:tab/>
        <w:t>(b)</w:t>
      </w:r>
      <w:r w:rsidRPr="00F00002">
        <w:tab/>
        <w:t>would be assessable income of the plan if it were made as a contribution.</w:t>
      </w:r>
    </w:p>
    <w:p w:rsidR="00BB4501" w:rsidRPr="00F00002" w:rsidRDefault="00BB4501" w:rsidP="00D150ED">
      <w:pPr>
        <w:pStyle w:val="subsection"/>
      </w:pPr>
      <w:r w:rsidRPr="00F00002">
        <w:tab/>
        <w:t>(6)</w:t>
      </w:r>
      <w:r w:rsidRPr="00F00002">
        <w:tab/>
        <w:t>If the amount has been allocated from a reserve in lieu of a contribution to the fund (less any allowance for tax) which would have been assessable income of the fund, the amount that is allocated is to be multiplied by 1.176.</w:t>
      </w:r>
    </w:p>
    <w:p w:rsidR="00BB4501" w:rsidRPr="00F00002" w:rsidRDefault="00BB4501" w:rsidP="00167635">
      <w:pPr>
        <w:pStyle w:val="notetext"/>
      </w:pPr>
      <w:r w:rsidRPr="00F00002">
        <w:t>Example</w:t>
      </w:r>
      <w:r w:rsidR="00167635" w:rsidRPr="00F00002">
        <w:t>:</w:t>
      </w:r>
      <w:r w:rsidR="00167635" w:rsidRPr="00F00002">
        <w:tab/>
      </w:r>
      <w:r w:rsidRPr="00F00002">
        <w:rPr>
          <w:color w:val="000000"/>
        </w:rPr>
        <w:t>An employer has an obligation to make a $1</w:t>
      </w:r>
      <w:r w:rsidR="00F00002">
        <w:rPr>
          <w:color w:val="000000"/>
        </w:rPr>
        <w:t> </w:t>
      </w:r>
      <w:r w:rsidRPr="00F00002">
        <w:rPr>
          <w:color w:val="000000"/>
        </w:rPr>
        <w:t xml:space="preserve">000 contribution. Instead of the employer making a contribution to the fund, the trustee allocates $850 to the member’s account (which is an amount </w:t>
      </w:r>
      <w:r w:rsidRPr="00F00002">
        <w:t>equivalent</w:t>
      </w:r>
      <w:r w:rsidRPr="00F00002">
        <w:rPr>
          <w:color w:val="000000"/>
        </w:rPr>
        <w:t xml:space="preserve"> to the amount that would be credited to the account after tax was paid).</w:t>
      </w:r>
    </w:p>
    <w:p w:rsidR="00BB4501" w:rsidRPr="00F00002" w:rsidRDefault="00167635" w:rsidP="00D150ED">
      <w:pPr>
        <w:pStyle w:val="notetext"/>
      </w:pPr>
      <w:r w:rsidRPr="00F00002">
        <w:tab/>
      </w:r>
      <w:r w:rsidR="00BB4501" w:rsidRPr="00F00002">
        <w:t>For subregulation</w:t>
      </w:r>
      <w:r w:rsidR="00135C25" w:rsidRPr="00F00002">
        <w:t> </w:t>
      </w:r>
      <w:r w:rsidR="00BB4501" w:rsidRPr="00F00002">
        <w:t>(6), the amount of $850 is to be multiplied by 1.176 to work out the amount that is taken to be allocated.</w:t>
      </w:r>
    </w:p>
    <w:p w:rsidR="003A37E0" w:rsidRPr="00F00002" w:rsidRDefault="003A37E0" w:rsidP="00077E29">
      <w:pPr>
        <w:pStyle w:val="ActHead3"/>
        <w:pageBreakBefore/>
      </w:pPr>
      <w:bookmarkStart w:id="63" w:name="_Toc31109647"/>
      <w:r w:rsidRPr="00A26088">
        <w:rPr>
          <w:rStyle w:val="CharDivNo"/>
        </w:rPr>
        <w:lastRenderedPageBreak/>
        <w:t>Division</w:t>
      </w:r>
      <w:r w:rsidR="00F00002" w:rsidRPr="00A26088">
        <w:rPr>
          <w:rStyle w:val="CharDivNo"/>
        </w:rPr>
        <w:t> </w:t>
      </w:r>
      <w:r w:rsidRPr="00A26088">
        <w:rPr>
          <w:rStyle w:val="CharDivNo"/>
        </w:rPr>
        <w:t>292</w:t>
      </w:r>
      <w:r w:rsidRPr="00F00002">
        <w:t>—</w:t>
      </w:r>
      <w:r w:rsidRPr="00A26088">
        <w:rPr>
          <w:rStyle w:val="CharDivText"/>
        </w:rPr>
        <w:t>Excess non</w:t>
      </w:r>
      <w:r w:rsidR="00F00002" w:rsidRPr="00A26088">
        <w:rPr>
          <w:rStyle w:val="CharDivText"/>
        </w:rPr>
        <w:noBreakHyphen/>
      </w:r>
      <w:r w:rsidRPr="00A26088">
        <w:rPr>
          <w:rStyle w:val="CharDivText"/>
        </w:rPr>
        <w:t>concessional contributions</w:t>
      </w:r>
      <w:bookmarkEnd w:id="63"/>
    </w:p>
    <w:p w:rsidR="00BB4501" w:rsidRPr="00F00002" w:rsidRDefault="00D150ED" w:rsidP="00D150ED">
      <w:pPr>
        <w:pStyle w:val="ActHead4"/>
      </w:pPr>
      <w:bookmarkStart w:id="64" w:name="_Toc31109648"/>
      <w:r w:rsidRPr="00A26088">
        <w:rPr>
          <w:rStyle w:val="CharSubdNo"/>
        </w:rPr>
        <w:t>Subdivision</w:t>
      </w:r>
      <w:r w:rsidR="00F00002" w:rsidRPr="00A26088">
        <w:rPr>
          <w:rStyle w:val="CharSubdNo"/>
        </w:rPr>
        <w:t> </w:t>
      </w:r>
      <w:r w:rsidR="00BB4501" w:rsidRPr="00A26088">
        <w:rPr>
          <w:rStyle w:val="CharSubdNo"/>
        </w:rPr>
        <w:t>292</w:t>
      </w:r>
      <w:r w:rsidR="00F00002" w:rsidRPr="00A26088">
        <w:rPr>
          <w:rStyle w:val="CharSubdNo"/>
        </w:rPr>
        <w:noBreakHyphen/>
      </w:r>
      <w:r w:rsidR="00BB4501" w:rsidRPr="00A26088">
        <w:rPr>
          <w:rStyle w:val="CharSubdNo"/>
        </w:rPr>
        <w:t>C</w:t>
      </w:r>
      <w:r w:rsidRPr="00F00002">
        <w:t>—</w:t>
      </w:r>
      <w:r w:rsidR="00BB4501" w:rsidRPr="00A26088">
        <w:rPr>
          <w:rStyle w:val="CharSubdText"/>
        </w:rPr>
        <w:t>Excess non</w:t>
      </w:r>
      <w:r w:rsidR="00F00002" w:rsidRPr="00A26088">
        <w:rPr>
          <w:rStyle w:val="CharSubdText"/>
        </w:rPr>
        <w:noBreakHyphen/>
      </w:r>
      <w:r w:rsidR="00BB4501" w:rsidRPr="00A26088">
        <w:rPr>
          <w:rStyle w:val="CharSubdText"/>
        </w:rPr>
        <w:t>concessional contributions tax</w:t>
      </w:r>
      <w:bookmarkEnd w:id="64"/>
    </w:p>
    <w:p w:rsidR="00BB4501" w:rsidRPr="00F00002" w:rsidRDefault="00BB4501" w:rsidP="00D150ED">
      <w:pPr>
        <w:pStyle w:val="ActHead5"/>
      </w:pPr>
      <w:bookmarkStart w:id="65" w:name="_Toc31109649"/>
      <w:r w:rsidRPr="00A26088">
        <w:rPr>
          <w:rStyle w:val="CharSectno"/>
        </w:rPr>
        <w:t>292</w:t>
      </w:r>
      <w:r w:rsidR="00F00002" w:rsidRPr="00A26088">
        <w:rPr>
          <w:rStyle w:val="CharSectno"/>
        </w:rPr>
        <w:noBreakHyphen/>
      </w:r>
      <w:r w:rsidRPr="00A26088">
        <w:rPr>
          <w:rStyle w:val="CharSectno"/>
        </w:rPr>
        <w:t>90.01</w:t>
      </w:r>
      <w:r w:rsidR="00D150ED" w:rsidRPr="00F00002">
        <w:t xml:space="preserve">  </w:t>
      </w:r>
      <w:r w:rsidRPr="00F00002">
        <w:t>Non</w:t>
      </w:r>
      <w:r w:rsidR="00F00002">
        <w:noBreakHyphen/>
      </w:r>
      <w:r w:rsidRPr="00F00002">
        <w:t>concessional contributions for a financial year</w:t>
      </w:r>
      <w:bookmarkEnd w:id="65"/>
    </w:p>
    <w:p w:rsidR="00BB4501" w:rsidRPr="00F00002" w:rsidRDefault="00BB4501" w:rsidP="00D150ED">
      <w:pPr>
        <w:pStyle w:val="subsection"/>
      </w:pPr>
      <w:r w:rsidRPr="00F00002">
        <w:rPr>
          <w:color w:val="000000"/>
        </w:rPr>
        <w:tab/>
        <w:t>(1)</w:t>
      </w:r>
      <w:r w:rsidRPr="00F00002">
        <w:rPr>
          <w:color w:val="000000"/>
        </w:rPr>
        <w:tab/>
        <w:t>For paragraph</w:t>
      </w:r>
      <w:r w:rsidR="00F00002">
        <w:rPr>
          <w:color w:val="000000"/>
        </w:rPr>
        <w:t> </w:t>
      </w:r>
      <w:r w:rsidRPr="00F00002">
        <w:rPr>
          <w:color w:val="000000"/>
        </w:rPr>
        <w:t>292</w:t>
      </w:r>
      <w:r w:rsidR="00F00002">
        <w:rPr>
          <w:color w:val="000000"/>
        </w:rPr>
        <w:noBreakHyphen/>
      </w:r>
      <w:r w:rsidRPr="00F00002">
        <w:rPr>
          <w:color w:val="000000"/>
        </w:rPr>
        <w:t>90(4</w:t>
      </w:r>
      <w:r w:rsidR="00D150ED" w:rsidRPr="00F00002">
        <w:rPr>
          <w:color w:val="000000"/>
        </w:rPr>
        <w:t>)(</w:t>
      </w:r>
      <w:r w:rsidRPr="00F00002">
        <w:rPr>
          <w:color w:val="000000"/>
        </w:rPr>
        <w:t>a) of the Act, this regulation sets out conditions for the purpose of allocating an amount in a complying superannuation plan.</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The effect of paragraph</w:t>
      </w:r>
      <w:r w:rsidR="00F00002">
        <w:rPr>
          <w:color w:val="000000"/>
        </w:rPr>
        <w:t> </w:t>
      </w:r>
      <w:r w:rsidR="00BB4501" w:rsidRPr="00F00002">
        <w:rPr>
          <w:color w:val="000000"/>
        </w:rPr>
        <w:t>292</w:t>
      </w:r>
      <w:r w:rsidR="00F00002">
        <w:rPr>
          <w:color w:val="000000"/>
        </w:rPr>
        <w:noBreakHyphen/>
      </w:r>
      <w:r w:rsidR="00BB4501" w:rsidRPr="00F00002">
        <w:rPr>
          <w:color w:val="000000"/>
        </w:rPr>
        <w:t>90(4</w:t>
      </w:r>
      <w:r w:rsidRPr="00F00002">
        <w:rPr>
          <w:color w:val="000000"/>
        </w:rPr>
        <w:t>)(</w:t>
      </w:r>
      <w:r w:rsidR="00BB4501" w:rsidRPr="00F00002">
        <w:rPr>
          <w:color w:val="000000"/>
        </w:rPr>
        <w:t>a) of the Act is that an amount is covered under that subsection if it is an amount i</w:t>
      </w:r>
      <w:r w:rsidR="00BB4501" w:rsidRPr="00F00002">
        <w:rPr>
          <w:color w:val="000000"/>
          <w:lang w:eastAsia="en-US"/>
        </w:rPr>
        <w:t>n a complying superannuation plan that is allocated</w:t>
      </w:r>
      <w:r w:rsidR="00BB4501" w:rsidRPr="00F00002">
        <w:rPr>
          <w:color w:val="000000"/>
        </w:rPr>
        <w:t xml:space="preserve"> by the superannuation provider in relation to the plan for the year in accordance with conditions specified in the Regulations.</w:t>
      </w:r>
    </w:p>
    <w:p w:rsidR="00BB4501" w:rsidRPr="00F00002" w:rsidRDefault="00BB4501" w:rsidP="00D150ED">
      <w:pPr>
        <w:pStyle w:val="subsection"/>
      </w:pPr>
      <w:r w:rsidRPr="00F00002">
        <w:tab/>
        <w:t>(2)</w:t>
      </w:r>
      <w:r w:rsidRPr="00F00002">
        <w:tab/>
        <w:t>Subject to subregulation</w:t>
      </w:r>
      <w:r w:rsidR="00135C25" w:rsidRPr="00F00002">
        <w:t> </w:t>
      </w:r>
      <w:r w:rsidRPr="00F00002">
        <w:t xml:space="preserve">(3), an amount that: </w:t>
      </w:r>
    </w:p>
    <w:p w:rsidR="00BB4501" w:rsidRPr="00F00002" w:rsidRDefault="00BB4501" w:rsidP="00D150ED">
      <w:pPr>
        <w:pStyle w:val="paragraph"/>
      </w:pPr>
      <w:r w:rsidRPr="00F00002">
        <w:rPr>
          <w:color w:val="000000"/>
        </w:rPr>
        <w:tab/>
        <w:t>(a)</w:t>
      </w:r>
      <w:r w:rsidRPr="00F00002">
        <w:rPr>
          <w:color w:val="000000"/>
        </w:rPr>
        <w:tab/>
        <w:t xml:space="preserve">is allocated under </w:t>
      </w:r>
      <w:r w:rsidR="00D150ED" w:rsidRPr="00F00002">
        <w:rPr>
          <w:color w:val="000000"/>
        </w:rPr>
        <w:t>Division</w:t>
      </w:r>
      <w:r w:rsidR="00F00002">
        <w:rPr>
          <w:color w:val="000000"/>
        </w:rPr>
        <w:t> </w:t>
      </w:r>
      <w:r w:rsidRPr="00F00002">
        <w:rPr>
          <w:color w:val="000000"/>
        </w:rPr>
        <w:t>7.2 of the SIS Regulations; and</w:t>
      </w:r>
    </w:p>
    <w:p w:rsidR="00BB4501" w:rsidRPr="00F00002" w:rsidRDefault="00BB4501" w:rsidP="00D150ED">
      <w:pPr>
        <w:pStyle w:val="paragraph"/>
      </w:pPr>
      <w:r w:rsidRPr="00F00002">
        <w:tab/>
        <w:t>(b)</w:t>
      </w:r>
      <w:r w:rsidRPr="00F00002">
        <w:tab/>
        <w:t xml:space="preserve">is not assessable contributions under </w:t>
      </w:r>
      <w:r w:rsidR="00D150ED" w:rsidRPr="00F00002">
        <w:t>Subdivision</w:t>
      </w:r>
      <w:r w:rsidR="00F00002">
        <w:t> </w:t>
      </w:r>
      <w:r w:rsidRPr="00F00002">
        <w:t>295</w:t>
      </w:r>
      <w:r w:rsidR="00F00002">
        <w:noBreakHyphen/>
      </w:r>
      <w:r w:rsidRPr="00F00002">
        <w:t>C of the Act;</w:t>
      </w:r>
    </w:p>
    <w:p w:rsidR="00BB4501" w:rsidRPr="00F00002" w:rsidRDefault="00BB4501" w:rsidP="00D150ED">
      <w:pPr>
        <w:pStyle w:val="subsection2"/>
      </w:pPr>
      <w:r w:rsidRPr="00F00002">
        <w:rPr>
          <w:color w:val="000000"/>
        </w:rPr>
        <w:t>is to be treated as having been allocated by the superannuation provider in a way that is covered by paragraph</w:t>
      </w:r>
      <w:r w:rsidR="00F00002">
        <w:rPr>
          <w:color w:val="000000"/>
        </w:rPr>
        <w:t> </w:t>
      </w:r>
      <w:r w:rsidRPr="00F00002">
        <w:rPr>
          <w:color w:val="000000"/>
        </w:rPr>
        <w:t>292</w:t>
      </w:r>
      <w:r w:rsidR="00F00002">
        <w:rPr>
          <w:color w:val="000000"/>
        </w:rPr>
        <w:noBreakHyphen/>
      </w:r>
      <w:r w:rsidRPr="00F00002">
        <w:rPr>
          <w:color w:val="000000"/>
        </w:rPr>
        <w:t>90(4</w:t>
      </w:r>
      <w:r w:rsidR="00D150ED" w:rsidRPr="00F00002">
        <w:rPr>
          <w:color w:val="000000"/>
        </w:rPr>
        <w:t>)(</w:t>
      </w:r>
      <w:r w:rsidRPr="00F00002">
        <w:rPr>
          <w:color w:val="000000"/>
        </w:rPr>
        <w:t>a) of the Act.</w:t>
      </w:r>
    </w:p>
    <w:p w:rsidR="00BB4501" w:rsidRPr="00F00002" w:rsidRDefault="00BB4501" w:rsidP="00D150ED">
      <w:pPr>
        <w:pStyle w:val="subsection"/>
      </w:pPr>
      <w:r w:rsidRPr="00F00002">
        <w:tab/>
        <w:t>(3)</w:t>
      </w:r>
      <w:r w:rsidRPr="00F00002">
        <w:tab/>
        <w:t>Each of the following amounts is to be treated as not having been allocated by the superannuation provider in a way that is covered by paragraph</w:t>
      </w:r>
      <w:r w:rsidR="00F00002">
        <w:t> </w:t>
      </w:r>
      <w:r w:rsidRPr="00F00002">
        <w:t>292</w:t>
      </w:r>
      <w:r w:rsidR="00F00002">
        <w:noBreakHyphen/>
      </w:r>
      <w:r w:rsidRPr="00F00002">
        <w:t>90(4</w:t>
      </w:r>
      <w:r w:rsidR="00D150ED" w:rsidRPr="00F00002">
        <w:t>)(</w:t>
      </w:r>
      <w:r w:rsidRPr="00F00002">
        <w:t>a) of the Act, even if subregulation</w:t>
      </w:r>
      <w:r w:rsidR="00135C25" w:rsidRPr="00F00002">
        <w:t> </w:t>
      </w:r>
      <w:r w:rsidRPr="00F00002">
        <w:t>(2) would also apply to the amount:</w:t>
      </w:r>
    </w:p>
    <w:p w:rsidR="00BB4501" w:rsidRPr="00F00002" w:rsidRDefault="00BB4501" w:rsidP="00D150ED">
      <w:pPr>
        <w:pStyle w:val="paragraph"/>
      </w:pPr>
      <w:r w:rsidRPr="00F00002">
        <w:rPr>
          <w:color w:val="000000"/>
        </w:rPr>
        <w:tab/>
        <w:t>(a)</w:t>
      </w:r>
      <w:r w:rsidRPr="00F00002">
        <w:rPr>
          <w:color w:val="000000"/>
        </w:rPr>
        <w:tab/>
        <w:t>a Government co</w:t>
      </w:r>
      <w:r w:rsidR="00F00002">
        <w:rPr>
          <w:color w:val="000000"/>
        </w:rPr>
        <w:noBreakHyphen/>
      </w:r>
      <w:r w:rsidRPr="00F00002">
        <w:rPr>
          <w:color w:val="000000"/>
        </w:rPr>
        <w:t xml:space="preserve">contribution made under the </w:t>
      </w:r>
      <w:r w:rsidRPr="00F00002">
        <w:rPr>
          <w:i/>
          <w:color w:val="000000"/>
        </w:rPr>
        <w:t>Superannuation (Government Co</w:t>
      </w:r>
      <w:r w:rsidR="00F00002">
        <w:rPr>
          <w:i/>
          <w:color w:val="000000"/>
        </w:rPr>
        <w:noBreakHyphen/>
      </w:r>
      <w:r w:rsidRPr="00F00002">
        <w:rPr>
          <w:i/>
          <w:color w:val="000000"/>
        </w:rPr>
        <w:t>contribution for Low Income Earners) Act 2003</w:t>
      </w:r>
      <w:r w:rsidRPr="00F00002">
        <w:rPr>
          <w:color w:val="000000"/>
        </w:rPr>
        <w:t>;</w:t>
      </w:r>
    </w:p>
    <w:p w:rsidR="00BB4501" w:rsidRPr="00F00002" w:rsidRDefault="00BB4501" w:rsidP="00D150ED">
      <w:pPr>
        <w:pStyle w:val="paragraph"/>
      </w:pPr>
      <w:r w:rsidRPr="00F00002">
        <w:tab/>
        <w:t>(b)</w:t>
      </w:r>
      <w:r w:rsidRPr="00F00002">
        <w:tab/>
        <w:t>a contribution covered under section</w:t>
      </w:r>
      <w:r w:rsidR="00F00002">
        <w:t> </w:t>
      </w:r>
      <w:r w:rsidRPr="00F00002">
        <w:t>292</w:t>
      </w:r>
      <w:r w:rsidR="00F00002">
        <w:noBreakHyphen/>
      </w:r>
      <w:r w:rsidRPr="00F00002">
        <w:t>95 of the Act;</w:t>
      </w:r>
    </w:p>
    <w:p w:rsidR="00BB4501" w:rsidRPr="00F00002" w:rsidRDefault="00BB4501" w:rsidP="00D150ED">
      <w:pPr>
        <w:pStyle w:val="paragraph"/>
      </w:pPr>
      <w:r w:rsidRPr="00F00002">
        <w:tab/>
        <w:t>(c)</w:t>
      </w:r>
      <w:r w:rsidRPr="00F00002">
        <w:tab/>
        <w:t>a contribution covered under section</w:t>
      </w:r>
      <w:r w:rsidR="00F00002">
        <w:t> </w:t>
      </w:r>
      <w:r w:rsidRPr="00F00002">
        <w:t>292</w:t>
      </w:r>
      <w:r w:rsidR="00F00002">
        <w:noBreakHyphen/>
      </w:r>
      <w:r w:rsidRPr="00F00002">
        <w:t>100 of the Act, to the extent that it does not exceed the CGT cap amount when it is made;</w:t>
      </w:r>
    </w:p>
    <w:p w:rsidR="00BB4501" w:rsidRPr="00F00002" w:rsidRDefault="00BB4501" w:rsidP="00D150ED">
      <w:pPr>
        <w:pStyle w:val="paragraph"/>
      </w:pPr>
      <w:r w:rsidRPr="00F00002">
        <w:tab/>
        <w:t>(d)</w:t>
      </w:r>
      <w:r w:rsidRPr="00F00002">
        <w:tab/>
        <w:t>a contribution made to a constitutionally protected fund (other than a contribution included in the contributions segment of the member’s superannuation interest in the fund);</w:t>
      </w:r>
    </w:p>
    <w:p w:rsidR="00BB4501" w:rsidRPr="00F00002" w:rsidRDefault="00BB4501" w:rsidP="00D150ED">
      <w:pPr>
        <w:pStyle w:val="paragraph"/>
      </w:pPr>
      <w:r w:rsidRPr="00F00002">
        <w:tab/>
        <w:t>(e)</w:t>
      </w:r>
      <w:r w:rsidRPr="00F00002">
        <w:tab/>
        <w:t>contributions not included in the assessable income of the superannuation provider in relation to the superannuation plan because of a choice made under section</w:t>
      </w:r>
      <w:r w:rsidR="00F00002">
        <w:t> </w:t>
      </w:r>
      <w:r w:rsidRPr="00F00002">
        <w:t>295</w:t>
      </w:r>
      <w:r w:rsidR="00F00002">
        <w:noBreakHyphen/>
      </w:r>
      <w:r w:rsidRPr="00F00002">
        <w:t>180 of the Act;</w:t>
      </w:r>
    </w:p>
    <w:p w:rsidR="00BB4501" w:rsidRPr="00F00002" w:rsidRDefault="00BB4501" w:rsidP="00D150ED">
      <w:pPr>
        <w:pStyle w:val="paragraph"/>
      </w:pPr>
      <w:r w:rsidRPr="00F00002">
        <w:tab/>
        <w:t>(f)</w:t>
      </w:r>
      <w:r w:rsidRPr="00F00002">
        <w:tab/>
        <w:t>a contribution that is a roll</w:t>
      </w:r>
      <w:r w:rsidR="00F00002">
        <w:noBreakHyphen/>
      </w:r>
      <w:r w:rsidRPr="00F00002">
        <w:t>over superannuation benefit;</w:t>
      </w:r>
    </w:p>
    <w:p w:rsidR="00BB4501" w:rsidRPr="00F00002" w:rsidRDefault="00BB4501" w:rsidP="00D150ED">
      <w:pPr>
        <w:pStyle w:val="paragraph"/>
      </w:pPr>
      <w:r w:rsidRPr="00F00002">
        <w:tab/>
        <w:t>(g)</w:t>
      </w:r>
      <w:r w:rsidRPr="00F00002">
        <w:tab/>
        <w:t>the tax free component of a directed termination payment (within the meaning of section</w:t>
      </w:r>
      <w:r w:rsidR="00F00002">
        <w:t> </w:t>
      </w:r>
      <w:r w:rsidRPr="00F00002">
        <w:t>82</w:t>
      </w:r>
      <w:r w:rsidR="00F00002">
        <w:noBreakHyphen/>
      </w:r>
      <w:r w:rsidRPr="00F00002">
        <w:t xml:space="preserve">10F of the </w:t>
      </w:r>
      <w:r w:rsidRPr="00F00002">
        <w:rPr>
          <w:i/>
        </w:rPr>
        <w:t>Income Tax (Transitional Provisions) Act 1997</w:t>
      </w:r>
      <w:r w:rsidRPr="00F00002">
        <w:t>) made in the financial year on behalf of the member.</w:t>
      </w:r>
    </w:p>
    <w:p w:rsidR="00BB4501" w:rsidRPr="00F00002" w:rsidRDefault="00D150ED" w:rsidP="00D150ED">
      <w:pPr>
        <w:pStyle w:val="ActHead4"/>
      </w:pPr>
      <w:bookmarkStart w:id="66" w:name="_Toc31109650"/>
      <w:r w:rsidRPr="00A26088">
        <w:rPr>
          <w:rStyle w:val="CharSubdNo"/>
        </w:rPr>
        <w:t>Subdivision</w:t>
      </w:r>
      <w:r w:rsidR="00F00002" w:rsidRPr="00A26088">
        <w:rPr>
          <w:rStyle w:val="CharSubdNo"/>
        </w:rPr>
        <w:t> </w:t>
      </w:r>
      <w:r w:rsidR="00BB4501" w:rsidRPr="00A26088">
        <w:rPr>
          <w:rStyle w:val="CharSubdNo"/>
        </w:rPr>
        <w:t>292</w:t>
      </w:r>
      <w:r w:rsidR="00F00002" w:rsidRPr="00A26088">
        <w:rPr>
          <w:rStyle w:val="CharSubdNo"/>
        </w:rPr>
        <w:noBreakHyphen/>
      </w:r>
      <w:r w:rsidR="00BB4501" w:rsidRPr="00A26088">
        <w:rPr>
          <w:rStyle w:val="CharSubdNo"/>
        </w:rPr>
        <w:t>D</w:t>
      </w:r>
      <w:r w:rsidRPr="00F00002">
        <w:t>—</w:t>
      </w:r>
      <w:r w:rsidR="00BB4501" w:rsidRPr="00A26088">
        <w:rPr>
          <w:rStyle w:val="CharSubdText"/>
        </w:rPr>
        <w:t>Modifications for defined benefit interests</w:t>
      </w:r>
      <w:bookmarkEnd w:id="66"/>
    </w:p>
    <w:p w:rsidR="00BB4501" w:rsidRPr="00F00002" w:rsidRDefault="00BB4501" w:rsidP="00D150ED">
      <w:pPr>
        <w:pStyle w:val="ActHead5"/>
      </w:pPr>
      <w:bookmarkStart w:id="67" w:name="_Toc31109651"/>
      <w:r w:rsidRPr="00A26088">
        <w:rPr>
          <w:rStyle w:val="CharSectno"/>
        </w:rPr>
        <w:t>292</w:t>
      </w:r>
      <w:r w:rsidR="00F00002" w:rsidRPr="00A26088">
        <w:rPr>
          <w:rStyle w:val="CharSectno"/>
        </w:rPr>
        <w:noBreakHyphen/>
      </w:r>
      <w:r w:rsidRPr="00A26088">
        <w:rPr>
          <w:rStyle w:val="CharSectno"/>
        </w:rPr>
        <w:t>170.01</w:t>
      </w:r>
      <w:r w:rsidR="00D150ED" w:rsidRPr="00F00002">
        <w:t xml:space="preserve">  </w:t>
      </w:r>
      <w:r w:rsidRPr="00F00002">
        <w:t>Definitions</w:t>
      </w:r>
      <w:bookmarkEnd w:id="67"/>
    </w:p>
    <w:p w:rsidR="00BB4501" w:rsidRPr="00F00002" w:rsidRDefault="00BB4501" w:rsidP="00D150ED">
      <w:pPr>
        <w:pStyle w:val="subsection"/>
      </w:pPr>
      <w:r w:rsidRPr="00F00002">
        <w:tab/>
      </w:r>
      <w:r w:rsidRPr="00F00002">
        <w:tab/>
        <w:t>In this Subdivision:</w:t>
      </w:r>
    </w:p>
    <w:p w:rsidR="00BB4501" w:rsidRPr="00F00002" w:rsidRDefault="00BB4501" w:rsidP="00D150ED">
      <w:pPr>
        <w:pStyle w:val="Definition"/>
      </w:pPr>
      <w:r w:rsidRPr="00F00002">
        <w:rPr>
          <w:b/>
          <w:bCs/>
          <w:i/>
          <w:color w:val="000000"/>
        </w:rPr>
        <w:lastRenderedPageBreak/>
        <w:t>employer</w:t>
      </w:r>
      <w:r w:rsidR="00F00002">
        <w:rPr>
          <w:b/>
          <w:bCs/>
          <w:i/>
          <w:color w:val="000000"/>
        </w:rPr>
        <w:noBreakHyphen/>
      </w:r>
      <w:r w:rsidRPr="00F00002">
        <w:rPr>
          <w:b/>
          <w:bCs/>
          <w:i/>
          <w:color w:val="000000"/>
        </w:rPr>
        <w:t>sponsor</w:t>
      </w:r>
      <w:r w:rsidRPr="00F00002">
        <w:rPr>
          <w:bCs/>
          <w:color w:val="000000"/>
        </w:rPr>
        <w:t xml:space="preserve"> has the</w:t>
      </w:r>
      <w:r w:rsidRPr="00F00002">
        <w:rPr>
          <w:color w:val="000000"/>
        </w:rPr>
        <w:t xml:space="preserve"> meaning given by subsection</w:t>
      </w:r>
      <w:r w:rsidR="00F00002">
        <w:rPr>
          <w:color w:val="000000"/>
        </w:rPr>
        <w:t> </w:t>
      </w:r>
      <w:r w:rsidRPr="00F00002">
        <w:rPr>
          <w:color w:val="000000"/>
        </w:rPr>
        <w:t>16(1) of the SIS Act.</w:t>
      </w:r>
    </w:p>
    <w:p w:rsidR="00BB4501" w:rsidRPr="00F00002" w:rsidRDefault="00BB4501" w:rsidP="00D150ED">
      <w:pPr>
        <w:pStyle w:val="Definition"/>
      </w:pPr>
      <w:r w:rsidRPr="00F00002">
        <w:rPr>
          <w:b/>
          <w:i/>
        </w:rPr>
        <w:t>RSE licensee</w:t>
      </w:r>
      <w:r w:rsidRPr="00F00002">
        <w:t xml:space="preserve"> has the same meaning as in the SIS Act.</w:t>
      </w:r>
    </w:p>
    <w:p w:rsidR="00BB4501" w:rsidRPr="00F00002" w:rsidRDefault="00BB4501" w:rsidP="00D150ED">
      <w:pPr>
        <w:pStyle w:val="Definition"/>
      </w:pPr>
      <w:r w:rsidRPr="00F00002">
        <w:rPr>
          <w:b/>
          <w:i/>
        </w:rPr>
        <w:t>sub</w:t>
      </w:r>
      <w:r w:rsidR="00F00002">
        <w:rPr>
          <w:b/>
          <w:i/>
        </w:rPr>
        <w:noBreakHyphen/>
      </w:r>
      <w:r w:rsidRPr="00F00002">
        <w:rPr>
          <w:b/>
          <w:i/>
        </w:rPr>
        <w:t>fund</w:t>
      </w:r>
      <w:r w:rsidRPr="00F00002">
        <w:t>, in relation to a defined benefit member of a superannuation fund</w:t>
      </w:r>
      <w:r w:rsidRPr="00F00002">
        <w:rPr>
          <w:color w:val="000000"/>
        </w:rPr>
        <w:t xml:space="preserve">, means an arrangement in the fund which </w:t>
      </w:r>
      <w:r w:rsidRPr="00F00002">
        <w:t>satisfies the following conditions:</w:t>
      </w:r>
    </w:p>
    <w:p w:rsidR="00BB4501" w:rsidRPr="00F00002" w:rsidRDefault="00BB4501" w:rsidP="00D150ED">
      <w:pPr>
        <w:pStyle w:val="paragraph"/>
      </w:pPr>
      <w:r w:rsidRPr="00F00002">
        <w:tab/>
        <w:t>(a)</w:t>
      </w:r>
      <w:r w:rsidRPr="00F00002">
        <w:tab/>
        <w:t>there are separately identifiable assets and separately identifiable beneficiaries;</w:t>
      </w:r>
    </w:p>
    <w:p w:rsidR="00BB4501" w:rsidRPr="00F00002" w:rsidRDefault="00BB4501" w:rsidP="00D150ED">
      <w:pPr>
        <w:pStyle w:val="paragraph"/>
      </w:pPr>
      <w:r w:rsidRPr="00F00002">
        <w:tab/>
        <w:t>(b)</w:t>
      </w:r>
      <w:r w:rsidRPr="00F00002">
        <w:tab/>
        <w:t>the interest of each beneficiary is determined by reference only to the conditions governing that arrangement;</w:t>
      </w:r>
    </w:p>
    <w:p w:rsidR="00BB4501" w:rsidRPr="00F00002" w:rsidRDefault="00BB4501" w:rsidP="00D150ED">
      <w:pPr>
        <w:pStyle w:val="paragraph"/>
      </w:pPr>
      <w:r w:rsidRPr="00F00002">
        <w:tab/>
        <w:t>(c)</w:t>
      </w:r>
      <w:r w:rsidRPr="00F00002">
        <w:tab/>
        <w:t>all defined benefit members have the same employer</w:t>
      </w:r>
      <w:r w:rsidR="00F00002">
        <w:noBreakHyphen/>
      </w:r>
      <w:r w:rsidRPr="00F00002">
        <w:t>sponsor;</w:t>
      </w:r>
    </w:p>
    <w:p w:rsidR="00BB4501" w:rsidRPr="00F00002" w:rsidRDefault="00BB4501" w:rsidP="00D150ED">
      <w:pPr>
        <w:pStyle w:val="paragraph"/>
      </w:pPr>
      <w:r w:rsidRPr="00F00002">
        <w:tab/>
        <w:t>(d)</w:t>
      </w:r>
      <w:r w:rsidRPr="00F00002">
        <w:tab/>
        <w:t>the employer</w:t>
      </w:r>
      <w:r w:rsidR="00F00002">
        <w:noBreakHyphen/>
      </w:r>
      <w:r w:rsidRPr="00F00002">
        <w:t>sponsor deals with each of the defined benefit members at arm’s length.</w:t>
      </w:r>
    </w:p>
    <w:p w:rsidR="00BB4501" w:rsidRPr="00F00002" w:rsidRDefault="00BB4501" w:rsidP="00D150ED">
      <w:pPr>
        <w:pStyle w:val="Definition"/>
      </w:pPr>
      <w:r w:rsidRPr="00F00002">
        <w:rPr>
          <w:b/>
          <w:i/>
          <w:color w:val="000000"/>
        </w:rPr>
        <w:t>superannuation fund</w:t>
      </w:r>
      <w:r w:rsidRPr="00F00002">
        <w:rPr>
          <w:color w:val="000000"/>
        </w:rPr>
        <w:t xml:space="preserve"> includes a reference to a sub</w:t>
      </w:r>
      <w:r w:rsidR="00F00002">
        <w:rPr>
          <w:color w:val="000000"/>
        </w:rPr>
        <w:noBreakHyphen/>
      </w:r>
      <w:r w:rsidRPr="00F00002">
        <w:rPr>
          <w:color w:val="000000"/>
        </w:rPr>
        <w:t>fund relating to a defined benefit member or defined benefit members of the fund.</w:t>
      </w:r>
    </w:p>
    <w:p w:rsidR="00BB4501" w:rsidRPr="00F00002" w:rsidRDefault="00BB4501" w:rsidP="00D150ED">
      <w:pPr>
        <w:pStyle w:val="ActHead5"/>
      </w:pPr>
      <w:bookmarkStart w:id="68" w:name="_Toc31109652"/>
      <w:r w:rsidRPr="00A26088">
        <w:rPr>
          <w:rStyle w:val="CharSectno"/>
        </w:rPr>
        <w:t>292</w:t>
      </w:r>
      <w:r w:rsidR="00F00002" w:rsidRPr="00A26088">
        <w:rPr>
          <w:rStyle w:val="CharSectno"/>
        </w:rPr>
        <w:noBreakHyphen/>
      </w:r>
      <w:r w:rsidRPr="00A26088">
        <w:rPr>
          <w:rStyle w:val="CharSectno"/>
        </w:rPr>
        <w:t>170.02</w:t>
      </w:r>
      <w:r w:rsidR="00D150ED" w:rsidRPr="00F00002">
        <w:t xml:space="preserve">  </w:t>
      </w:r>
      <w:r w:rsidRPr="00F00002">
        <w:t>Notional taxed contributions</w:t>
      </w:r>
      <w:r w:rsidR="00D150ED" w:rsidRPr="00F00002">
        <w:t>—</w:t>
      </w:r>
      <w:r w:rsidRPr="00F00002">
        <w:t>contributions for funds with 5 or more defined benefit members</w:t>
      </w:r>
      <w:bookmarkEnd w:id="68"/>
    </w:p>
    <w:p w:rsidR="00BB4501" w:rsidRPr="00F00002" w:rsidRDefault="00BB4501" w:rsidP="00D150ED">
      <w:pPr>
        <w:pStyle w:val="subsection"/>
      </w:pPr>
      <w:r w:rsidRPr="00F00002">
        <w:tab/>
        <w:t>(1)</w:t>
      </w:r>
      <w:r w:rsidRPr="00F00002">
        <w:tab/>
        <w:t>For subsection</w:t>
      </w:r>
      <w:r w:rsidR="00F00002">
        <w:t> </w:t>
      </w:r>
      <w:r w:rsidRPr="00F00002">
        <w:t>292</w:t>
      </w:r>
      <w:r w:rsidR="00F00002">
        <w:noBreakHyphen/>
      </w:r>
      <w:r w:rsidRPr="00F00002">
        <w:t xml:space="preserve">170(1) of the Act, this regulation explains the meaning of </w:t>
      </w:r>
      <w:r w:rsidRPr="00F00002">
        <w:rPr>
          <w:b/>
          <w:i/>
        </w:rPr>
        <w:t>notional taxed contributions</w:t>
      </w:r>
      <w:r w:rsidRPr="00F00002">
        <w:t xml:space="preserve"> for a financial year in respect of the defined benefit interest of a member of a superannuation fund:</w:t>
      </w:r>
    </w:p>
    <w:p w:rsidR="00BB4501" w:rsidRPr="00F00002" w:rsidRDefault="00BB4501" w:rsidP="00D150ED">
      <w:pPr>
        <w:pStyle w:val="paragraph"/>
      </w:pPr>
      <w:r w:rsidRPr="00F00002">
        <w:rPr>
          <w:color w:val="000000"/>
        </w:rPr>
        <w:tab/>
        <w:t>(a)</w:t>
      </w:r>
      <w:r w:rsidRPr="00F00002">
        <w:rPr>
          <w:color w:val="000000"/>
        </w:rPr>
        <w:tab/>
        <w:t>that has 5 or more defined benefit members; or</w:t>
      </w:r>
    </w:p>
    <w:p w:rsidR="00BB4501" w:rsidRPr="00F00002" w:rsidRDefault="00BB4501" w:rsidP="00D150ED">
      <w:pPr>
        <w:pStyle w:val="paragraph"/>
      </w:pPr>
      <w:r w:rsidRPr="00F00002">
        <w:tab/>
        <w:t>(b)</w:t>
      </w:r>
      <w:r w:rsidRPr="00F00002">
        <w:tab/>
        <w:t>to which subregulation</w:t>
      </w:r>
      <w:r w:rsidR="00135C25" w:rsidRPr="00F00002">
        <w:t> </w:t>
      </w:r>
      <w:r w:rsidRPr="00F00002">
        <w:t>(3), (4), (5) or (6) applies.</w:t>
      </w:r>
    </w:p>
    <w:p w:rsidR="00BB4501" w:rsidRPr="00F00002" w:rsidRDefault="00BB4501" w:rsidP="00D150ED">
      <w:pPr>
        <w:pStyle w:val="subsection"/>
      </w:pPr>
      <w:r w:rsidRPr="00F00002">
        <w:rPr>
          <w:color w:val="000000"/>
        </w:rPr>
        <w:tab/>
        <w:t>(2)</w:t>
      </w:r>
      <w:r w:rsidRPr="00F00002">
        <w:rPr>
          <w:color w:val="000000"/>
        </w:rPr>
        <w:tab/>
        <w:t xml:space="preserve">The notional taxed contributions are the contributions that are determined by the trustee to be notional taxed contributions, using the method set out in </w:t>
      </w:r>
      <w:r w:rsidR="00D150ED" w:rsidRPr="00F00002">
        <w:rPr>
          <w:color w:val="000000"/>
        </w:rPr>
        <w:t>Schedule</w:t>
      </w:r>
      <w:r w:rsidR="00F00002">
        <w:rPr>
          <w:color w:val="000000"/>
        </w:rPr>
        <w:t> </w:t>
      </w:r>
      <w:r w:rsidRPr="00F00002">
        <w:rPr>
          <w:color w:val="000000"/>
        </w:rPr>
        <w:t>1A.</w:t>
      </w:r>
    </w:p>
    <w:p w:rsidR="00BB4501" w:rsidRPr="00F00002" w:rsidRDefault="00BB4501" w:rsidP="00D150ED">
      <w:pPr>
        <w:pStyle w:val="subsection"/>
      </w:pPr>
      <w:r w:rsidRPr="00F00002">
        <w:tab/>
        <w:t>(3)</w:t>
      </w:r>
      <w:r w:rsidRPr="00F00002">
        <w:tab/>
        <w:t>If a superannuation fund has 5 or more defined benefit members on 1</w:t>
      </w:r>
      <w:r w:rsidR="00F00002">
        <w:t> </w:t>
      </w:r>
      <w:r w:rsidRPr="00F00002">
        <w:t>July 2007, subregulation</w:t>
      </w:r>
      <w:r w:rsidR="00135C25" w:rsidRPr="00F00002">
        <w:t> </w:t>
      </w:r>
      <w:r w:rsidRPr="00F00002">
        <w:t>(2) is taken to continue to apply in relation to the fund even if the number of defined benefit members of the fund becomes less than 5 at any time on or after 1</w:t>
      </w:r>
      <w:r w:rsidR="00F00002">
        <w:t> </w:t>
      </w:r>
      <w:r w:rsidRPr="00F00002">
        <w:t>July 2007.</w:t>
      </w:r>
    </w:p>
    <w:p w:rsidR="00BB4501" w:rsidRPr="00F00002" w:rsidRDefault="00BB4501" w:rsidP="00D150ED">
      <w:pPr>
        <w:pStyle w:val="subsection"/>
      </w:pPr>
      <w:r w:rsidRPr="00F00002">
        <w:tab/>
        <w:t>(4)</w:t>
      </w:r>
      <w:r w:rsidRPr="00F00002">
        <w:tab/>
        <w:t>If:</w:t>
      </w:r>
    </w:p>
    <w:p w:rsidR="00BB4501" w:rsidRPr="00F00002" w:rsidRDefault="00BB4501" w:rsidP="00D150ED">
      <w:pPr>
        <w:pStyle w:val="paragraph"/>
      </w:pPr>
      <w:r w:rsidRPr="00F00002">
        <w:rPr>
          <w:color w:val="000000"/>
        </w:rPr>
        <w:tab/>
        <w:t>(a)</w:t>
      </w:r>
      <w:r w:rsidRPr="00F00002">
        <w:rPr>
          <w:color w:val="000000"/>
        </w:rPr>
        <w:tab/>
        <w:t>a superannuation fund had 5 or more defined benefit members at any time before 1</w:t>
      </w:r>
      <w:r w:rsidR="00F00002">
        <w:rPr>
          <w:color w:val="000000"/>
        </w:rPr>
        <w:t> </w:t>
      </w:r>
      <w:r w:rsidRPr="00F00002">
        <w:rPr>
          <w:color w:val="000000"/>
        </w:rPr>
        <w:t>July 2007; and</w:t>
      </w:r>
    </w:p>
    <w:p w:rsidR="00BB4501" w:rsidRPr="00F00002" w:rsidRDefault="00BB4501" w:rsidP="00D150ED">
      <w:pPr>
        <w:pStyle w:val="paragraph"/>
      </w:pPr>
      <w:r w:rsidRPr="00F00002">
        <w:tab/>
        <w:t>(b)</w:t>
      </w:r>
      <w:r w:rsidRPr="00F00002">
        <w:tab/>
        <w:t>the fund had fewer than 5 defined benefit members on 1</w:t>
      </w:r>
      <w:r w:rsidR="00F00002">
        <w:t> </w:t>
      </w:r>
      <w:r w:rsidRPr="00F00002">
        <w:t>July 2007; and</w:t>
      </w:r>
    </w:p>
    <w:p w:rsidR="00BB4501" w:rsidRPr="00F00002" w:rsidRDefault="00BB4501" w:rsidP="00D150ED">
      <w:pPr>
        <w:pStyle w:val="paragraph"/>
      </w:pPr>
      <w:r w:rsidRPr="00F00002">
        <w:tab/>
        <w:t>(c)</w:t>
      </w:r>
      <w:r w:rsidRPr="00F00002">
        <w:tab/>
        <w:t>the fund had been in existence for 5 or more years at 1</w:t>
      </w:r>
      <w:r w:rsidR="00F00002">
        <w:t> </w:t>
      </w:r>
      <w:r w:rsidRPr="00F00002">
        <w:t>July 2007; and</w:t>
      </w:r>
    </w:p>
    <w:p w:rsidR="00BB4501" w:rsidRPr="00F00002" w:rsidRDefault="00BB4501" w:rsidP="00D150ED">
      <w:pPr>
        <w:pStyle w:val="paragraph"/>
      </w:pPr>
      <w:r w:rsidRPr="00F00002">
        <w:tab/>
        <w:t>(d)</w:t>
      </w:r>
      <w:r w:rsidRPr="00F00002">
        <w:tab/>
        <w:t>the trustee of the fund is an RSE licensee; and</w:t>
      </w:r>
    </w:p>
    <w:p w:rsidR="00BB4501" w:rsidRPr="00F00002" w:rsidRDefault="00BB4501" w:rsidP="00D150ED">
      <w:pPr>
        <w:pStyle w:val="paragraph"/>
      </w:pPr>
      <w:r w:rsidRPr="00F00002">
        <w:tab/>
        <w:t>(e)</w:t>
      </w:r>
      <w:r w:rsidRPr="00F00002">
        <w:tab/>
        <w:t>the employer</w:t>
      </w:r>
      <w:r w:rsidR="00F00002">
        <w:noBreakHyphen/>
      </w:r>
      <w:r w:rsidRPr="00F00002">
        <w:t>sponsor deals with each of the defined benefit members at arm’s length;</w:t>
      </w:r>
    </w:p>
    <w:p w:rsidR="00BB4501" w:rsidRPr="00F00002" w:rsidRDefault="00BB4501" w:rsidP="00D150ED">
      <w:pPr>
        <w:pStyle w:val="subsection2"/>
      </w:pPr>
      <w:r w:rsidRPr="00F00002">
        <w:rPr>
          <w:color w:val="000000"/>
        </w:rPr>
        <w:t>subregulation</w:t>
      </w:r>
      <w:r w:rsidR="00135C25" w:rsidRPr="00F00002">
        <w:rPr>
          <w:color w:val="000000"/>
        </w:rPr>
        <w:t> </w:t>
      </w:r>
      <w:r w:rsidRPr="00F00002">
        <w:rPr>
          <w:color w:val="000000"/>
        </w:rPr>
        <w:t>(2) is taken to apply in relation to the fund.</w:t>
      </w:r>
    </w:p>
    <w:p w:rsidR="00BB4501" w:rsidRPr="00F00002" w:rsidRDefault="00BB4501" w:rsidP="00D150ED">
      <w:pPr>
        <w:pStyle w:val="subsection"/>
      </w:pPr>
      <w:r w:rsidRPr="00F00002">
        <w:tab/>
        <w:t>(5)</w:t>
      </w:r>
      <w:r w:rsidRPr="00F00002">
        <w:tab/>
        <w:t>If:</w:t>
      </w:r>
    </w:p>
    <w:p w:rsidR="00BB4501" w:rsidRPr="00F00002" w:rsidRDefault="00BB4501" w:rsidP="00D150ED">
      <w:pPr>
        <w:pStyle w:val="paragraph"/>
      </w:pPr>
      <w:r w:rsidRPr="00F00002">
        <w:lastRenderedPageBreak/>
        <w:tab/>
        <w:t>(a)</w:t>
      </w:r>
      <w:r w:rsidRPr="00F00002">
        <w:tab/>
        <w:t>a superannuation fund (</w:t>
      </w:r>
      <w:r w:rsidRPr="00F00002">
        <w:rPr>
          <w:b/>
          <w:i/>
        </w:rPr>
        <w:t>fund 1</w:t>
      </w:r>
      <w:r w:rsidRPr="00F00002">
        <w:t>) satisfies the conditions in subregulation</w:t>
      </w:r>
      <w:r w:rsidR="00135C25" w:rsidRPr="00F00002">
        <w:t> </w:t>
      </w:r>
      <w:r w:rsidRPr="00F00002">
        <w:t>(3) or (4); and</w:t>
      </w:r>
    </w:p>
    <w:p w:rsidR="00BB4501" w:rsidRPr="00F00002" w:rsidRDefault="00BB4501" w:rsidP="00D150ED">
      <w:pPr>
        <w:pStyle w:val="paragraph"/>
      </w:pPr>
      <w:r w:rsidRPr="00F00002">
        <w:tab/>
        <w:t>(b)</w:t>
      </w:r>
      <w:r w:rsidRPr="00F00002">
        <w:tab/>
        <w:t>the defined benefit members of the fund are transferred to another fund (</w:t>
      </w:r>
      <w:r w:rsidRPr="00F00002">
        <w:rPr>
          <w:b/>
          <w:i/>
        </w:rPr>
        <w:t>fund 2</w:t>
      </w:r>
      <w:r w:rsidRPr="00F00002">
        <w:t>) on or after 1</w:t>
      </w:r>
      <w:r w:rsidR="00F00002">
        <w:t> </w:t>
      </w:r>
      <w:r w:rsidRPr="00F00002">
        <w:t>July 2007 (whether directly or through a series of transfers between superannuation funds); and</w:t>
      </w:r>
    </w:p>
    <w:p w:rsidR="00BB4501" w:rsidRPr="00F00002" w:rsidRDefault="00BB4501" w:rsidP="00D150ED">
      <w:pPr>
        <w:pStyle w:val="paragraph"/>
      </w:pPr>
      <w:r w:rsidRPr="00F00002">
        <w:rPr>
          <w:color w:val="000000"/>
        </w:rPr>
        <w:tab/>
      </w:r>
      <w:r w:rsidRPr="00F00002">
        <w:t>(c)</w:t>
      </w:r>
      <w:r w:rsidRPr="00F00002">
        <w:tab/>
        <w:t>the trustee of fund 2 is an RSE licensee; and</w:t>
      </w:r>
    </w:p>
    <w:p w:rsidR="00BB4501" w:rsidRPr="00F00002" w:rsidRDefault="00BB4501" w:rsidP="00D150ED">
      <w:pPr>
        <w:pStyle w:val="paragraph"/>
        <w:rPr>
          <w:color w:val="000000"/>
        </w:rPr>
      </w:pPr>
      <w:r w:rsidRPr="00F00002">
        <w:rPr>
          <w:color w:val="000000"/>
        </w:rPr>
        <w:tab/>
      </w:r>
      <w:r w:rsidRPr="00F00002">
        <w:t>(d)</w:t>
      </w:r>
      <w:r w:rsidRPr="00F00002">
        <w:tab/>
        <w:t>the employer</w:t>
      </w:r>
      <w:r w:rsidR="00F00002">
        <w:noBreakHyphen/>
      </w:r>
      <w:r w:rsidRPr="00F00002">
        <w:t>sponsor deals with each of the defined benefit members of fund 2 at arm’s length;</w:t>
      </w:r>
    </w:p>
    <w:p w:rsidR="00BB4501" w:rsidRPr="00F00002" w:rsidRDefault="00BB4501" w:rsidP="00D150ED">
      <w:pPr>
        <w:pStyle w:val="subsection2"/>
      </w:pPr>
      <w:r w:rsidRPr="00F00002">
        <w:t>subregulation</w:t>
      </w:r>
      <w:r w:rsidR="00135C25" w:rsidRPr="00F00002">
        <w:t> </w:t>
      </w:r>
      <w:r w:rsidRPr="00F00002">
        <w:t>(2) is taken to apply in relation to fund 2.</w:t>
      </w:r>
    </w:p>
    <w:p w:rsidR="00BB4501" w:rsidRPr="00F00002" w:rsidRDefault="00BB4501" w:rsidP="00D150ED">
      <w:pPr>
        <w:pStyle w:val="subsection"/>
      </w:pPr>
      <w:r w:rsidRPr="00F00002">
        <w:tab/>
        <w:t>(6)</w:t>
      </w:r>
      <w:r w:rsidRPr="00F00002">
        <w:tab/>
        <w:t>If:</w:t>
      </w:r>
    </w:p>
    <w:p w:rsidR="00BB4501" w:rsidRPr="00F00002" w:rsidRDefault="00BB4501" w:rsidP="00D150ED">
      <w:pPr>
        <w:pStyle w:val="paragraph"/>
      </w:pPr>
      <w:r w:rsidRPr="00F00002">
        <w:rPr>
          <w:color w:val="000000"/>
        </w:rPr>
        <w:tab/>
        <w:t>(a)</w:t>
      </w:r>
      <w:r w:rsidRPr="00F00002">
        <w:rPr>
          <w:color w:val="000000"/>
        </w:rPr>
        <w:tab/>
        <w:t>a superannuation fund has no defined benefit members on 30</w:t>
      </w:r>
      <w:r w:rsidR="00F00002">
        <w:rPr>
          <w:color w:val="000000"/>
        </w:rPr>
        <w:t> </w:t>
      </w:r>
      <w:r w:rsidRPr="00F00002">
        <w:rPr>
          <w:color w:val="000000"/>
        </w:rPr>
        <w:t>June 2007; and</w:t>
      </w:r>
    </w:p>
    <w:p w:rsidR="00BB4501" w:rsidRPr="00F00002" w:rsidRDefault="00BB4501" w:rsidP="00D150ED">
      <w:pPr>
        <w:pStyle w:val="paragraph"/>
      </w:pPr>
      <w:r w:rsidRPr="00F00002">
        <w:tab/>
        <w:t>(b)</w:t>
      </w:r>
      <w:r w:rsidRPr="00F00002">
        <w:tab/>
        <w:t>a person becomes a defined benefit member of the fund after that date;</w:t>
      </w:r>
    </w:p>
    <w:p w:rsidR="00BB4501" w:rsidRPr="00F00002" w:rsidRDefault="00BB4501" w:rsidP="00D150ED">
      <w:pPr>
        <w:pStyle w:val="subsection2"/>
      </w:pPr>
      <w:r w:rsidRPr="00F00002">
        <w:t>subregulation</w:t>
      </w:r>
      <w:r w:rsidR="00135C25" w:rsidRPr="00F00002">
        <w:t> </w:t>
      </w:r>
      <w:r w:rsidRPr="00F00002">
        <w:t>(2) is taken not to apply in relation to the fund unless the number of defined benefit members (including the person) is at least 50 and the employer</w:t>
      </w:r>
      <w:r w:rsidR="00F00002">
        <w:noBreakHyphen/>
      </w:r>
      <w:r w:rsidRPr="00F00002">
        <w:t>sponsor of the fund deals with each of the defined benefit members at arm’s length.</w:t>
      </w:r>
    </w:p>
    <w:p w:rsidR="00BB4501" w:rsidRPr="00F00002" w:rsidRDefault="00BB4501" w:rsidP="00D150ED">
      <w:pPr>
        <w:pStyle w:val="ActHead5"/>
      </w:pPr>
      <w:bookmarkStart w:id="69" w:name="_Toc31109653"/>
      <w:r w:rsidRPr="00A26088">
        <w:rPr>
          <w:rStyle w:val="CharSectno"/>
        </w:rPr>
        <w:t>292</w:t>
      </w:r>
      <w:r w:rsidR="00F00002" w:rsidRPr="00A26088">
        <w:rPr>
          <w:rStyle w:val="CharSectno"/>
        </w:rPr>
        <w:noBreakHyphen/>
      </w:r>
      <w:r w:rsidRPr="00A26088">
        <w:rPr>
          <w:rStyle w:val="CharSectno"/>
        </w:rPr>
        <w:t>170.03</w:t>
      </w:r>
      <w:r w:rsidR="00D150ED" w:rsidRPr="00F00002">
        <w:t xml:space="preserve">  </w:t>
      </w:r>
      <w:r w:rsidRPr="00F00002">
        <w:t>Notional taxed contributions</w:t>
      </w:r>
      <w:r w:rsidR="00D150ED" w:rsidRPr="00F00002">
        <w:t>—</w:t>
      </w:r>
      <w:r w:rsidRPr="00F00002">
        <w:t>contributions for funds where regulation</w:t>
      </w:r>
      <w:r w:rsidR="00F00002">
        <w:t> </w:t>
      </w:r>
      <w:r w:rsidRPr="00F00002">
        <w:t>292</w:t>
      </w:r>
      <w:r w:rsidR="00F00002">
        <w:noBreakHyphen/>
      </w:r>
      <w:r w:rsidRPr="00F00002">
        <w:t>170.02 does not apply</w:t>
      </w:r>
      <w:bookmarkEnd w:id="69"/>
    </w:p>
    <w:p w:rsidR="00BB4501" w:rsidRPr="00F00002" w:rsidRDefault="00BB4501" w:rsidP="00D150ED">
      <w:pPr>
        <w:pStyle w:val="subsection"/>
      </w:pPr>
      <w:r w:rsidRPr="00F00002">
        <w:tab/>
        <w:t>(1)</w:t>
      </w:r>
      <w:r w:rsidRPr="00F00002">
        <w:tab/>
        <w:t>For subsection</w:t>
      </w:r>
      <w:r w:rsidR="00F00002">
        <w:t> </w:t>
      </w:r>
      <w:r w:rsidRPr="00F00002">
        <w:t>292</w:t>
      </w:r>
      <w:r w:rsidR="00F00002">
        <w:noBreakHyphen/>
      </w:r>
      <w:r w:rsidRPr="00F00002">
        <w:t xml:space="preserve">170(1) of the Act, this regulation explains the meaning of </w:t>
      </w:r>
      <w:r w:rsidRPr="00F00002">
        <w:rPr>
          <w:b/>
          <w:i/>
        </w:rPr>
        <w:t>notional taxed contributions</w:t>
      </w:r>
      <w:r w:rsidRPr="00F00002">
        <w:t xml:space="preserve"> for a financial year in respect of the defined benefit interest of a member of a superannuation fund if regulation</w:t>
      </w:r>
      <w:r w:rsidR="00F00002">
        <w:t> </w:t>
      </w:r>
      <w:r w:rsidRPr="00F00002">
        <w:t>292</w:t>
      </w:r>
      <w:r w:rsidR="00F00002">
        <w:noBreakHyphen/>
      </w:r>
      <w:r w:rsidRPr="00F00002">
        <w:t>170.02 does not apply.</w:t>
      </w:r>
    </w:p>
    <w:p w:rsidR="00BB4501" w:rsidRPr="00F00002" w:rsidRDefault="00BB4501" w:rsidP="00D150ED">
      <w:pPr>
        <w:pStyle w:val="subsection"/>
      </w:pPr>
      <w:r w:rsidRPr="00F00002">
        <w:tab/>
        <w:t>(2)</w:t>
      </w:r>
      <w:r w:rsidRPr="00F00002">
        <w:tab/>
        <w:t>If the trustee receives a contribution in a month, the trustee must allocate the contribution to a member of the fund:</w:t>
      </w:r>
    </w:p>
    <w:p w:rsidR="00BB4501" w:rsidRPr="00F00002" w:rsidRDefault="00BB4501" w:rsidP="00D150ED">
      <w:pPr>
        <w:pStyle w:val="paragraph"/>
      </w:pPr>
      <w:r w:rsidRPr="00F00002">
        <w:rPr>
          <w:color w:val="000000"/>
        </w:rPr>
        <w:tab/>
        <w:t>(a)</w:t>
      </w:r>
      <w:r w:rsidRPr="00F00002">
        <w:rPr>
          <w:color w:val="000000"/>
        </w:rPr>
        <w:tab/>
        <w:t>within 28 days after the end of the month; or</w:t>
      </w:r>
    </w:p>
    <w:p w:rsidR="00BB4501" w:rsidRPr="00F00002" w:rsidRDefault="00BB4501" w:rsidP="00D150ED">
      <w:pPr>
        <w:pStyle w:val="paragraph"/>
      </w:pPr>
      <w:r w:rsidRPr="00F00002">
        <w:tab/>
        <w:t>(b)</w:t>
      </w:r>
      <w:r w:rsidRPr="00F00002">
        <w:tab/>
        <w:t xml:space="preserve">if it is not reasonably practicable to comply with </w:t>
      </w:r>
      <w:r w:rsidR="00F00002">
        <w:t>paragraph (</w:t>
      </w:r>
      <w:r w:rsidRPr="00F00002">
        <w:t>a)</w:t>
      </w:r>
      <w:r w:rsidR="00D150ED" w:rsidRPr="00F00002">
        <w:t>—</w:t>
      </w:r>
      <w:r w:rsidRPr="00F00002">
        <w:t>within a longer period that is reasonable in the circumstances.</w:t>
      </w:r>
    </w:p>
    <w:p w:rsidR="00BB4501" w:rsidRPr="00F00002" w:rsidRDefault="00BB4501" w:rsidP="00D150ED">
      <w:pPr>
        <w:pStyle w:val="subsection"/>
      </w:pPr>
      <w:r w:rsidRPr="00F00002">
        <w:rPr>
          <w:color w:val="000000"/>
        </w:rPr>
        <w:tab/>
        <w:t>(3)</w:t>
      </w:r>
      <w:r w:rsidRPr="00F00002">
        <w:rPr>
          <w:color w:val="000000"/>
        </w:rPr>
        <w:tab/>
        <w:t>For subregulation</w:t>
      </w:r>
      <w:r w:rsidR="00135C25" w:rsidRPr="00F00002">
        <w:rPr>
          <w:color w:val="000000"/>
        </w:rPr>
        <w:t> </w:t>
      </w:r>
      <w:r w:rsidRPr="00F00002">
        <w:rPr>
          <w:color w:val="000000"/>
        </w:rPr>
        <w:t>(2), the trustee must allocate the contribution having regard to the present and prospective liabilities of the fund to its members.</w:t>
      </w:r>
    </w:p>
    <w:p w:rsidR="00BB4501" w:rsidRPr="00F00002" w:rsidRDefault="00BB4501" w:rsidP="00D150ED">
      <w:pPr>
        <w:pStyle w:val="subsection"/>
      </w:pPr>
      <w:r w:rsidRPr="00F00002">
        <w:tab/>
        <w:t>(4)</w:t>
      </w:r>
      <w:r w:rsidRPr="00F00002">
        <w:tab/>
        <w:t xml:space="preserve">The notional taxed contributions are the amounts of assessable contributions under </w:t>
      </w:r>
      <w:r w:rsidR="00D150ED" w:rsidRPr="00F00002">
        <w:t>Subdivision</w:t>
      </w:r>
      <w:r w:rsidR="00F00002">
        <w:t> </w:t>
      </w:r>
      <w:r w:rsidRPr="00F00002">
        <w:t>295</w:t>
      </w:r>
      <w:r w:rsidR="00F00002">
        <w:noBreakHyphen/>
      </w:r>
      <w:r w:rsidRPr="00F00002">
        <w:t>C of the Act which have been allocated to the member in the financial year.</w:t>
      </w:r>
    </w:p>
    <w:p w:rsidR="00BB4501" w:rsidRPr="00F00002" w:rsidRDefault="00BB4501" w:rsidP="00D150ED">
      <w:pPr>
        <w:pStyle w:val="subsection"/>
      </w:pPr>
      <w:r w:rsidRPr="00F00002">
        <w:tab/>
        <w:t>(5)</w:t>
      </w:r>
      <w:r w:rsidRPr="00F00002">
        <w:tab/>
        <w:t xml:space="preserve">An amount that is allocated from a reserve is to be treated as having been allocated by the superannuation provider in a way that is covered by </w:t>
      </w:r>
      <w:r w:rsidR="003A37E0" w:rsidRPr="00F00002">
        <w:t>subsection</w:t>
      </w:r>
      <w:r w:rsidR="00F00002">
        <w:t> </w:t>
      </w:r>
      <w:r w:rsidR="003A37E0" w:rsidRPr="00F00002">
        <w:t>291</w:t>
      </w:r>
      <w:r w:rsidR="00F00002">
        <w:noBreakHyphen/>
      </w:r>
      <w:r w:rsidR="003A37E0" w:rsidRPr="00F00002">
        <w:t>25(3)</w:t>
      </w:r>
      <w:r w:rsidRPr="00F00002">
        <w:t xml:space="preserve"> of the Act unless:</w:t>
      </w:r>
    </w:p>
    <w:p w:rsidR="00BB4501" w:rsidRPr="00F00002" w:rsidRDefault="00BB4501" w:rsidP="00D150ED">
      <w:pPr>
        <w:pStyle w:val="paragraph"/>
      </w:pPr>
      <w:r w:rsidRPr="00F00002">
        <w:tab/>
        <w:t>(a)</w:t>
      </w:r>
      <w:r w:rsidRPr="00F00002">
        <w:tab/>
        <w:t xml:space="preserve">the amount is allocated from a reserve used solely for the purpose of enabling the fund to discharge all or part of its liabilities (contingent or </w:t>
      </w:r>
      <w:r w:rsidRPr="00F00002">
        <w:lastRenderedPageBreak/>
        <w:t>not), as soon as they become due, in respect of superannuation income stream benefits that are payable by the fund at that time; and</w:t>
      </w:r>
    </w:p>
    <w:p w:rsidR="00BB4501" w:rsidRPr="00F00002" w:rsidRDefault="00BB4501" w:rsidP="00D150ED">
      <w:pPr>
        <w:pStyle w:val="paragraph"/>
      </w:pPr>
      <w:r w:rsidRPr="00F00002">
        <w:tab/>
        <w:t>(b)</w:t>
      </w:r>
      <w:r w:rsidRPr="00F00002">
        <w:tab/>
        <w:t>any of the following applies:</w:t>
      </w:r>
    </w:p>
    <w:p w:rsidR="00BB4501" w:rsidRPr="00F00002" w:rsidRDefault="00BB4501" w:rsidP="00D150ED">
      <w:pPr>
        <w:pStyle w:val="paragraphsub"/>
      </w:pPr>
      <w:r w:rsidRPr="00F00002">
        <w:rPr>
          <w:color w:val="000000"/>
        </w:rPr>
        <w:tab/>
        <w:t>(i)</w:t>
      </w:r>
      <w:r w:rsidRPr="00F00002">
        <w:rPr>
          <w:color w:val="000000"/>
        </w:rPr>
        <w:tab/>
        <w:t xml:space="preserve">the amount has been </w:t>
      </w:r>
      <w:r w:rsidRPr="00F00002">
        <w:t>allocated to satisfy a pension liability of the plan paid during the financial year;</w:t>
      </w:r>
    </w:p>
    <w:p w:rsidR="00BB4501" w:rsidRPr="00F00002" w:rsidRDefault="00BB4501" w:rsidP="00D150ED">
      <w:pPr>
        <w:pStyle w:val="paragraphsub"/>
      </w:pPr>
      <w:r w:rsidRPr="00F00002">
        <w:tab/>
        <w:t>(ii)</w:t>
      </w:r>
      <w:r w:rsidRPr="00F00002">
        <w:tab/>
        <w:t>on the commutation of the income stream, except as a result of the death of the primary beneficiary, the amount is allocated to the recipient of the income stream, to commence another income stream, as soon as practicable;</w:t>
      </w:r>
    </w:p>
    <w:p w:rsidR="00BB4501" w:rsidRPr="00F00002" w:rsidRDefault="00BB4501" w:rsidP="00D150ED">
      <w:pPr>
        <w:pStyle w:val="paragraphsub"/>
      </w:pPr>
      <w:r w:rsidRPr="00F00002">
        <w:tab/>
        <w:t>(iii)</w:t>
      </w:r>
      <w:r w:rsidRPr="00F00002">
        <w:tab/>
        <w:t>on the commutation of the income stream as a result of the death of the primary beneficiary, the amount:</w:t>
      </w:r>
    </w:p>
    <w:p w:rsidR="00BB4501" w:rsidRPr="00F00002" w:rsidRDefault="00BB4501" w:rsidP="00D150ED">
      <w:pPr>
        <w:pStyle w:val="paragraphsub-sub"/>
      </w:pPr>
      <w:r w:rsidRPr="00F00002">
        <w:rPr>
          <w:color w:val="000000"/>
        </w:rPr>
        <w:tab/>
        <w:t>(A)</w:t>
      </w:r>
      <w:r w:rsidRPr="00F00002">
        <w:rPr>
          <w:color w:val="000000"/>
        </w:rPr>
        <w:tab/>
      </w:r>
      <w:r w:rsidRPr="00F00002">
        <w:t>is allocated to a death benefits dependant to discharge liabilities in respect of a superannuation income stream benefit that is payable by the plan as a result of the death; or</w:t>
      </w:r>
    </w:p>
    <w:p w:rsidR="00BB4501" w:rsidRPr="00F00002" w:rsidRDefault="00BB4501" w:rsidP="00D150ED">
      <w:pPr>
        <w:pStyle w:val="paragraphsub-sub"/>
        <w:rPr>
          <w:color w:val="000000"/>
        </w:rPr>
      </w:pPr>
      <w:r w:rsidRPr="00F00002">
        <w:tab/>
        <w:t>(B)</w:t>
      </w:r>
      <w:r w:rsidRPr="00F00002">
        <w:tab/>
        <w:t xml:space="preserve">if </w:t>
      </w:r>
      <w:r w:rsidR="00F00002">
        <w:t>sub</w:t>
      </w:r>
      <w:r w:rsidR="00F00002">
        <w:noBreakHyphen/>
        <w:t>subparagraph (</w:t>
      </w:r>
      <w:r w:rsidRPr="00F00002">
        <w:t>A) does not apply</w:t>
      </w:r>
      <w:r w:rsidR="00D150ED" w:rsidRPr="00F00002">
        <w:t>—</w:t>
      </w:r>
      <w:r w:rsidRPr="00F00002">
        <w:t>is paid as a superannuation lump sum and as a superannuation death benefit;</w:t>
      </w:r>
    </w:p>
    <w:p w:rsidR="00BB4501" w:rsidRPr="00F00002" w:rsidRDefault="00BB4501" w:rsidP="00D150ED">
      <w:pPr>
        <w:pStyle w:val="paragraphsub"/>
      </w:pPr>
      <w:r w:rsidRPr="00F00002">
        <w:tab/>
      </w:r>
      <w:r w:rsidRPr="00F00002">
        <w:tab/>
        <w:t>as soon as practicable.</w:t>
      </w:r>
    </w:p>
    <w:p w:rsidR="00BB4501" w:rsidRPr="00F00002" w:rsidRDefault="00BB4501" w:rsidP="00D150ED">
      <w:pPr>
        <w:pStyle w:val="subsection"/>
      </w:pPr>
      <w:r w:rsidRPr="00F00002">
        <w:rPr>
          <w:color w:val="000000"/>
        </w:rPr>
        <w:tab/>
        <w:t>(6)</w:t>
      </w:r>
      <w:r w:rsidRPr="00F00002">
        <w:rPr>
          <w:color w:val="000000"/>
        </w:rPr>
        <w:tab/>
        <w:t>I</w:t>
      </w:r>
      <w:r w:rsidRPr="00F00002">
        <w:t>f the amount has been allocated from a reserve in lieu of a contribution to the fund (less any allowance for tax) which would have been assessable income of the fund, the amount that is allocated is to be multiplied by 1.176.</w:t>
      </w:r>
    </w:p>
    <w:p w:rsidR="00BB4501" w:rsidRPr="00F00002" w:rsidRDefault="00BB4501" w:rsidP="00167635">
      <w:pPr>
        <w:pStyle w:val="notetext"/>
      </w:pPr>
      <w:r w:rsidRPr="00F00002">
        <w:t>Example</w:t>
      </w:r>
      <w:r w:rsidR="00167635" w:rsidRPr="00F00002">
        <w:t>:</w:t>
      </w:r>
      <w:r w:rsidR="00167635" w:rsidRPr="00F00002">
        <w:tab/>
      </w:r>
      <w:r w:rsidRPr="00F00002">
        <w:rPr>
          <w:color w:val="000000"/>
        </w:rPr>
        <w:t>An employer has an obligation to make a $1</w:t>
      </w:r>
      <w:r w:rsidR="00F00002">
        <w:rPr>
          <w:color w:val="000000"/>
        </w:rPr>
        <w:t> </w:t>
      </w:r>
      <w:r w:rsidRPr="00F00002">
        <w:rPr>
          <w:color w:val="000000"/>
        </w:rPr>
        <w:t>000 contribution. Instead of the employer making a contribution to the fund, the trustee allocates $850 to the member’s account (</w:t>
      </w:r>
      <w:r w:rsidRPr="00F00002">
        <w:t>which</w:t>
      </w:r>
      <w:r w:rsidRPr="00F00002">
        <w:rPr>
          <w:color w:val="000000"/>
        </w:rPr>
        <w:t xml:space="preserve"> is an amount equivalent to the amount that would be credited to the account after tax was paid).</w:t>
      </w:r>
    </w:p>
    <w:p w:rsidR="00BB4501" w:rsidRPr="00F00002" w:rsidRDefault="00167635" w:rsidP="00D150ED">
      <w:pPr>
        <w:pStyle w:val="notetext"/>
      </w:pPr>
      <w:r w:rsidRPr="00F00002">
        <w:tab/>
      </w:r>
      <w:r w:rsidR="00BB4501" w:rsidRPr="00F00002">
        <w:t>For subregulation</w:t>
      </w:r>
      <w:r w:rsidR="00135C25" w:rsidRPr="00F00002">
        <w:t> </w:t>
      </w:r>
      <w:r w:rsidR="00BB4501" w:rsidRPr="00F00002">
        <w:t>(6), the amount of $850 is to be multiplied by 1.176 to work out the amount that is taken to be allocated.</w:t>
      </w:r>
    </w:p>
    <w:p w:rsidR="00BB4501" w:rsidRPr="00F00002" w:rsidRDefault="00BB4501" w:rsidP="00D150ED">
      <w:pPr>
        <w:pStyle w:val="ActHead5"/>
      </w:pPr>
      <w:bookmarkStart w:id="70" w:name="_Toc31109654"/>
      <w:r w:rsidRPr="00A26088">
        <w:rPr>
          <w:rStyle w:val="CharSectno"/>
        </w:rPr>
        <w:t>292</w:t>
      </w:r>
      <w:r w:rsidR="00F00002" w:rsidRPr="00A26088">
        <w:rPr>
          <w:rStyle w:val="CharSectno"/>
        </w:rPr>
        <w:noBreakHyphen/>
      </w:r>
      <w:r w:rsidRPr="00A26088">
        <w:rPr>
          <w:rStyle w:val="CharSectno"/>
        </w:rPr>
        <w:t>170.04</w:t>
      </w:r>
      <w:r w:rsidR="00D150ED" w:rsidRPr="00F00002">
        <w:t xml:space="preserve">  </w:t>
      </w:r>
      <w:r w:rsidRPr="00F00002">
        <w:t>Notional taxed contributions</w:t>
      </w:r>
      <w:r w:rsidR="00D150ED" w:rsidRPr="00F00002">
        <w:t>—</w:t>
      </w:r>
      <w:r w:rsidRPr="00F00002">
        <w:t>nil amount</w:t>
      </w:r>
      <w:bookmarkEnd w:id="70"/>
    </w:p>
    <w:p w:rsidR="00BB4501" w:rsidRPr="00F00002" w:rsidRDefault="00BB4501" w:rsidP="00D150ED">
      <w:pPr>
        <w:pStyle w:val="subsection"/>
      </w:pPr>
      <w:r w:rsidRPr="00F00002">
        <w:rPr>
          <w:color w:val="000000"/>
        </w:rPr>
        <w:tab/>
        <w:t>(1)</w:t>
      </w:r>
      <w:r w:rsidRPr="00F00002">
        <w:rPr>
          <w:color w:val="000000"/>
        </w:rPr>
        <w:tab/>
        <w:t>For subsection</w:t>
      </w:r>
      <w:r w:rsidR="00F00002">
        <w:rPr>
          <w:color w:val="000000"/>
        </w:rPr>
        <w:t> </w:t>
      </w:r>
      <w:r w:rsidRPr="00F00002">
        <w:rPr>
          <w:color w:val="000000"/>
        </w:rPr>
        <w:t>292</w:t>
      </w:r>
      <w:r w:rsidR="00F00002">
        <w:rPr>
          <w:color w:val="000000"/>
        </w:rPr>
        <w:noBreakHyphen/>
      </w:r>
      <w:r w:rsidRPr="00F00002">
        <w:t>170(4) of the Act, this regulation sets out circumstances in which the amount of the notional taxed contributions for a financial year in respect of the defined benefit interest of a member of a superannuation fund is nil.</w:t>
      </w:r>
    </w:p>
    <w:p w:rsidR="00BB4501" w:rsidRPr="00F00002" w:rsidRDefault="00BB4501" w:rsidP="00D150ED">
      <w:pPr>
        <w:pStyle w:val="subsection"/>
      </w:pPr>
      <w:r w:rsidRPr="00F00002">
        <w:tab/>
        <w:t>(2)</w:t>
      </w:r>
      <w:r w:rsidRPr="00F00002">
        <w:tab/>
        <w:t>A circumstance is that:</w:t>
      </w:r>
    </w:p>
    <w:p w:rsidR="00BB4501" w:rsidRPr="00F00002" w:rsidRDefault="00BB4501" w:rsidP="00D150ED">
      <w:pPr>
        <w:pStyle w:val="paragraph"/>
      </w:pPr>
      <w:r w:rsidRPr="00F00002">
        <w:rPr>
          <w:color w:val="000000"/>
        </w:rPr>
        <w:tab/>
        <w:t>(a)</w:t>
      </w:r>
      <w:r w:rsidRPr="00F00002">
        <w:rPr>
          <w:color w:val="000000"/>
        </w:rPr>
        <w:tab/>
        <w:t>the defined benefit interest is held in a public sector superannuation scheme; and</w:t>
      </w:r>
    </w:p>
    <w:p w:rsidR="00BB4501" w:rsidRPr="00F00002" w:rsidRDefault="00BB4501" w:rsidP="00D150ED">
      <w:pPr>
        <w:pStyle w:val="paragraph"/>
      </w:pPr>
      <w:r w:rsidRPr="00F00002">
        <w:tab/>
        <w:t>(b)</w:t>
      </w:r>
      <w:r w:rsidRPr="00F00002">
        <w:tab/>
        <w:t>none of the interest is sourced to any extent from:</w:t>
      </w:r>
    </w:p>
    <w:p w:rsidR="00BB4501" w:rsidRPr="00F00002" w:rsidRDefault="00BB4501" w:rsidP="00D150ED">
      <w:pPr>
        <w:pStyle w:val="paragraphsub"/>
      </w:pPr>
      <w:r w:rsidRPr="00F00002">
        <w:rPr>
          <w:color w:val="000000"/>
        </w:rPr>
        <w:tab/>
        <w:t>(i)</w:t>
      </w:r>
      <w:r w:rsidRPr="00F00002">
        <w:rPr>
          <w:color w:val="000000"/>
        </w:rPr>
        <w:tab/>
        <w:t>contributions made into a superannuation fund; or</w:t>
      </w:r>
    </w:p>
    <w:p w:rsidR="00BB4501" w:rsidRPr="00F00002" w:rsidRDefault="00BB4501" w:rsidP="00D150ED">
      <w:pPr>
        <w:pStyle w:val="paragraphsub"/>
      </w:pPr>
      <w:r w:rsidRPr="00F00002">
        <w:tab/>
        <w:t>(ii)</w:t>
      </w:r>
      <w:r w:rsidRPr="00F00002">
        <w:tab/>
        <w:t>earnings on such contributions;</w:t>
      </w:r>
    </w:p>
    <w:p w:rsidR="00BB4501" w:rsidRPr="00F00002" w:rsidRDefault="00BB4501" w:rsidP="00D150ED">
      <w:pPr>
        <w:pStyle w:val="paragraph"/>
      </w:pPr>
      <w:r w:rsidRPr="00F00002">
        <w:rPr>
          <w:color w:val="000000"/>
        </w:rPr>
        <w:tab/>
      </w:r>
      <w:r w:rsidRPr="00F00002">
        <w:rPr>
          <w:color w:val="000000"/>
        </w:rPr>
        <w:tab/>
        <w:t>unless the interest is an element taxed in the fund that is attributable to 1 or more roll</w:t>
      </w:r>
      <w:r w:rsidR="00F00002">
        <w:rPr>
          <w:color w:val="000000"/>
        </w:rPr>
        <w:noBreakHyphen/>
      </w:r>
      <w:r w:rsidRPr="00F00002">
        <w:rPr>
          <w:color w:val="000000"/>
        </w:rPr>
        <w:t>over superannuation benefits.</w:t>
      </w:r>
    </w:p>
    <w:p w:rsidR="00206CD7" w:rsidRPr="00F00002" w:rsidRDefault="00206CD7" w:rsidP="00206CD7">
      <w:pPr>
        <w:pStyle w:val="subsection"/>
      </w:pPr>
      <w:r w:rsidRPr="00F00002">
        <w:lastRenderedPageBreak/>
        <w:tab/>
        <w:t>(3)</w:t>
      </w:r>
      <w:r w:rsidRPr="00F00002">
        <w:tab/>
        <w:t>A circumstance is that, for the whole of the financial year:</w:t>
      </w:r>
    </w:p>
    <w:p w:rsidR="00206CD7" w:rsidRPr="00F00002" w:rsidRDefault="00206CD7" w:rsidP="00206CD7">
      <w:pPr>
        <w:pStyle w:val="paragraph"/>
      </w:pPr>
      <w:r w:rsidRPr="00F00002">
        <w:rPr>
          <w:color w:val="000000"/>
        </w:rPr>
        <w:tab/>
        <w:t>(a)</w:t>
      </w:r>
      <w:r w:rsidRPr="00F00002">
        <w:rPr>
          <w:color w:val="000000"/>
        </w:rPr>
        <w:tab/>
        <w:t>subregulation</w:t>
      </w:r>
      <w:r w:rsidR="00F00002">
        <w:rPr>
          <w:color w:val="000000"/>
        </w:rPr>
        <w:t> </w:t>
      </w:r>
      <w:r w:rsidRPr="00F00002">
        <w:rPr>
          <w:color w:val="000000"/>
        </w:rPr>
        <w:t>292</w:t>
      </w:r>
      <w:r w:rsidR="00F00002">
        <w:rPr>
          <w:color w:val="000000"/>
        </w:rPr>
        <w:noBreakHyphen/>
      </w:r>
      <w:r w:rsidRPr="00F00002">
        <w:rPr>
          <w:color w:val="000000"/>
        </w:rPr>
        <w:t>170.02(2) applied, or was taken to have applied, in relation to the superannuation fund; and</w:t>
      </w:r>
    </w:p>
    <w:p w:rsidR="00206CD7" w:rsidRPr="00F00002" w:rsidRDefault="00206CD7" w:rsidP="00206CD7">
      <w:pPr>
        <w:pStyle w:val="paragraph"/>
      </w:pPr>
      <w:r w:rsidRPr="00F00002">
        <w:tab/>
        <w:t>(b)</w:t>
      </w:r>
      <w:r w:rsidRPr="00F00002">
        <w:tab/>
        <w:t>the member was a non</w:t>
      </w:r>
      <w:r w:rsidR="00F00002">
        <w:noBreakHyphen/>
      </w:r>
      <w:r w:rsidRPr="00F00002">
        <w:t>accruing member of the fund for the financial year (see subregulations (4) to (6)).</w:t>
      </w:r>
    </w:p>
    <w:p w:rsidR="00206CD7" w:rsidRPr="00F00002" w:rsidRDefault="00206CD7" w:rsidP="00206CD7">
      <w:pPr>
        <w:pStyle w:val="subsection"/>
      </w:pPr>
      <w:r w:rsidRPr="00F00002">
        <w:tab/>
        <w:t>(4)</w:t>
      </w:r>
      <w:r w:rsidRPr="00F00002">
        <w:tab/>
        <w:t>The member was a non</w:t>
      </w:r>
      <w:r w:rsidR="00F00002">
        <w:noBreakHyphen/>
      </w:r>
      <w:r w:rsidRPr="00F00002">
        <w:t>accruing member of the fund for the financial year if the member had no membership of the fund during the financial year other than membership as:</w:t>
      </w:r>
    </w:p>
    <w:p w:rsidR="00206CD7" w:rsidRPr="00F00002" w:rsidRDefault="00206CD7" w:rsidP="00206CD7">
      <w:pPr>
        <w:pStyle w:val="paragraph"/>
      </w:pPr>
      <w:r w:rsidRPr="00F00002">
        <w:tab/>
        <w:t>(a)</w:t>
      </w:r>
      <w:r w:rsidRPr="00F00002">
        <w:tab/>
        <w:t>an on</w:t>
      </w:r>
      <w:r w:rsidR="00F00002">
        <w:noBreakHyphen/>
      </w:r>
      <w:r w:rsidRPr="00F00002">
        <w:t>hold member; or</w:t>
      </w:r>
    </w:p>
    <w:p w:rsidR="00206CD7" w:rsidRPr="00F00002" w:rsidRDefault="00206CD7" w:rsidP="00206CD7">
      <w:pPr>
        <w:pStyle w:val="paragraph"/>
      </w:pPr>
      <w:r w:rsidRPr="00F00002">
        <w:tab/>
        <w:t>(b)</w:t>
      </w:r>
      <w:r w:rsidRPr="00F00002">
        <w:tab/>
        <w:t>a pensioned member.</w:t>
      </w:r>
    </w:p>
    <w:p w:rsidR="00206CD7" w:rsidRPr="00F00002" w:rsidRDefault="00206CD7" w:rsidP="00206CD7">
      <w:pPr>
        <w:pStyle w:val="notetext"/>
      </w:pPr>
      <w:r w:rsidRPr="00F00002">
        <w:t>Note:</w:t>
      </w:r>
      <w:r w:rsidRPr="00F00002">
        <w:tab/>
        <w:t>A person could be an on</w:t>
      </w:r>
      <w:r w:rsidR="00F00002">
        <w:noBreakHyphen/>
      </w:r>
      <w:r w:rsidRPr="00F00002">
        <w:t>hold member of a fund for part of a financial year, and a pensioned member of the fund for another part of the financial year.</w:t>
      </w:r>
    </w:p>
    <w:p w:rsidR="00206CD7" w:rsidRPr="00F00002" w:rsidRDefault="00206CD7" w:rsidP="00206CD7">
      <w:pPr>
        <w:pStyle w:val="subsection"/>
      </w:pPr>
      <w:r w:rsidRPr="00F00002">
        <w:tab/>
        <w:t>(5)</w:t>
      </w:r>
      <w:r w:rsidRPr="00F00002">
        <w:tab/>
        <w:t xml:space="preserve">The member was an </w:t>
      </w:r>
      <w:r w:rsidRPr="00F00002">
        <w:rPr>
          <w:b/>
          <w:i/>
        </w:rPr>
        <w:t>on</w:t>
      </w:r>
      <w:r w:rsidR="00F00002">
        <w:rPr>
          <w:b/>
          <w:i/>
        </w:rPr>
        <w:noBreakHyphen/>
      </w:r>
      <w:r w:rsidRPr="00F00002">
        <w:rPr>
          <w:b/>
          <w:i/>
        </w:rPr>
        <w:t>hold member</w:t>
      </w:r>
      <w:r w:rsidRPr="00F00002">
        <w:t xml:space="preserve"> of the fund if:</w:t>
      </w:r>
    </w:p>
    <w:p w:rsidR="00206CD7" w:rsidRPr="00F00002" w:rsidRDefault="00206CD7" w:rsidP="00206CD7">
      <w:pPr>
        <w:pStyle w:val="paragraph"/>
      </w:pPr>
      <w:r w:rsidRPr="00F00002">
        <w:rPr>
          <w:color w:val="000000"/>
        </w:rPr>
        <w:tab/>
        <w:t>(a)</w:t>
      </w:r>
      <w:r w:rsidRPr="00F00002">
        <w:rPr>
          <w:color w:val="000000"/>
        </w:rPr>
        <w:tab/>
        <w:t>the member had a benefit entitlement in the fund, but no employer</w:t>
      </w:r>
      <w:r w:rsidR="00F00002">
        <w:rPr>
          <w:color w:val="000000"/>
        </w:rPr>
        <w:noBreakHyphen/>
      </w:r>
      <w:r w:rsidRPr="00F00002">
        <w:rPr>
          <w:color w:val="000000"/>
        </w:rPr>
        <w:t>provided benefits accrued to the member; and</w:t>
      </w:r>
    </w:p>
    <w:p w:rsidR="00206CD7" w:rsidRPr="00F00002" w:rsidRDefault="00206CD7" w:rsidP="00206CD7">
      <w:pPr>
        <w:pStyle w:val="paragraph"/>
      </w:pPr>
      <w:r w:rsidRPr="00F00002">
        <w:tab/>
        <w:t>(b)</w:t>
      </w:r>
      <w:r w:rsidRPr="00F00002">
        <w:tab/>
        <w:t>the rules of the fund provided that the benefit:</w:t>
      </w:r>
    </w:p>
    <w:p w:rsidR="00206CD7" w:rsidRPr="00F00002" w:rsidRDefault="00206CD7" w:rsidP="00206CD7">
      <w:pPr>
        <w:pStyle w:val="paragraphsub"/>
      </w:pPr>
      <w:r w:rsidRPr="00F00002">
        <w:rPr>
          <w:color w:val="000000"/>
        </w:rPr>
        <w:tab/>
        <w:t>(i)</w:t>
      </w:r>
      <w:r w:rsidRPr="00F00002">
        <w:rPr>
          <w:color w:val="000000"/>
        </w:rPr>
        <w:tab/>
        <w:t>was not to increase in nominal terms; or</w:t>
      </w:r>
    </w:p>
    <w:p w:rsidR="00206CD7" w:rsidRPr="00F00002" w:rsidRDefault="00206CD7" w:rsidP="00206CD7">
      <w:pPr>
        <w:pStyle w:val="paragraphsub"/>
      </w:pPr>
      <w:r w:rsidRPr="00F00002">
        <w:tab/>
        <w:t>(ii)</w:t>
      </w:r>
      <w:r w:rsidRPr="00F00002">
        <w:tab/>
        <w:t>was to increase at a rate reflecting general price increases (for example, in accordance with the Consumer Price Index); or</w:t>
      </w:r>
    </w:p>
    <w:p w:rsidR="00206CD7" w:rsidRPr="00F00002" w:rsidRDefault="00206CD7" w:rsidP="00206CD7">
      <w:pPr>
        <w:pStyle w:val="paragraphsub"/>
      </w:pPr>
      <w:r w:rsidRPr="00F00002">
        <w:tab/>
        <w:t>(iii)</w:t>
      </w:r>
      <w:r w:rsidRPr="00F00002">
        <w:tab/>
        <w:t>was to increase at a rate reflecting the general level of salary growth or salary growth for relevant fund membership (for example, in accordance with average weekly earnings, or average weekly ordinary time earnings, published by the Australian Statistician); or</w:t>
      </w:r>
    </w:p>
    <w:p w:rsidR="00206CD7" w:rsidRPr="00F00002" w:rsidRDefault="00206CD7" w:rsidP="00206CD7">
      <w:pPr>
        <w:pStyle w:val="paragraphsub"/>
      </w:pPr>
      <w:r w:rsidRPr="00F00002">
        <w:tab/>
        <w:t>(iv)</w:t>
      </w:r>
      <w:r w:rsidRPr="00F00002">
        <w:tab/>
        <w:t>was to increase at the rate (if any) at which the salary on which the member’s benefit was based increased; or</w:t>
      </w:r>
    </w:p>
    <w:p w:rsidR="00206CD7" w:rsidRPr="00F00002" w:rsidRDefault="00206CD7" w:rsidP="00206CD7">
      <w:pPr>
        <w:pStyle w:val="paragraphsub"/>
      </w:pPr>
      <w:r w:rsidRPr="00F00002">
        <w:tab/>
        <w:t>(v)</w:t>
      </w:r>
      <w:r w:rsidRPr="00F00002">
        <w:tab/>
        <w:t>was to increase at a rate reflecting the earning rate of the assets of the fund or the part of the fund to which the member belonged; or</w:t>
      </w:r>
    </w:p>
    <w:p w:rsidR="00206CD7" w:rsidRPr="00F00002" w:rsidRDefault="00206CD7" w:rsidP="00206CD7">
      <w:pPr>
        <w:pStyle w:val="paragraphsub"/>
      </w:pPr>
      <w:r w:rsidRPr="00F00002">
        <w:tab/>
        <w:t>(vi)</w:t>
      </w:r>
      <w:r w:rsidRPr="00F00002">
        <w:tab/>
        <w:t>in the case of a deferred benefit—was to increase at a rate reflecting any reduction in the expected period in which pension payments were to be made and any deferral of the date when payments would start; or</w:t>
      </w:r>
    </w:p>
    <w:p w:rsidR="00206CD7" w:rsidRPr="00F00002" w:rsidRDefault="00206CD7" w:rsidP="00206CD7">
      <w:pPr>
        <w:pStyle w:val="paragraphsub"/>
      </w:pPr>
      <w:r w:rsidRPr="00F00002">
        <w:tab/>
        <w:t>(vii)</w:t>
      </w:r>
      <w:r w:rsidRPr="00F00002">
        <w:tab/>
        <w:t xml:space="preserve">was to increase at a regular rate, or a rate worked out using a formula, that an actuary considered would not result in an increase that was more than the greatest of the increases mentioned in </w:t>
      </w:r>
      <w:r w:rsidR="00F00002">
        <w:t>subparagraphs (</w:t>
      </w:r>
      <w:r w:rsidRPr="00F00002">
        <w:t>i) to (vi).</w:t>
      </w:r>
    </w:p>
    <w:p w:rsidR="00206CD7" w:rsidRPr="00F00002" w:rsidRDefault="00206CD7" w:rsidP="00206CD7">
      <w:pPr>
        <w:pStyle w:val="subsection"/>
      </w:pPr>
      <w:r w:rsidRPr="00F00002">
        <w:tab/>
        <w:t>(5A)</w:t>
      </w:r>
      <w:r w:rsidRPr="00F00002">
        <w:tab/>
        <w:t xml:space="preserve">The member was a </w:t>
      </w:r>
      <w:r w:rsidRPr="00F00002">
        <w:rPr>
          <w:b/>
          <w:i/>
        </w:rPr>
        <w:t>pensioned member</w:t>
      </w:r>
      <w:r w:rsidRPr="00F00002">
        <w:t xml:space="preserve"> of the fund if:</w:t>
      </w:r>
    </w:p>
    <w:p w:rsidR="00206CD7" w:rsidRPr="00F00002" w:rsidRDefault="00206CD7" w:rsidP="00206CD7">
      <w:pPr>
        <w:pStyle w:val="paragraph"/>
      </w:pPr>
      <w:r w:rsidRPr="00F00002">
        <w:rPr>
          <w:color w:val="000000"/>
        </w:rPr>
        <w:tab/>
        <w:t>(a)</w:t>
      </w:r>
      <w:r w:rsidRPr="00F00002">
        <w:rPr>
          <w:color w:val="000000"/>
        </w:rPr>
        <w:tab/>
        <w:t>the member’s membership of the fund consisted only of the member receiving pension payments from the superannuation fund; and</w:t>
      </w:r>
    </w:p>
    <w:p w:rsidR="00206CD7" w:rsidRPr="00F00002" w:rsidRDefault="00206CD7" w:rsidP="00206CD7">
      <w:pPr>
        <w:pStyle w:val="paragraph"/>
      </w:pPr>
      <w:r w:rsidRPr="00F00002">
        <w:tab/>
        <w:t>(b)</w:t>
      </w:r>
      <w:r w:rsidRPr="00F00002">
        <w:tab/>
        <w:t>any of the following applied:</w:t>
      </w:r>
    </w:p>
    <w:p w:rsidR="00206CD7" w:rsidRPr="00F00002" w:rsidRDefault="00206CD7" w:rsidP="00206CD7">
      <w:pPr>
        <w:pStyle w:val="paragraphsub"/>
      </w:pPr>
      <w:r w:rsidRPr="00F00002">
        <w:rPr>
          <w:color w:val="000000"/>
        </w:rPr>
        <w:tab/>
        <w:t>(i)</w:t>
      </w:r>
      <w:r w:rsidRPr="00F00002">
        <w:rPr>
          <w:color w:val="000000"/>
        </w:rPr>
        <w:tab/>
        <w:t>the pension payments were always the same amount;</w:t>
      </w:r>
    </w:p>
    <w:p w:rsidR="00206CD7" w:rsidRPr="00F00002" w:rsidRDefault="00206CD7" w:rsidP="00206CD7">
      <w:pPr>
        <w:pStyle w:val="paragraphsub"/>
      </w:pPr>
      <w:r w:rsidRPr="00F00002">
        <w:lastRenderedPageBreak/>
        <w:tab/>
        <w:t>(ii)</w:t>
      </w:r>
      <w:r w:rsidRPr="00F00002">
        <w:tab/>
        <w:t>the pension payments were paid from an account that related only to the member, and no employer contributions were paid to the account for the benefit of the member;</w:t>
      </w:r>
    </w:p>
    <w:p w:rsidR="00206CD7" w:rsidRPr="00F00002" w:rsidRDefault="00206CD7" w:rsidP="00206CD7">
      <w:pPr>
        <w:pStyle w:val="paragraphsub"/>
      </w:pPr>
      <w:r w:rsidRPr="00F00002">
        <w:tab/>
        <w:t>(iii)</w:t>
      </w:r>
      <w:r w:rsidRPr="00F00002">
        <w:tab/>
        <w:t>the pension payments increased at rates that were consistent with the rates prescribed under the rules of the fund that applied when the pension commenced to be paid.</w:t>
      </w:r>
    </w:p>
    <w:p w:rsidR="00BB4501" w:rsidRPr="00F00002" w:rsidRDefault="00BB4501" w:rsidP="00D150ED">
      <w:pPr>
        <w:pStyle w:val="subsection"/>
      </w:pPr>
      <w:r w:rsidRPr="00F00002">
        <w:rPr>
          <w:color w:val="000000"/>
        </w:rPr>
        <w:tab/>
        <w:t>(6)</w:t>
      </w:r>
      <w:r w:rsidRPr="00F00002">
        <w:rPr>
          <w:color w:val="000000"/>
        </w:rPr>
        <w:tab/>
        <w:t>For the purposes of determining whether a defined benefit member is a non</w:t>
      </w:r>
      <w:r w:rsidR="00F00002">
        <w:rPr>
          <w:color w:val="000000"/>
        </w:rPr>
        <w:noBreakHyphen/>
      </w:r>
      <w:r w:rsidRPr="00F00002">
        <w:rPr>
          <w:color w:val="000000"/>
        </w:rPr>
        <w:t>accruing member of the fund for a period, any employer contributions paid to the fund for the period to meet partially, or wholly, unfunded benefit liabilities of the fund are not to be treated as employer contributions for the benefit of the member for the period.</w:t>
      </w:r>
    </w:p>
    <w:p w:rsidR="00BB4501" w:rsidRPr="00F00002" w:rsidRDefault="00BB4501" w:rsidP="00D150ED">
      <w:pPr>
        <w:pStyle w:val="ActHead5"/>
      </w:pPr>
      <w:bookmarkStart w:id="71" w:name="_Toc31109655"/>
      <w:r w:rsidRPr="00A26088">
        <w:rPr>
          <w:rStyle w:val="CharSectno"/>
        </w:rPr>
        <w:t>292</w:t>
      </w:r>
      <w:r w:rsidR="00F00002" w:rsidRPr="00A26088">
        <w:rPr>
          <w:rStyle w:val="CharSectno"/>
        </w:rPr>
        <w:noBreakHyphen/>
      </w:r>
      <w:r w:rsidRPr="00A26088">
        <w:rPr>
          <w:rStyle w:val="CharSectno"/>
        </w:rPr>
        <w:t>170.05</w:t>
      </w:r>
      <w:r w:rsidR="00D150ED" w:rsidRPr="00F00002">
        <w:t xml:space="preserve">  </w:t>
      </w:r>
      <w:r w:rsidRPr="00F00002">
        <w:t>Notional taxed contributions</w:t>
      </w:r>
      <w:r w:rsidR="00D150ED" w:rsidRPr="00F00002">
        <w:t>—</w:t>
      </w:r>
      <w:r w:rsidRPr="00F00002">
        <w:t>other conditions (paragraph</w:t>
      </w:r>
      <w:r w:rsidR="00F00002">
        <w:t> </w:t>
      </w:r>
      <w:r w:rsidRPr="00F00002">
        <w:t>292</w:t>
      </w:r>
      <w:r w:rsidR="00F00002">
        <w:noBreakHyphen/>
      </w:r>
      <w:r w:rsidRPr="00F00002">
        <w:t>170(6</w:t>
      </w:r>
      <w:r w:rsidR="00D150ED" w:rsidRPr="00F00002">
        <w:t>)(</w:t>
      </w:r>
      <w:r w:rsidRPr="00F00002">
        <w:t>d) of the Act)</w:t>
      </w:r>
      <w:bookmarkEnd w:id="71"/>
    </w:p>
    <w:p w:rsidR="00BB4501" w:rsidRPr="00F00002" w:rsidRDefault="00BB4501" w:rsidP="00D150ED">
      <w:pPr>
        <w:pStyle w:val="subsection"/>
      </w:pPr>
      <w:r w:rsidRPr="00F00002">
        <w:tab/>
        <w:t>(1)</w:t>
      </w:r>
      <w:r w:rsidRPr="00F00002">
        <w:tab/>
        <w:t>For paragraph</w:t>
      </w:r>
      <w:r w:rsidR="00F00002">
        <w:t> </w:t>
      </w:r>
      <w:r w:rsidRPr="00F00002">
        <w:t>292</w:t>
      </w:r>
      <w:r w:rsidR="00F00002">
        <w:noBreakHyphen/>
      </w:r>
      <w:r w:rsidRPr="00F00002">
        <w:t>170(6</w:t>
      </w:r>
      <w:r w:rsidR="00D150ED" w:rsidRPr="00F00002">
        <w:t>)(</w:t>
      </w:r>
      <w:r w:rsidRPr="00F00002">
        <w:t>d) of the Act, this regulation:</w:t>
      </w:r>
    </w:p>
    <w:p w:rsidR="00BB4501" w:rsidRPr="00F00002" w:rsidRDefault="00BB4501" w:rsidP="00D150ED">
      <w:pPr>
        <w:pStyle w:val="paragraph"/>
      </w:pPr>
      <w:r w:rsidRPr="00F00002">
        <w:rPr>
          <w:color w:val="000000"/>
        </w:rPr>
        <w:tab/>
        <w:t>(a)</w:t>
      </w:r>
      <w:r w:rsidRPr="00F00002">
        <w:rPr>
          <w:color w:val="000000"/>
        </w:rPr>
        <w:tab/>
        <w:t>applies in relation to a superannuation fund in relation to which subregulation</w:t>
      </w:r>
      <w:r w:rsidR="00F00002">
        <w:rPr>
          <w:color w:val="000000"/>
        </w:rPr>
        <w:t> </w:t>
      </w:r>
      <w:r w:rsidRPr="00F00002">
        <w:rPr>
          <w:color w:val="000000"/>
        </w:rPr>
        <w:t>292</w:t>
      </w:r>
      <w:r w:rsidR="00F00002">
        <w:rPr>
          <w:color w:val="000000"/>
        </w:rPr>
        <w:noBreakHyphen/>
      </w:r>
      <w:r w:rsidRPr="00F00002">
        <w:rPr>
          <w:color w:val="000000"/>
        </w:rPr>
        <w:t>170.02(2) applies, or is taken to apply; and</w:t>
      </w:r>
    </w:p>
    <w:p w:rsidR="00BB4501" w:rsidRPr="00F00002" w:rsidRDefault="00BB4501" w:rsidP="00D150ED">
      <w:pPr>
        <w:pStyle w:val="paragraph"/>
      </w:pPr>
      <w:r w:rsidRPr="00F00002">
        <w:tab/>
        <w:t>(b)</w:t>
      </w:r>
      <w:r w:rsidRPr="00F00002">
        <w:tab/>
        <w:t>sets out the conditions that are to be satisfied in relation to establishing whether notional taxed contributions for a financial year in respect of a defined benefit interest are equal to the concessional contributions cap for the financial year.</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Subsection</w:t>
      </w:r>
      <w:r w:rsidR="00F00002">
        <w:rPr>
          <w:color w:val="000000"/>
        </w:rPr>
        <w:t> </w:t>
      </w:r>
      <w:r w:rsidR="00BB4501" w:rsidRPr="00F00002">
        <w:rPr>
          <w:color w:val="000000"/>
        </w:rPr>
        <w:t>292</w:t>
      </w:r>
      <w:r w:rsidR="00F00002">
        <w:rPr>
          <w:color w:val="000000"/>
        </w:rPr>
        <w:noBreakHyphen/>
      </w:r>
      <w:r w:rsidR="00BB4501" w:rsidRPr="00F00002">
        <w:rPr>
          <w:color w:val="000000"/>
        </w:rPr>
        <w:t xml:space="preserve">170(6) of the Act explains when a member’s </w:t>
      </w:r>
      <w:r w:rsidR="00BB4501" w:rsidRPr="00F00002">
        <w:rPr>
          <w:bCs/>
          <w:iCs/>
          <w:color w:val="000000"/>
        </w:rPr>
        <w:t xml:space="preserve">notional taxed contributions </w:t>
      </w:r>
      <w:r w:rsidR="00BB4501" w:rsidRPr="00F00002">
        <w:rPr>
          <w:color w:val="000000"/>
        </w:rPr>
        <w:t>for the financial year in respect of a defined benefit interest are equal to the concessional contributions cap for the financial year. This includes satisfying conditions specified in the Regulations.</w:t>
      </w:r>
    </w:p>
    <w:p w:rsidR="00BB4501" w:rsidRPr="00F00002" w:rsidRDefault="00BB4501" w:rsidP="00D150ED">
      <w:pPr>
        <w:pStyle w:val="subsection"/>
      </w:pPr>
      <w:r w:rsidRPr="00F00002">
        <w:tab/>
        <w:t>(2)</w:t>
      </w:r>
      <w:r w:rsidRPr="00F00002">
        <w:tab/>
        <w:t>A condition is that between 5</w:t>
      </w:r>
      <w:r w:rsidR="00F00002">
        <w:t> </w:t>
      </w:r>
      <w:r w:rsidRPr="00F00002">
        <w:t xml:space="preserve">September 2006 and the time at which the new entrant rate for the defined benefit member is worked out using </w:t>
      </w:r>
      <w:r w:rsidR="00D150ED" w:rsidRPr="00F00002">
        <w:t>Schedule</w:t>
      </w:r>
      <w:r w:rsidR="00F00002">
        <w:t> </w:t>
      </w:r>
      <w:r w:rsidRPr="00F00002">
        <w:t>1A:</w:t>
      </w:r>
    </w:p>
    <w:p w:rsidR="00BB4501" w:rsidRPr="00F00002" w:rsidRDefault="00BB4501" w:rsidP="00D150ED">
      <w:pPr>
        <w:pStyle w:val="paragraph"/>
      </w:pPr>
      <w:r w:rsidRPr="00F00002">
        <w:tab/>
        <w:t>(a)</w:t>
      </w:r>
      <w:r w:rsidRPr="00F00002">
        <w:tab/>
        <w:t>the rules of the superannuation fund have not changed to improve the member’s benefit; and</w:t>
      </w:r>
    </w:p>
    <w:p w:rsidR="00BB4501" w:rsidRPr="00F00002" w:rsidRDefault="00BB4501" w:rsidP="00D150ED">
      <w:pPr>
        <w:pStyle w:val="paragraph"/>
      </w:pPr>
      <w:r w:rsidRPr="00F00002">
        <w:tab/>
        <w:t>(b)</w:t>
      </w:r>
      <w:r w:rsidRPr="00F00002">
        <w:tab/>
        <w:t>either:</w:t>
      </w:r>
    </w:p>
    <w:p w:rsidR="00BB4501" w:rsidRPr="00F00002" w:rsidRDefault="00BB4501" w:rsidP="00D150ED">
      <w:pPr>
        <w:pStyle w:val="paragraphsub"/>
      </w:pPr>
      <w:r w:rsidRPr="00F00002">
        <w:tab/>
        <w:t>(i)</w:t>
      </w:r>
      <w:r w:rsidRPr="00F00002">
        <w:tab/>
        <w:t>the member has not moved to a new benefit category; or</w:t>
      </w:r>
    </w:p>
    <w:p w:rsidR="00BB4501" w:rsidRPr="00F00002" w:rsidRDefault="00BB4501" w:rsidP="00D150ED">
      <w:pPr>
        <w:pStyle w:val="paragraphsub"/>
      </w:pPr>
      <w:r w:rsidRPr="00F00002">
        <w:tab/>
        <w:t>(ii)</w:t>
      </w:r>
      <w:r w:rsidRPr="00F00002">
        <w:tab/>
        <w:t>if the member has moved to a new benefit category, the new benefit category does not provide the member with an improved level of benefit.</w:t>
      </w:r>
    </w:p>
    <w:p w:rsidR="00BB4501" w:rsidRPr="00F00002" w:rsidRDefault="00BB4501" w:rsidP="00D150ED">
      <w:pPr>
        <w:pStyle w:val="subsection"/>
      </w:pPr>
      <w:r w:rsidRPr="00F00002">
        <w:tab/>
        <w:t>(3)</w:t>
      </w:r>
      <w:r w:rsidRPr="00F00002">
        <w:tab/>
        <w:t xml:space="preserve">A condition is that the new entrant rate for the defined benefit member, as worked out using </w:t>
      </w:r>
      <w:r w:rsidR="00D150ED" w:rsidRPr="00F00002">
        <w:t>Schedule</w:t>
      </w:r>
      <w:r w:rsidR="00F00002">
        <w:t> </w:t>
      </w:r>
      <w:r w:rsidRPr="00F00002">
        <w:t>1A:</w:t>
      </w:r>
    </w:p>
    <w:p w:rsidR="00BB4501" w:rsidRPr="00F00002" w:rsidRDefault="00BB4501" w:rsidP="00D150ED">
      <w:pPr>
        <w:pStyle w:val="paragraph"/>
      </w:pPr>
      <w:r w:rsidRPr="00F00002">
        <w:tab/>
        <w:t>(a)</w:t>
      </w:r>
      <w:r w:rsidRPr="00F00002">
        <w:tab/>
        <w:t xml:space="preserve">has not increased since it was first worked out using </w:t>
      </w:r>
      <w:r w:rsidR="00D150ED" w:rsidRPr="00F00002">
        <w:t>Schedule</w:t>
      </w:r>
      <w:r w:rsidR="00F00002">
        <w:t> </w:t>
      </w:r>
      <w:r w:rsidRPr="00F00002">
        <w:t>1A; or</w:t>
      </w:r>
    </w:p>
    <w:p w:rsidR="00BB4501" w:rsidRPr="00F00002" w:rsidRDefault="00BB4501" w:rsidP="00D150ED">
      <w:pPr>
        <w:pStyle w:val="paragraph"/>
      </w:pPr>
      <w:r w:rsidRPr="00F00002">
        <w:tab/>
        <w:t>(b)</w:t>
      </w:r>
      <w:r w:rsidRPr="00F00002">
        <w:tab/>
        <w:t xml:space="preserve">has increased since it was first worked out using </w:t>
      </w:r>
      <w:r w:rsidR="00D150ED" w:rsidRPr="00F00002">
        <w:t>Schedule</w:t>
      </w:r>
      <w:r w:rsidR="00F00002">
        <w:t> </w:t>
      </w:r>
      <w:r w:rsidRPr="00F00002">
        <w:t xml:space="preserve">1A only as a result of a change to the rules of the superannuation fund that increases a benefit as a result of a change that is made to satisfy the requirements of the </w:t>
      </w:r>
      <w:r w:rsidRPr="00F00002">
        <w:rPr>
          <w:i/>
        </w:rPr>
        <w:t>Superannuation Guarantee (Administration) Act 1992</w:t>
      </w:r>
      <w:r w:rsidRPr="00F00002">
        <w:t>.</w:t>
      </w:r>
    </w:p>
    <w:p w:rsidR="00BB4501" w:rsidRPr="00F00002" w:rsidRDefault="00BB4501" w:rsidP="00D150ED">
      <w:pPr>
        <w:pStyle w:val="subsection"/>
      </w:pPr>
      <w:r w:rsidRPr="00F00002">
        <w:lastRenderedPageBreak/>
        <w:tab/>
        <w:t>(4)</w:t>
      </w:r>
      <w:r w:rsidRPr="00F00002">
        <w:tab/>
        <w:t>A condition is that the method of calculating superannuation salary:</w:t>
      </w:r>
    </w:p>
    <w:p w:rsidR="00BB4501" w:rsidRPr="00F00002" w:rsidRDefault="00BB4501" w:rsidP="00D150ED">
      <w:pPr>
        <w:pStyle w:val="paragraph"/>
      </w:pPr>
      <w:r w:rsidRPr="00F00002">
        <w:rPr>
          <w:color w:val="000000"/>
        </w:rPr>
        <w:tab/>
        <w:t>(a)</w:t>
      </w:r>
      <w:r w:rsidRPr="00F00002">
        <w:rPr>
          <w:color w:val="000000"/>
        </w:rPr>
        <w:tab/>
        <w:t>has not been changed, in a way that would increase the salary, since 5</w:t>
      </w:r>
      <w:r w:rsidR="00F00002">
        <w:rPr>
          <w:color w:val="000000"/>
        </w:rPr>
        <w:t> </w:t>
      </w:r>
      <w:r w:rsidRPr="00F00002">
        <w:rPr>
          <w:color w:val="000000"/>
        </w:rPr>
        <w:t>September 2006; or</w:t>
      </w:r>
    </w:p>
    <w:p w:rsidR="00BB4501" w:rsidRPr="00F00002" w:rsidRDefault="00BB4501" w:rsidP="00D150ED">
      <w:pPr>
        <w:pStyle w:val="paragraph"/>
      </w:pPr>
      <w:r w:rsidRPr="00F00002">
        <w:tab/>
        <w:t>(b)</w:t>
      </w:r>
      <w:r w:rsidRPr="00F00002">
        <w:tab/>
        <w:t>has changed since 5</w:t>
      </w:r>
      <w:r w:rsidR="00F00002">
        <w:t> </w:t>
      </w:r>
      <w:r w:rsidRPr="00F00002">
        <w:t xml:space="preserve">September 2006 only as a result of a change to the rules of the superannuation fund that increases a benefit as a result of a change that is made to satisfy the requirements of the </w:t>
      </w:r>
      <w:r w:rsidRPr="00F00002">
        <w:rPr>
          <w:i/>
        </w:rPr>
        <w:t>Superannuation Guarantee (Administration) Act 1992</w:t>
      </w:r>
      <w:r w:rsidRPr="00F00002">
        <w:t>.</w:t>
      </w:r>
    </w:p>
    <w:p w:rsidR="00BB4501" w:rsidRPr="00F00002" w:rsidRDefault="00BB4501" w:rsidP="00D150ED">
      <w:pPr>
        <w:pStyle w:val="subsection"/>
      </w:pPr>
      <w:r w:rsidRPr="00F00002">
        <w:tab/>
        <w:t>(5)</w:t>
      </w:r>
      <w:r w:rsidRPr="00F00002">
        <w:tab/>
        <w:t>If the rate of superannuation salary has increased, since 5</w:t>
      </w:r>
      <w:r w:rsidR="00F00002">
        <w:t> </w:t>
      </w:r>
      <w:r w:rsidRPr="00F00002">
        <w:t>September 2006, by:</w:t>
      </w:r>
    </w:p>
    <w:p w:rsidR="00BB4501" w:rsidRPr="00F00002" w:rsidRDefault="00BB4501" w:rsidP="00D150ED">
      <w:pPr>
        <w:pStyle w:val="paragraph"/>
      </w:pPr>
      <w:r w:rsidRPr="00F00002">
        <w:tab/>
        <w:t>(a)</w:t>
      </w:r>
      <w:r w:rsidRPr="00F00002">
        <w:tab/>
        <w:t xml:space="preserve">more than 50% in 1 year; or </w:t>
      </w:r>
    </w:p>
    <w:p w:rsidR="00BB4501" w:rsidRPr="00F00002" w:rsidRDefault="00BB4501" w:rsidP="00D150ED">
      <w:pPr>
        <w:pStyle w:val="paragraph"/>
      </w:pPr>
      <w:r w:rsidRPr="00F00002">
        <w:tab/>
        <w:t>(b)</w:t>
      </w:r>
      <w:r w:rsidRPr="00F00002">
        <w:tab/>
        <w:t>more than 75% over 3 years;</w:t>
      </w:r>
    </w:p>
    <w:p w:rsidR="00BB4501" w:rsidRPr="00F00002" w:rsidRDefault="00BB4501" w:rsidP="00D150ED">
      <w:pPr>
        <w:pStyle w:val="subsection2"/>
      </w:pPr>
      <w:r w:rsidRPr="00F00002">
        <w:t>a condition is that the employer</w:t>
      </w:r>
      <w:r w:rsidR="00F00002">
        <w:noBreakHyphen/>
      </w:r>
      <w:r w:rsidRPr="00F00002">
        <w:t>sponsor advises the trustee that the increase in the rate is on an arm’s length basis.</w:t>
      </w:r>
    </w:p>
    <w:p w:rsidR="00BB4501" w:rsidRPr="00F00002" w:rsidRDefault="00BB4501" w:rsidP="00D150ED">
      <w:pPr>
        <w:pStyle w:val="subsection"/>
      </w:pPr>
      <w:r w:rsidRPr="00F00002">
        <w:rPr>
          <w:color w:val="000000"/>
        </w:rPr>
        <w:tab/>
        <w:t>(6)</w:t>
      </w:r>
      <w:r w:rsidRPr="00F00002">
        <w:rPr>
          <w:color w:val="000000"/>
        </w:rPr>
        <w:tab/>
        <w:t>A condition is that the trustee or employer</w:t>
      </w:r>
      <w:r w:rsidR="00F00002">
        <w:rPr>
          <w:color w:val="000000"/>
        </w:rPr>
        <w:noBreakHyphen/>
      </w:r>
      <w:r w:rsidRPr="00F00002">
        <w:rPr>
          <w:color w:val="000000"/>
        </w:rPr>
        <w:t>sponsor of the superannuation fund has not exercised a discretion to pay a benefit that is greater than the benefit that was assumed for the purpose of calculating the new entrant rate since 5</w:t>
      </w:r>
      <w:r w:rsidR="00F00002">
        <w:rPr>
          <w:color w:val="000000"/>
        </w:rPr>
        <w:t> </w:t>
      </w:r>
      <w:r w:rsidRPr="00F00002">
        <w:rPr>
          <w:color w:val="000000"/>
        </w:rPr>
        <w:t>September 2006.</w:t>
      </w:r>
    </w:p>
    <w:p w:rsidR="00BB4501" w:rsidRPr="00F00002" w:rsidRDefault="00BB4501" w:rsidP="00D150ED">
      <w:pPr>
        <w:pStyle w:val="subsection"/>
      </w:pPr>
      <w:r w:rsidRPr="00F00002">
        <w:tab/>
        <w:t>(7)</w:t>
      </w:r>
      <w:r w:rsidRPr="00F00002">
        <w:tab/>
        <w:t>For subregulation</w:t>
      </w:r>
      <w:r w:rsidR="00135C25" w:rsidRPr="00F00002">
        <w:t> </w:t>
      </w:r>
      <w:r w:rsidRPr="00F00002">
        <w:t xml:space="preserve">(5), a trustee must notify the Commissioner, in writing, of an increase in the rate of superannuation salary that exceeds the rate specified in </w:t>
      </w:r>
      <w:r w:rsidR="00F00002">
        <w:t>paragraph (</w:t>
      </w:r>
      <w:r w:rsidR="00E96A05" w:rsidRPr="00F00002">
        <w:t>5</w:t>
      </w:r>
      <w:r w:rsidR="00D150ED" w:rsidRPr="00F00002">
        <w:t>)(</w:t>
      </w:r>
      <w:r w:rsidR="00E96A05" w:rsidRPr="00F00002">
        <w:t xml:space="preserve">a) or (b) </w:t>
      </w:r>
      <w:r w:rsidRPr="00F00002">
        <w:t>as soon as practicable after the increase occurs.</w:t>
      </w:r>
    </w:p>
    <w:p w:rsidR="00E96A05" w:rsidRPr="00F00002" w:rsidRDefault="00E96A05" w:rsidP="00D150ED">
      <w:pPr>
        <w:pStyle w:val="subsection"/>
      </w:pPr>
      <w:r w:rsidRPr="00F00002">
        <w:tab/>
        <w:t>(8)</w:t>
      </w:r>
      <w:r w:rsidRPr="00F00002">
        <w:tab/>
        <w:t>If:</w:t>
      </w:r>
    </w:p>
    <w:p w:rsidR="00E96A05" w:rsidRPr="00F00002" w:rsidRDefault="00E96A05" w:rsidP="00D150ED">
      <w:pPr>
        <w:pStyle w:val="paragraph"/>
      </w:pPr>
      <w:r w:rsidRPr="00F00002">
        <w:tab/>
        <w:t>(a)</w:t>
      </w:r>
      <w:r w:rsidRPr="00F00002">
        <w:tab/>
        <w:t xml:space="preserve">a condition mentioned in </w:t>
      </w:r>
      <w:r w:rsidR="00F00002">
        <w:t>paragraph (</w:t>
      </w:r>
      <w:r w:rsidRPr="00F00002">
        <w:t>2</w:t>
      </w:r>
      <w:r w:rsidR="00D150ED" w:rsidRPr="00F00002">
        <w:t>)(</w:t>
      </w:r>
      <w:r w:rsidRPr="00F00002">
        <w:t>b) or subregulation</w:t>
      </w:r>
      <w:r w:rsidR="00135C25" w:rsidRPr="00F00002">
        <w:t> </w:t>
      </w:r>
      <w:r w:rsidRPr="00F00002">
        <w:t>(3) is not satisfied; and</w:t>
      </w:r>
    </w:p>
    <w:p w:rsidR="00E96A05" w:rsidRPr="00F00002" w:rsidRDefault="00E96A05" w:rsidP="00D150ED">
      <w:pPr>
        <w:pStyle w:val="paragraph"/>
      </w:pPr>
      <w:r w:rsidRPr="00F00002">
        <w:tab/>
        <w:t>(b)</w:t>
      </w:r>
      <w:r w:rsidRPr="00F00002">
        <w:tab/>
        <w:t>the condition was not satisfied only because:</w:t>
      </w:r>
    </w:p>
    <w:p w:rsidR="00E96A05" w:rsidRPr="00F00002" w:rsidRDefault="00E96A05" w:rsidP="00D150ED">
      <w:pPr>
        <w:pStyle w:val="paragraphsub"/>
      </w:pPr>
      <w:r w:rsidRPr="00F00002">
        <w:tab/>
        <w:t>(i)</w:t>
      </w:r>
      <w:r w:rsidRPr="00F00002">
        <w:tab/>
        <w:t>the defined benefit member moved to a new benefit category; and</w:t>
      </w:r>
    </w:p>
    <w:p w:rsidR="00E96A05" w:rsidRPr="00F00002" w:rsidRDefault="00E96A05" w:rsidP="00D150ED">
      <w:pPr>
        <w:pStyle w:val="paragraphsub"/>
      </w:pPr>
      <w:r w:rsidRPr="00F00002">
        <w:tab/>
        <w:t>(ii)</w:t>
      </w:r>
      <w:r w:rsidRPr="00F00002">
        <w:tab/>
        <w:t>the move was caused by the necessary application of the rules of the superannuation fund that were, or of legislation that was, in force on 5</w:t>
      </w:r>
      <w:r w:rsidR="00F00002">
        <w:t> </w:t>
      </w:r>
      <w:r w:rsidRPr="00F00002">
        <w:t>September 2006; and</w:t>
      </w:r>
    </w:p>
    <w:p w:rsidR="00E96A05" w:rsidRPr="00F00002" w:rsidRDefault="00E96A05" w:rsidP="00D150ED">
      <w:pPr>
        <w:pStyle w:val="paragraphsub"/>
      </w:pPr>
      <w:r w:rsidRPr="00F00002">
        <w:tab/>
        <w:t>(iii)</w:t>
      </w:r>
      <w:r w:rsidRPr="00F00002">
        <w:tab/>
        <w:t>the member had no control over the application of the rules or legislation;</w:t>
      </w:r>
    </w:p>
    <w:p w:rsidR="00E96A05" w:rsidRPr="00F00002" w:rsidRDefault="00E96A05" w:rsidP="00D150ED">
      <w:pPr>
        <w:pStyle w:val="subsection2"/>
      </w:pPr>
      <w:r w:rsidRPr="00F00002">
        <w:t>the failure to satisfy the condition is to be disregarded in determining if the conditions of this regulation have been satisfied.</w:t>
      </w:r>
    </w:p>
    <w:p w:rsidR="00E96A05" w:rsidRPr="00F00002" w:rsidRDefault="00E96A05" w:rsidP="00D150ED">
      <w:pPr>
        <w:pStyle w:val="ActHead5"/>
      </w:pPr>
      <w:bookmarkStart w:id="72" w:name="_Toc31109656"/>
      <w:r w:rsidRPr="00A26088">
        <w:rPr>
          <w:rStyle w:val="CharSectno"/>
        </w:rPr>
        <w:t>292</w:t>
      </w:r>
      <w:r w:rsidR="00F00002" w:rsidRPr="00A26088">
        <w:rPr>
          <w:rStyle w:val="CharSectno"/>
        </w:rPr>
        <w:noBreakHyphen/>
      </w:r>
      <w:r w:rsidRPr="00A26088">
        <w:rPr>
          <w:rStyle w:val="CharSectno"/>
        </w:rPr>
        <w:t>170.06</w:t>
      </w:r>
      <w:r w:rsidR="00D150ED" w:rsidRPr="00F00002">
        <w:t xml:space="preserve">  </w:t>
      </w:r>
      <w:r w:rsidRPr="00F00002">
        <w:t>Notional taxed contributions</w:t>
      </w:r>
      <w:r w:rsidR="00D150ED" w:rsidRPr="00F00002">
        <w:t>—</w:t>
      </w:r>
      <w:r w:rsidRPr="00F00002">
        <w:t>other conditions (subparagraph</w:t>
      </w:r>
      <w:r w:rsidR="00F00002">
        <w:t> </w:t>
      </w:r>
      <w:r w:rsidRPr="00F00002">
        <w:t>292</w:t>
      </w:r>
      <w:r w:rsidR="00F00002">
        <w:noBreakHyphen/>
      </w:r>
      <w:r w:rsidRPr="00F00002">
        <w:t>170(7</w:t>
      </w:r>
      <w:r w:rsidR="00D150ED" w:rsidRPr="00F00002">
        <w:t>)(</w:t>
      </w:r>
      <w:r w:rsidRPr="00F00002">
        <w:t>e</w:t>
      </w:r>
      <w:r w:rsidR="00D150ED" w:rsidRPr="00F00002">
        <w:t>)(</w:t>
      </w:r>
      <w:r w:rsidRPr="00F00002">
        <w:t>ii) of the Act)</w:t>
      </w:r>
      <w:bookmarkEnd w:id="72"/>
    </w:p>
    <w:p w:rsidR="00BB4501" w:rsidRPr="00F00002" w:rsidRDefault="00BB4501" w:rsidP="00D150ED">
      <w:pPr>
        <w:pStyle w:val="subsection"/>
      </w:pPr>
      <w:r w:rsidRPr="00F00002">
        <w:tab/>
        <w:t>(1)</w:t>
      </w:r>
      <w:r w:rsidRPr="00F00002">
        <w:tab/>
        <w:t xml:space="preserve">For </w:t>
      </w:r>
      <w:r w:rsidR="00E96A05" w:rsidRPr="00F00002">
        <w:t>subparagraph</w:t>
      </w:r>
      <w:r w:rsidR="00F00002">
        <w:t> </w:t>
      </w:r>
      <w:r w:rsidR="00E96A05" w:rsidRPr="00F00002">
        <w:t>292</w:t>
      </w:r>
      <w:r w:rsidR="00F00002">
        <w:noBreakHyphen/>
      </w:r>
      <w:r w:rsidR="00E96A05" w:rsidRPr="00F00002">
        <w:t>17</w:t>
      </w:r>
      <w:r w:rsidR="00D150ED" w:rsidRPr="00F00002">
        <w:t>0(</w:t>
      </w:r>
      <w:r w:rsidR="00E96A05" w:rsidRPr="00F00002">
        <w:t>7</w:t>
      </w:r>
      <w:r w:rsidR="00D150ED" w:rsidRPr="00F00002">
        <w:t>)(</w:t>
      </w:r>
      <w:r w:rsidR="00E96A05" w:rsidRPr="00F00002">
        <w:t>e</w:t>
      </w:r>
      <w:r w:rsidR="00D150ED" w:rsidRPr="00F00002">
        <w:t>)(</w:t>
      </w:r>
      <w:r w:rsidR="00E96A05" w:rsidRPr="00F00002">
        <w:t xml:space="preserve">ii) </w:t>
      </w:r>
      <w:r w:rsidRPr="00F00002">
        <w:t>of the Act, this regulation:</w:t>
      </w:r>
    </w:p>
    <w:p w:rsidR="00BB4501" w:rsidRPr="00F00002" w:rsidRDefault="00BB4501" w:rsidP="00D150ED">
      <w:pPr>
        <w:pStyle w:val="paragraph"/>
      </w:pPr>
      <w:r w:rsidRPr="00F00002">
        <w:rPr>
          <w:color w:val="000000"/>
        </w:rPr>
        <w:tab/>
        <w:t>(a)</w:t>
      </w:r>
      <w:r w:rsidRPr="00F00002">
        <w:rPr>
          <w:color w:val="000000"/>
        </w:rPr>
        <w:tab/>
        <w:t>applies in relation to a superannuation fund in relation to which subregulation</w:t>
      </w:r>
      <w:r w:rsidR="00F00002">
        <w:rPr>
          <w:color w:val="000000"/>
        </w:rPr>
        <w:t> </w:t>
      </w:r>
      <w:r w:rsidRPr="00F00002">
        <w:rPr>
          <w:color w:val="000000"/>
        </w:rPr>
        <w:t>292</w:t>
      </w:r>
      <w:r w:rsidR="00F00002">
        <w:rPr>
          <w:color w:val="000000"/>
        </w:rPr>
        <w:noBreakHyphen/>
      </w:r>
      <w:r w:rsidRPr="00F00002">
        <w:rPr>
          <w:color w:val="000000"/>
        </w:rPr>
        <w:t>170.02(2) applies, or is taken to apply; and</w:t>
      </w:r>
    </w:p>
    <w:p w:rsidR="00BB4501" w:rsidRPr="00F00002" w:rsidRDefault="00BB4501" w:rsidP="00D150ED">
      <w:pPr>
        <w:pStyle w:val="paragraph"/>
      </w:pPr>
      <w:r w:rsidRPr="00F00002">
        <w:tab/>
        <w:t>(b)</w:t>
      </w:r>
      <w:r w:rsidRPr="00F00002">
        <w:tab/>
        <w:t xml:space="preserve">sets out the conditions that are to be satisfied in relation to establishing whether notional taxed contributions for a financial year in respect of a </w:t>
      </w:r>
      <w:r w:rsidRPr="00F00002">
        <w:lastRenderedPageBreak/>
        <w:t>defined benefit interest are equal to the concessional contributions cap for the financial year.</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Subsection</w:t>
      </w:r>
      <w:r w:rsidR="00F00002">
        <w:rPr>
          <w:color w:val="000000"/>
        </w:rPr>
        <w:t> </w:t>
      </w:r>
      <w:r w:rsidR="00BB4501" w:rsidRPr="00F00002">
        <w:rPr>
          <w:color w:val="000000"/>
        </w:rPr>
        <w:t>292</w:t>
      </w:r>
      <w:r w:rsidR="00F00002">
        <w:rPr>
          <w:color w:val="000000"/>
        </w:rPr>
        <w:noBreakHyphen/>
      </w:r>
      <w:r w:rsidR="00BB4501" w:rsidRPr="00F00002">
        <w:rPr>
          <w:color w:val="000000"/>
        </w:rPr>
        <w:t xml:space="preserve">170(7) of the Act explains when a member’s </w:t>
      </w:r>
      <w:r w:rsidR="00BB4501" w:rsidRPr="00F00002">
        <w:rPr>
          <w:bCs/>
          <w:iCs/>
          <w:color w:val="000000"/>
        </w:rPr>
        <w:t xml:space="preserve">notional taxed contributions </w:t>
      </w:r>
      <w:r w:rsidR="00BB4501" w:rsidRPr="00F00002">
        <w:rPr>
          <w:color w:val="000000"/>
        </w:rPr>
        <w:t>for the financial year in respect of a defined benefit interest that has been transferred to another fund are equal to the concessional contributions cap for the financial year. This includes satisfying conditions specified in the Regulations.</w:t>
      </w:r>
    </w:p>
    <w:p w:rsidR="00BB4501" w:rsidRPr="00F00002" w:rsidRDefault="00BB4501" w:rsidP="00D150ED">
      <w:pPr>
        <w:pStyle w:val="subsection"/>
      </w:pPr>
      <w:r w:rsidRPr="00F00002">
        <w:tab/>
        <w:t>(2)</w:t>
      </w:r>
      <w:r w:rsidRPr="00F00002">
        <w:tab/>
        <w:t>A condition is that between 5</w:t>
      </w:r>
      <w:r w:rsidR="00F00002">
        <w:t> </w:t>
      </w:r>
      <w:r w:rsidRPr="00F00002">
        <w:t xml:space="preserve">September 2006 and the time at which the new entrant rate for the defined benefit member is worked out using </w:t>
      </w:r>
      <w:r w:rsidR="00D150ED" w:rsidRPr="00F00002">
        <w:t>Schedule</w:t>
      </w:r>
      <w:r w:rsidR="00F00002">
        <w:t> </w:t>
      </w:r>
      <w:r w:rsidRPr="00F00002">
        <w:t>1A:</w:t>
      </w:r>
    </w:p>
    <w:p w:rsidR="00BB4501" w:rsidRPr="00F00002" w:rsidRDefault="00BB4501" w:rsidP="00D150ED">
      <w:pPr>
        <w:pStyle w:val="paragraph"/>
      </w:pPr>
      <w:r w:rsidRPr="00F00002">
        <w:tab/>
        <w:t>(a)</w:t>
      </w:r>
      <w:r w:rsidRPr="00F00002">
        <w:tab/>
        <w:t>the rules of the superannuation fund have not changed to improve the member’s benefit; and</w:t>
      </w:r>
    </w:p>
    <w:p w:rsidR="00BB4501" w:rsidRPr="00F00002" w:rsidRDefault="00BB4501" w:rsidP="00D150ED">
      <w:pPr>
        <w:pStyle w:val="paragraph"/>
      </w:pPr>
      <w:r w:rsidRPr="00F00002">
        <w:tab/>
        <w:t>(b)</w:t>
      </w:r>
      <w:r w:rsidRPr="00F00002">
        <w:tab/>
        <w:t>either:</w:t>
      </w:r>
    </w:p>
    <w:p w:rsidR="00BB4501" w:rsidRPr="00F00002" w:rsidRDefault="00BB4501" w:rsidP="00D150ED">
      <w:pPr>
        <w:pStyle w:val="paragraphsub"/>
      </w:pPr>
      <w:r w:rsidRPr="00F00002">
        <w:tab/>
        <w:t>(i)</w:t>
      </w:r>
      <w:r w:rsidRPr="00F00002">
        <w:tab/>
        <w:t>the member has not moved to a new benefit category; or</w:t>
      </w:r>
    </w:p>
    <w:p w:rsidR="00BB4501" w:rsidRPr="00F00002" w:rsidRDefault="00BB4501" w:rsidP="00D150ED">
      <w:pPr>
        <w:pStyle w:val="paragraphsub"/>
      </w:pPr>
      <w:r w:rsidRPr="00F00002">
        <w:tab/>
        <w:t>(ii)</w:t>
      </w:r>
      <w:r w:rsidRPr="00F00002">
        <w:tab/>
        <w:t>if the member has moved to a new benefit category, the new benefit category does not provide the member with an improved level of benefit.</w:t>
      </w:r>
    </w:p>
    <w:p w:rsidR="00BB4501" w:rsidRPr="00F00002" w:rsidRDefault="00BB4501" w:rsidP="00D150ED">
      <w:pPr>
        <w:pStyle w:val="subsection"/>
      </w:pPr>
      <w:r w:rsidRPr="00F00002">
        <w:tab/>
        <w:t>(3)</w:t>
      </w:r>
      <w:r w:rsidRPr="00F00002">
        <w:tab/>
        <w:t xml:space="preserve">A condition is that the new entrant rate for the defined benefit member, as worked out using </w:t>
      </w:r>
      <w:r w:rsidR="00D150ED" w:rsidRPr="00F00002">
        <w:t>Schedule</w:t>
      </w:r>
      <w:r w:rsidR="00F00002">
        <w:t> </w:t>
      </w:r>
      <w:r w:rsidRPr="00F00002">
        <w:t>1A:</w:t>
      </w:r>
    </w:p>
    <w:p w:rsidR="00BB4501" w:rsidRPr="00F00002" w:rsidRDefault="00BB4501" w:rsidP="00D150ED">
      <w:pPr>
        <w:pStyle w:val="paragraph"/>
      </w:pPr>
      <w:r w:rsidRPr="00F00002">
        <w:tab/>
        <w:t>(a)</w:t>
      </w:r>
      <w:r w:rsidRPr="00F00002">
        <w:tab/>
        <w:t xml:space="preserve">has not increased since it was first worked out using </w:t>
      </w:r>
      <w:r w:rsidR="00D150ED" w:rsidRPr="00F00002">
        <w:t>Schedule</w:t>
      </w:r>
      <w:r w:rsidR="00F00002">
        <w:t> </w:t>
      </w:r>
      <w:r w:rsidRPr="00F00002">
        <w:t>1A; or</w:t>
      </w:r>
    </w:p>
    <w:p w:rsidR="00BB4501" w:rsidRPr="00F00002" w:rsidRDefault="00BB4501" w:rsidP="00D150ED">
      <w:pPr>
        <w:pStyle w:val="paragraph"/>
      </w:pPr>
      <w:r w:rsidRPr="00F00002">
        <w:tab/>
        <w:t>(b)</w:t>
      </w:r>
      <w:r w:rsidRPr="00F00002">
        <w:tab/>
        <w:t xml:space="preserve">has increased since it was first worked out using </w:t>
      </w:r>
      <w:r w:rsidR="00D150ED" w:rsidRPr="00F00002">
        <w:t>Schedule</w:t>
      </w:r>
      <w:r w:rsidR="00F00002">
        <w:t> </w:t>
      </w:r>
      <w:r w:rsidRPr="00F00002">
        <w:t xml:space="preserve">1A only as a result of a change to the rules of the superannuation fund that increases a benefit as a result of a change that is made to satisfy the requirements of the </w:t>
      </w:r>
      <w:r w:rsidRPr="00F00002">
        <w:rPr>
          <w:i/>
        </w:rPr>
        <w:t>Superannuation Guarantee (Administration) Act 1992</w:t>
      </w:r>
      <w:r w:rsidRPr="00F00002">
        <w:t>.</w:t>
      </w:r>
    </w:p>
    <w:p w:rsidR="00BB4501" w:rsidRPr="00F00002" w:rsidRDefault="00BB4501" w:rsidP="00D150ED">
      <w:pPr>
        <w:pStyle w:val="subsection"/>
      </w:pPr>
      <w:r w:rsidRPr="00F00002">
        <w:tab/>
        <w:t>(4)</w:t>
      </w:r>
      <w:r w:rsidRPr="00F00002">
        <w:tab/>
        <w:t>A condition is that the method of calculating superannuation salary:</w:t>
      </w:r>
    </w:p>
    <w:p w:rsidR="00BB4501" w:rsidRPr="00F00002" w:rsidRDefault="00BB4501" w:rsidP="00D150ED">
      <w:pPr>
        <w:pStyle w:val="paragraph"/>
      </w:pPr>
      <w:r w:rsidRPr="00F00002">
        <w:rPr>
          <w:color w:val="000000"/>
        </w:rPr>
        <w:tab/>
        <w:t>(a)</w:t>
      </w:r>
      <w:r w:rsidRPr="00F00002">
        <w:rPr>
          <w:color w:val="000000"/>
        </w:rPr>
        <w:tab/>
        <w:t>has not been changed, in a way that would increase the salary, since 5</w:t>
      </w:r>
      <w:r w:rsidR="00F00002">
        <w:rPr>
          <w:color w:val="000000"/>
        </w:rPr>
        <w:t> </w:t>
      </w:r>
      <w:r w:rsidRPr="00F00002">
        <w:rPr>
          <w:color w:val="000000"/>
        </w:rPr>
        <w:t>September 2006; or</w:t>
      </w:r>
    </w:p>
    <w:p w:rsidR="00BB4501" w:rsidRPr="00F00002" w:rsidRDefault="00BB4501" w:rsidP="00D150ED">
      <w:pPr>
        <w:pStyle w:val="paragraph"/>
      </w:pPr>
      <w:r w:rsidRPr="00F00002">
        <w:tab/>
        <w:t>(b)</w:t>
      </w:r>
      <w:r w:rsidRPr="00F00002">
        <w:tab/>
        <w:t>has changed since 5</w:t>
      </w:r>
      <w:r w:rsidR="00F00002">
        <w:t> </w:t>
      </w:r>
      <w:r w:rsidRPr="00F00002">
        <w:t xml:space="preserve">September 2006 only as a result of a change to the rules of the superannuation fund that increases a benefit as a result of a change that is made to satisfy the requirements of the </w:t>
      </w:r>
      <w:r w:rsidRPr="00F00002">
        <w:rPr>
          <w:i/>
        </w:rPr>
        <w:t>Superannuation Guarantee (Administration) Act 1992</w:t>
      </w:r>
      <w:r w:rsidRPr="00F00002">
        <w:t>.</w:t>
      </w:r>
    </w:p>
    <w:p w:rsidR="00BB4501" w:rsidRPr="00F00002" w:rsidRDefault="00BB4501" w:rsidP="00D150ED">
      <w:pPr>
        <w:pStyle w:val="subsection"/>
      </w:pPr>
      <w:r w:rsidRPr="00F00002">
        <w:tab/>
        <w:t>(5)</w:t>
      </w:r>
      <w:r w:rsidRPr="00F00002">
        <w:tab/>
        <w:t>If the rate of superannuation salary has increased, since 5</w:t>
      </w:r>
      <w:r w:rsidR="00F00002">
        <w:t> </w:t>
      </w:r>
      <w:r w:rsidRPr="00F00002">
        <w:t>September 2006, by:</w:t>
      </w:r>
    </w:p>
    <w:p w:rsidR="00BB4501" w:rsidRPr="00F00002" w:rsidRDefault="00BB4501" w:rsidP="00D150ED">
      <w:pPr>
        <w:pStyle w:val="paragraph"/>
      </w:pPr>
      <w:r w:rsidRPr="00F00002">
        <w:tab/>
        <w:t>(a)</w:t>
      </w:r>
      <w:r w:rsidRPr="00F00002">
        <w:tab/>
        <w:t xml:space="preserve">more than 50% in 1 year; or </w:t>
      </w:r>
    </w:p>
    <w:p w:rsidR="00BB4501" w:rsidRPr="00F00002" w:rsidRDefault="00BB4501" w:rsidP="00D150ED">
      <w:pPr>
        <w:pStyle w:val="paragraph"/>
      </w:pPr>
      <w:r w:rsidRPr="00F00002">
        <w:tab/>
        <w:t>(b)</w:t>
      </w:r>
      <w:r w:rsidRPr="00F00002">
        <w:tab/>
        <w:t>more than 75% over 3 years;</w:t>
      </w:r>
    </w:p>
    <w:p w:rsidR="00BB4501" w:rsidRPr="00F00002" w:rsidRDefault="00BB4501" w:rsidP="00D150ED">
      <w:pPr>
        <w:pStyle w:val="subsection2"/>
      </w:pPr>
      <w:r w:rsidRPr="00F00002">
        <w:t>a condition is that the employer</w:t>
      </w:r>
      <w:r w:rsidR="00F00002">
        <w:noBreakHyphen/>
      </w:r>
      <w:r w:rsidRPr="00F00002">
        <w:t>sponsor advises the trustee that the increase in the rate is on an arm’s length basis.</w:t>
      </w:r>
    </w:p>
    <w:p w:rsidR="00BB4501" w:rsidRPr="00F00002" w:rsidRDefault="00BB4501" w:rsidP="00D150ED">
      <w:pPr>
        <w:pStyle w:val="subsection"/>
      </w:pPr>
      <w:r w:rsidRPr="00F00002">
        <w:rPr>
          <w:color w:val="000000"/>
        </w:rPr>
        <w:tab/>
        <w:t>(6)</w:t>
      </w:r>
      <w:r w:rsidRPr="00F00002">
        <w:rPr>
          <w:color w:val="000000"/>
        </w:rPr>
        <w:tab/>
        <w:t>A condition is that the trustee or employer</w:t>
      </w:r>
      <w:r w:rsidR="00F00002">
        <w:rPr>
          <w:color w:val="000000"/>
        </w:rPr>
        <w:noBreakHyphen/>
      </w:r>
      <w:r w:rsidRPr="00F00002">
        <w:rPr>
          <w:color w:val="000000"/>
        </w:rPr>
        <w:t>sponsor of the superannuation fund has not exercised a discretion to pay a benefit that is greater than the benefit that was assumed for the purpose of calculating the new entrant rate since 5</w:t>
      </w:r>
      <w:r w:rsidR="00F00002">
        <w:rPr>
          <w:color w:val="000000"/>
        </w:rPr>
        <w:t> </w:t>
      </w:r>
      <w:r w:rsidRPr="00F00002">
        <w:rPr>
          <w:color w:val="000000"/>
        </w:rPr>
        <w:t>September 2006.</w:t>
      </w:r>
    </w:p>
    <w:p w:rsidR="00BB4501" w:rsidRPr="00F00002" w:rsidRDefault="00BB4501" w:rsidP="00D150ED">
      <w:pPr>
        <w:pStyle w:val="subsection"/>
      </w:pPr>
      <w:r w:rsidRPr="00F00002">
        <w:lastRenderedPageBreak/>
        <w:tab/>
        <w:t>(7)</w:t>
      </w:r>
      <w:r w:rsidRPr="00F00002">
        <w:tab/>
        <w:t>For subregulation</w:t>
      </w:r>
      <w:r w:rsidR="00135C25" w:rsidRPr="00F00002">
        <w:t> </w:t>
      </w:r>
      <w:r w:rsidRPr="00F00002">
        <w:t xml:space="preserve">(5), a trustee must notify the Commissioner, in writing, of an increase in the rate of superannuation salary that exceeds the rate specified in </w:t>
      </w:r>
      <w:r w:rsidR="00F00002">
        <w:t>paragraph (</w:t>
      </w:r>
      <w:r w:rsidR="00E96A05" w:rsidRPr="00F00002">
        <w:t>5</w:t>
      </w:r>
      <w:r w:rsidR="00D150ED" w:rsidRPr="00F00002">
        <w:t>)(</w:t>
      </w:r>
      <w:r w:rsidR="00E96A05" w:rsidRPr="00F00002">
        <w:t xml:space="preserve">a) or (b) </w:t>
      </w:r>
      <w:r w:rsidRPr="00F00002">
        <w:t>as soon as practicable after the increase occurs.</w:t>
      </w:r>
    </w:p>
    <w:p w:rsidR="000F5826" w:rsidRPr="00F00002" w:rsidRDefault="000F5826" w:rsidP="00D150ED">
      <w:pPr>
        <w:pStyle w:val="subsection"/>
      </w:pPr>
      <w:r w:rsidRPr="00F00002">
        <w:tab/>
        <w:t>(8)</w:t>
      </w:r>
      <w:r w:rsidRPr="00F00002">
        <w:tab/>
        <w:t>If:</w:t>
      </w:r>
    </w:p>
    <w:p w:rsidR="000F5826" w:rsidRPr="00F00002" w:rsidRDefault="000F5826" w:rsidP="00D150ED">
      <w:pPr>
        <w:pStyle w:val="paragraph"/>
      </w:pPr>
      <w:r w:rsidRPr="00F00002">
        <w:tab/>
        <w:t>(a)</w:t>
      </w:r>
      <w:r w:rsidRPr="00F00002">
        <w:tab/>
        <w:t xml:space="preserve">a condition mentioned in </w:t>
      </w:r>
      <w:r w:rsidR="00F00002">
        <w:t>paragraph (</w:t>
      </w:r>
      <w:r w:rsidRPr="00F00002">
        <w:t>2)</w:t>
      </w:r>
      <w:r w:rsidR="008E62BC" w:rsidRPr="00F00002">
        <w:t xml:space="preserve"> </w:t>
      </w:r>
      <w:r w:rsidRPr="00F00002">
        <w:t>b) or subregulation</w:t>
      </w:r>
      <w:r w:rsidR="00135C25" w:rsidRPr="00F00002">
        <w:t> </w:t>
      </w:r>
      <w:r w:rsidRPr="00F00002">
        <w:t>(3) is not satisfied; and</w:t>
      </w:r>
    </w:p>
    <w:p w:rsidR="000F5826" w:rsidRPr="00F00002" w:rsidRDefault="000F5826" w:rsidP="00D150ED">
      <w:pPr>
        <w:pStyle w:val="paragraph"/>
      </w:pPr>
      <w:r w:rsidRPr="00F00002">
        <w:tab/>
        <w:t>(b)</w:t>
      </w:r>
      <w:r w:rsidRPr="00F00002">
        <w:tab/>
        <w:t>the condition was not satisfied only because:</w:t>
      </w:r>
    </w:p>
    <w:p w:rsidR="000F5826" w:rsidRPr="00F00002" w:rsidRDefault="000F5826" w:rsidP="00D150ED">
      <w:pPr>
        <w:pStyle w:val="paragraphsub"/>
      </w:pPr>
      <w:r w:rsidRPr="00F00002">
        <w:tab/>
        <w:t>(i)</w:t>
      </w:r>
      <w:r w:rsidRPr="00F00002">
        <w:tab/>
        <w:t>the defined benefit member moved to a new benefit category; and</w:t>
      </w:r>
    </w:p>
    <w:p w:rsidR="000F5826" w:rsidRPr="00F00002" w:rsidRDefault="000F5826" w:rsidP="00D150ED">
      <w:pPr>
        <w:pStyle w:val="paragraphsub"/>
      </w:pPr>
      <w:r w:rsidRPr="00F00002">
        <w:tab/>
        <w:t>(ii)</w:t>
      </w:r>
      <w:r w:rsidRPr="00F00002">
        <w:tab/>
        <w:t>the move was caused by the necessary application of the rules of the superannuation fund that were, or of legislation that was, in force on 5</w:t>
      </w:r>
      <w:r w:rsidR="00F00002">
        <w:t> </w:t>
      </w:r>
      <w:r w:rsidRPr="00F00002">
        <w:t>September 2006; and</w:t>
      </w:r>
    </w:p>
    <w:p w:rsidR="000F5826" w:rsidRPr="00F00002" w:rsidRDefault="000F5826" w:rsidP="00D150ED">
      <w:pPr>
        <w:pStyle w:val="paragraphsub"/>
      </w:pPr>
      <w:r w:rsidRPr="00F00002">
        <w:tab/>
        <w:t>(iii)</w:t>
      </w:r>
      <w:r w:rsidRPr="00F00002">
        <w:tab/>
        <w:t>the member had no control over the application of the rules or legislation;</w:t>
      </w:r>
    </w:p>
    <w:p w:rsidR="000F5826" w:rsidRPr="00F00002" w:rsidRDefault="000F5826" w:rsidP="00D150ED">
      <w:pPr>
        <w:pStyle w:val="subsection2"/>
      </w:pPr>
      <w:r w:rsidRPr="00F00002">
        <w:t>the failure to satisfy the condition is to be disregarded in determining if the conditions of this regulation have been satisfied.</w:t>
      </w:r>
    </w:p>
    <w:p w:rsidR="000F5826" w:rsidRPr="00F00002" w:rsidRDefault="000F5826" w:rsidP="00D150ED">
      <w:pPr>
        <w:pStyle w:val="ActHead5"/>
      </w:pPr>
      <w:bookmarkStart w:id="73" w:name="_Toc31109657"/>
      <w:r w:rsidRPr="00A26088">
        <w:rPr>
          <w:rStyle w:val="CharSectno"/>
        </w:rPr>
        <w:t>292</w:t>
      </w:r>
      <w:r w:rsidR="00F00002" w:rsidRPr="00A26088">
        <w:rPr>
          <w:rStyle w:val="CharSectno"/>
        </w:rPr>
        <w:noBreakHyphen/>
      </w:r>
      <w:r w:rsidRPr="00A26088">
        <w:rPr>
          <w:rStyle w:val="CharSectno"/>
        </w:rPr>
        <w:t>170.07</w:t>
      </w:r>
      <w:r w:rsidR="00D150ED" w:rsidRPr="00F00002">
        <w:t xml:space="preserve">  </w:t>
      </w:r>
      <w:r w:rsidRPr="00F00002">
        <w:t>Notional taxed contributions</w:t>
      </w:r>
      <w:r w:rsidR="00D150ED" w:rsidRPr="00F00002">
        <w:t>—</w:t>
      </w:r>
      <w:r w:rsidRPr="00F00002">
        <w:t>other conditions (paragraph</w:t>
      </w:r>
      <w:r w:rsidR="00F00002">
        <w:t> </w:t>
      </w:r>
      <w:r w:rsidRPr="00F00002">
        <w:t>292</w:t>
      </w:r>
      <w:r w:rsidR="00F00002">
        <w:noBreakHyphen/>
      </w:r>
      <w:r w:rsidRPr="00F00002">
        <w:t>17</w:t>
      </w:r>
      <w:r w:rsidR="00D150ED" w:rsidRPr="00F00002">
        <w:t>0(</w:t>
      </w:r>
      <w:r w:rsidRPr="00F00002">
        <w:t>8</w:t>
      </w:r>
      <w:r w:rsidR="00D150ED" w:rsidRPr="00F00002">
        <w:t>)(</w:t>
      </w:r>
      <w:r w:rsidRPr="00F00002">
        <w:t>d) of the Act)</w:t>
      </w:r>
      <w:bookmarkEnd w:id="73"/>
    </w:p>
    <w:p w:rsidR="000F5826" w:rsidRPr="00F00002" w:rsidRDefault="000F5826" w:rsidP="00D150ED">
      <w:pPr>
        <w:pStyle w:val="subsection"/>
      </w:pPr>
      <w:r w:rsidRPr="00F00002">
        <w:tab/>
        <w:t>(1)</w:t>
      </w:r>
      <w:r w:rsidRPr="00F00002">
        <w:tab/>
        <w:t>For paragraph</w:t>
      </w:r>
      <w:r w:rsidR="00F00002">
        <w:t> </w:t>
      </w:r>
      <w:r w:rsidRPr="00F00002">
        <w:t>292</w:t>
      </w:r>
      <w:r w:rsidR="00F00002">
        <w:noBreakHyphen/>
      </w:r>
      <w:r w:rsidRPr="00F00002">
        <w:t>17</w:t>
      </w:r>
      <w:r w:rsidR="00D150ED" w:rsidRPr="00F00002">
        <w:t>0(</w:t>
      </w:r>
      <w:r w:rsidRPr="00F00002">
        <w:t>8</w:t>
      </w:r>
      <w:r w:rsidR="00D150ED" w:rsidRPr="00F00002">
        <w:t>)(</w:t>
      </w:r>
      <w:r w:rsidRPr="00F00002">
        <w:t>d) of the Act, this regulation:</w:t>
      </w:r>
    </w:p>
    <w:p w:rsidR="000F5826" w:rsidRPr="00F00002" w:rsidRDefault="000F5826" w:rsidP="00D150ED">
      <w:pPr>
        <w:pStyle w:val="paragraph"/>
      </w:pPr>
      <w:r w:rsidRPr="00F00002">
        <w:tab/>
        <w:t>(a)</w:t>
      </w:r>
      <w:r w:rsidRPr="00F00002">
        <w:tab/>
        <w:t>applies to a superannuation fund if a defined benefit member of the fund is a person to whom subregulation</w:t>
      </w:r>
      <w:r w:rsidR="00F00002">
        <w:t> </w:t>
      </w:r>
      <w:r w:rsidRPr="00F00002">
        <w:t>292</w:t>
      </w:r>
      <w:r w:rsidR="00F00002">
        <w:noBreakHyphen/>
      </w:r>
      <w:r w:rsidRPr="00F00002">
        <w:t>170.02(2) applies, or is taken to apply; and</w:t>
      </w:r>
    </w:p>
    <w:p w:rsidR="000F5826" w:rsidRPr="00F00002" w:rsidRDefault="000F5826" w:rsidP="00D150ED">
      <w:pPr>
        <w:pStyle w:val="paragraph"/>
      </w:pPr>
      <w:r w:rsidRPr="00F00002">
        <w:tab/>
        <w:t>(b)</w:t>
      </w:r>
      <w:r w:rsidRPr="00F00002">
        <w:tab/>
        <w:t>sets out the conditions that are to be satisfied in relation to establishing whether the defined benefit member’s notional taxed contributions for a financial year for a defined benefit interest are equal to the concessional contributions cap for the financial year.</w:t>
      </w:r>
    </w:p>
    <w:p w:rsidR="000F5826" w:rsidRPr="00F00002" w:rsidRDefault="00D150ED" w:rsidP="00D150ED">
      <w:pPr>
        <w:pStyle w:val="notetext"/>
      </w:pPr>
      <w:r w:rsidRPr="00F00002">
        <w:t>Note:</w:t>
      </w:r>
      <w:r w:rsidRPr="00F00002">
        <w:tab/>
      </w:r>
      <w:r w:rsidR="000F5826" w:rsidRPr="00F00002">
        <w:t>Subsection</w:t>
      </w:r>
      <w:r w:rsidR="00F00002">
        <w:t> </w:t>
      </w:r>
      <w:r w:rsidR="000F5826" w:rsidRPr="00F00002">
        <w:t>292</w:t>
      </w:r>
      <w:r w:rsidR="00F00002">
        <w:noBreakHyphen/>
      </w:r>
      <w:r w:rsidR="000F5826" w:rsidRPr="00F00002">
        <w:t xml:space="preserve">170(8) of the Act explains when a member’s </w:t>
      </w:r>
      <w:r w:rsidR="000F5826" w:rsidRPr="00F00002">
        <w:rPr>
          <w:bCs/>
          <w:iCs/>
        </w:rPr>
        <w:t xml:space="preserve">notional taxed contributions </w:t>
      </w:r>
      <w:r w:rsidR="000F5826" w:rsidRPr="00F00002">
        <w:t>for the financial year, in respect of a defined benefit interest, are equal to the concessional contributions cap for the financial year. This includes satisfying conditions specified in the Regulations.</w:t>
      </w:r>
    </w:p>
    <w:p w:rsidR="000F5826" w:rsidRPr="00F00002" w:rsidRDefault="000F5826" w:rsidP="00D150ED">
      <w:pPr>
        <w:pStyle w:val="subsection"/>
      </w:pPr>
      <w:r w:rsidRPr="00F00002">
        <w:tab/>
        <w:t>(2)</w:t>
      </w:r>
      <w:r w:rsidRPr="00F00002">
        <w:tab/>
        <w:t xml:space="preserve">A condition is that the new entrant rate for the defined benefit member, as worked out using </w:t>
      </w:r>
      <w:r w:rsidR="00D150ED" w:rsidRPr="00F00002">
        <w:t>Schedule</w:t>
      </w:r>
      <w:r w:rsidR="00F00002">
        <w:t> </w:t>
      </w:r>
      <w:r w:rsidRPr="00F00002">
        <w:t>1A:</w:t>
      </w:r>
    </w:p>
    <w:p w:rsidR="000F5826" w:rsidRPr="00F00002" w:rsidRDefault="000F5826" w:rsidP="00D150ED">
      <w:pPr>
        <w:pStyle w:val="paragraph"/>
      </w:pPr>
      <w:r w:rsidRPr="00F00002">
        <w:tab/>
        <w:t>(a)</w:t>
      </w:r>
      <w:r w:rsidRPr="00F00002">
        <w:tab/>
        <w:t>has not increased since 12</w:t>
      </w:r>
      <w:r w:rsidR="00F00002">
        <w:t> </w:t>
      </w:r>
      <w:r w:rsidRPr="00F00002">
        <w:t>May 2009; or</w:t>
      </w:r>
    </w:p>
    <w:p w:rsidR="000F5826" w:rsidRPr="00F00002" w:rsidRDefault="000F5826" w:rsidP="00D150ED">
      <w:pPr>
        <w:pStyle w:val="paragraph"/>
      </w:pPr>
      <w:r w:rsidRPr="00F00002">
        <w:tab/>
        <w:t>(b)</w:t>
      </w:r>
      <w:r w:rsidRPr="00F00002">
        <w:tab/>
        <w:t>has increased since 12</w:t>
      </w:r>
      <w:r w:rsidR="00F00002">
        <w:t> </w:t>
      </w:r>
      <w:r w:rsidRPr="00F00002">
        <w:t xml:space="preserve">May 2009 only as a result of a change to the rules of the superannuation fund that increases a benefit as a result of a change made to satisfy the requirements of the </w:t>
      </w:r>
      <w:r w:rsidRPr="00F00002">
        <w:rPr>
          <w:i/>
        </w:rPr>
        <w:t>Superannuation Guarantee (Administration) Act 1992</w:t>
      </w:r>
      <w:r w:rsidRPr="00F00002">
        <w:t>.</w:t>
      </w:r>
    </w:p>
    <w:p w:rsidR="000F5826" w:rsidRPr="00F00002" w:rsidRDefault="000F5826" w:rsidP="00D150ED">
      <w:pPr>
        <w:pStyle w:val="subsection"/>
      </w:pPr>
      <w:r w:rsidRPr="00F00002">
        <w:tab/>
        <w:t>(3)</w:t>
      </w:r>
      <w:r w:rsidRPr="00F00002">
        <w:tab/>
        <w:t>A condition is that the method of calculating superannuation salary:</w:t>
      </w:r>
    </w:p>
    <w:p w:rsidR="000F5826" w:rsidRPr="00F00002" w:rsidRDefault="000F5826" w:rsidP="00D150ED">
      <w:pPr>
        <w:pStyle w:val="paragraph"/>
      </w:pPr>
      <w:r w:rsidRPr="00F00002">
        <w:tab/>
        <w:t>(a)</w:t>
      </w:r>
      <w:r w:rsidRPr="00F00002">
        <w:tab/>
        <w:t>has not been changed, in a way that would increase the member’s salary, since 12</w:t>
      </w:r>
      <w:r w:rsidR="00F00002">
        <w:t> </w:t>
      </w:r>
      <w:r w:rsidRPr="00F00002">
        <w:t>May 2009; or</w:t>
      </w:r>
    </w:p>
    <w:p w:rsidR="000F5826" w:rsidRPr="00F00002" w:rsidRDefault="000F5826" w:rsidP="00D150ED">
      <w:pPr>
        <w:pStyle w:val="paragraph"/>
      </w:pPr>
      <w:r w:rsidRPr="00F00002">
        <w:lastRenderedPageBreak/>
        <w:tab/>
        <w:t>(b)</w:t>
      </w:r>
      <w:r w:rsidRPr="00F00002">
        <w:tab/>
        <w:t>has changed since 12</w:t>
      </w:r>
      <w:r w:rsidR="00F00002">
        <w:t> </w:t>
      </w:r>
      <w:r w:rsidRPr="00F00002">
        <w:t xml:space="preserve">May 2009 only as a result of a change to the rules of the superannuation fund that increases a benefit as a result of a change made to satisfy the requirements of the </w:t>
      </w:r>
      <w:r w:rsidRPr="00F00002">
        <w:rPr>
          <w:i/>
        </w:rPr>
        <w:t>Superannuation Guarantee (Administration) Act 1992</w:t>
      </w:r>
      <w:r w:rsidRPr="00F00002">
        <w:t>.</w:t>
      </w:r>
    </w:p>
    <w:p w:rsidR="000F5826" w:rsidRPr="00F00002" w:rsidRDefault="000F5826" w:rsidP="00D150ED">
      <w:pPr>
        <w:pStyle w:val="subsection"/>
      </w:pPr>
      <w:r w:rsidRPr="00F00002">
        <w:tab/>
        <w:t>(4)</w:t>
      </w:r>
      <w:r w:rsidRPr="00F00002">
        <w:tab/>
        <w:t>If the rate of superannuation salary has increased, since 12</w:t>
      </w:r>
      <w:r w:rsidR="00F00002">
        <w:t> </w:t>
      </w:r>
      <w:r w:rsidRPr="00F00002">
        <w:t>May</w:t>
      </w:r>
      <w:r w:rsidR="00672E95" w:rsidRPr="00F00002">
        <w:t xml:space="preserve"> </w:t>
      </w:r>
      <w:r w:rsidRPr="00F00002">
        <w:t>2009, by:</w:t>
      </w:r>
    </w:p>
    <w:p w:rsidR="000F5826" w:rsidRPr="00F00002" w:rsidRDefault="000F5826" w:rsidP="00D150ED">
      <w:pPr>
        <w:pStyle w:val="paragraph"/>
      </w:pPr>
      <w:r w:rsidRPr="00F00002">
        <w:tab/>
        <w:t>(a)</w:t>
      </w:r>
      <w:r w:rsidRPr="00F00002">
        <w:tab/>
        <w:t>more than 50% in 1 year; or</w:t>
      </w:r>
    </w:p>
    <w:p w:rsidR="000F5826" w:rsidRPr="00F00002" w:rsidRDefault="000F5826" w:rsidP="00D150ED">
      <w:pPr>
        <w:pStyle w:val="paragraph"/>
      </w:pPr>
      <w:r w:rsidRPr="00F00002">
        <w:tab/>
        <w:t>(b)</w:t>
      </w:r>
      <w:r w:rsidRPr="00F00002">
        <w:tab/>
        <w:t>more than 75% over 3 years;</w:t>
      </w:r>
    </w:p>
    <w:p w:rsidR="000F5826" w:rsidRPr="00F00002" w:rsidRDefault="000F5826" w:rsidP="00D150ED">
      <w:pPr>
        <w:pStyle w:val="subsection2"/>
      </w:pPr>
      <w:r w:rsidRPr="00F00002">
        <w:t>a condition is that the employer</w:t>
      </w:r>
      <w:r w:rsidR="00F00002">
        <w:noBreakHyphen/>
      </w:r>
      <w:r w:rsidRPr="00F00002">
        <w:t>sponsor advises the trustee that the increase in the rate is on an arm’s length basis.</w:t>
      </w:r>
    </w:p>
    <w:p w:rsidR="000F5826" w:rsidRPr="00F00002" w:rsidRDefault="000F5826" w:rsidP="00D150ED">
      <w:pPr>
        <w:pStyle w:val="subsection"/>
      </w:pPr>
      <w:r w:rsidRPr="00F00002">
        <w:tab/>
        <w:t>(5)</w:t>
      </w:r>
      <w:r w:rsidRPr="00F00002">
        <w:tab/>
        <w:t>A condition is that the trustee or employer</w:t>
      </w:r>
      <w:r w:rsidR="00F00002">
        <w:noBreakHyphen/>
      </w:r>
      <w:r w:rsidRPr="00F00002">
        <w:t>sponsor of the superannuation fund has not exercised a discretion to pay a benefit that is greater than the benefit that was assumed for the purpose of calculating the new entrant rate since 12</w:t>
      </w:r>
      <w:r w:rsidR="00F00002">
        <w:t> </w:t>
      </w:r>
      <w:r w:rsidRPr="00F00002">
        <w:t>May 2009.</w:t>
      </w:r>
    </w:p>
    <w:p w:rsidR="000F5826" w:rsidRPr="00F00002" w:rsidRDefault="000F5826" w:rsidP="00D150ED">
      <w:pPr>
        <w:pStyle w:val="subsection"/>
      </w:pPr>
      <w:r w:rsidRPr="00F00002">
        <w:tab/>
        <w:t>(6)</w:t>
      </w:r>
      <w:r w:rsidRPr="00F00002">
        <w:tab/>
        <w:t>For subregulation</w:t>
      </w:r>
      <w:r w:rsidR="00135C25" w:rsidRPr="00F00002">
        <w:t> </w:t>
      </w:r>
      <w:r w:rsidRPr="00F00002">
        <w:t xml:space="preserve">(4), a trustee must notify the Commissioner, in writing, of an increase in the rate of superannuation salary that exceeds the rate specified in </w:t>
      </w:r>
      <w:r w:rsidR="00F00002">
        <w:t>paragraph (</w:t>
      </w:r>
      <w:r w:rsidRPr="00F00002">
        <w:t>4</w:t>
      </w:r>
      <w:r w:rsidR="00D150ED" w:rsidRPr="00F00002">
        <w:t>)(</w:t>
      </w:r>
      <w:r w:rsidRPr="00F00002">
        <w:t>a) or (b) as soon as practicable after the increase occurs.</w:t>
      </w:r>
    </w:p>
    <w:p w:rsidR="000F5826" w:rsidRPr="00F00002" w:rsidRDefault="000F5826" w:rsidP="00D150ED">
      <w:pPr>
        <w:pStyle w:val="subsection"/>
      </w:pPr>
      <w:r w:rsidRPr="00F00002">
        <w:tab/>
        <w:t>(7)</w:t>
      </w:r>
      <w:r w:rsidRPr="00F00002">
        <w:tab/>
        <w:t>If:</w:t>
      </w:r>
    </w:p>
    <w:p w:rsidR="000F5826" w:rsidRPr="00F00002" w:rsidRDefault="000F5826" w:rsidP="00D150ED">
      <w:pPr>
        <w:pStyle w:val="paragraph"/>
      </w:pPr>
      <w:r w:rsidRPr="00F00002">
        <w:tab/>
        <w:t>(a)</w:t>
      </w:r>
      <w:r w:rsidRPr="00F00002">
        <w:tab/>
        <w:t>a condition mentioned in subregulation</w:t>
      </w:r>
      <w:r w:rsidR="00135C25" w:rsidRPr="00F00002">
        <w:t> </w:t>
      </w:r>
      <w:r w:rsidRPr="00F00002">
        <w:t>(2) is not satisfied; and</w:t>
      </w:r>
    </w:p>
    <w:p w:rsidR="000F5826" w:rsidRPr="00F00002" w:rsidRDefault="000F5826" w:rsidP="00D150ED">
      <w:pPr>
        <w:pStyle w:val="paragraph"/>
      </w:pPr>
      <w:r w:rsidRPr="00F00002">
        <w:tab/>
        <w:t>(b)</w:t>
      </w:r>
      <w:r w:rsidRPr="00F00002">
        <w:tab/>
        <w:t>the condition was not satisfied only because:</w:t>
      </w:r>
    </w:p>
    <w:p w:rsidR="000F5826" w:rsidRPr="00F00002" w:rsidRDefault="000F5826" w:rsidP="00D150ED">
      <w:pPr>
        <w:pStyle w:val="paragraphsub"/>
      </w:pPr>
      <w:r w:rsidRPr="00F00002">
        <w:tab/>
        <w:t>(i)</w:t>
      </w:r>
      <w:r w:rsidRPr="00F00002">
        <w:tab/>
        <w:t>the defined benefit member moved to a new benefit category; and</w:t>
      </w:r>
    </w:p>
    <w:p w:rsidR="000F5826" w:rsidRPr="00F00002" w:rsidRDefault="000F5826" w:rsidP="00D150ED">
      <w:pPr>
        <w:pStyle w:val="paragraphsub"/>
      </w:pPr>
      <w:r w:rsidRPr="00F00002">
        <w:tab/>
        <w:t>(ii)</w:t>
      </w:r>
      <w:r w:rsidRPr="00F00002">
        <w:tab/>
        <w:t>the move was caused by the necessary application of the rules of the superannuation fund that were, or of legislation that was, in force on 5</w:t>
      </w:r>
      <w:r w:rsidR="00F00002">
        <w:t> </w:t>
      </w:r>
      <w:r w:rsidRPr="00F00002">
        <w:t>September 2006; and</w:t>
      </w:r>
    </w:p>
    <w:p w:rsidR="000F5826" w:rsidRPr="00F00002" w:rsidRDefault="000F5826" w:rsidP="00D150ED">
      <w:pPr>
        <w:pStyle w:val="paragraphsub"/>
      </w:pPr>
      <w:r w:rsidRPr="00F00002">
        <w:tab/>
        <w:t>(iii)</w:t>
      </w:r>
      <w:r w:rsidRPr="00F00002">
        <w:tab/>
        <w:t>the member had no control over the application of the rules or legislation;</w:t>
      </w:r>
    </w:p>
    <w:p w:rsidR="000F5826" w:rsidRPr="00F00002" w:rsidRDefault="000F5826" w:rsidP="00D150ED">
      <w:pPr>
        <w:pStyle w:val="subsection2"/>
      </w:pPr>
      <w:r w:rsidRPr="00F00002">
        <w:t>the failure to satisfy the condition is to be disregarded in determining if the conditions of this regulation have been satisfied for the 2009–2010 financial year and subsequent financial years.</w:t>
      </w:r>
    </w:p>
    <w:p w:rsidR="000F5826" w:rsidRPr="00F00002" w:rsidRDefault="000F5826" w:rsidP="00D150ED">
      <w:pPr>
        <w:pStyle w:val="ActHead5"/>
      </w:pPr>
      <w:bookmarkStart w:id="74" w:name="_Toc31109658"/>
      <w:r w:rsidRPr="00A26088">
        <w:rPr>
          <w:rStyle w:val="CharSectno"/>
        </w:rPr>
        <w:t>292</w:t>
      </w:r>
      <w:r w:rsidR="00F00002" w:rsidRPr="00A26088">
        <w:rPr>
          <w:rStyle w:val="CharSectno"/>
        </w:rPr>
        <w:noBreakHyphen/>
      </w:r>
      <w:r w:rsidRPr="00A26088">
        <w:rPr>
          <w:rStyle w:val="CharSectno"/>
        </w:rPr>
        <w:t>170.08</w:t>
      </w:r>
      <w:r w:rsidR="00D150ED" w:rsidRPr="00F00002">
        <w:t xml:space="preserve">  </w:t>
      </w:r>
      <w:r w:rsidRPr="00F00002">
        <w:t>Notional taxed contributions</w:t>
      </w:r>
      <w:r w:rsidR="00D150ED" w:rsidRPr="00F00002">
        <w:t>—</w:t>
      </w:r>
      <w:r w:rsidRPr="00F00002">
        <w:t>other conditions (subparagraph</w:t>
      </w:r>
      <w:r w:rsidR="00F00002">
        <w:t> </w:t>
      </w:r>
      <w:r w:rsidRPr="00F00002">
        <w:t>292</w:t>
      </w:r>
      <w:r w:rsidR="00F00002">
        <w:noBreakHyphen/>
      </w:r>
      <w:r w:rsidRPr="00F00002">
        <w:t>17</w:t>
      </w:r>
      <w:r w:rsidR="00D150ED" w:rsidRPr="00F00002">
        <w:t>0(</w:t>
      </w:r>
      <w:r w:rsidRPr="00F00002">
        <w:t>9</w:t>
      </w:r>
      <w:r w:rsidR="00D150ED" w:rsidRPr="00F00002">
        <w:t>)(</w:t>
      </w:r>
      <w:r w:rsidRPr="00F00002">
        <w:t>e</w:t>
      </w:r>
      <w:r w:rsidR="00D150ED" w:rsidRPr="00F00002">
        <w:t>)(</w:t>
      </w:r>
      <w:r w:rsidRPr="00F00002">
        <w:t>ii) of the Act)</w:t>
      </w:r>
      <w:bookmarkEnd w:id="74"/>
    </w:p>
    <w:p w:rsidR="000F5826" w:rsidRPr="00F00002" w:rsidRDefault="000F5826" w:rsidP="00D150ED">
      <w:pPr>
        <w:pStyle w:val="subsection"/>
      </w:pPr>
      <w:r w:rsidRPr="00F00002">
        <w:tab/>
        <w:t>(1)</w:t>
      </w:r>
      <w:r w:rsidRPr="00F00002">
        <w:tab/>
        <w:t>For subparagraph</w:t>
      </w:r>
      <w:r w:rsidR="00F00002">
        <w:t> </w:t>
      </w:r>
      <w:r w:rsidRPr="00F00002">
        <w:t>292</w:t>
      </w:r>
      <w:r w:rsidR="00F00002">
        <w:noBreakHyphen/>
      </w:r>
      <w:r w:rsidRPr="00F00002">
        <w:t>170(9</w:t>
      </w:r>
      <w:r w:rsidR="00D150ED" w:rsidRPr="00F00002">
        <w:t>)(</w:t>
      </w:r>
      <w:r w:rsidRPr="00F00002">
        <w:t>e</w:t>
      </w:r>
      <w:r w:rsidR="00D150ED" w:rsidRPr="00F00002">
        <w:t>)(</w:t>
      </w:r>
      <w:r w:rsidRPr="00F00002">
        <w:t>ii) of the Act, this regulation:</w:t>
      </w:r>
    </w:p>
    <w:p w:rsidR="000F5826" w:rsidRPr="00F00002" w:rsidRDefault="000F5826" w:rsidP="00D150ED">
      <w:pPr>
        <w:pStyle w:val="paragraph"/>
      </w:pPr>
      <w:r w:rsidRPr="00F00002">
        <w:tab/>
        <w:t>(a)</w:t>
      </w:r>
      <w:r w:rsidRPr="00F00002">
        <w:tab/>
        <w:t>applies to a superannuation fund if a defined benefit member of the fund is a person to whom subregulation</w:t>
      </w:r>
      <w:r w:rsidR="00F00002">
        <w:t> </w:t>
      </w:r>
      <w:r w:rsidRPr="00F00002">
        <w:t>292</w:t>
      </w:r>
      <w:r w:rsidR="00F00002">
        <w:noBreakHyphen/>
      </w:r>
      <w:r w:rsidRPr="00F00002">
        <w:t>170.02(2) applies, or is taken to apply; and</w:t>
      </w:r>
    </w:p>
    <w:p w:rsidR="000F5826" w:rsidRPr="00F00002" w:rsidRDefault="000F5826" w:rsidP="00D150ED">
      <w:pPr>
        <w:pStyle w:val="paragraph"/>
      </w:pPr>
      <w:r w:rsidRPr="00F00002">
        <w:tab/>
        <w:t>(b)</w:t>
      </w:r>
      <w:r w:rsidRPr="00F00002">
        <w:tab/>
        <w:t>sets out the conditions that are to be satisfied in relation to establishing whether notional taxed contributions for a financial year for a defined benefit interest are equal to the concessional contributions cap for the financial year.</w:t>
      </w:r>
    </w:p>
    <w:p w:rsidR="000F5826" w:rsidRPr="00F00002" w:rsidRDefault="00D150ED" w:rsidP="00D150ED">
      <w:pPr>
        <w:pStyle w:val="notetext"/>
      </w:pPr>
      <w:r w:rsidRPr="00F00002">
        <w:lastRenderedPageBreak/>
        <w:t>Note:</w:t>
      </w:r>
      <w:r w:rsidRPr="00F00002">
        <w:tab/>
      </w:r>
      <w:r w:rsidR="000F5826" w:rsidRPr="00F00002">
        <w:t>Subsection</w:t>
      </w:r>
      <w:r w:rsidR="00F00002">
        <w:t> </w:t>
      </w:r>
      <w:r w:rsidR="000F5826" w:rsidRPr="00F00002">
        <w:t>292</w:t>
      </w:r>
      <w:r w:rsidR="00F00002">
        <w:noBreakHyphen/>
      </w:r>
      <w:r w:rsidR="000F5826" w:rsidRPr="00F00002">
        <w:t xml:space="preserve">170(9) of the Act explains when a member’s </w:t>
      </w:r>
      <w:r w:rsidR="000F5826" w:rsidRPr="00F00002">
        <w:rPr>
          <w:bCs/>
          <w:iCs/>
        </w:rPr>
        <w:t xml:space="preserve">notional taxed contributions </w:t>
      </w:r>
      <w:r w:rsidR="000F5826" w:rsidRPr="00F00002">
        <w:t>for the financial year, in respect of a defined benefit interest that has been transferred to another fund, are equal to the concessional contributions cap for the financial year. This includes satisfying conditions specified in the Regulations.</w:t>
      </w:r>
    </w:p>
    <w:p w:rsidR="000F5826" w:rsidRPr="00F00002" w:rsidRDefault="000F5826" w:rsidP="00D150ED">
      <w:pPr>
        <w:pStyle w:val="subsection"/>
      </w:pPr>
      <w:r w:rsidRPr="00F00002">
        <w:tab/>
        <w:t>(2)</w:t>
      </w:r>
      <w:r w:rsidRPr="00F00002">
        <w:tab/>
        <w:t xml:space="preserve">A condition is that the new entrant rate for the defined benefit member, as worked out using </w:t>
      </w:r>
      <w:r w:rsidR="00D150ED" w:rsidRPr="00F00002">
        <w:t>Schedule</w:t>
      </w:r>
      <w:r w:rsidR="00F00002">
        <w:t> </w:t>
      </w:r>
      <w:r w:rsidRPr="00F00002">
        <w:t>1A:</w:t>
      </w:r>
    </w:p>
    <w:p w:rsidR="000F5826" w:rsidRPr="00F00002" w:rsidRDefault="000F5826" w:rsidP="00D150ED">
      <w:pPr>
        <w:pStyle w:val="paragraph"/>
      </w:pPr>
      <w:r w:rsidRPr="00F00002">
        <w:tab/>
        <w:t>(a)</w:t>
      </w:r>
      <w:r w:rsidRPr="00F00002">
        <w:tab/>
        <w:t>has not increased since 12</w:t>
      </w:r>
      <w:r w:rsidR="00F00002">
        <w:t> </w:t>
      </w:r>
      <w:r w:rsidRPr="00F00002">
        <w:t>May 2009; or</w:t>
      </w:r>
    </w:p>
    <w:p w:rsidR="000F5826" w:rsidRPr="00F00002" w:rsidRDefault="000F5826" w:rsidP="00D150ED">
      <w:pPr>
        <w:pStyle w:val="paragraph"/>
      </w:pPr>
      <w:r w:rsidRPr="00F00002">
        <w:tab/>
        <w:t>(b)</w:t>
      </w:r>
      <w:r w:rsidRPr="00F00002">
        <w:tab/>
        <w:t>has increased since 12</w:t>
      </w:r>
      <w:r w:rsidR="00F00002">
        <w:t> </w:t>
      </w:r>
      <w:r w:rsidRPr="00F00002">
        <w:t xml:space="preserve">May 2009 only as a result of a change to the rules of the superannuation fund that increases a benefit as a result of a change made to satisfy the requirements of the </w:t>
      </w:r>
      <w:r w:rsidRPr="00F00002">
        <w:rPr>
          <w:i/>
        </w:rPr>
        <w:t>Superannuation Guarantee (Administration) Act 1992</w:t>
      </w:r>
      <w:r w:rsidRPr="00F00002">
        <w:t>.</w:t>
      </w:r>
    </w:p>
    <w:p w:rsidR="000F5826" w:rsidRPr="00F00002" w:rsidRDefault="000F5826" w:rsidP="00D150ED">
      <w:pPr>
        <w:pStyle w:val="subsection"/>
      </w:pPr>
      <w:r w:rsidRPr="00F00002">
        <w:tab/>
        <w:t>(3)</w:t>
      </w:r>
      <w:r w:rsidRPr="00F00002">
        <w:tab/>
        <w:t>A condition is that the method of calculating superannuation salary:</w:t>
      </w:r>
    </w:p>
    <w:p w:rsidR="000F5826" w:rsidRPr="00F00002" w:rsidRDefault="000F5826" w:rsidP="00D150ED">
      <w:pPr>
        <w:pStyle w:val="paragraph"/>
      </w:pPr>
      <w:r w:rsidRPr="00F00002">
        <w:tab/>
        <w:t>(a)</w:t>
      </w:r>
      <w:r w:rsidRPr="00F00002">
        <w:tab/>
        <w:t>has not been changed, in a way that would increase the salary, since 12</w:t>
      </w:r>
      <w:r w:rsidR="00F00002">
        <w:t> </w:t>
      </w:r>
      <w:r w:rsidRPr="00F00002">
        <w:t>May 2009 or</w:t>
      </w:r>
    </w:p>
    <w:p w:rsidR="000F5826" w:rsidRPr="00F00002" w:rsidRDefault="000F5826" w:rsidP="00D150ED">
      <w:pPr>
        <w:pStyle w:val="paragraph"/>
      </w:pPr>
      <w:r w:rsidRPr="00F00002">
        <w:tab/>
        <w:t>(b)</w:t>
      </w:r>
      <w:r w:rsidRPr="00F00002">
        <w:tab/>
        <w:t>has changed since 12</w:t>
      </w:r>
      <w:r w:rsidR="00F00002">
        <w:t> </w:t>
      </w:r>
      <w:r w:rsidRPr="00F00002">
        <w:t xml:space="preserve">May 2009 only as a result of a change to the rules of the superannuation fund that increases a benefit as a result of a change made to satisfy the requirements of the </w:t>
      </w:r>
      <w:r w:rsidRPr="00F00002">
        <w:rPr>
          <w:i/>
        </w:rPr>
        <w:t>Superannuation Guarantee (Administration) Act 1992</w:t>
      </w:r>
      <w:r w:rsidRPr="00F00002">
        <w:t>.</w:t>
      </w:r>
    </w:p>
    <w:p w:rsidR="000F5826" w:rsidRPr="00F00002" w:rsidRDefault="000F5826" w:rsidP="00D150ED">
      <w:pPr>
        <w:pStyle w:val="subsection"/>
      </w:pPr>
      <w:r w:rsidRPr="00F00002">
        <w:tab/>
        <w:t>(4)</w:t>
      </w:r>
      <w:r w:rsidRPr="00F00002">
        <w:tab/>
        <w:t>If the rate of superannuation salary has increased, since 12</w:t>
      </w:r>
      <w:r w:rsidR="00F00002">
        <w:t> </w:t>
      </w:r>
      <w:r w:rsidRPr="00F00002">
        <w:t>May</w:t>
      </w:r>
      <w:r w:rsidR="00672E95" w:rsidRPr="00F00002">
        <w:t xml:space="preserve"> </w:t>
      </w:r>
      <w:r w:rsidRPr="00F00002">
        <w:t>2009, by:</w:t>
      </w:r>
    </w:p>
    <w:p w:rsidR="000F5826" w:rsidRPr="00F00002" w:rsidRDefault="000F5826" w:rsidP="00D150ED">
      <w:pPr>
        <w:pStyle w:val="paragraph"/>
      </w:pPr>
      <w:r w:rsidRPr="00F00002">
        <w:tab/>
        <w:t>(a)</w:t>
      </w:r>
      <w:r w:rsidRPr="00F00002">
        <w:tab/>
        <w:t>more than 50% in 1 year; or</w:t>
      </w:r>
    </w:p>
    <w:p w:rsidR="000F5826" w:rsidRPr="00F00002" w:rsidRDefault="000F5826" w:rsidP="00D150ED">
      <w:pPr>
        <w:pStyle w:val="paragraph"/>
      </w:pPr>
      <w:r w:rsidRPr="00F00002">
        <w:tab/>
        <w:t>(b)</w:t>
      </w:r>
      <w:r w:rsidRPr="00F00002">
        <w:tab/>
        <w:t>more than 75% over 3 years;</w:t>
      </w:r>
    </w:p>
    <w:p w:rsidR="000F5826" w:rsidRPr="00F00002" w:rsidRDefault="000F5826" w:rsidP="00D150ED">
      <w:pPr>
        <w:pStyle w:val="subsection2"/>
      </w:pPr>
      <w:r w:rsidRPr="00F00002">
        <w:t>a condition is that the employer</w:t>
      </w:r>
      <w:r w:rsidR="00F00002">
        <w:noBreakHyphen/>
      </w:r>
      <w:r w:rsidRPr="00F00002">
        <w:t>sponsor advises the trustee that the increase in the rate is on an arm’s length basis.</w:t>
      </w:r>
    </w:p>
    <w:p w:rsidR="000F5826" w:rsidRPr="00F00002" w:rsidRDefault="000F5826" w:rsidP="00D150ED">
      <w:pPr>
        <w:pStyle w:val="subsection"/>
      </w:pPr>
      <w:r w:rsidRPr="00F00002">
        <w:tab/>
        <w:t>(5)</w:t>
      </w:r>
      <w:r w:rsidRPr="00F00002">
        <w:tab/>
        <w:t>A condition is that the trustee or employer</w:t>
      </w:r>
      <w:r w:rsidR="00F00002">
        <w:noBreakHyphen/>
      </w:r>
      <w:r w:rsidRPr="00F00002">
        <w:t>sponsor of the superannuation fund has not exercised a discretion to pay a benefit that is greater than the benefit that was assumed for the purpose of calculating the new entrant rate since 12</w:t>
      </w:r>
      <w:r w:rsidR="00F00002">
        <w:t> </w:t>
      </w:r>
      <w:r w:rsidRPr="00F00002">
        <w:t>May 2009.</w:t>
      </w:r>
    </w:p>
    <w:p w:rsidR="000F5826" w:rsidRPr="00F00002" w:rsidRDefault="000F5826" w:rsidP="00D150ED">
      <w:pPr>
        <w:pStyle w:val="subsection"/>
      </w:pPr>
      <w:r w:rsidRPr="00F00002">
        <w:tab/>
        <w:t>(6)</w:t>
      </w:r>
      <w:r w:rsidRPr="00F00002">
        <w:tab/>
        <w:t>For subregulation</w:t>
      </w:r>
      <w:r w:rsidR="00135C25" w:rsidRPr="00F00002">
        <w:t> </w:t>
      </w:r>
      <w:r w:rsidRPr="00F00002">
        <w:t xml:space="preserve">(4), a trustee must notify the Commissioner, in writing, of an increase in the rate of superannuation salary that exceeds the rate specified in </w:t>
      </w:r>
      <w:r w:rsidR="00F00002">
        <w:t>paragraph (</w:t>
      </w:r>
      <w:r w:rsidRPr="00F00002">
        <w:t>4</w:t>
      </w:r>
      <w:r w:rsidR="00D150ED" w:rsidRPr="00F00002">
        <w:t>)(</w:t>
      </w:r>
      <w:r w:rsidRPr="00F00002">
        <w:t>a) or (b) as soon as practicable after the increase occurs.</w:t>
      </w:r>
    </w:p>
    <w:p w:rsidR="000F5826" w:rsidRPr="00F00002" w:rsidRDefault="000F5826" w:rsidP="00D150ED">
      <w:pPr>
        <w:pStyle w:val="subsection"/>
      </w:pPr>
      <w:r w:rsidRPr="00F00002">
        <w:tab/>
        <w:t>(7)</w:t>
      </w:r>
      <w:r w:rsidRPr="00F00002">
        <w:tab/>
        <w:t>If:</w:t>
      </w:r>
    </w:p>
    <w:p w:rsidR="000F5826" w:rsidRPr="00F00002" w:rsidRDefault="000F5826" w:rsidP="00D150ED">
      <w:pPr>
        <w:pStyle w:val="paragraph"/>
      </w:pPr>
      <w:r w:rsidRPr="00F00002">
        <w:tab/>
        <w:t>(a)</w:t>
      </w:r>
      <w:r w:rsidRPr="00F00002">
        <w:tab/>
        <w:t>a condition mentioned in subregulation</w:t>
      </w:r>
      <w:r w:rsidR="00135C25" w:rsidRPr="00F00002">
        <w:t> </w:t>
      </w:r>
      <w:r w:rsidRPr="00F00002">
        <w:t>(2) is not satisfied; and</w:t>
      </w:r>
    </w:p>
    <w:p w:rsidR="000F5826" w:rsidRPr="00F00002" w:rsidRDefault="000F5826" w:rsidP="00D150ED">
      <w:pPr>
        <w:pStyle w:val="paragraph"/>
      </w:pPr>
      <w:r w:rsidRPr="00F00002">
        <w:tab/>
        <w:t>(b)</w:t>
      </w:r>
      <w:r w:rsidRPr="00F00002">
        <w:tab/>
        <w:t>the condition was not satisfied only because:</w:t>
      </w:r>
    </w:p>
    <w:p w:rsidR="000F5826" w:rsidRPr="00F00002" w:rsidRDefault="000F5826" w:rsidP="00D150ED">
      <w:pPr>
        <w:pStyle w:val="paragraphsub"/>
      </w:pPr>
      <w:r w:rsidRPr="00F00002">
        <w:tab/>
        <w:t>(i)</w:t>
      </w:r>
      <w:r w:rsidRPr="00F00002">
        <w:tab/>
        <w:t>the defined benefit member moved to a new benefit category; and</w:t>
      </w:r>
    </w:p>
    <w:p w:rsidR="000F5826" w:rsidRPr="00F00002" w:rsidRDefault="000F5826" w:rsidP="00D150ED">
      <w:pPr>
        <w:pStyle w:val="paragraphsub"/>
      </w:pPr>
      <w:r w:rsidRPr="00F00002">
        <w:tab/>
        <w:t>(ii)</w:t>
      </w:r>
      <w:r w:rsidRPr="00F00002">
        <w:tab/>
        <w:t>the move was caused by the necessary application of the rules of the superannuation fund that were, or of legislation that was, in force on 5</w:t>
      </w:r>
      <w:r w:rsidR="00F00002">
        <w:t> </w:t>
      </w:r>
      <w:r w:rsidRPr="00F00002">
        <w:t>September 2006; and</w:t>
      </w:r>
    </w:p>
    <w:p w:rsidR="000F5826" w:rsidRPr="00F00002" w:rsidRDefault="000F5826" w:rsidP="00D150ED">
      <w:pPr>
        <w:pStyle w:val="paragraphsub"/>
      </w:pPr>
      <w:r w:rsidRPr="00F00002">
        <w:tab/>
        <w:t>(iii)</w:t>
      </w:r>
      <w:r w:rsidRPr="00F00002">
        <w:tab/>
        <w:t>the member had no control over the application of the rules or legislation;</w:t>
      </w:r>
    </w:p>
    <w:p w:rsidR="000F5826" w:rsidRPr="00F00002" w:rsidRDefault="000F5826" w:rsidP="00D150ED">
      <w:pPr>
        <w:pStyle w:val="subsection2"/>
      </w:pPr>
      <w:r w:rsidRPr="00F00002">
        <w:lastRenderedPageBreak/>
        <w:t>the failure to satisfy the condition is to be disregarded in determining if the conditions of this regulation have been satisfied for the 2009–2010 financial year and subsequent financial years.</w:t>
      </w:r>
    </w:p>
    <w:p w:rsidR="00651E42" w:rsidRPr="00F00002" w:rsidRDefault="00651E42" w:rsidP="00B83BCB">
      <w:pPr>
        <w:pStyle w:val="ActHead3"/>
        <w:pageBreakBefore/>
      </w:pPr>
      <w:bookmarkStart w:id="75" w:name="_Toc31109659"/>
      <w:r w:rsidRPr="00A26088">
        <w:rPr>
          <w:rStyle w:val="CharDivNo"/>
        </w:rPr>
        <w:lastRenderedPageBreak/>
        <w:t>Division</w:t>
      </w:r>
      <w:r w:rsidR="00F00002" w:rsidRPr="00A26088">
        <w:rPr>
          <w:rStyle w:val="CharDivNo"/>
        </w:rPr>
        <w:t> </w:t>
      </w:r>
      <w:r w:rsidRPr="00A26088">
        <w:rPr>
          <w:rStyle w:val="CharDivNo"/>
        </w:rPr>
        <w:t>293</w:t>
      </w:r>
      <w:r w:rsidRPr="00F00002">
        <w:t>—</w:t>
      </w:r>
      <w:r w:rsidRPr="00A26088">
        <w:rPr>
          <w:rStyle w:val="CharDivText"/>
        </w:rPr>
        <w:t>Sustaining the superannuation contribution concession</w:t>
      </w:r>
      <w:bookmarkEnd w:id="75"/>
    </w:p>
    <w:p w:rsidR="008F2C19" w:rsidRPr="00F00002" w:rsidRDefault="008F2C19" w:rsidP="008F2C19">
      <w:pPr>
        <w:pStyle w:val="ActHead4"/>
      </w:pPr>
      <w:bookmarkStart w:id="76" w:name="_Toc31109660"/>
      <w:r w:rsidRPr="00A26088">
        <w:rPr>
          <w:rStyle w:val="CharSubdNo"/>
        </w:rPr>
        <w:t>Subdivision</w:t>
      </w:r>
      <w:r w:rsidR="00F00002" w:rsidRPr="00A26088">
        <w:rPr>
          <w:rStyle w:val="CharSubdNo"/>
        </w:rPr>
        <w:t> </w:t>
      </w:r>
      <w:r w:rsidRPr="00A26088">
        <w:rPr>
          <w:rStyle w:val="CharSubdNo"/>
        </w:rPr>
        <w:t>293</w:t>
      </w:r>
      <w:r w:rsidR="00F00002" w:rsidRPr="00A26088">
        <w:rPr>
          <w:rStyle w:val="CharSubdNo"/>
        </w:rPr>
        <w:noBreakHyphen/>
      </w:r>
      <w:r w:rsidRPr="00A26088">
        <w:rPr>
          <w:rStyle w:val="CharSubdNo"/>
        </w:rPr>
        <w:t>D</w:t>
      </w:r>
      <w:r w:rsidRPr="00F00002">
        <w:t>—</w:t>
      </w:r>
      <w:r w:rsidRPr="00A26088">
        <w:rPr>
          <w:rStyle w:val="CharSubdText"/>
        </w:rPr>
        <w:t>Modifications for defined benefit interests</w:t>
      </w:r>
      <w:bookmarkEnd w:id="76"/>
    </w:p>
    <w:p w:rsidR="008F2C19" w:rsidRPr="00F00002" w:rsidRDefault="008F2C19" w:rsidP="008F2C19">
      <w:pPr>
        <w:pStyle w:val="ActHead5"/>
      </w:pPr>
      <w:bookmarkStart w:id="77" w:name="_Toc31109661"/>
      <w:r w:rsidRPr="00A26088">
        <w:rPr>
          <w:rStyle w:val="CharSectno"/>
        </w:rPr>
        <w:t>293</w:t>
      </w:r>
      <w:r w:rsidR="00F00002" w:rsidRPr="00A26088">
        <w:rPr>
          <w:rStyle w:val="CharSectno"/>
        </w:rPr>
        <w:noBreakHyphen/>
      </w:r>
      <w:r w:rsidRPr="00A26088">
        <w:rPr>
          <w:rStyle w:val="CharSectno"/>
        </w:rPr>
        <w:t>115.01</w:t>
      </w:r>
      <w:r w:rsidRPr="00F00002">
        <w:t xml:space="preserve">  Method of determining amount of defined benefit contributions</w:t>
      </w:r>
      <w:bookmarkEnd w:id="77"/>
    </w:p>
    <w:p w:rsidR="008F2C19" w:rsidRPr="00F00002" w:rsidRDefault="008F2C19" w:rsidP="008F2C19">
      <w:pPr>
        <w:pStyle w:val="subsection"/>
      </w:pPr>
      <w:bookmarkStart w:id="78" w:name="OLE_LINK7"/>
      <w:bookmarkStart w:id="79" w:name="OLE_LINK8"/>
      <w:r w:rsidRPr="00F00002">
        <w:tab/>
      </w:r>
      <w:r w:rsidRPr="00F00002">
        <w:tab/>
        <w:t>For subsection</w:t>
      </w:r>
      <w:r w:rsidR="00F00002">
        <w:t> </w:t>
      </w:r>
      <w:r w:rsidRPr="00F00002">
        <w:t>293</w:t>
      </w:r>
      <w:r w:rsidR="00F00002">
        <w:noBreakHyphen/>
      </w:r>
      <w:r w:rsidRPr="00F00002">
        <w:t>115(1) of the Act, the amount of defined benefit contributions for an individual in the 2012</w:t>
      </w:r>
      <w:r w:rsidR="00F00002">
        <w:noBreakHyphen/>
      </w:r>
      <w:r w:rsidRPr="00F00002">
        <w:t>2013 financial year in respect of a defined benefit interest is the individual’s notional taxed contributions for the defined benefit interest for that financial year.</w:t>
      </w:r>
    </w:p>
    <w:bookmarkEnd w:id="78"/>
    <w:bookmarkEnd w:id="79"/>
    <w:p w:rsidR="008F2C19" w:rsidRPr="00F00002" w:rsidRDefault="008F2C19" w:rsidP="008F2C19">
      <w:pPr>
        <w:pStyle w:val="notetext"/>
      </w:pPr>
      <w:r w:rsidRPr="00F00002">
        <w:t>Note:</w:t>
      </w:r>
      <w:r w:rsidRPr="00F00002">
        <w:tab/>
        <w:t>The amount of defined benefit contributions in respect of a defined benefit interest in a constitutionally protected fund is nil for the 2012</w:t>
      </w:r>
      <w:r w:rsidR="00F00002">
        <w:noBreakHyphen/>
      </w:r>
      <w:r w:rsidRPr="00F00002">
        <w:t>2013 financial year.</w:t>
      </w:r>
    </w:p>
    <w:p w:rsidR="00206CD7" w:rsidRPr="00F00002" w:rsidRDefault="00206CD7" w:rsidP="00206CD7">
      <w:pPr>
        <w:pStyle w:val="ActHead4"/>
      </w:pPr>
      <w:bookmarkStart w:id="80" w:name="_Toc31109662"/>
      <w:r w:rsidRPr="00A26088">
        <w:rPr>
          <w:rStyle w:val="CharSubdNo"/>
        </w:rPr>
        <w:t>Subdivision</w:t>
      </w:r>
      <w:r w:rsidR="00F00002" w:rsidRPr="00A26088">
        <w:rPr>
          <w:rStyle w:val="CharSubdNo"/>
        </w:rPr>
        <w:t> </w:t>
      </w:r>
      <w:r w:rsidRPr="00A26088">
        <w:rPr>
          <w:rStyle w:val="CharSubdNo"/>
        </w:rPr>
        <w:t>293</w:t>
      </w:r>
      <w:r w:rsidR="00F00002" w:rsidRPr="00A26088">
        <w:rPr>
          <w:rStyle w:val="CharSubdNo"/>
        </w:rPr>
        <w:noBreakHyphen/>
      </w:r>
      <w:r w:rsidRPr="00A26088">
        <w:rPr>
          <w:rStyle w:val="CharSubdNo"/>
        </w:rPr>
        <w:t>DA</w:t>
      </w:r>
      <w:r w:rsidRPr="00F00002">
        <w:t>—</w:t>
      </w:r>
      <w:r w:rsidRPr="00A26088">
        <w:rPr>
          <w:rStyle w:val="CharSubdText"/>
        </w:rPr>
        <w:t>Further modifications for defined benefit interests</w:t>
      </w:r>
      <w:bookmarkEnd w:id="80"/>
    </w:p>
    <w:p w:rsidR="00206CD7" w:rsidRPr="00F00002" w:rsidRDefault="00206CD7" w:rsidP="00206CD7">
      <w:pPr>
        <w:pStyle w:val="ActHead5"/>
      </w:pPr>
      <w:bookmarkStart w:id="81" w:name="_Toc31109663"/>
      <w:r w:rsidRPr="00A26088">
        <w:rPr>
          <w:rStyle w:val="CharSectno"/>
        </w:rPr>
        <w:t>293</w:t>
      </w:r>
      <w:r w:rsidR="00F00002" w:rsidRPr="00A26088">
        <w:rPr>
          <w:rStyle w:val="CharSectno"/>
        </w:rPr>
        <w:noBreakHyphen/>
      </w:r>
      <w:r w:rsidRPr="00A26088">
        <w:rPr>
          <w:rStyle w:val="CharSectno"/>
        </w:rPr>
        <w:t>115.05</w:t>
      </w:r>
      <w:r w:rsidRPr="00F00002">
        <w:t xml:space="preserve">  Preliminary</w:t>
      </w:r>
      <w:bookmarkEnd w:id="81"/>
    </w:p>
    <w:p w:rsidR="00206CD7" w:rsidRPr="00F00002" w:rsidRDefault="00206CD7" w:rsidP="00206CD7">
      <w:pPr>
        <w:pStyle w:val="subsection"/>
      </w:pPr>
      <w:r w:rsidRPr="00F00002">
        <w:tab/>
        <w:t>(1)</w:t>
      </w:r>
      <w:r w:rsidRPr="00F00002">
        <w:tab/>
        <w:t>This Subdivision:</w:t>
      </w:r>
    </w:p>
    <w:p w:rsidR="00206CD7" w:rsidRPr="00F00002" w:rsidRDefault="00206CD7" w:rsidP="00206CD7">
      <w:pPr>
        <w:pStyle w:val="paragraph"/>
      </w:pPr>
      <w:r w:rsidRPr="00F00002">
        <w:tab/>
        <w:t>(a)</w:t>
      </w:r>
      <w:r w:rsidRPr="00F00002">
        <w:tab/>
        <w:t>is made for subsection</w:t>
      </w:r>
      <w:r w:rsidR="00F00002">
        <w:t> </w:t>
      </w:r>
      <w:r w:rsidRPr="00F00002">
        <w:t>293</w:t>
      </w:r>
      <w:r w:rsidR="00F00002">
        <w:noBreakHyphen/>
      </w:r>
      <w:r w:rsidRPr="00F00002">
        <w:t>115(1) of the Act; and</w:t>
      </w:r>
    </w:p>
    <w:p w:rsidR="00206CD7" w:rsidRPr="00F00002" w:rsidRDefault="00206CD7" w:rsidP="00206CD7">
      <w:pPr>
        <w:pStyle w:val="paragraph"/>
      </w:pPr>
      <w:r w:rsidRPr="00F00002">
        <w:tab/>
        <w:t>(b)</w:t>
      </w:r>
      <w:r w:rsidRPr="00F00002">
        <w:tab/>
        <w:t>applies in relation to the 2013</w:t>
      </w:r>
      <w:r w:rsidR="00F00002">
        <w:noBreakHyphen/>
      </w:r>
      <w:r w:rsidRPr="00F00002">
        <w:t>14 financial year and later financial years.</w:t>
      </w:r>
    </w:p>
    <w:p w:rsidR="00206CD7" w:rsidRPr="00F00002" w:rsidRDefault="00206CD7" w:rsidP="00206CD7">
      <w:pPr>
        <w:pStyle w:val="subsection"/>
      </w:pPr>
      <w:r w:rsidRPr="00F00002">
        <w:tab/>
        <w:t>(2)</w:t>
      </w:r>
      <w:r w:rsidRPr="00F00002">
        <w:tab/>
        <w:t>In this Subdivision:</w:t>
      </w:r>
    </w:p>
    <w:p w:rsidR="00206CD7" w:rsidRPr="00F00002" w:rsidRDefault="00206CD7" w:rsidP="00206CD7">
      <w:pPr>
        <w:pStyle w:val="Definition"/>
      </w:pPr>
      <w:r w:rsidRPr="00F00002">
        <w:rPr>
          <w:b/>
          <w:i/>
        </w:rPr>
        <w:t>accruing member</w:t>
      </w:r>
      <w:r w:rsidRPr="00F00002">
        <w:t>, of a superannuation fund for a financial year, means a defined benefit member of the fund who is not a non</w:t>
      </w:r>
      <w:r w:rsidR="00F00002">
        <w:noBreakHyphen/>
      </w:r>
      <w:r w:rsidRPr="00F00002">
        <w:t>accruing member of the fund for the financial year.</w:t>
      </w:r>
    </w:p>
    <w:p w:rsidR="00BE443C" w:rsidRPr="00F00002" w:rsidRDefault="00BE443C" w:rsidP="00BE443C">
      <w:pPr>
        <w:pStyle w:val="Definition"/>
      </w:pPr>
      <w:r w:rsidRPr="00F00002">
        <w:rPr>
          <w:b/>
          <w:i/>
        </w:rPr>
        <w:t>non</w:t>
      </w:r>
      <w:r w:rsidR="00F00002">
        <w:rPr>
          <w:b/>
          <w:i/>
        </w:rPr>
        <w:noBreakHyphen/>
      </w:r>
      <w:r w:rsidRPr="00F00002">
        <w:rPr>
          <w:b/>
          <w:i/>
        </w:rPr>
        <w:t>accruing member</w:t>
      </w:r>
      <w:r w:rsidRPr="00F00002">
        <w:t>, of a superannuation fund for a financial year, means:</w:t>
      </w:r>
    </w:p>
    <w:p w:rsidR="00BE443C" w:rsidRPr="00F00002" w:rsidRDefault="00BE443C" w:rsidP="00BE443C">
      <w:pPr>
        <w:pStyle w:val="paragraph"/>
      </w:pPr>
      <w:r w:rsidRPr="00F00002">
        <w:tab/>
        <w:t>(a)</w:t>
      </w:r>
      <w:r w:rsidRPr="00F00002">
        <w:tab/>
        <w:t>a defined benefit member who is a non</w:t>
      </w:r>
      <w:r w:rsidR="00F00002">
        <w:noBreakHyphen/>
      </w:r>
      <w:r w:rsidRPr="00F00002">
        <w:t>accruing member of the fund for the financial year within the meaning of subregulations 292</w:t>
      </w:r>
      <w:r w:rsidR="00F00002">
        <w:noBreakHyphen/>
      </w:r>
      <w:r w:rsidRPr="00F00002">
        <w:t>170.04(4) to (5A) as if a reference in those subregulations to a member included a reference to a member of a constitutionally protected fund; or</w:t>
      </w:r>
    </w:p>
    <w:p w:rsidR="00BE443C" w:rsidRPr="00F00002" w:rsidRDefault="00BE443C" w:rsidP="00BE443C">
      <w:pPr>
        <w:pStyle w:val="paragraph"/>
      </w:pPr>
      <w:r w:rsidRPr="00F00002">
        <w:tab/>
        <w:t>(b)</w:t>
      </w:r>
      <w:r w:rsidRPr="00F00002">
        <w:tab/>
        <w:t>a member of the Governor</w:t>
      </w:r>
      <w:r w:rsidR="00F00002">
        <w:noBreakHyphen/>
      </w:r>
      <w:r w:rsidRPr="00F00002">
        <w:t>General Pension Scheme for the financial year, unless (for a member who is the Governor</w:t>
      </w:r>
      <w:r w:rsidR="00F00002">
        <w:noBreakHyphen/>
      </w:r>
      <w:r w:rsidRPr="00F00002">
        <w:t>General) the member commenced office in the financial year.</w:t>
      </w:r>
    </w:p>
    <w:p w:rsidR="00206CD7" w:rsidRPr="00F00002" w:rsidRDefault="00206CD7" w:rsidP="00206CD7">
      <w:pPr>
        <w:pStyle w:val="ActHead5"/>
      </w:pPr>
      <w:bookmarkStart w:id="82" w:name="_Toc31109664"/>
      <w:r w:rsidRPr="00A26088">
        <w:rPr>
          <w:rStyle w:val="CharSectno"/>
        </w:rPr>
        <w:t>293</w:t>
      </w:r>
      <w:r w:rsidR="00F00002" w:rsidRPr="00A26088">
        <w:rPr>
          <w:rStyle w:val="CharSectno"/>
        </w:rPr>
        <w:noBreakHyphen/>
      </w:r>
      <w:r w:rsidRPr="00A26088">
        <w:rPr>
          <w:rStyle w:val="CharSectno"/>
        </w:rPr>
        <w:t>115.10</w:t>
      </w:r>
      <w:r w:rsidRPr="00F00002">
        <w:t xml:space="preserve">  Defined benefit contributions—non</w:t>
      </w:r>
      <w:r w:rsidR="00F00002">
        <w:noBreakHyphen/>
      </w:r>
      <w:r w:rsidRPr="00F00002">
        <w:t>accruing members</w:t>
      </w:r>
      <w:bookmarkEnd w:id="82"/>
    </w:p>
    <w:p w:rsidR="00206CD7" w:rsidRPr="00F00002" w:rsidRDefault="00206CD7" w:rsidP="00206CD7">
      <w:pPr>
        <w:pStyle w:val="subsection"/>
      </w:pPr>
      <w:r w:rsidRPr="00F00002">
        <w:tab/>
        <w:t>(1)</w:t>
      </w:r>
      <w:r w:rsidRPr="00F00002">
        <w:tab/>
        <w:t>This regulation applies if you are a non</w:t>
      </w:r>
      <w:r w:rsidR="00F00002">
        <w:noBreakHyphen/>
      </w:r>
      <w:r w:rsidRPr="00F00002">
        <w:t>accruing member of a superannuation fund for a financial year.</w:t>
      </w:r>
    </w:p>
    <w:p w:rsidR="00206CD7" w:rsidRPr="00F00002" w:rsidRDefault="00206CD7" w:rsidP="00206CD7">
      <w:pPr>
        <w:pStyle w:val="subsection"/>
      </w:pPr>
      <w:r w:rsidRPr="00F00002">
        <w:tab/>
        <w:t>(2)</w:t>
      </w:r>
      <w:r w:rsidRPr="00F00002">
        <w:tab/>
        <w:t xml:space="preserve">Your </w:t>
      </w:r>
      <w:r w:rsidRPr="00F00002">
        <w:rPr>
          <w:b/>
          <w:i/>
        </w:rPr>
        <w:t>defined benefit contributions</w:t>
      </w:r>
      <w:r w:rsidRPr="00F00002">
        <w:t xml:space="preserve"> for the financial year in respect of your defined benefit interest in the fund is nil.</w:t>
      </w:r>
    </w:p>
    <w:p w:rsidR="00206CD7" w:rsidRPr="00F00002" w:rsidRDefault="00206CD7" w:rsidP="00206CD7">
      <w:pPr>
        <w:pStyle w:val="ActHead5"/>
      </w:pPr>
      <w:bookmarkStart w:id="83" w:name="_Toc31109665"/>
      <w:r w:rsidRPr="00A26088">
        <w:rPr>
          <w:rStyle w:val="CharSectno"/>
        </w:rPr>
        <w:lastRenderedPageBreak/>
        <w:t>293</w:t>
      </w:r>
      <w:r w:rsidR="00F00002" w:rsidRPr="00A26088">
        <w:rPr>
          <w:rStyle w:val="CharSectno"/>
        </w:rPr>
        <w:noBreakHyphen/>
      </w:r>
      <w:r w:rsidRPr="00A26088">
        <w:rPr>
          <w:rStyle w:val="CharSectno"/>
        </w:rPr>
        <w:t>115.15</w:t>
      </w:r>
      <w:r w:rsidRPr="00F00002">
        <w:t xml:space="preserve">  Defined benefit contributions—accruing members with funded benefit interest</w:t>
      </w:r>
      <w:r w:rsidRPr="00F00002">
        <w:rPr>
          <w:lang w:eastAsia="en-US"/>
        </w:rPr>
        <w:t>s</w:t>
      </w:r>
      <w:bookmarkEnd w:id="83"/>
    </w:p>
    <w:p w:rsidR="00206CD7" w:rsidRPr="00F00002" w:rsidRDefault="00206CD7" w:rsidP="00206CD7">
      <w:pPr>
        <w:pStyle w:val="subsection"/>
      </w:pPr>
      <w:r w:rsidRPr="00F00002">
        <w:tab/>
        <w:t>(1)</w:t>
      </w:r>
      <w:r w:rsidRPr="00F00002">
        <w:tab/>
        <w:t>This regulation applies if:</w:t>
      </w:r>
    </w:p>
    <w:p w:rsidR="00206CD7" w:rsidRPr="00F00002" w:rsidRDefault="00206CD7" w:rsidP="00206CD7">
      <w:pPr>
        <w:pStyle w:val="paragraph"/>
      </w:pPr>
      <w:r w:rsidRPr="00F00002">
        <w:tab/>
        <w:t>(a)</w:t>
      </w:r>
      <w:r w:rsidRPr="00F00002">
        <w:tab/>
        <w:t>you are an accruing member of a superannuation fund for the financial year; and</w:t>
      </w:r>
    </w:p>
    <w:p w:rsidR="00206CD7" w:rsidRPr="00F00002" w:rsidRDefault="00206CD7" w:rsidP="00206CD7">
      <w:pPr>
        <w:pStyle w:val="paragraph"/>
      </w:pPr>
      <w:r w:rsidRPr="00F00002">
        <w:tab/>
        <w:t>(b)</w:t>
      </w:r>
      <w:r w:rsidRPr="00F00002">
        <w:tab/>
        <w:t>your defined benefit interest in the fund for the financial year is a funded benefit interest.</w:t>
      </w:r>
    </w:p>
    <w:p w:rsidR="00206CD7" w:rsidRPr="00F00002" w:rsidRDefault="00206CD7" w:rsidP="00206CD7">
      <w:pPr>
        <w:pStyle w:val="subsection"/>
      </w:pPr>
      <w:r w:rsidRPr="00F00002">
        <w:tab/>
        <w:t>(2)</w:t>
      </w:r>
      <w:r w:rsidRPr="00F00002">
        <w:tab/>
        <w:t xml:space="preserve">The interest is a </w:t>
      </w:r>
      <w:r w:rsidRPr="00F00002">
        <w:rPr>
          <w:b/>
          <w:i/>
        </w:rPr>
        <w:t>funded benefit interest</w:t>
      </w:r>
      <w:r w:rsidRPr="00F00002">
        <w:t xml:space="preserve"> if:</w:t>
      </w:r>
    </w:p>
    <w:p w:rsidR="00206CD7" w:rsidRPr="00F00002" w:rsidRDefault="00206CD7" w:rsidP="00206CD7">
      <w:pPr>
        <w:pStyle w:val="paragraph"/>
      </w:pPr>
      <w:r w:rsidRPr="00F00002">
        <w:tab/>
        <w:t>(a)</w:t>
      </w:r>
      <w:r w:rsidRPr="00F00002">
        <w:tab/>
        <w:t>the interest is in a complying superannuation fund that is not a constitutionally protected fund; and</w:t>
      </w:r>
    </w:p>
    <w:p w:rsidR="00206CD7" w:rsidRPr="00F00002" w:rsidRDefault="00206CD7" w:rsidP="00206CD7">
      <w:pPr>
        <w:pStyle w:val="paragraph"/>
      </w:pPr>
      <w:r w:rsidRPr="00F00002">
        <w:tab/>
        <w:t>(b)</w:t>
      </w:r>
      <w:r w:rsidRPr="00F00002">
        <w:tab/>
        <w:t>if the interest is in a public sector superannuation scheme:</w:t>
      </w:r>
    </w:p>
    <w:p w:rsidR="00206CD7" w:rsidRPr="00F00002" w:rsidRDefault="00206CD7" w:rsidP="00206CD7">
      <w:pPr>
        <w:pStyle w:val="paragraphsub"/>
      </w:pPr>
      <w:r w:rsidRPr="00F00002">
        <w:tab/>
        <w:t>(i)</w:t>
      </w:r>
      <w:r w:rsidRPr="00F00002">
        <w:tab/>
        <w:t>the fund trustee has certified, for the financial year, that the fund trustee considers that the scheme will only ever pay superannuation benefits from contributions made to the scheme or earnings from the contributions; and</w:t>
      </w:r>
    </w:p>
    <w:p w:rsidR="00206CD7" w:rsidRPr="00F00002" w:rsidRDefault="00206CD7" w:rsidP="00206CD7">
      <w:pPr>
        <w:pStyle w:val="paragraphsub"/>
      </w:pPr>
      <w:r w:rsidRPr="00F00002">
        <w:tab/>
        <w:t>(ii)</w:t>
      </w:r>
      <w:r w:rsidRPr="00F00002">
        <w:tab/>
        <w:t>the fund trustee has not chosen, under section</w:t>
      </w:r>
      <w:r w:rsidR="00F00002">
        <w:t> </w:t>
      </w:r>
      <w:r w:rsidRPr="00F00002">
        <w:t>295</w:t>
      </w:r>
      <w:r w:rsidR="00F00002">
        <w:noBreakHyphen/>
      </w:r>
      <w:r w:rsidRPr="00F00002">
        <w:t>180 of the Act, to have contributions made by you, or on your behalf, excluded from the assessable income of the scheme for the financial year.</w:t>
      </w:r>
    </w:p>
    <w:p w:rsidR="00206CD7" w:rsidRPr="00F00002" w:rsidRDefault="00206CD7" w:rsidP="00206CD7">
      <w:pPr>
        <w:pStyle w:val="subsection"/>
      </w:pPr>
      <w:r w:rsidRPr="00F00002">
        <w:tab/>
        <w:t>(3)</w:t>
      </w:r>
      <w:r w:rsidRPr="00F00002">
        <w:tab/>
        <w:t xml:space="preserve">Your </w:t>
      </w:r>
      <w:r w:rsidRPr="00F00002">
        <w:rPr>
          <w:b/>
          <w:i/>
        </w:rPr>
        <w:t>defined benefit contributions</w:t>
      </w:r>
      <w:r w:rsidRPr="00F00002">
        <w:t xml:space="preserve"> for the financial year in respect of the interest is your notional taxed contributions for the year in respect of the interest.</w:t>
      </w:r>
    </w:p>
    <w:p w:rsidR="00206CD7" w:rsidRPr="00F00002" w:rsidRDefault="00206CD7" w:rsidP="00206CD7">
      <w:pPr>
        <w:pStyle w:val="notetext"/>
      </w:pPr>
      <w:r w:rsidRPr="00F00002">
        <w:t>Note:</w:t>
      </w:r>
      <w:r w:rsidRPr="00F00002">
        <w:tab/>
        <w:t xml:space="preserve">For </w:t>
      </w:r>
      <w:r w:rsidRPr="00F00002">
        <w:rPr>
          <w:b/>
          <w:i/>
        </w:rPr>
        <w:t>notional taxed contributions</w:t>
      </w:r>
      <w:r w:rsidRPr="00F00002">
        <w:t>, see section</w:t>
      </w:r>
      <w:r w:rsidR="00F00002">
        <w:t> </w:t>
      </w:r>
      <w:r w:rsidRPr="00F00002">
        <w:t>291</w:t>
      </w:r>
      <w:r w:rsidR="00F00002">
        <w:noBreakHyphen/>
      </w:r>
      <w:r w:rsidRPr="00F00002">
        <w:t>170 of the Act and Subdivision</w:t>
      </w:r>
      <w:r w:rsidR="00F00002">
        <w:t> </w:t>
      </w:r>
      <w:r w:rsidRPr="00F00002">
        <w:t>292</w:t>
      </w:r>
      <w:r w:rsidR="00F00002">
        <w:noBreakHyphen/>
      </w:r>
      <w:r w:rsidRPr="00F00002">
        <w:t>D of these regulations.</w:t>
      </w:r>
    </w:p>
    <w:p w:rsidR="00206CD7" w:rsidRPr="00F00002" w:rsidRDefault="00206CD7" w:rsidP="00206CD7">
      <w:pPr>
        <w:pStyle w:val="subsection"/>
      </w:pPr>
      <w:r w:rsidRPr="00F00002">
        <w:tab/>
        <w:t>(4)</w:t>
      </w:r>
      <w:r w:rsidRPr="00F00002">
        <w:tab/>
        <w:t>In working out your notional taxed contributions for the purposes of subregulation (3), disregard Subdivision</w:t>
      </w:r>
      <w:r w:rsidR="00F00002">
        <w:t> </w:t>
      </w:r>
      <w:r w:rsidRPr="00F00002">
        <w:t>291</w:t>
      </w:r>
      <w:r w:rsidR="00F00002">
        <w:noBreakHyphen/>
      </w:r>
      <w:r w:rsidRPr="00F00002">
        <w:t xml:space="preserve">C of the </w:t>
      </w:r>
      <w:r w:rsidRPr="00F00002">
        <w:rPr>
          <w:i/>
        </w:rPr>
        <w:t>Income Tax (Transitional Provisions) Act 1997</w:t>
      </w:r>
      <w:r w:rsidRPr="00F00002">
        <w:t>.</w:t>
      </w:r>
    </w:p>
    <w:p w:rsidR="00206CD7" w:rsidRPr="00F00002" w:rsidRDefault="00206CD7" w:rsidP="00206CD7">
      <w:pPr>
        <w:pStyle w:val="ActHead5"/>
      </w:pPr>
      <w:bookmarkStart w:id="84" w:name="_Toc31109666"/>
      <w:r w:rsidRPr="00A26088">
        <w:rPr>
          <w:rStyle w:val="CharSectno"/>
        </w:rPr>
        <w:t>293</w:t>
      </w:r>
      <w:r w:rsidR="00F00002" w:rsidRPr="00A26088">
        <w:rPr>
          <w:rStyle w:val="CharSectno"/>
        </w:rPr>
        <w:noBreakHyphen/>
      </w:r>
      <w:r w:rsidRPr="00A26088">
        <w:rPr>
          <w:rStyle w:val="CharSectno"/>
        </w:rPr>
        <w:t>115.20</w:t>
      </w:r>
      <w:r w:rsidRPr="00F00002">
        <w:t xml:space="preserve">  Defined benefit contributions—accruing members with other interests</w:t>
      </w:r>
      <w:bookmarkEnd w:id="84"/>
    </w:p>
    <w:p w:rsidR="00206CD7" w:rsidRPr="00F00002" w:rsidRDefault="00206CD7" w:rsidP="00206CD7">
      <w:pPr>
        <w:pStyle w:val="subsection"/>
      </w:pPr>
      <w:r w:rsidRPr="00F00002">
        <w:tab/>
        <w:t>(1)</w:t>
      </w:r>
      <w:r w:rsidRPr="00F00002">
        <w:tab/>
        <w:t>This regulation applies if:</w:t>
      </w:r>
    </w:p>
    <w:p w:rsidR="00206CD7" w:rsidRPr="00F00002" w:rsidRDefault="00206CD7" w:rsidP="00206CD7">
      <w:pPr>
        <w:pStyle w:val="paragraph"/>
      </w:pPr>
      <w:r w:rsidRPr="00F00002">
        <w:tab/>
        <w:t>(a)</w:t>
      </w:r>
      <w:r w:rsidRPr="00F00002">
        <w:tab/>
        <w:t>you are an accruing member of a superannuation fund for the financial year; and</w:t>
      </w:r>
    </w:p>
    <w:p w:rsidR="00206CD7" w:rsidRPr="00F00002" w:rsidRDefault="00206CD7" w:rsidP="00206CD7">
      <w:pPr>
        <w:pStyle w:val="paragraph"/>
      </w:pPr>
      <w:r w:rsidRPr="00F00002">
        <w:tab/>
        <w:t>(b)</w:t>
      </w:r>
      <w:r w:rsidRPr="00F00002">
        <w:tab/>
        <w:t>your defined benefit interest in the fund for the financial year is an interest other than a funded benefit interest.</w:t>
      </w:r>
    </w:p>
    <w:p w:rsidR="00206CD7" w:rsidRPr="00F00002" w:rsidRDefault="00206CD7" w:rsidP="00206CD7">
      <w:pPr>
        <w:pStyle w:val="subsection"/>
      </w:pPr>
      <w:r w:rsidRPr="00F00002">
        <w:tab/>
        <w:t>(2)</w:t>
      </w:r>
      <w:r w:rsidRPr="00F00002">
        <w:tab/>
        <w:t xml:space="preserve">Your </w:t>
      </w:r>
      <w:r w:rsidRPr="00F00002">
        <w:rPr>
          <w:b/>
          <w:i/>
        </w:rPr>
        <w:t>defined benefit contributions</w:t>
      </w:r>
      <w:r w:rsidRPr="00F00002">
        <w:t xml:space="preserve"> for the financial year in respect of the interest is the amount worked out using the method in Schedule</w:t>
      </w:r>
      <w:r w:rsidR="00F00002">
        <w:t> </w:t>
      </w:r>
      <w:r w:rsidRPr="00F00002">
        <w:t>1AA.</w:t>
      </w:r>
    </w:p>
    <w:p w:rsidR="00651E42" w:rsidRPr="00F00002" w:rsidRDefault="00651E42" w:rsidP="00651E42">
      <w:pPr>
        <w:pStyle w:val="ActHead4"/>
      </w:pPr>
      <w:bookmarkStart w:id="85" w:name="_Toc31109667"/>
      <w:r w:rsidRPr="00A26088">
        <w:rPr>
          <w:rStyle w:val="CharSubdNo"/>
        </w:rPr>
        <w:lastRenderedPageBreak/>
        <w:t>Subdivision</w:t>
      </w:r>
      <w:r w:rsidR="00F00002" w:rsidRPr="00A26088">
        <w:rPr>
          <w:rStyle w:val="CharSubdNo"/>
        </w:rPr>
        <w:t> </w:t>
      </w:r>
      <w:r w:rsidRPr="00A26088">
        <w:rPr>
          <w:rStyle w:val="CharSubdNo"/>
        </w:rPr>
        <w:t>293</w:t>
      </w:r>
      <w:r w:rsidR="00F00002" w:rsidRPr="00A26088">
        <w:rPr>
          <w:rStyle w:val="CharSubdNo"/>
        </w:rPr>
        <w:noBreakHyphen/>
      </w:r>
      <w:r w:rsidRPr="00A26088">
        <w:rPr>
          <w:rStyle w:val="CharSubdNo"/>
        </w:rPr>
        <w:t>E</w:t>
      </w:r>
      <w:r w:rsidRPr="00F00002">
        <w:t>—</w:t>
      </w:r>
      <w:r w:rsidRPr="00A26088">
        <w:rPr>
          <w:rStyle w:val="CharSubdText"/>
        </w:rPr>
        <w:t>Modifications for constitutionally protected State higher level office holders</w:t>
      </w:r>
      <w:bookmarkEnd w:id="85"/>
    </w:p>
    <w:p w:rsidR="00651E42" w:rsidRPr="00F00002" w:rsidRDefault="00651E42" w:rsidP="00651E42">
      <w:pPr>
        <w:pStyle w:val="ActHead5"/>
      </w:pPr>
      <w:bookmarkStart w:id="86" w:name="_Toc31109668"/>
      <w:r w:rsidRPr="00A26088">
        <w:rPr>
          <w:rStyle w:val="CharSectno"/>
        </w:rPr>
        <w:t>293</w:t>
      </w:r>
      <w:r w:rsidR="00F00002" w:rsidRPr="00A26088">
        <w:rPr>
          <w:rStyle w:val="CharSectno"/>
        </w:rPr>
        <w:noBreakHyphen/>
      </w:r>
      <w:r w:rsidRPr="00A26088">
        <w:rPr>
          <w:rStyle w:val="CharSectno"/>
        </w:rPr>
        <w:t>145.01</w:t>
      </w:r>
      <w:r w:rsidRPr="00F00002">
        <w:t xml:space="preserve">  Constitutionally protected State higher level office holders</w:t>
      </w:r>
      <w:bookmarkEnd w:id="86"/>
    </w:p>
    <w:p w:rsidR="00651E42" w:rsidRPr="00F00002" w:rsidRDefault="00651E42" w:rsidP="00651E42">
      <w:pPr>
        <w:pStyle w:val="subsection"/>
      </w:pPr>
      <w:r w:rsidRPr="00F00002">
        <w:tab/>
      </w:r>
      <w:r w:rsidRPr="00F00002">
        <w:tab/>
        <w:t>For paragraph</w:t>
      </w:r>
      <w:r w:rsidR="00F00002">
        <w:t> </w:t>
      </w:r>
      <w:r w:rsidRPr="00F00002">
        <w:t>293</w:t>
      </w:r>
      <w:r w:rsidR="00F00002">
        <w:noBreakHyphen/>
      </w:r>
      <w:r w:rsidRPr="00F00002">
        <w:t>145(1)(b) of the Act, the following individuals are declared:</w:t>
      </w:r>
    </w:p>
    <w:p w:rsidR="00651E42" w:rsidRPr="00F00002" w:rsidRDefault="00651E42" w:rsidP="00651E42">
      <w:pPr>
        <w:pStyle w:val="paragraph"/>
      </w:pPr>
      <w:r w:rsidRPr="00F00002">
        <w:tab/>
        <w:t>(a)</w:t>
      </w:r>
      <w:r w:rsidRPr="00F00002">
        <w:tab/>
        <w:t>a Minister of the government of a State;</w:t>
      </w:r>
    </w:p>
    <w:p w:rsidR="00651E42" w:rsidRPr="00F00002" w:rsidRDefault="00651E42" w:rsidP="00651E42">
      <w:pPr>
        <w:pStyle w:val="paragraph"/>
      </w:pPr>
      <w:r w:rsidRPr="00F00002">
        <w:tab/>
        <w:t>(b)</w:t>
      </w:r>
      <w:r w:rsidRPr="00F00002">
        <w:tab/>
        <w:t>a member of the staff of a Minister of the government of a State;</w:t>
      </w:r>
    </w:p>
    <w:p w:rsidR="00651E42" w:rsidRPr="00F00002" w:rsidRDefault="00651E42" w:rsidP="00651E42">
      <w:pPr>
        <w:pStyle w:val="paragraph"/>
      </w:pPr>
      <w:r w:rsidRPr="00F00002">
        <w:tab/>
        <w:t>(c)</w:t>
      </w:r>
      <w:r w:rsidRPr="00F00002">
        <w:tab/>
        <w:t>the Governor of a State;</w:t>
      </w:r>
    </w:p>
    <w:p w:rsidR="00651E42" w:rsidRPr="00F00002" w:rsidRDefault="00651E42" w:rsidP="00651E42">
      <w:pPr>
        <w:pStyle w:val="paragraph"/>
      </w:pPr>
      <w:r w:rsidRPr="00F00002">
        <w:tab/>
        <w:t>(d)</w:t>
      </w:r>
      <w:r w:rsidRPr="00F00002">
        <w:tab/>
        <w:t>a member of staff of the Governor of a State;</w:t>
      </w:r>
    </w:p>
    <w:p w:rsidR="00651E42" w:rsidRPr="00F00002" w:rsidRDefault="00651E42" w:rsidP="00651E42">
      <w:pPr>
        <w:pStyle w:val="paragraph"/>
      </w:pPr>
      <w:r w:rsidRPr="00F00002">
        <w:tab/>
        <w:t>(e)</w:t>
      </w:r>
      <w:r w:rsidRPr="00F00002">
        <w:tab/>
        <w:t>a member of the Parliament of a State;</w:t>
      </w:r>
    </w:p>
    <w:p w:rsidR="00651E42" w:rsidRPr="00F00002" w:rsidRDefault="00651E42" w:rsidP="00651E42">
      <w:pPr>
        <w:pStyle w:val="paragraph"/>
      </w:pPr>
      <w:r w:rsidRPr="00F00002">
        <w:tab/>
        <w:t>(f)</w:t>
      </w:r>
      <w:r w:rsidRPr="00F00002">
        <w:tab/>
        <w:t>the Clerk of a house of the Parliament of a State;</w:t>
      </w:r>
    </w:p>
    <w:p w:rsidR="00651E42" w:rsidRPr="00F00002" w:rsidRDefault="00651E42" w:rsidP="00651E42">
      <w:pPr>
        <w:pStyle w:val="paragraph"/>
      </w:pPr>
      <w:r w:rsidRPr="00F00002">
        <w:tab/>
        <w:t>(g)</w:t>
      </w:r>
      <w:r w:rsidRPr="00F00002">
        <w:tab/>
        <w:t>the head of a Department of the Public Service of a State or a statutory office holder of equivalent seniority, including a statutory office holder who is the head of an instrumentality or agency of a State;</w:t>
      </w:r>
    </w:p>
    <w:p w:rsidR="00651E42" w:rsidRPr="00F00002" w:rsidRDefault="00651E42" w:rsidP="00651E42">
      <w:pPr>
        <w:pStyle w:val="paragraph"/>
      </w:pPr>
      <w:r w:rsidRPr="00F00002">
        <w:tab/>
        <w:t>(h)</w:t>
      </w:r>
      <w:r w:rsidRPr="00F00002">
        <w:tab/>
        <w:t>a judge, justice or magistrate of the court of a State.</w:t>
      </w:r>
    </w:p>
    <w:p w:rsidR="00947D92" w:rsidRPr="00F00002" w:rsidRDefault="00947D92" w:rsidP="004D7C9D">
      <w:pPr>
        <w:pStyle w:val="ActHead3"/>
        <w:pageBreakBefore/>
      </w:pPr>
      <w:bookmarkStart w:id="87" w:name="_Toc31109669"/>
      <w:r w:rsidRPr="00A26088">
        <w:rPr>
          <w:rStyle w:val="CharDivNo"/>
        </w:rPr>
        <w:lastRenderedPageBreak/>
        <w:t>Division</w:t>
      </w:r>
      <w:r w:rsidR="00F00002" w:rsidRPr="00A26088">
        <w:rPr>
          <w:rStyle w:val="CharDivNo"/>
        </w:rPr>
        <w:t> </w:t>
      </w:r>
      <w:r w:rsidRPr="00A26088">
        <w:rPr>
          <w:rStyle w:val="CharDivNo"/>
        </w:rPr>
        <w:t>294</w:t>
      </w:r>
      <w:r w:rsidRPr="00F00002">
        <w:t>—</w:t>
      </w:r>
      <w:r w:rsidRPr="00A26088">
        <w:rPr>
          <w:rStyle w:val="CharDivText"/>
        </w:rPr>
        <w:t>Transfer balance cap</w:t>
      </w:r>
      <w:bookmarkEnd w:id="87"/>
    </w:p>
    <w:p w:rsidR="006C0D0D" w:rsidRPr="00F00002" w:rsidRDefault="006C0D0D" w:rsidP="006C0D0D">
      <w:pPr>
        <w:pStyle w:val="ActHead4"/>
      </w:pPr>
      <w:bookmarkStart w:id="88" w:name="_Toc31109670"/>
      <w:r w:rsidRPr="00A26088">
        <w:rPr>
          <w:rStyle w:val="CharSubdNo"/>
        </w:rPr>
        <w:t>Subdivision</w:t>
      </w:r>
      <w:r w:rsidR="00F00002" w:rsidRPr="00A26088">
        <w:rPr>
          <w:rStyle w:val="CharSubdNo"/>
        </w:rPr>
        <w:t> </w:t>
      </w:r>
      <w:r w:rsidRPr="00A26088">
        <w:rPr>
          <w:rStyle w:val="CharSubdNo"/>
        </w:rPr>
        <w:t>294</w:t>
      </w:r>
      <w:r w:rsidR="00F00002" w:rsidRPr="00A26088">
        <w:rPr>
          <w:rStyle w:val="CharSubdNo"/>
        </w:rPr>
        <w:noBreakHyphen/>
      </w:r>
      <w:r w:rsidRPr="00A26088">
        <w:rPr>
          <w:rStyle w:val="CharSubdNo"/>
        </w:rPr>
        <w:t>B</w:t>
      </w:r>
      <w:r w:rsidRPr="00F00002">
        <w:t>—</w:t>
      </w:r>
      <w:r w:rsidRPr="00A26088">
        <w:rPr>
          <w:rStyle w:val="CharSubdText"/>
        </w:rPr>
        <w:t>Transfer balance account</w:t>
      </w:r>
      <w:bookmarkEnd w:id="88"/>
    </w:p>
    <w:p w:rsidR="006C0D0D" w:rsidRPr="00F00002" w:rsidRDefault="006C0D0D" w:rsidP="006C0D0D">
      <w:pPr>
        <w:pStyle w:val="ActHead5"/>
      </w:pPr>
      <w:bookmarkStart w:id="89" w:name="_Toc31109671"/>
      <w:r w:rsidRPr="00A26088">
        <w:rPr>
          <w:rStyle w:val="CharSectno"/>
        </w:rPr>
        <w:t>294</w:t>
      </w:r>
      <w:r w:rsidR="00F00002" w:rsidRPr="00A26088">
        <w:rPr>
          <w:rStyle w:val="CharSectno"/>
        </w:rPr>
        <w:noBreakHyphen/>
      </w:r>
      <w:r w:rsidRPr="00A26088">
        <w:rPr>
          <w:rStyle w:val="CharSectno"/>
        </w:rPr>
        <w:t>25.01</w:t>
      </w:r>
      <w:r w:rsidRPr="00F00002">
        <w:t xml:space="preserve">  Credit in transfer balance account—payment of consideration for interest supporting deferred superannuation income stream</w:t>
      </w:r>
      <w:bookmarkEnd w:id="89"/>
    </w:p>
    <w:p w:rsidR="006C0D0D" w:rsidRPr="00F00002" w:rsidRDefault="006C0D0D" w:rsidP="006C0D0D">
      <w:pPr>
        <w:pStyle w:val="subsection"/>
      </w:pPr>
      <w:r w:rsidRPr="00F00002">
        <w:tab/>
        <w:t>(1)</w:t>
      </w:r>
      <w:r w:rsidRPr="00F00002">
        <w:tab/>
        <w:t>For the purposes of item</w:t>
      </w:r>
      <w:r w:rsidR="00F00002">
        <w:t> </w:t>
      </w:r>
      <w:r w:rsidRPr="00F00002">
        <w:t>5 of the table in subsection</w:t>
      </w:r>
      <w:r w:rsidR="00F00002">
        <w:t> </w:t>
      </w:r>
      <w:r w:rsidRPr="00F00002">
        <w:t>294</w:t>
      </w:r>
      <w:r w:rsidR="00F00002">
        <w:noBreakHyphen/>
      </w:r>
      <w:r w:rsidRPr="00F00002">
        <w:t>25(1) of the Act, a transfer balance credit arises under this regulation in your transfer balance account if:</w:t>
      </w:r>
    </w:p>
    <w:p w:rsidR="006C0D0D" w:rsidRPr="00F00002" w:rsidRDefault="006C0D0D" w:rsidP="006C0D0D">
      <w:pPr>
        <w:pStyle w:val="paragraph"/>
      </w:pPr>
      <w:r w:rsidRPr="00F00002">
        <w:tab/>
        <w:t>(a)</w:t>
      </w:r>
      <w:r w:rsidRPr="00F00002">
        <w:tab/>
        <w:t>you are the retirement phase recipient of a superannuation income stream; and</w:t>
      </w:r>
    </w:p>
    <w:p w:rsidR="006C0D0D" w:rsidRPr="00F00002" w:rsidRDefault="006C0D0D" w:rsidP="006C0D0D">
      <w:pPr>
        <w:pStyle w:val="paragraph"/>
      </w:pPr>
      <w:r w:rsidRPr="00F00002">
        <w:tab/>
        <w:t>(b)</w:t>
      </w:r>
      <w:r w:rsidRPr="00F00002">
        <w:tab/>
        <w:t>the superannuation income stream is a deferred superannuation income stream; and</w:t>
      </w:r>
    </w:p>
    <w:p w:rsidR="006C0D0D" w:rsidRPr="00F00002" w:rsidRDefault="006C0D0D" w:rsidP="006C0D0D">
      <w:pPr>
        <w:pStyle w:val="paragraph"/>
      </w:pPr>
      <w:r w:rsidRPr="00F00002">
        <w:tab/>
        <w:t>(c)</w:t>
      </w:r>
      <w:r w:rsidRPr="00F00002">
        <w:tab/>
        <w:t>after you start to be the retirement phase recipient of the superannuation income stream, you pay an amount of consideration for the superannuation interest that supports the superannuation income stream.</w:t>
      </w:r>
    </w:p>
    <w:p w:rsidR="006C0D0D" w:rsidRPr="00F00002" w:rsidRDefault="006C0D0D" w:rsidP="006C0D0D">
      <w:pPr>
        <w:pStyle w:val="subsection"/>
      </w:pPr>
      <w:r w:rsidRPr="00F00002">
        <w:tab/>
        <w:t>(2)</w:t>
      </w:r>
      <w:r w:rsidRPr="00F00002">
        <w:tab/>
        <w:t>The amount of the credit is the amount of the consideration.</w:t>
      </w:r>
    </w:p>
    <w:p w:rsidR="006C0D0D" w:rsidRPr="00F00002" w:rsidRDefault="006C0D0D" w:rsidP="006C0D0D">
      <w:pPr>
        <w:pStyle w:val="subsection"/>
      </w:pPr>
      <w:r w:rsidRPr="00F00002">
        <w:tab/>
        <w:t>(3)</w:t>
      </w:r>
      <w:r w:rsidRPr="00F00002">
        <w:tab/>
        <w:t>The credit arises at the time you pay the consideration.</w:t>
      </w:r>
    </w:p>
    <w:p w:rsidR="006C0D0D" w:rsidRPr="00F00002" w:rsidRDefault="006C0D0D" w:rsidP="006C0D0D">
      <w:pPr>
        <w:pStyle w:val="ActHead4"/>
      </w:pPr>
      <w:bookmarkStart w:id="90" w:name="_Toc31109672"/>
      <w:r w:rsidRPr="00A26088">
        <w:rPr>
          <w:rStyle w:val="CharSubdNo"/>
        </w:rPr>
        <w:t>Subdivision</w:t>
      </w:r>
      <w:r w:rsidR="00F00002" w:rsidRPr="00A26088">
        <w:rPr>
          <w:rStyle w:val="CharSubdNo"/>
        </w:rPr>
        <w:t> </w:t>
      </w:r>
      <w:r w:rsidRPr="00A26088">
        <w:rPr>
          <w:rStyle w:val="CharSubdNo"/>
        </w:rPr>
        <w:t>294</w:t>
      </w:r>
      <w:r w:rsidR="00F00002" w:rsidRPr="00A26088">
        <w:rPr>
          <w:rStyle w:val="CharSubdNo"/>
        </w:rPr>
        <w:noBreakHyphen/>
      </w:r>
      <w:r w:rsidRPr="00A26088">
        <w:rPr>
          <w:rStyle w:val="CharSubdNo"/>
        </w:rPr>
        <w:t>C</w:t>
      </w:r>
      <w:r w:rsidRPr="00F00002">
        <w:t>—</w:t>
      </w:r>
      <w:r w:rsidRPr="00A26088">
        <w:rPr>
          <w:rStyle w:val="CharSubdText"/>
        </w:rPr>
        <w:t>Transfer balance debits</w:t>
      </w:r>
      <w:bookmarkEnd w:id="90"/>
    </w:p>
    <w:p w:rsidR="006C0D0D" w:rsidRPr="00F00002" w:rsidRDefault="006C0D0D" w:rsidP="006C0D0D">
      <w:pPr>
        <w:pStyle w:val="ActHead5"/>
      </w:pPr>
      <w:bookmarkStart w:id="91" w:name="_Toc31109673"/>
      <w:r w:rsidRPr="00A26088">
        <w:rPr>
          <w:rStyle w:val="CharSectno"/>
        </w:rPr>
        <w:t>294</w:t>
      </w:r>
      <w:r w:rsidR="00F00002" w:rsidRPr="00A26088">
        <w:rPr>
          <w:rStyle w:val="CharSectno"/>
        </w:rPr>
        <w:noBreakHyphen/>
      </w:r>
      <w:r w:rsidRPr="00A26088">
        <w:rPr>
          <w:rStyle w:val="CharSectno"/>
        </w:rPr>
        <w:t>80.01</w:t>
      </w:r>
      <w:r w:rsidRPr="00F00002">
        <w:t xml:space="preserve">  Debit in transfer balance account—reduction in amount of superannuation income stream benefit</w:t>
      </w:r>
      <w:bookmarkEnd w:id="91"/>
    </w:p>
    <w:p w:rsidR="006C0D0D" w:rsidRPr="00F00002" w:rsidRDefault="006C0D0D" w:rsidP="006C0D0D">
      <w:pPr>
        <w:pStyle w:val="subsection"/>
      </w:pPr>
      <w:r w:rsidRPr="00F00002">
        <w:tab/>
        <w:t>(1)</w:t>
      </w:r>
      <w:r w:rsidRPr="00F00002">
        <w:tab/>
        <w:t>For the purposes of item</w:t>
      </w:r>
      <w:r w:rsidR="00F00002">
        <w:t> </w:t>
      </w:r>
      <w:r w:rsidRPr="00F00002">
        <w:t>8 of the table in subsection</w:t>
      </w:r>
      <w:r w:rsidR="00F00002">
        <w:t> </w:t>
      </w:r>
      <w:r w:rsidRPr="00F00002">
        <w:t>294</w:t>
      </w:r>
      <w:r w:rsidR="00F00002">
        <w:noBreakHyphen/>
      </w:r>
      <w:r w:rsidRPr="00F00002">
        <w:t>80(1) of the Act, a transfer balance debit arises under this regulation in your transfer balance account if:</w:t>
      </w:r>
    </w:p>
    <w:p w:rsidR="006C0D0D" w:rsidRPr="00F00002" w:rsidRDefault="006C0D0D" w:rsidP="006C0D0D">
      <w:pPr>
        <w:pStyle w:val="paragraph"/>
      </w:pPr>
      <w:r w:rsidRPr="00F00002">
        <w:tab/>
        <w:t>(a)</w:t>
      </w:r>
      <w:r w:rsidRPr="00F00002">
        <w:tab/>
        <w:t>you are the retirement phase recipient of a superannuation income stream; and</w:t>
      </w:r>
    </w:p>
    <w:p w:rsidR="006C0D0D" w:rsidRPr="00F00002" w:rsidRDefault="006C0D0D" w:rsidP="006C0D0D">
      <w:pPr>
        <w:pStyle w:val="paragraph"/>
      </w:pPr>
      <w:r w:rsidRPr="00F00002">
        <w:tab/>
        <w:t>(b)</w:t>
      </w:r>
      <w:r w:rsidRPr="00F00002">
        <w:tab/>
        <w:t>the superannuation income stream is a capped defined benefit income stream that:</w:t>
      </w:r>
    </w:p>
    <w:p w:rsidR="006C0D0D" w:rsidRPr="00F00002" w:rsidRDefault="006C0D0D" w:rsidP="006C0D0D">
      <w:pPr>
        <w:pStyle w:val="paragraphsub"/>
      </w:pPr>
      <w:r w:rsidRPr="00F00002">
        <w:tab/>
        <w:t>(i)</w:t>
      </w:r>
      <w:r w:rsidRPr="00F00002">
        <w:tab/>
        <w:t>is covered by item</w:t>
      </w:r>
      <w:r w:rsidR="00F00002">
        <w:t> </w:t>
      </w:r>
      <w:r w:rsidRPr="00F00002">
        <w:t>1 or 2 of the table in subsection</w:t>
      </w:r>
      <w:r w:rsidR="00F00002">
        <w:t> </w:t>
      </w:r>
      <w:r w:rsidRPr="00F00002">
        <w:t>294</w:t>
      </w:r>
      <w:r w:rsidR="00F00002">
        <w:noBreakHyphen/>
      </w:r>
      <w:r w:rsidRPr="00F00002">
        <w:t>130(1) of the Act; or</w:t>
      </w:r>
    </w:p>
    <w:p w:rsidR="006C0D0D" w:rsidRPr="00F00002" w:rsidRDefault="006C0D0D" w:rsidP="006C0D0D">
      <w:pPr>
        <w:pStyle w:val="paragraphsub"/>
      </w:pPr>
      <w:r w:rsidRPr="00F00002">
        <w:tab/>
        <w:t>(ii)</w:t>
      </w:r>
      <w:r w:rsidRPr="00F00002">
        <w:tab/>
        <w:t>is prescribed by regulation</w:t>
      </w:r>
      <w:r w:rsidR="00F00002">
        <w:t> </w:t>
      </w:r>
      <w:r w:rsidRPr="00F00002">
        <w:t>294</w:t>
      </w:r>
      <w:r w:rsidR="00F00002">
        <w:noBreakHyphen/>
      </w:r>
      <w:r w:rsidRPr="00F00002">
        <w:t>130.01 (but is not a superannuation income stream to which subregulation</w:t>
      </w:r>
      <w:r w:rsidR="00F00002">
        <w:t> </w:t>
      </w:r>
      <w:r w:rsidRPr="00F00002">
        <w:t>294</w:t>
      </w:r>
      <w:r w:rsidR="00F00002">
        <w:noBreakHyphen/>
      </w:r>
      <w:r w:rsidRPr="00F00002">
        <w:t>130.01(3B) applies); and</w:t>
      </w:r>
    </w:p>
    <w:p w:rsidR="006C0D0D" w:rsidRPr="00F00002" w:rsidRDefault="006C0D0D" w:rsidP="006C0D0D">
      <w:pPr>
        <w:pStyle w:val="paragraph"/>
      </w:pPr>
      <w:r w:rsidRPr="00F00002">
        <w:tab/>
        <w:t>(c)</w:t>
      </w:r>
      <w:r w:rsidRPr="00F00002">
        <w:tab/>
        <w:t xml:space="preserve">you are entitled to receive a superannuation income stream benefit (the </w:t>
      </w:r>
      <w:r w:rsidRPr="00F00002">
        <w:rPr>
          <w:b/>
          <w:i/>
        </w:rPr>
        <w:t>earlier benefit</w:t>
      </w:r>
      <w:r w:rsidRPr="00F00002">
        <w:t xml:space="preserve">) from the superannuation income stream at a time (the </w:t>
      </w:r>
      <w:r w:rsidRPr="00F00002">
        <w:rPr>
          <w:b/>
          <w:i/>
        </w:rPr>
        <w:t>earlier time</w:t>
      </w:r>
      <w:r w:rsidRPr="00F00002">
        <w:t>); and</w:t>
      </w:r>
    </w:p>
    <w:p w:rsidR="006C0D0D" w:rsidRPr="00F00002" w:rsidRDefault="006C0D0D" w:rsidP="006C0D0D">
      <w:pPr>
        <w:pStyle w:val="paragraph"/>
      </w:pPr>
      <w:r w:rsidRPr="00F00002">
        <w:tab/>
        <w:t>(d)</w:t>
      </w:r>
      <w:r w:rsidRPr="00F00002">
        <w:tab/>
        <w:t xml:space="preserve">the amount of the next superannuation income stream benefit (the </w:t>
      </w:r>
      <w:r w:rsidRPr="00F00002">
        <w:rPr>
          <w:b/>
          <w:i/>
        </w:rPr>
        <w:t>later benefit</w:t>
      </w:r>
      <w:r w:rsidRPr="00F00002">
        <w:t>) that you are entitled to receive from the superannuation income stream falls short of the amount of the earlier benefit; and</w:t>
      </w:r>
    </w:p>
    <w:p w:rsidR="006C0D0D" w:rsidRPr="00F00002" w:rsidRDefault="006C0D0D" w:rsidP="006C0D0D">
      <w:pPr>
        <w:pStyle w:val="paragraph"/>
      </w:pPr>
      <w:r w:rsidRPr="00F00002">
        <w:lastRenderedPageBreak/>
        <w:tab/>
        <w:t>(e)</w:t>
      </w:r>
      <w:r w:rsidRPr="00F00002">
        <w:tab/>
        <w:t>that shortfall is not attributable to any of the following:</w:t>
      </w:r>
    </w:p>
    <w:p w:rsidR="006C0D0D" w:rsidRPr="00F00002" w:rsidRDefault="006C0D0D" w:rsidP="006C0D0D">
      <w:pPr>
        <w:pStyle w:val="paragraphsub"/>
      </w:pPr>
      <w:r w:rsidRPr="00F00002">
        <w:tab/>
        <w:t>(i)</w:t>
      </w:r>
      <w:r w:rsidRPr="00F00002">
        <w:tab/>
        <w:t>circumstances that cause a transfer balance debit to arise in your transfer balance account (other than because of this regulation);</w:t>
      </w:r>
    </w:p>
    <w:p w:rsidR="006C0D0D" w:rsidRPr="00F00002" w:rsidRDefault="006C0D0D" w:rsidP="006C0D0D">
      <w:pPr>
        <w:pStyle w:val="paragraphsub"/>
      </w:pPr>
      <w:r w:rsidRPr="00F00002">
        <w:tab/>
        <w:t>(ii)</w:t>
      </w:r>
      <w:r w:rsidRPr="00F00002">
        <w:tab/>
        <w:t xml:space="preserve"> a CPI adjustment in the amount of superannuation income stream benefits that you are entitled to receive from the superannuation income stream.</w:t>
      </w:r>
    </w:p>
    <w:p w:rsidR="006C0D0D" w:rsidRPr="00F00002" w:rsidRDefault="006C0D0D" w:rsidP="006C0D0D">
      <w:pPr>
        <w:pStyle w:val="subsection"/>
      </w:pPr>
      <w:r w:rsidRPr="00F00002">
        <w:tab/>
        <w:t>(2)</w:t>
      </w:r>
      <w:r w:rsidRPr="00F00002">
        <w:tab/>
        <w:t>The amount of the debit is:</w:t>
      </w:r>
    </w:p>
    <w:p w:rsidR="006C0D0D" w:rsidRPr="00F00002" w:rsidRDefault="006C0D0D" w:rsidP="006C0D0D">
      <w:pPr>
        <w:pStyle w:val="paragraph"/>
      </w:pPr>
      <w:r w:rsidRPr="00F00002">
        <w:tab/>
        <w:t>(a)</w:t>
      </w:r>
      <w:r w:rsidRPr="00F00002">
        <w:tab/>
        <w:t>the special value, just before the earlier time, of the superannuation interest that supports the superannuation income stream; less</w:t>
      </w:r>
    </w:p>
    <w:p w:rsidR="006C0D0D" w:rsidRPr="00F00002" w:rsidRDefault="006C0D0D" w:rsidP="006C0D0D">
      <w:pPr>
        <w:pStyle w:val="paragraph"/>
      </w:pPr>
      <w:r w:rsidRPr="00F00002">
        <w:tab/>
        <w:t>(b)</w:t>
      </w:r>
      <w:r w:rsidRPr="00F00002">
        <w:tab/>
        <w:t xml:space="preserve">the special value, just before the time (the </w:t>
      </w:r>
      <w:r w:rsidRPr="00F00002">
        <w:rPr>
          <w:b/>
          <w:i/>
        </w:rPr>
        <w:t>later time</w:t>
      </w:r>
      <w:r w:rsidRPr="00F00002">
        <w:t>) at which you are entitled to receive the later benefit, of that superannuation interest.</w:t>
      </w:r>
    </w:p>
    <w:p w:rsidR="006C0D0D" w:rsidRPr="00F00002" w:rsidRDefault="006C0D0D" w:rsidP="006C0D0D">
      <w:pPr>
        <w:pStyle w:val="subsection"/>
      </w:pPr>
      <w:r w:rsidRPr="00F00002">
        <w:tab/>
        <w:t>(3)</w:t>
      </w:r>
      <w:r w:rsidRPr="00F00002">
        <w:tab/>
        <w:t>The debit arises at the later time.</w:t>
      </w:r>
    </w:p>
    <w:p w:rsidR="006C0D0D" w:rsidRPr="00F00002" w:rsidRDefault="006C0D0D" w:rsidP="006C0D0D">
      <w:pPr>
        <w:pStyle w:val="ActHead5"/>
      </w:pPr>
      <w:bookmarkStart w:id="92" w:name="_Toc31109674"/>
      <w:r w:rsidRPr="00A26088">
        <w:rPr>
          <w:rStyle w:val="CharSectno"/>
        </w:rPr>
        <w:t>294</w:t>
      </w:r>
      <w:r w:rsidR="00F00002" w:rsidRPr="00A26088">
        <w:rPr>
          <w:rStyle w:val="CharSectno"/>
        </w:rPr>
        <w:noBreakHyphen/>
      </w:r>
      <w:r w:rsidRPr="00A26088">
        <w:rPr>
          <w:rStyle w:val="CharSectno"/>
        </w:rPr>
        <w:t>80.02</w:t>
      </w:r>
      <w:r w:rsidRPr="00F00002">
        <w:t xml:space="preserve">  Debit in transfer balance account—reduction in amount of superannuation income stream benefit</w:t>
      </w:r>
      <w:bookmarkEnd w:id="92"/>
    </w:p>
    <w:p w:rsidR="006C0D0D" w:rsidRPr="00F00002" w:rsidRDefault="006C0D0D" w:rsidP="006C0D0D">
      <w:pPr>
        <w:pStyle w:val="subsection"/>
      </w:pPr>
      <w:r w:rsidRPr="00F00002">
        <w:tab/>
        <w:t>(1)</w:t>
      </w:r>
      <w:r w:rsidRPr="00F00002">
        <w:tab/>
        <w:t>For the purposes of item</w:t>
      </w:r>
      <w:r w:rsidR="00F00002">
        <w:t> </w:t>
      </w:r>
      <w:r w:rsidRPr="00F00002">
        <w:t>8 of the table in subsection</w:t>
      </w:r>
      <w:r w:rsidR="00F00002">
        <w:t> </w:t>
      </w:r>
      <w:r w:rsidRPr="00F00002">
        <w:t>294</w:t>
      </w:r>
      <w:r w:rsidR="00F00002">
        <w:noBreakHyphen/>
      </w:r>
      <w:r w:rsidRPr="00F00002">
        <w:t>80(1) of the Act, a transfer balance debit arises under this regulation in your transfer balance account if:</w:t>
      </w:r>
    </w:p>
    <w:p w:rsidR="006C0D0D" w:rsidRPr="00F00002" w:rsidRDefault="006C0D0D" w:rsidP="006C0D0D">
      <w:pPr>
        <w:pStyle w:val="paragraph"/>
      </w:pPr>
      <w:r w:rsidRPr="00F00002">
        <w:tab/>
        <w:t>(a)</w:t>
      </w:r>
      <w:r w:rsidRPr="00F00002">
        <w:tab/>
        <w:t>you are or were a retirement phase recipient of a deferred superannuation income stream to which subregulation</w:t>
      </w:r>
      <w:r w:rsidR="00F00002">
        <w:t> </w:t>
      </w:r>
      <w:r w:rsidRPr="00F00002">
        <w:t>307</w:t>
      </w:r>
      <w:r w:rsidR="00F00002">
        <w:noBreakHyphen/>
      </w:r>
      <w:r w:rsidRPr="00F00002">
        <w:t>205.02C(1) applies (see subregulation</w:t>
      </w:r>
      <w:r w:rsidR="00F00002">
        <w:t> </w:t>
      </w:r>
      <w:r w:rsidRPr="00F00002">
        <w:t>307</w:t>
      </w:r>
      <w:r w:rsidR="00F00002">
        <w:noBreakHyphen/>
      </w:r>
      <w:r w:rsidRPr="00F00002">
        <w:t>205.02C(3)) supported by a superannuation interest; and</w:t>
      </w:r>
    </w:p>
    <w:p w:rsidR="006C0D0D" w:rsidRPr="00F00002" w:rsidRDefault="006C0D0D" w:rsidP="006C0D0D">
      <w:pPr>
        <w:pStyle w:val="paragraph"/>
      </w:pPr>
      <w:r w:rsidRPr="00F00002">
        <w:tab/>
        <w:t>(b)</w:t>
      </w:r>
      <w:r w:rsidRPr="00F00002">
        <w:tab/>
        <w:t>but for regulation</w:t>
      </w:r>
      <w:r w:rsidR="00F00002">
        <w:t> </w:t>
      </w:r>
      <w:r w:rsidRPr="00F00002">
        <w:t>294</w:t>
      </w:r>
      <w:r w:rsidR="00F00002">
        <w:noBreakHyphen/>
      </w:r>
      <w:r w:rsidRPr="00F00002">
        <w:t>80.03, a transfer balance debit would arise at a time under item</w:t>
      </w:r>
      <w:r w:rsidR="00F00002">
        <w:t> </w:t>
      </w:r>
      <w:r w:rsidRPr="00F00002">
        <w:t>5 or 6 of the table in subsection</w:t>
      </w:r>
      <w:r w:rsidR="00F00002">
        <w:t> </w:t>
      </w:r>
      <w:r w:rsidRPr="00F00002">
        <w:t>294</w:t>
      </w:r>
      <w:r w:rsidR="00F00002">
        <w:noBreakHyphen/>
      </w:r>
      <w:r w:rsidRPr="00F00002">
        <w:t>80(1) of the Act in your transfer balance account because of the superannuation income stream.</w:t>
      </w:r>
    </w:p>
    <w:p w:rsidR="006C0D0D" w:rsidRPr="00F00002" w:rsidRDefault="006C0D0D" w:rsidP="006C0D0D">
      <w:pPr>
        <w:pStyle w:val="subsection"/>
      </w:pPr>
      <w:r w:rsidRPr="00F00002">
        <w:tab/>
        <w:t>(2)</w:t>
      </w:r>
      <w:r w:rsidRPr="00F00002">
        <w:tab/>
        <w:t>The amount of the debit is the total amount of the superannuation benefits that would be payable if you voluntarily caused the superannuation interest to cease at that time.</w:t>
      </w:r>
    </w:p>
    <w:p w:rsidR="006C0D0D" w:rsidRPr="00F00002" w:rsidRDefault="006C0D0D" w:rsidP="006C0D0D">
      <w:pPr>
        <w:pStyle w:val="subsection"/>
      </w:pPr>
      <w:r w:rsidRPr="00F00002">
        <w:tab/>
        <w:t>(3)</w:t>
      </w:r>
      <w:r w:rsidRPr="00F00002">
        <w:tab/>
        <w:t>The debit arises at that time.</w:t>
      </w:r>
    </w:p>
    <w:p w:rsidR="006C0D0D" w:rsidRPr="00F00002" w:rsidRDefault="006C0D0D" w:rsidP="006C0D0D">
      <w:pPr>
        <w:pStyle w:val="ActHead5"/>
      </w:pPr>
      <w:bookmarkStart w:id="93" w:name="_Toc31109675"/>
      <w:r w:rsidRPr="00A26088">
        <w:rPr>
          <w:rStyle w:val="CharSectno"/>
        </w:rPr>
        <w:t>294</w:t>
      </w:r>
      <w:r w:rsidR="00F00002" w:rsidRPr="00A26088">
        <w:rPr>
          <w:rStyle w:val="CharSectno"/>
        </w:rPr>
        <w:noBreakHyphen/>
      </w:r>
      <w:r w:rsidRPr="00A26088">
        <w:rPr>
          <w:rStyle w:val="CharSectno"/>
        </w:rPr>
        <w:t>80.03</w:t>
      </w:r>
      <w:r w:rsidRPr="00F00002">
        <w:t xml:space="preserve">  Debit in transfer balance account—certain items of table in subsection</w:t>
      </w:r>
      <w:r w:rsidR="00F00002">
        <w:t> </w:t>
      </w:r>
      <w:r w:rsidRPr="00F00002">
        <w:t>294</w:t>
      </w:r>
      <w:r w:rsidR="00F00002">
        <w:noBreakHyphen/>
      </w:r>
      <w:r w:rsidRPr="00F00002">
        <w:t>80(1) of the Act do not apply to certain superannuation income streams</w:t>
      </w:r>
      <w:bookmarkEnd w:id="93"/>
    </w:p>
    <w:p w:rsidR="006C0D0D" w:rsidRPr="00F00002" w:rsidRDefault="006C0D0D" w:rsidP="006C0D0D">
      <w:pPr>
        <w:pStyle w:val="subsection"/>
      </w:pPr>
      <w:r w:rsidRPr="00F00002">
        <w:tab/>
      </w:r>
      <w:r w:rsidRPr="00F00002">
        <w:tab/>
        <w:t>For the purposes of subsection</w:t>
      </w:r>
      <w:r w:rsidR="00F00002">
        <w:t> </w:t>
      </w:r>
      <w:r w:rsidRPr="00F00002">
        <w:t>294</w:t>
      </w:r>
      <w:r w:rsidR="00F00002">
        <w:noBreakHyphen/>
      </w:r>
      <w:r w:rsidRPr="00F00002">
        <w:t>80(3) of the Act, items</w:t>
      </w:r>
      <w:r w:rsidR="00F00002">
        <w:t> </w:t>
      </w:r>
      <w:r w:rsidRPr="00F00002">
        <w:t>5 and 6 of the table in subsection</w:t>
      </w:r>
      <w:r w:rsidR="00F00002">
        <w:t> </w:t>
      </w:r>
      <w:r w:rsidRPr="00F00002">
        <w:t>294</w:t>
      </w:r>
      <w:r w:rsidR="00F00002">
        <w:noBreakHyphen/>
      </w:r>
      <w:r w:rsidRPr="00F00002">
        <w:t>80(1) of the Act do not apply to deferred superannuation income streams to which subregulation</w:t>
      </w:r>
      <w:r w:rsidR="00F00002">
        <w:t> </w:t>
      </w:r>
      <w:r w:rsidRPr="00F00002">
        <w:t>307</w:t>
      </w:r>
      <w:r w:rsidR="00F00002">
        <w:noBreakHyphen/>
      </w:r>
      <w:r w:rsidRPr="00F00002">
        <w:t>205.02C(1) applies (see subregulation</w:t>
      </w:r>
      <w:r w:rsidR="00F00002">
        <w:t> </w:t>
      </w:r>
      <w:r w:rsidRPr="00F00002">
        <w:t>307</w:t>
      </w:r>
      <w:r w:rsidR="00F00002">
        <w:noBreakHyphen/>
      </w:r>
      <w:r w:rsidRPr="00F00002">
        <w:t>205.02C(3)).</w:t>
      </w:r>
    </w:p>
    <w:p w:rsidR="00947D92" w:rsidRPr="00F00002" w:rsidRDefault="00947D92" w:rsidP="00947D92">
      <w:pPr>
        <w:pStyle w:val="ActHead4"/>
      </w:pPr>
      <w:bookmarkStart w:id="94" w:name="_Toc31109676"/>
      <w:r w:rsidRPr="00A26088">
        <w:rPr>
          <w:rStyle w:val="CharSubdNo"/>
        </w:rPr>
        <w:lastRenderedPageBreak/>
        <w:t>Subdivision</w:t>
      </w:r>
      <w:r w:rsidR="00F00002" w:rsidRPr="00A26088">
        <w:rPr>
          <w:rStyle w:val="CharSubdNo"/>
        </w:rPr>
        <w:t> </w:t>
      </w:r>
      <w:r w:rsidRPr="00A26088">
        <w:rPr>
          <w:rStyle w:val="CharSubdNo"/>
        </w:rPr>
        <w:t>294</w:t>
      </w:r>
      <w:r w:rsidR="00F00002" w:rsidRPr="00A26088">
        <w:rPr>
          <w:rStyle w:val="CharSubdNo"/>
        </w:rPr>
        <w:noBreakHyphen/>
      </w:r>
      <w:r w:rsidRPr="00A26088">
        <w:rPr>
          <w:rStyle w:val="CharSubdNo"/>
        </w:rPr>
        <w:t>D</w:t>
      </w:r>
      <w:r w:rsidRPr="00F00002">
        <w:t>—</w:t>
      </w:r>
      <w:r w:rsidRPr="00A26088">
        <w:rPr>
          <w:rStyle w:val="CharSubdText"/>
        </w:rPr>
        <w:t>Modifications for certain defined benefit income streams</w:t>
      </w:r>
      <w:bookmarkEnd w:id="94"/>
    </w:p>
    <w:p w:rsidR="00947D92" w:rsidRPr="00F00002" w:rsidRDefault="00947D92" w:rsidP="00947D92">
      <w:pPr>
        <w:pStyle w:val="ActHead5"/>
      </w:pPr>
      <w:bookmarkStart w:id="95" w:name="_Toc31109677"/>
      <w:r w:rsidRPr="00A26088">
        <w:rPr>
          <w:rStyle w:val="CharSectno"/>
        </w:rPr>
        <w:t>294</w:t>
      </w:r>
      <w:r w:rsidR="00F00002" w:rsidRPr="00A26088">
        <w:rPr>
          <w:rStyle w:val="CharSectno"/>
        </w:rPr>
        <w:noBreakHyphen/>
      </w:r>
      <w:r w:rsidRPr="00A26088">
        <w:rPr>
          <w:rStyle w:val="CharSectno"/>
        </w:rPr>
        <w:t>130.01</w:t>
      </w:r>
      <w:r w:rsidRPr="00F00002">
        <w:t xml:space="preserve">  Meaning of capped defined benefit income stream</w:t>
      </w:r>
      <w:bookmarkEnd w:id="95"/>
    </w:p>
    <w:p w:rsidR="00947D92" w:rsidRPr="00F00002" w:rsidRDefault="00947D92" w:rsidP="00947D92">
      <w:pPr>
        <w:pStyle w:val="subsection"/>
      </w:pPr>
      <w:r w:rsidRPr="00F00002">
        <w:tab/>
        <w:t>(1)</w:t>
      </w:r>
      <w:r w:rsidRPr="00F00002">
        <w:tab/>
        <w:t>For the purposes of subsection</w:t>
      </w:r>
      <w:r w:rsidR="00F00002">
        <w:t> </w:t>
      </w:r>
      <w:r w:rsidRPr="00F00002">
        <w:t>294</w:t>
      </w:r>
      <w:r w:rsidR="00F00002">
        <w:noBreakHyphen/>
      </w:r>
      <w:r w:rsidRPr="00F00002">
        <w:t xml:space="preserve">130(2) of the Act, a superannuation income stream is prescribed if subregulation (2), </w:t>
      </w:r>
      <w:r w:rsidR="006C0D0D" w:rsidRPr="00F00002">
        <w:t>(3), (3A), (3B)</w:t>
      </w:r>
      <w:r w:rsidRPr="00F00002">
        <w:t xml:space="preserve"> or (4) applies to the income stream.</w:t>
      </w:r>
    </w:p>
    <w:p w:rsidR="00947D92" w:rsidRPr="00F00002" w:rsidRDefault="00947D92" w:rsidP="00947D92">
      <w:pPr>
        <w:pStyle w:val="subsection"/>
      </w:pPr>
      <w:r w:rsidRPr="00F00002">
        <w:tab/>
        <w:t>(2)</w:t>
      </w:r>
      <w:r w:rsidRPr="00F00002">
        <w:tab/>
        <w:t>This subregulation applies to a superannuation income stream if it is a pension for the purposes of the SIS Act that is provided under rules:</w:t>
      </w:r>
    </w:p>
    <w:p w:rsidR="00947D92" w:rsidRPr="00F00002" w:rsidRDefault="00947D92" w:rsidP="00947D92">
      <w:pPr>
        <w:pStyle w:val="paragraph"/>
      </w:pPr>
      <w:r w:rsidRPr="00F00002">
        <w:tab/>
        <w:t>(a)</w:t>
      </w:r>
      <w:r w:rsidRPr="00F00002">
        <w:tab/>
        <w:t xml:space="preserve">that are in existence at the date of registration of the </w:t>
      </w:r>
      <w:r w:rsidRPr="00F00002">
        <w:rPr>
          <w:i/>
        </w:rPr>
        <w:t>Superannuation Industry (Supervision) Amendment Regulations</w:t>
      </w:r>
      <w:r w:rsidR="00F00002">
        <w:rPr>
          <w:i/>
        </w:rPr>
        <w:t> </w:t>
      </w:r>
      <w:r w:rsidRPr="00F00002">
        <w:rPr>
          <w:i/>
        </w:rPr>
        <w:t>2007 (No.</w:t>
      </w:r>
      <w:r w:rsidR="00F00002">
        <w:rPr>
          <w:i/>
        </w:rPr>
        <w:t> </w:t>
      </w:r>
      <w:r w:rsidRPr="00F00002">
        <w:rPr>
          <w:i/>
        </w:rPr>
        <w:t>3)</w:t>
      </w:r>
      <w:r w:rsidRPr="00F00002">
        <w:t>; and</w:t>
      </w:r>
    </w:p>
    <w:p w:rsidR="00947D92" w:rsidRPr="00F00002" w:rsidRDefault="00947D92" w:rsidP="00947D92">
      <w:pPr>
        <w:pStyle w:val="paragraph"/>
      </w:pPr>
      <w:r w:rsidRPr="00F00002">
        <w:tab/>
        <w:t>(b)</w:t>
      </w:r>
      <w:r w:rsidRPr="00F00002">
        <w:tab/>
        <w:t>that would meet the standards of subregulation</w:t>
      </w:r>
      <w:r w:rsidR="00F00002">
        <w:t> </w:t>
      </w:r>
      <w:r w:rsidRPr="00F00002">
        <w:t>1.06(2) of the SIS Regulations except for the circumstances in which those rules allow for either or both of the following:</w:t>
      </w:r>
    </w:p>
    <w:p w:rsidR="00947D92" w:rsidRPr="00F00002" w:rsidRDefault="00947D92" w:rsidP="00947D92">
      <w:pPr>
        <w:pStyle w:val="paragraphsub"/>
      </w:pPr>
      <w:r w:rsidRPr="00F00002">
        <w:tab/>
        <w:t>(i)</w:t>
      </w:r>
      <w:r w:rsidRPr="00F00002">
        <w:tab/>
        <w:t>the pension to be commuted;</w:t>
      </w:r>
    </w:p>
    <w:p w:rsidR="00947D92" w:rsidRPr="00F00002" w:rsidRDefault="00947D92" w:rsidP="00947D92">
      <w:pPr>
        <w:pStyle w:val="paragraphsub"/>
      </w:pPr>
      <w:r w:rsidRPr="00F00002">
        <w:tab/>
        <w:t>(ii)</w:t>
      </w:r>
      <w:r w:rsidRPr="00F00002">
        <w:tab/>
        <w:t>the variation or cessation of pension payments in respect of a child of the deceased primary or reversionary beneficiary.</w:t>
      </w:r>
    </w:p>
    <w:p w:rsidR="00947D92" w:rsidRPr="00F00002" w:rsidRDefault="00947D92" w:rsidP="00947D92">
      <w:pPr>
        <w:pStyle w:val="subsection"/>
      </w:pPr>
      <w:r w:rsidRPr="00F00002">
        <w:tab/>
        <w:t>(3)</w:t>
      </w:r>
      <w:r w:rsidRPr="00F00002">
        <w:tab/>
        <w:t>This subregulation applies to a superannuation income stream if:</w:t>
      </w:r>
    </w:p>
    <w:p w:rsidR="00947D92" w:rsidRPr="00F00002" w:rsidRDefault="00947D92" w:rsidP="00947D92">
      <w:pPr>
        <w:pStyle w:val="paragraph"/>
      </w:pPr>
      <w:r w:rsidRPr="00F00002">
        <w:tab/>
        <w:t>(a)</w:t>
      </w:r>
      <w:r w:rsidRPr="00F00002">
        <w:tab/>
        <w:t>it is a pension for the purposes of the SIS Act that is paid from a successor fund; and</w:t>
      </w:r>
    </w:p>
    <w:p w:rsidR="00947D92" w:rsidRPr="00F00002" w:rsidRDefault="00947D92" w:rsidP="00947D92">
      <w:pPr>
        <w:pStyle w:val="paragraph"/>
      </w:pPr>
      <w:r w:rsidRPr="00F00002">
        <w:tab/>
        <w:t>(b)</w:t>
      </w:r>
      <w:r w:rsidRPr="00F00002">
        <w:tab/>
        <w:t>the rules of the original fund satisfied subregulation (2); and</w:t>
      </w:r>
    </w:p>
    <w:p w:rsidR="00947D92" w:rsidRPr="00F00002" w:rsidRDefault="00947D92" w:rsidP="00947D92">
      <w:pPr>
        <w:pStyle w:val="paragraph"/>
      </w:pPr>
      <w:r w:rsidRPr="00F00002">
        <w:tab/>
        <w:t>(c)</w:t>
      </w:r>
      <w:r w:rsidRPr="00F00002">
        <w:tab/>
        <w:t xml:space="preserve">the rules of the successor fund satisfy </w:t>
      </w:r>
      <w:r w:rsidR="00F00002">
        <w:t>paragraph (</w:t>
      </w:r>
      <w:r w:rsidRPr="00F00002">
        <w:t>2)(b).</w:t>
      </w:r>
    </w:p>
    <w:p w:rsidR="006C0D0D" w:rsidRPr="00F00002" w:rsidRDefault="006C0D0D" w:rsidP="006C0D0D">
      <w:pPr>
        <w:pStyle w:val="subsection"/>
      </w:pPr>
      <w:r w:rsidRPr="00F00002">
        <w:tab/>
        <w:t>(3A)</w:t>
      </w:r>
      <w:r w:rsidRPr="00F00002">
        <w:tab/>
        <w:t>This subregulation applies to a superannuation income stream if:</w:t>
      </w:r>
    </w:p>
    <w:p w:rsidR="006C0D0D" w:rsidRPr="00F00002" w:rsidRDefault="006C0D0D" w:rsidP="006C0D0D">
      <w:pPr>
        <w:pStyle w:val="paragraph"/>
      </w:pPr>
      <w:r w:rsidRPr="00F00002">
        <w:tab/>
        <w:t>(a)</w:t>
      </w:r>
      <w:r w:rsidRPr="00F00002">
        <w:tab/>
        <w:t>it is covered by item</w:t>
      </w:r>
      <w:r w:rsidR="00F00002">
        <w:t> </w:t>
      </w:r>
      <w:r w:rsidRPr="00F00002">
        <w:t>2 of the table in subsection</w:t>
      </w:r>
      <w:r w:rsidR="00F00002">
        <w:t> </w:t>
      </w:r>
      <w:r w:rsidRPr="00F00002">
        <w:t>294</w:t>
      </w:r>
      <w:r w:rsidR="00F00002">
        <w:noBreakHyphen/>
      </w:r>
      <w:r w:rsidRPr="00F00002">
        <w:t>130(1) of the Act; and</w:t>
      </w:r>
    </w:p>
    <w:p w:rsidR="006C0D0D" w:rsidRPr="00F00002" w:rsidRDefault="006C0D0D" w:rsidP="006C0D0D">
      <w:pPr>
        <w:pStyle w:val="paragraph"/>
      </w:pPr>
      <w:r w:rsidRPr="00F00002">
        <w:tab/>
        <w:t>(b)</w:t>
      </w:r>
      <w:r w:rsidRPr="00F00002">
        <w:tab/>
        <w:t>it starts to be in the retirement phase on or after 1</w:t>
      </w:r>
      <w:r w:rsidR="00F00002">
        <w:t> </w:t>
      </w:r>
      <w:r w:rsidRPr="00F00002">
        <w:t>July 2017; and</w:t>
      </w:r>
    </w:p>
    <w:p w:rsidR="006C0D0D" w:rsidRPr="00F00002" w:rsidRDefault="006C0D0D" w:rsidP="006C0D0D">
      <w:pPr>
        <w:pStyle w:val="paragraph"/>
      </w:pPr>
      <w:r w:rsidRPr="00F00002">
        <w:tab/>
        <w:t>(c)</w:t>
      </w:r>
      <w:r w:rsidRPr="00F00002">
        <w:tab/>
        <w:t>it arises as a direct result of the payment of an involuntary roll</w:t>
      </w:r>
      <w:r w:rsidR="00F00002">
        <w:noBreakHyphen/>
      </w:r>
      <w:r w:rsidRPr="00F00002">
        <w:t>over superannuation benefit to a successor fund.</w:t>
      </w:r>
    </w:p>
    <w:p w:rsidR="006C0D0D" w:rsidRPr="00F00002" w:rsidRDefault="006C0D0D" w:rsidP="006C0D0D">
      <w:pPr>
        <w:pStyle w:val="subsection"/>
      </w:pPr>
      <w:r w:rsidRPr="00F00002">
        <w:tab/>
        <w:t>(3B)</w:t>
      </w:r>
      <w:r w:rsidRPr="00F00002">
        <w:tab/>
        <w:t>This subregulation applies to a superannuation income stream if:</w:t>
      </w:r>
    </w:p>
    <w:p w:rsidR="006C0D0D" w:rsidRPr="00F00002" w:rsidRDefault="006C0D0D" w:rsidP="006C0D0D">
      <w:pPr>
        <w:pStyle w:val="paragraph"/>
      </w:pPr>
      <w:r w:rsidRPr="00F00002">
        <w:tab/>
        <w:t>(a)</w:t>
      </w:r>
      <w:r w:rsidRPr="00F00002">
        <w:tab/>
        <w:t>it is covered by any of items</w:t>
      </w:r>
      <w:r w:rsidR="00F00002">
        <w:t> </w:t>
      </w:r>
      <w:r w:rsidRPr="00F00002">
        <w:t>3 to 7 of the table in subsection</w:t>
      </w:r>
      <w:r w:rsidR="00F00002">
        <w:t> </w:t>
      </w:r>
      <w:r w:rsidRPr="00F00002">
        <w:t>294</w:t>
      </w:r>
      <w:r w:rsidR="00F00002">
        <w:noBreakHyphen/>
      </w:r>
      <w:r w:rsidRPr="00F00002">
        <w:t>130(1) of the Act; and</w:t>
      </w:r>
    </w:p>
    <w:p w:rsidR="006C0D0D" w:rsidRPr="00F00002" w:rsidRDefault="006C0D0D" w:rsidP="006C0D0D">
      <w:pPr>
        <w:pStyle w:val="paragraph"/>
      </w:pPr>
      <w:r w:rsidRPr="00F00002">
        <w:tab/>
        <w:t>(b)</w:t>
      </w:r>
      <w:r w:rsidRPr="00F00002">
        <w:tab/>
        <w:t>it starts to be in the retirement phase on or after 1</w:t>
      </w:r>
      <w:r w:rsidR="00F00002">
        <w:t> </w:t>
      </w:r>
      <w:r w:rsidRPr="00F00002">
        <w:t>July 2017; and</w:t>
      </w:r>
    </w:p>
    <w:p w:rsidR="006C0D0D" w:rsidRPr="00F00002" w:rsidRDefault="006C0D0D" w:rsidP="006C0D0D">
      <w:pPr>
        <w:pStyle w:val="paragraph"/>
      </w:pPr>
      <w:r w:rsidRPr="00F00002">
        <w:tab/>
        <w:t>(c)</w:t>
      </w:r>
      <w:r w:rsidRPr="00F00002">
        <w:tab/>
        <w:t>it arises as a direct result of the payment of an involuntary roll</w:t>
      </w:r>
      <w:r w:rsidR="00F00002">
        <w:noBreakHyphen/>
      </w:r>
      <w:r w:rsidRPr="00F00002">
        <w:t>over superannuation benefit to a successor fund.</w:t>
      </w:r>
    </w:p>
    <w:p w:rsidR="00947D92" w:rsidRPr="00F00002" w:rsidRDefault="00947D92" w:rsidP="00947D92">
      <w:pPr>
        <w:pStyle w:val="subsection"/>
      </w:pPr>
      <w:r w:rsidRPr="00F00002">
        <w:tab/>
        <w:t>(4)</w:t>
      </w:r>
      <w:r w:rsidRPr="00F00002">
        <w:tab/>
        <w:t>This subregulation applies to a superannuation income stream if it is a pension for the purposes of the SIS Act that is provided:</w:t>
      </w:r>
    </w:p>
    <w:p w:rsidR="00947D92" w:rsidRPr="00F00002" w:rsidRDefault="00947D92" w:rsidP="00947D92">
      <w:pPr>
        <w:pStyle w:val="paragraph"/>
      </w:pPr>
      <w:r w:rsidRPr="00F00002">
        <w:tab/>
        <w:t>(a)</w:t>
      </w:r>
      <w:r w:rsidRPr="00F00002">
        <w:tab/>
        <w:t>on the grounds of invalidity under a public sector superannuation scheme; and</w:t>
      </w:r>
    </w:p>
    <w:p w:rsidR="00947D92" w:rsidRPr="00F00002" w:rsidRDefault="00947D92" w:rsidP="00947D92">
      <w:pPr>
        <w:pStyle w:val="paragraph"/>
      </w:pPr>
      <w:r w:rsidRPr="00F00002">
        <w:lastRenderedPageBreak/>
        <w:tab/>
        <w:t>(b)</w:t>
      </w:r>
      <w:r w:rsidRPr="00F00002">
        <w:tab/>
        <w:t>under rules that would meet the standards of subregulation</w:t>
      </w:r>
      <w:r w:rsidR="00F00002">
        <w:t> </w:t>
      </w:r>
      <w:r w:rsidRPr="00F00002">
        <w:t>1.06(2) of the SIS Regulations except to the extent that those rules allow for the variation, suspension or cessation of pension payments due to any of the following:</w:t>
      </w:r>
    </w:p>
    <w:p w:rsidR="00947D92" w:rsidRPr="00F00002" w:rsidRDefault="00947D92" w:rsidP="00947D92">
      <w:pPr>
        <w:pStyle w:val="paragraphsub"/>
      </w:pPr>
      <w:r w:rsidRPr="00F00002">
        <w:tab/>
        <w:t>(i)</w:t>
      </w:r>
      <w:r w:rsidRPr="00F00002">
        <w:tab/>
        <w:t>the primary beneficiary’s level of incapacity being reclassified;</w:t>
      </w:r>
    </w:p>
    <w:p w:rsidR="00947D92" w:rsidRPr="00F00002" w:rsidRDefault="00947D92" w:rsidP="00947D92">
      <w:pPr>
        <w:pStyle w:val="paragraphsub"/>
      </w:pPr>
      <w:r w:rsidRPr="00F00002">
        <w:tab/>
        <w:t>(ii)</w:t>
      </w:r>
      <w:r w:rsidRPr="00F00002">
        <w:tab/>
        <w:t>the primary beneficiary’s personal earnings changing;</w:t>
      </w:r>
    </w:p>
    <w:p w:rsidR="00947D92" w:rsidRPr="00F00002" w:rsidRDefault="00947D92" w:rsidP="00947D92">
      <w:pPr>
        <w:pStyle w:val="paragraphsub"/>
      </w:pPr>
      <w:r w:rsidRPr="00F00002">
        <w:tab/>
        <w:t>(iii)</w:t>
      </w:r>
      <w:r w:rsidRPr="00F00002">
        <w:tab/>
        <w:t>the primary beneficiary being employed by a participating employer of the relevant superannuation scheme;</w:t>
      </w:r>
    </w:p>
    <w:p w:rsidR="00947D92" w:rsidRPr="00F00002" w:rsidRDefault="00947D92" w:rsidP="00947D92">
      <w:pPr>
        <w:pStyle w:val="paragraphsub"/>
      </w:pPr>
      <w:r w:rsidRPr="00F00002">
        <w:tab/>
        <w:t>(iv)</w:t>
      </w:r>
      <w:r w:rsidRPr="00F00002">
        <w:tab/>
        <w:t>the primary beneficiary failing to provide information as required by the rules;</w:t>
      </w:r>
    </w:p>
    <w:p w:rsidR="00947D92" w:rsidRPr="00F00002" w:rsidRDefault="00947D92" w:rsidP="00947D92">
      <w:pPr>
        <w:pStyle w:val="paragraphsub"/>
      </w:pPr>
      <w:r w:rsidRPr="00F00002">
        <w:tab/>
        <w:t>(v)</w:t>
      </w:r>
      <w:r w:rsidRPr="00F00002">
        <w:tab/>
        <w:t>the primary beneficiary reaching a particular age.</w:t>
      </w:r>
    </w:p>
    <w:p w:rsidR="00947D92" w:rsidRPr="00F00002" w:rsidRDefault="00947D92" w:rsidP="00947D92">
      <w:pPr>
        <w:pStyle w:val="ActHead5"/>
      </w:pPr>
      <w:bookmarkStart w:id="96" w:name="_Toc31109678"/>
      <w:r w:rsidRPr="00A26088">
        <w:rPr>
          <w:rStyle w:val="CharSectno"/>
        </w:rPr>
        <w:t>294</w:t>
      </w:r>
      <w:r w:rsidR="00F00002" w:rsidRPr="00A26088">
        <w:rPr>
          <w:rStyle w:val="CharSectno"/>
        </w:rPr>
        <w:noBreakHyphen/>
      </w:r>
      <w:r w:rsidRPr="00A26088">
        <w:rPr>
          <w:rStyle w:val="CharSectno"/>
        </w:rPr>
        <w:t>135.01</w:t>
      </w:r>
      <w:r w:rsidRPr="00F00002">
        <w:t xml:space="preserve">  Transfer balance credit—determining special value of a superannuation interest</w:t>
      </w:r>
      <w:bookmarkEnd w:id="96"/>
    </w:p>
    <w:p w:rsidR="00947D92" w:rsidRPr="00F00002" w:rsidRDefault="00947D92" w:rsidP="00947D92">
      <w:pPr>
        <w:pStyle w:val="subsection"/>
      </w:pPr>
      <w:r w:rsidRPr="00F00002">
        <w:tab/>
      </w:r>
      <w:r w:rsidR="000764F3" w:rsidRPr="00F00002">
        <w:t>(1)</w:t>
      </w:r>
      <w:r w:rsidRPr="00F00002">
        <w:tab/>
        <w:t>For the purposes of subsection</w:t>
      </w:r>
      <w:r w:rsidR="00F00002">
        <w:t> </w:t>
      </w:r>
      <w:r w:rsidRPr="00F00002">
        <w:t>294</w:t>
      </w:r>
      <w:r w:rsidR="00F00002">
        <w:noBreakHyphen/>
      </w:r>
      <w:r w:rsidRPr="00F00002">
        <w:t xml:space="preserve">135(4) of the Act, the </w:t>
      </w:r>
      <w:r w:rsidRPr="00F00002">
        <w:rPr>
          <w:b/>
          <w:i/>
        </w:rPr>
        <w:t>special value</w:t>
      </w:r>
      <w:r w:rsidRPr="00F00002">
        <w:t>, at a particular time, of a superannuation interest that supports an income stream that is, or was at any time, a superannuation income stream prescribed by regulation</w:t>
      </w:r>
      <w:r w:rsidR="00F00002">
        <w:t> </w:t>
      </w:r>
      <w:r w:rsidRPr="00F00002">
        <w:t>294</w:t>
      </w:r>
      <w:r w:rsidR="00F00002">
        <w:noBreakHyphen/>
      </w:r>
      <w:r w:rsidRPr="00F00002">
        <w:t>130.01, is the amount worked out using the formula:</w:t>
      </w:r>
    </w:p>
    <w:p w:rsidR="00947D92" w:rsidRPr="00F00002" w:rsidRDefault="00947D92" w:rsidP="00947D92">
      <w:pPr>
        <w:pStyle w:val="subsection"/>
      </w:pPr>
      <w:r w:rsidRPr="00F00002">
        <w:tab/>
      </w:r>
      <w:r w:rsidRPr="00F00002">
        <w:tab/>
      </w:r>
      <w:r w:rsidR="008035BA">
        <w:rPr>
          <w:position w:val="-10"/>
        </w:rPr>
        <w:pict>
          <v:shape id="_x0000_i1026" type="#_x0000_t75" style="width:105pt;height:19.5pt">
            <v:imagedata r:id="rId25" o:title=""/>
          </v:shape>
        </w:pict>
      </w:r>
    </w:p>
    <w:p w:rsidR="00947D92" w:rsidRPr="00F00002" w:rsidRDefault="00947D92" w:rsidP="00947D92">
      <w:pPr>
        <w:pStyle w:val="subsection"/>
      </w:pPr>
      <w:r w:rsidRPr="00F00002">
        <w:tab/>
      </w:r>
      <w:r w:rsidRPr="00F00002">
        <w:tab/>
        <w:t>where:</w:t>
      </w:r>
    </w:p>
    <w:p w:rsidR="00947D92" w:rsidRPr="00F00002" w:rsidRDefault="00947D92" w:rsidP="00947D92">
      <w:pPr>
        <w:pStyle w:val="Definition"/>
      </w:pPr>
      <w:r w:rsidRPr="00F00002">
        <w:rPr>
          <w:b/>
          <w:i/>
        </w:rPr>
        <w:t>annual entitlement</w:t>
      </w:r>
      <w:r w:rsidRPr="00F00002">
        <w:t xml:space="preserve"> means the amount worked out by:</w:t>
      </w:r>
    </w:p>
    <w:p w:rsidR="00947D92" w:rsidRPr="00F00002" w:rsidRDefault="00947D92" w:rsidP="00947D92">
      <w:pPr>
        <w:pStyle w:val="paragraph"/>
      </w:pPr>
      <w:r w:rsidRPr="00F00002">
        <w:tab/>
        <w:t>(a)</w:t>
      </w:r>
      <w:r w:rsidRPr="00F00002">
        <w:tab/>
        <w:t>dividing the amount of the first superannuation income stream benefit you are entitled to receive from the income stream just after that time by the number of whole days to which that benefit relates; and</w:t>
      </w:r>
    </w:p>
    <w:p w:rsidR="00947D92" w:rsidRPr="00F00002" w:rsidRDefault="00947D92" w:rsidP="00947D92">
      <w:pPr>
        <w:pStyle w:val="paragraph"/>
      </w:pPr>
      <w:r w:rsidRPr="00F00002">
        <w:tab/>
        <w:t>(b)</w:t>
      </w:r>
      <w:r w:rsidRPr="00F00002">
        <w:tab/>
        <w:t>multiplying the result by 365.</w:t>
      </w:r>
    </w:p>
    <w:p w:rsidR="000764F3" w:rsidRPr="00F00002" w:rsidRDefault="000764F3" w:rsidP="000764F3">
      <w:pPr>
        <w:pStyle w:val="subsection"/>
      </w:pPr>
      <w:r w:rsidRPr="00F00002">
        <w:tab/>
        <w:t>(2)</w:t>
      </w:r>
      <w:r w:rsidRPr="00F00002">
        <w:tab/>
        <w:t>Subregulation (1) does not apply to a superannuation interest covered by subregulation (3).</w:t>
      </w:r>
    </w:p>
    <w:p w:rsidR="000764F3" w:rsidRPr="00F00002" w:rsidRDefault="000764F3" w:rsidP="000764F3">
      <w:pPr>
        <w:pStyle w:val="subsection"/>
      </w:pPr>
      <w:r w:rsidRPr="00F00002">
        <w:tab/>
        <w:t>(3)</w:t>
      </w:r>
      <w:r w:rsidRPr="00F00002">
        <w:tab/>
        <w:t>This subregulation covers a superannuation interest that supports an income stream that is, or was at any time, a superannuation income stream prescribed by regulation</w:t>
      </w:r>
      <w:r w:rsidR="00F00002">
        <w:t> </w:t>
      </w:r>
      <w:r w:rsidRPr="00F00002">
        <w:t>294</w:t>
      </w:r>
      <w:r w:rsidR="00F00002">
        <w:noBreakHyphen/>
      </w:r>
      <w:r w:rsidRPr="00F00002">
        <w:t>130.01 to which subregulation</w:t>
      </w:r>
      <w:r w:rsidR="00F00002">
        <w:t> </w:t>
      </w:r>
      <w:r w:rsidRPr="00F00002">
        <w:t>294</w:t>
      </w:r>
      <w:r w:rsidR="00F00002">
        <w:noBreakHyphen/>
      </w:r>
      <w:r w:rsidRPr="00F00002">
        <w:t>130.01(3B) applies.</w:t>
      </w:r>
    </w:p>
    <w:p w:rsidR="000764F3" w:rsidRPr="00F00002" w:rsidRDefault="000764F3" w:rsidP="000764F3">
      <w:pPr>
        <w:pStyle w:val="subsection"/>
      </w:pPr>
      <w:r w:rsidRPr="00F00002">
        <w:tab/>
        <w:t>(4)</w:t>
      </w:r>
      <w:r w:rsidRPr="00F00002">
        <w:tab/>
        <w:t>For the purposes of subsection</w:t>
      </w:r>
      <w:r w:rsidR="00F00002">
        <w:t> </w:t>
      </w:r>
      <w:r w:rsidRPr="00F00002">
        <w:t>294</w:t>
      </w:r>
      <w:r w:rsidR="00F00002">
        <w:noBreakHyphen/>
      </w:r>
      <w:r w:rsidRPr="00F00002">
        <w:t xml:space="preserve">135(4) of the Act, the </w:t>
      </w:r>
      <w:r w:rsidRPr="00F00002">
        <w:rPr>
          <w:b/>
          <w:i/>
        </w:rPr>
        <w:t>special value</w:t>
      </w:r>
      <w:r w:rsidRPr="00F00002">
        <w:t>, at a particular time, of a superannuation interest covered by subregulation (3) is the amount worked out in respect of that time under subsection</w:t>
      </w:r>
      <w:r w:rsidR="00F00002">
        <w:t> </w:t>
      </w:r>
      <w:r w:rsidRPr="00F00002">
        <w:t>294</w:t>
      </w:r>
      <w:r w:rsidR="00F00002">
        <w:noBreakHyphen/>
      </w:r>
      <w:r w:rsidRPr="00F00002">
        <w:t>135(3) of the Act.</w:t>
      </w:r>
    </w:p>
    <w:p w:rsidR="000764F3" w:rsidRPr="00F00002" w:rsidRDefault="000764F3" w:rsidP="000764F3">
      <w:pPr>
        <w:pStyle w:val="subsection"/>
      </w:pPr>
      <w:r w:rsidRPr="00F00002">
        <w:tab/>
        <w:t>(5)</w:t>
      </w:r>
      <w:r w:rsidRPr="00F00002">
        <w:tab/>
        <w:t>For the purposes of subregulation (4), treat the reference in subsection</w:t>
      </w:r>
      <w:r w:rsidR="00F00002">
        <w:t> </w:t>
      </w:r>
      <w:r w:rsidRPr="00F00002">
        <w:t>294</w:t>
      </w:r>
      <w:r w:rsidR="00F00002">
        <w:noBreakHyphen/>
      </w:r>
      <w:r w:rsidRPr="00F00002">
        <w:t>135(3) of the Act to a capped defined benefit income stream covered by any of items</w:t>
      </w:r>
      <w:r w:rsidR="00F00002">
        <w:t> </w:t>
      </w:r>
      <w:r w:rsidRPr="00F00002">
        <w:t>3 to 7 of the table in subsection</w:t>
      </w:r>
      <w:r w:rsidR="00F00002">
        <w:t> </w:t>
      </w:r>
      <w:r w:rsidRPr="00F00002">
        <w:t>294</w:t>
      </w:r>
      <w:r w:rsidR="00F00002">
        <w:noBreakHyphen/>
      </w:r>
      <w:r w:rsidRPr="00F00002">
        <w:t>130(1) as instead being a reference to the income stream mentioned in subregulation (3).</w:t>
      </w:r>
    </w:p>
    <w:p w:rsidR="00947D92" w:rsidRPr="00F00002" w:rsidRDefault="00947D92" w:rsidP="00947D92">
      <w:pPr>
        <w:pStyle w:val="ActHead5"/>
      </w:pPr>
      <w:bookmarkStart w:id="97" w:name="_Toc31109679"/>
      <w:r w:rsidRPr="00A26088">
        <w:rPr>
          <w:rStyle w:val="CharSectno"/>
        </w:rPr>
        <w:lastRenderedPageBreak/>
        <w:t>294</w:t>
      </w:r>
      <w:r w:rsidR="00F00002" w:rsidRPr="00A26088">
        <w:rPr>
          <w:rStyle w:val="CharSectno"/>
        </w:rPr>
        <w:noBreakHyphen/>
      </w:r>
      <w:r w:rsidRPr="00A26088">
        <w:rPr>
          <w:rStyle w:val="CharSectno"/>
        </w:rPr>
        <w:t>145.01</w:t>
      </w:r>
      <w:r w:rsidRPr="00F00002">
        <w:t xml:space="preserve">  Transfer balance debits—determining debit value of a superannuation interest</w:t>
      </w:r>
      <w:bookmarkEnd w:id="97"/>
    </w:p>
    <w:p w:rsidR="00947D92" w:rsidRPr="00F00002" w:rsidRDefault="00947D92" w:rsidP="00947D92">
      <w:pPr>
        <w:pStyle w:val="subsection"/>
      </w:pPr>
      <w:r w:rsidRPr="00F00002">
        <w:tab/>
      </w:r>
      <w:r w:rsidR="000764F3" w:rsidRPr="00F00002">
        <w:t>(1)</w:t>
      </w:r>
      <w:r w:rsidRPr="00F00002">
        <w:tab/>
        <w:t>For the purposes of subsection</w:t>
      </w:r>
      <w:r w:rsidR="00F00002">
        <w:t> </w:t>
      </w:r>
      <w:r w:rsidRPr="00F00002">
        <w:t>294</w:t>
      </w:r>
      <w:r w:rsidR="00F00002">
        <w:noBreakHyphen/>
      </w:r>
      <w:r w:rsidRPr="00F00002">
        <w:t xml:space="preserve">145(7) of the Act, the </w:t>
      </w:r>
      <w:r w:rsidRPr="00F00002">
        <w:rPr>
          <w:b/>
          <w:i/>
        </w:rPr>
        <w:t>debit value</w:t>
      </w:r>
      <w:r w:rsidRPr="00F00002">
        <w:t>, at a particular time, of a superannuation interest that supports an income stream that is, or was at any time, a superannuation income stream prescribed by regulation</w:t>
      </w:r>
      <w:r w:rsidR="00F00002">
        <w:t> </w:t>
      </w:r>
      <w:r w:rsidRPr="00F00002">
        <w:t>294</w:t>
      </w:r>
      <w:r w:rsidR="00F00002">
        <w:noBreakHyphen/>
      </w:r>
      <w:r w:rsidRPr="00F00002">
        <w:t>130.01, is:</w:t>
      </w:r>
    </w:p>
    <w:p w:rsidR="00947D92" w:rsidRPr="00F00002" w:rsidRDefault="00947D92" w:rsidP="00947D92">
      <w:pPr>
        <w:pStyle w:val="paragraph"/>
      </w:pPr>
      <w:r w:rsidRPr="00F00002">
        <w:tab/>
        <w:t>(a)</w:t>
      </w:r>
      <w:r w:rsidRPr="00F00002">
        <w:tab/>
        <w:t>the amount of the transfer balance credit that arose in your transfer balance account in respect of the income stream; less</w:t>
      </w:r>
    </w:p>
    <w:p w:rsidR="00947D92" w:rsidRPr="00F00002" w:rsidRDefault="00947D92" w:rsidP="00947D92">
      <w:pPr>
        <w:pStyle w:val="paragraph"/>
      </w:pPr>
      <w:r w:rsidRPr="00F00002">
        <w:tab/>
        <w:t>(b)</w:t>
      </w:r>
      <w:r w:rsidRPr="00F00002">
        <w:tab/>
        <w:t>the amount of any transfer balance debits (apart from debits arising under item</w:t>
      </w:r>
      <w:r w:rsidR="00F00002">
        <w:t> </w:t>
      </w:r>
      <w:r w:rsidRPr="00F00002">
        <w:t>4 of the table in subsection</w:t>
      </w:r>
      <w:r w:rsidR="00F00002">
        <w:t> </w:t>
      </w:r>
      <w:r w:rsidRPr="00F00002">
        <w:t>294</w:t>
      </w:r>
      <w:r w:rsidR="00F00002">
        <w:noBreakHyphen/>
      </w:r>
      <w:r w:rsidRPr="00F00002">
        <w:t>80(1) of the Act) that have arisen in your transfer balance account in respect of the income stream before that time.</w:t>
      </w:r>
    </w:p>
    <w:p w:rsidR="000764F3" w:rsidRPr="00F00002" w:rsidRDefault="000764F3" w:rsidP="000764F3">
      <w:pPr>
        <w:pStyle w:val="subsection"/>
      </w:pPr>
      <w:r w:rsidRPr="00F00002">
        <w:tab/>
        <w:t>(2)</w:t>
      </w:r>
      <w:r w:rsidRPr="00F00002">
        <w:tab/>
        <w:t>Subregulation (1) does not apply to a superannuation interest covered by subregulation (3).</w:t>
      </w:r>
    </w:p>
    <w:p w:rsidR="000764F3" w:rsidRPr="00F00002" w:rsidRDefault="000764F3" w:rsidP="000764F3">
      <w:pPr>
        <w:pStyle w:val="subsection"/>
      </w:pPr>
      <w:r w:rsidRPr="00F00002">
        <w:tab/>
        <w:t>(3)</w:t>
      </w:r>
      <w:r w:rsidRPr="00F00002">
        <w:tab/>
        <w:t>This subregulation covers a superannuation interest that supports an income stream that is, or was at any time, a superannuation income stream prescribed by regulation</w:t>
      </w:r>
      <w:r w:rsidR="00F00002">
        <w:t> </w:t>
      </w:r>
      <w:r w:rsidRPr="00F00002">
        <w:t>294</w:t>
      </w:r>
      <w:r w:rsidR="00F00002">
        <w:noBreakHyphen/>
      </w:r>
      <w:r w:rsidRPr="00F00002">
        <w:t>130.01 to which subregulation</w:t>
      </w:r>
      <w:r w:rsidR="00F00002">
        <w:t> </w:t>
      </w:r>
      <w:r w:rsidRPr="00F00002">
        <w:t>294</w:t>
      </w:r>
      <w:r w:rsidR="00F00002">
        <w:noBreakHyphen/>
      </w:r>
      <w:r w:rsidRPr="00F00002">
        <w:t>130.01(3B) applies.</w:t>
      </w:r>
    </w:p>
    <w:p w:rsidR="000764F3" w:rsidRPr="00F00002" w:rsidRDefault="000764F3" w:rsidP="000764F3">
      <w:pPr>
        <w:pStyle w:val="subsection"/>
      </w:pPr>
      <w:r w:rsidRPr="00F00002">
        <w:tab/>
        <w:t>(4)</w:t>
      </w:r>
      <w:r w:rsidRPr="00F00002">
        <w:tab/>
        <w:t>For the purposes of subsection</w:t>
      </w:r>
      <w:r w:rsidR="00F00002">
        <w:t> </w:t>
      </w:r>
      <w:r w:rsidRPr="00F00002">
        <w:t>294</w:t>
      </w:r>
      <w:r w:rsidR="00F00002">
        <w:noBreakHyphen/>
      </w:r>
      <w:r w:rsidRPr="00F00002">
        <w:t xml:space="preserve">145(7) of the Act, the </w:t>
      </w:r>
      <w:r w:rsidRPr="00F00002">
        <w:rPr>
          <w:b/>
          <w:i/>
        </w:rPr>
        <w:t>debit value</w:t>
      </w:r>
      <w:r w:rsidRPr="00F00002">
        <w:t>, at a particular time, of a superannuation interest covered by subregulation (3) is the amount worked out in respect of that time under subsection</w:t>
      </w:r>
      <w:r w:rsidR="00F00002">
        <w:t> </w:t>
      </w:r>
      <w:r w:rsidRPr="00F00002">
        <w:t>294</w:t>
      </w:r>
      <w:r w:rsidR="00F00002">
        <w:noBreakHyphen/>
      </w:r>
      <w:r w:rsidRPr="00F00002">
        <w:t>145(6) of the Act.</w:t>
      </w:r>
    </w:p>
    <w:p w:rsidR="000764F3" w:rsidRPr="00F00002" w:rsidRDefault="000764F3" w:rsidP="000764F3">
      <w:pPr>
        <w:pStyle w:val="subsection"/>
      </w:pPr>
      <w:r w:rsidRPr="00F00002">
        <w:tab/>
        <w:t>(5)</w:t>
      </w:r>
      <w:r w:rsidRPr="00F00002">
        <w:tab/>
        <w:t>For the purposes of subregulation (4), treat the reference in subsection</w:t>
      </w:r>
      <w:r w:rsidR="00F00002">
        <w:t> </w:t>
      </w:r>
      <w:r w:rsidRPr="00F00002">
        <w:t>294</w:t>
      </w:r>
      <w:r w:rsidR="00F00002">
        <w:noBreakHyphen/>
      </w:r>
      <w:r w:rsidRPr="00F00002">
        <w:t>145(6) of the Act to a capped defined benefit income stream covered by any of items</w:t>
      </w:r>
      <w:r w:rsidR="00F00002">
        <w:t> </w:t>
      </w:r>
      <w:r w:rsidRPr="00F00002">
        <w:t>3 to 7 of the table in subsection</w:t>
      </w:r>
      <w:r w:rsidR="00F00002">
        <w:t> </w:t>
      </w:r>
      <w:r w:rsidRPr="00F00002">
        <w:t>294</w:t>
      </w:r>
      <w:r w:rsidR="00F00002">
        <w:noBreakHyphen/>
      </w:r>
      <w:r w:rsidRPr="00F00002">
        <w:t>130(1) as instead being a reference to the income stream mentioned in subregulation (3).</w:t>
      </w:r>
    </w:p>
    <w:p w:rsidR="00BB4501" w:rsidRPr="00F00002" w:rsidRDefault="00D150ED" w:rsidP="00B83BCB">
      <w:pPr>
        <w:pStyle w:val="ActHead3"/>
        <w:pageBreakBefore/>
        <w:rPr>
          <w:color w:val="000000"/>
        </w:rPr>
      </w:pPr>
      <w:bookmarkStart w:id="98" w:name="_Toc31109680"/>
      <w:r w:rsidRPr="00A26088">
        <w:rPr>
          <w:rStyle w:val="CharDivNo"/>
        </w:rPr>
        <w:lastRenderedPageBreak/>
        <w:t>Division</w:t>
      </w:r>
      <w:r w:rsidR="00F00002" w:rsidRPr="00A26088">
        <w:rPr>
          <w:rStyle w:val="CharDivNo"/>
        </w:rPr>
        <w:t> </w:t>
      </w:r>
      <w:r w:rsidR="00BB4501" w:rsidRPr="00A26088">
        <w:rPr>
          <w:rStyle w:val="CharDivNo"/>
        </w:rPr>
        <w:t>295</w:t>
      </w:r>
      <w:r w:rsidRPr="00F00002">
        <w:rPr>
          <w:color w:val="000000"/>
        </w:rPr>
        <w:t>—</w:t>
      </w:r>
      <w:r w:rsidR="00BB4501" w:rsidRPr="00A26088">
        <w:rPr>
          <w:rStyle w:val="CharDivText"/>
        </w:rPr>
        <w:t>Taxation of superannuation entities</w:t>
      </w:r>
      <w:bookmarkEnd w:id="98"/>
    </w:p>
    <w:p w:rsidR="00BB4501" w:rsidRPr="00F00002" w:rsidRDefault="00D150ED" w:rsidP="00D150ED">
      <w:pPr>
        <w:pStyle w:val="ActHead4"/>
      </w:pPr>
      <w:bookmarkStart w:id="99" w:name="_Toc31109681"/>
      <w:r w:rsidRPr="00A26088">
        <w:rPr>
          <w:rStyle w:val="CharSubdNo"/>
        </w:rPr>
        <w:t>Subdivision</w:t>
      </w:r>
      <w:r w:rsidR="00F00002" w:rsidRPr="00A26088">
        <w:rPr>
          <w:rStyle w:val="CharSubdNo"/>
        </w:rPr>
        <w:t> </w:t>
      </w:r>
      <w:r w:rsidR="00BB4501" w:rsidRPr="00A26088">
        <w:rPr>
          <w:rStyle w:val="CharSubdNo"/>
        </w:rPr>
        <w:t>295</w:t>
      </w:r>
      <w:r w:rsidR="00F00002" w:rsidRPr="00A26088">
        <w:rPr>
          <w:rStyle w:val="CharSubdNo"/>
        </w:rPr>
        <w:noBreakHyphen/>
      </w:r>
      <w:r w:rsidR="00BB4501" w:rsidRPr="00A26088">
        <w:rPr>
          <w:rStyle w:val="CharSubdNo"/>
        </w:rPr>
        <w:t>D</w:t>
      </w:r>
      <w:r w:rsidRPr="00F00002">
        <w:t>—</w:t>
      </w:r>
      <w:r w:rsidR="00BB4501" w:rsidRPr="00A26088">
        <w:rPr>
          <w:rStyle w:val="CharSubdText"/>
        </w:rPr>
        <w:t>Contributions excluded</w:t>
      </w:r>
      <w:bookmarkEnd w:id="99"/>
    </w:p>
    <w:p w:rsidR="00BB4501" w:rsidRPr="00F00002" w:rsidRDefault="00BB4501" w:rsidP="00D150ED">
      <w:pPr>
        <w:pStyle w:val="ActHead5"/>
        <w:rPr>
          <w:rFonts w:eastAsia="MS Mincho"/>
        </w:rPr>
      </w:pPr>
      <w:bookmarkStart w:id="100" w:name="_Toc31109682"/>
      <w:r w:rsidRPr="00A26088">
        <w:rPr>
          <w:rStyle w:val="CharSectno"/>
          <w:rFonts w:eastAsia="MS Mincho"/>
        </w:rPr>
        <w:t>295</w:t>
      </w:r>
      <w:r w:rsidR="00F00002" w:rsidRPr="00A26088">
        <w:rPr>
          <w:rStyle w:val="CharSectno"/>
          <w:rFonts w:eastAsia="MS Mincho"/>
        </w:rPr>
        <w:noBreakHyphen/>
      </w:r>
      <w:r w:rsidRPr="00A26088">
        <w:rPr>
          <w:rStyle w:val="CharSectno"/>
          <w:rFonts w:eastAsia="MS Mincho"/>
        </w:rPr>
        <w:t>265.01</w:t>
      </w:r>
      <w:r w:rsidR="00D150ED" w:rsidRPr="00F00002">
        <w:rPr>
          <w:rFonts w:eastAsia="MS Mincho"/>
        </w:rPr>
        <w:t xml:space="preserve">  </w:t>
      </w:r>
      <w:r w:rsidRPr="00F00002">
        <w:rPr>
          <w:rFonts w:eastAsia="MS Mincho"/>
        </w:rPr>
        <w:t>Application of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funding credits</w:t>
      </w:r>
      <w:r w:rsidR="00D150ED" w:rsidRPr="00F00002">
        <w:rPr>
          <w:rFonts w:eastAsia="MS Mincho"/>
        </w:rPr>
        <w:t>—</w:t>
      </w:r>
      <w:r w:rsidRPr="00F00002">
        <w:rPr>
          <w:rFonts w:eastAsia="MS Mincho"/>
        </w:rPr>
        <w:t>limit on choice</w:t>
      </w:r>
      <w:bookmarkEnd w:id="100"/>
    </w:p>
    <w:p w:rsidR="00BB4501" w:rsidRPr="00F00002" w:rsidRDefault="00BB4501" w:rsidP="00D150ED">
      <w:pPr>
        <w:pStyle w:val="subsection"/>
        <w:rPr>
          <w:rFonts w:eastAsia="MS Mincho"/>
        </w:rPr>
      </w:pPr>
      <w:r w:rsidRPr="00F00002">
        <w:rPr>
          <w:rFonts w:eastAsia="MS Mincho"/>
          <w:color w:val="000000"/>
        </w:rPr>
        <w:tab/>
        <w:t>(1)</w:t>
      </w:r>
      <w:r w:rsidRPr="00F00002">
        <w:rPr>
          <w:rFonts w:eastAsia="MS Mincho"/>
          <w:color w:val="000000"/>
        </w:rPr>
        <w:tab/>
        <w:t>For paragraph</w:t>
      </w:r>
      <w:r w:rsidR="00F00002">
        <w:rPr>
          <w:rFonts w:eastAsia="MS Mincho"/>
          <w:color w:val="000000"/>
        </w:rPr>
        <w:t> </w:t>
      </w:r>
      <w:r w:rsidRPr="00F00002">
        <w:rPr>
          <w:rFonts w:eastAsia="MS Mincho"/>
        </w:rPr>
        <w:t>295</w:t>
      </w:r>
      <w:r w:rsidR="00F00002">
        <w:rPr>
          <w:rFonts w:eastAsia="MS Mincho"/>
        </w:rPr>
        <w:noBreakHyphen/>
      </w:r>
      <w:r w:rsidRPr="00F00002">
        <w:rPr>
          <w:rFonts w:eastAsia="MS Mincho"/>
        </w:rPr>
        <w:t>265</w:t>
      </w:r>
      <w:r w:rsidRPr="00F00002">
        <w:rPr>
          <w:rFonts w:eastAsia="MS Mincho"/>
          <w:color w:val="000000"/>
        </w:rPr>
        <w:t>(7</w:t>
      </w:r>
      <w:r w:rsidR="00D150ED" w:rsidRPr="00F00002">
        <w:rPr>
          <w:rFonts w:eastAsia="MS Mincho"/>
          <w:color w:val="000000"/>
        </w:rPr>
        <w:t>)(</w:t>
      </w:r>
      <w:r w:rsidRPr="00F00002">
        <w:rPr>
          <w:rFonts w:eastAsia="MS Mincho"/>
          <w:color w:val="000000"/>
        </w:rPr>
        <w:t xml:space="preserve">a) of the Act, this regulation prescribes the manner in which a </w:t>
      </w:r>
      <w:r w:rsidRPr="00F00002">
        <w:rPr>
          <w:color w:val="000000"/>
        </w:rPr>
        <w:t>superannuation provider in relation to a superannuation fund</w:t>
      </w:r>
      <w:r w:rsidRPr="00F00002">
        <w:rPr>
          <w:rFonts w:eastAsia="MS Mincho"/>
          <w:color w:val="000000"/>
        </w:rPr>
        <w:t xml:space="preserve"> is to work out the amount applicable to the fund, under subsection</w:t>
      </w:r>
      <w:r w:rsidR="00F00002">
        <w:rPr>
          <w:rFonts w:eastAsia="MS Mincho"/>
          <w:color w:val="000000"/>
        </w:rPr>
        <w:t> </w:t>
      </w:r>
      <w:r w:rsidRPr="00F00002">
        <w:rPr>
          <w:rFonts w:eastAsia="MS Mincho"/>
          <w:color w:val="000000"/>
        </w:rPr>
        <w:t>295</w:t>
      </w:r>
      <w:r w:rsidR="00F00002">
        <w:rPr>
          <w:rFonts w:eastAsia="MS Mincho"/>
          <w:color w:val="000000"/>
        </w:rPr>
        <w:noBreakHyphen/>
      </w:r>
      <w:r w:rsidRPr="00F00002">
        <w:rPr>
          <w:rFonts w:eastAsia="MS Mincho"/>
          <w:color w:val="000000"/>
        </w:rPr>
        <w:t xml:space="preserve">265(6) of the Act, for an income year </w:t>
      </w:r>
      <w:r w:rsidRPr="00F00002">
        <w:rPr>
          <w:color w:val="000000"/>
        </w:rPr>
        <w:t>where the superannuation provider chooses, after 9</w:t>
      </w:r>
      <w:r w:rsidR="00F00002">
        <w:rPr>
          <w:color w:val="000000"/>
        </w:rPr>
        <w:t> </w:t>
      </w:r>
      <w:r w:rsidRPr="00F00002">
        <w:rPr>
          <w:color w:val="000000"/>
        </w:rPr>
        <w:t>May 2006, to specify an amount for the purposes of subsection</w:t>
      </w:r>
      <w:r w:rsidR="00F00002">
        <w:rPr>
          <w:color w:val="000000"/>
        </w:rPr>
        <w:t> </w:t>
      </w:r>
      <w:r w:rsidRPr="00F00002">
        <w:rPr>
          <w:color w:val="000000"/>
        </w:rPr>
        <w:t>295</w:t>
      </w:r>
      <w:r w:rsidR="00F00002">
        <w:rPr>
          <w:color w:val="000000"/>
        </w:rPr>
        <w:noBreakHyphen/>
      </w:r>
      <w:r w:rsidRPr="00F00002">
        <w:rPr>
          <w:color w:val="000000"/>
        </w:rPr>
        <w:t>265(1) of the Act</w:t>
      </w:r>
      <w:r w:rsidRPr="00F00002">
        <w:rPr>
          <w:rFonts w:eastAsia="MS Mincho"/>
          <w:color w:val="000000"/>
        </w:rPr>
        <w:t>.</w:t>
      </w:r>
    </w:p>
    <w:p w:rsidR="00BB4501" w:rsidRPr="00F00002" w:rsidRDefault="00BB4501" w:rsidP="00D150ED">
      <w:pPr>
        <w:pStyle w:val="SubsectionHead"/>
        <w:rPr>
          <w:rFonts w:eastAsia="MS Mincho"/>
        </w:rPr>
      </w:pPr>
      <w:r w:rsidRPr="00F00002">
        <w:rPr>
          <w:rFonts w:eastAsia="MS Mincho"/>
        </w:rPr>
        <w:t>Method 1</w:t>
      </w:r>
      <w:r w:rsidR="00D150ED" w:rsidRPr="00F00002">
        <w:rPr>
          <w:rFonts w:eastAsia="MS Mincho"/>
        </w:rPr>
        <w:t>—</w:t>
      </w:r>
      <w:r w:rsidRPr="00F00002">
        <w:rPr>
          <w:rFonts w:eastAsia="MS Mincho"/>
        </w:rPr>
        <w:t>Funding credit valuation process</w:t>
      </w:r>
    </w:p>
    <w:p w:rsidR="00BB4501" w:rsidRPr="00F00002" w:rsidRDefault="00BB4501" w:rsidP="00D150ED">
      <w:pPr>
        <w:pStyle w:val="subsection"/>
        <w:rPr>
          <w:rFonts w:eastAsia="MS Mincho"/>
        </w:rPr>
      </w:pPr>
      <w:r w:rsidRPr="00F00002">
        <w:rPr>
          <w:rFonts w:eastAsia="MS Mincho"/>
        </w:rPr>
        <w:tab/>
        <w:t>(2)</w:t>
      </w:r>
      <w:r w:rsidRPr="00F00002">
        <w:rPr>
          <w:rFonts w:eastAsia="MS Mincho"/>
        </w:rPr>
        <w:tab/>
        <w:t>Method 1 must be used for an income year, unless:</w:t>
      </w:r>
    </w:p>
    <w:p w:rsidR="00BB4501" w:rsidRPr="00F00002" w:rsidRDefault="00BB4501" w:rsidP="00D150ED">
      <w:pPr>
        <w:pStyle w:val="paragraph"/>
        <w:rPr>
          <w:rFonts w:eastAsia="MS Mincho"/>
        </w:rPr>
      </w:pPr>
      <w:r w:rsidRPr="00F00002">
        <w:rPr>
          <w:rFonts w:eastAsia="MS Mincho"/>
          <w:color w:val="000000"/>
        </w:rPr>
        <w:tab/>
        <w:t>(a)</w:t>
      </w:r>
      <w:r w:rsidRPr="00F00002">
        <w:rPr>
          <w:rFonts w:eastAsia="MS Mincho"/>
          <w:color w:val="000000"/>
        </w:rPr>
        <w:tab/>
        <w:t>the conditions mentioned in subregulation</w:t>
      </w:r>
      <w:r w:rsidR="00135C25" w:rsidRPr="00F00002">
        <w:rPr>
          <w:rFonts w:eastAsia="MS Mincho"/>
          <w:color w:val="000000"/>
        </w:rPr>
        <w:t> </w:t>
      </w:r>
      <w:r w:rsidRPr="00F00002">
        <w:rPr>
          <w:rFonts w:eastAsia="MS Mincho"/>
          <w:color w:val="000000"/>
        </w:rPr>
        <w:t>(7) for the use of method 2 are met; and</w:t>
      </w:r>
    </w:p>
    <w:p w:rsidR="00BB4501" w:rsidRPr="00F00002" w:rsidRDefault="00BB4501" w:rsidP="00D150ED">
      <w:pPr>
        <w:pStyle w:val="paragraph"/>
        <w:rPr>
          <w:rFonts w:eastAsia="MS Mincho"/>
        </w:rPr>
      </w:pPr>
      <w:r w:rsidRPr="00F00002">
        <w:rPr>
          <w:rFonts w:eastAsia="MS Mincho"/>
        </w:rPr>
        <w:tab/>
        <w:t>(b)</w:t>
      </w:r>
      <w:r w:rsidRPr="00F00002">
        <w:rPr>
          <w:rFonts w:eastAsia="MS Mincho"/>
        </w:rPr>
        <w:tab/>
        <w:t>the actuary decides that the use of method 2 is appropriate.</w:t>
      </w:r>
    </w:p>
    <w:p w:rsidR="00BB4501" w:rsidRPr="00F00002" w:rsidRDefault="00BB4501" w:rsidP="00D150ED">
      <w:pPr>
        <w:pStyle w:val="subsection"/>
        <w:rPr>
          <w:rFonts w:eastAsia="MS Mincho"/>
        </w:rPr>
      </w:pPr>
      <w:r w:rsidRPr="00F00002">
        <w:rPr>
          <w:rFonts w:eastAsia="MS Mincho"/>
        </w:rPr>
        <w:tab/>
        <w:t>(3)</w:t>
      </w:r>
      <w:r w:rsidRPr="00F00002">
        <w:rPr>
          <w:rFonts w:eastAsia="MS Mincho"/>
        </w:rPr>
        <w:tab/>
        <w:t>The amount applicable to the fund for an income year is the least of the following amounts:</w:t>
      </w:r>
    </w:p>
    <w:p w:rsidR="00BB4501" w:rsidRPr="00F00002" w:rsidRDefault="00BB4501" w:rsidP="00D150ED">
      <w:pPr>
        <w:pStyle w:val="paragraph"/>
        <w:rPr>
          <w:rFonts w:eastAsia="MS Mincho"/>
        </w:rPr>
      </w:pPr>
      <w:r w:rsidRPr="00F00002">
        <w:rPr>
          <w:rFonts w:eastAsia="MS Mincho"/>
          <w:color w:val="000000"/>
        </w:rPr>
        <w:tab/>
        <w:t>(a)</w:t>
      </w:r>
      <w:r w:rsidRPr="00F00002">
        <w:rPr>
          <w:rFonts w:eastAsia="MS Mincho"/>
          <w:color w:val="000000"/>
        </w:rPr>
        <w:tab/>
      </w:r>
      <w:r w:rsidRPr="00F00002">
        <w:rPr>
          <w:color w:val="000000"/>
        </w:rPr>
        <w:t>the amount of pre</w:t>
      </w:r>
      <w:r w:rsidR="00F00002">
        <w:rPr>
          <w:rFonts w:eastAsia="MS Mincho"/>
          <w:color w:val="000000"/>
        </w:rPr>
        <w:noBreakHyphen/>
      </w:r>
      <w:r w:rsidRPr="00F00002">
        <w:rPr>
          <w:color w:val="000000"/>
        </w:rPr>
        <w:t>1</w:t>
      </w:r>
      <w:r w:rsidR="00F00002">
        <w:rPr>
          <w:color w:val="000000"/>
        </w:rPr>
        <w:t> </w:t>
      </w:r>
      <w:r w:rsidRPr="00F00002">
        <w:rPr>
          <w:color w:val="000000"/>
        </w:rPr>
        <w:t>July 1988 funding credits unused at the end of the previous income year</w:t>
      </w:r>
      <w:r w:rsidRPr="00F00002">
        <w:rPr>
          <w:rFonts w:eastAsia="MS Mincho"/>
          <w:color w:val="000000"/>
        </w:rPr>
        <w:t>;</w:t>
      </w:r>
    </w:p>
    <w:p w:rsidR="00BB4501" w:rsidRPr="00F00002" w:rsidRDefault="00BB4501" w:rsidP="00D150ED">
      <w:pPr>
        <w:pStyle w:val="paragraph"/>
        <w:rPr>
          <w:rFonts w:eastAsia="MS Mincho"/>
        </w:rPr>
      </w:pPr>
      <w:r w:rsidRPr="00F00002">
        <w:rPr>
          <w:rFonts w:eastAsia="MS Mincho"/>
        </w:rPr>
        <w:tab/>
        <w:t>(b)</w:t>
      </w:r>
      <w:r w:rsidRPr="00F00002">
        <w:rPr>
          <w:rFonts w:eastAsia="MS Mincho"/>
        </w:rPr>
        <w:tab/>
        <w:t>the value of unfunded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 at the first day of the income year, determined by an actuary in accordance with step 3 of method 1 or method 2;</w:t>
      </w:r>
    </w:p>
    <w:p w:rsidR="00BB4501" w:rsidRPr="00F00002" w:rsidRDefault="00BB4501" w:rsidP="00E569F3">
      <w:pPr>
        <w:pStyle w:val="paragraph"/>
        <w:ind w:right="-150"/>
        <w:rPr>
          <w:rFonts w:eastAsia="MS Mincho"/>
        </w:rPr>
      </w:pPr>
      <w:r w:rsidRPr="00F00002">
        <w:rPr>
          <w:rFonts w:eastAsia="MS Mincho"/>
        </w:rPr>
        <w:tab/>
        <w:t>(c)</w:t>
      </w:r>
      <w:r w:rsidRPr="00F00002">
        <w:rPr>
          <w:rFonts w:eastAsia="MS Mincho"/>
        </w:rPr>
        <w:tab/>
        <w:t>the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taxable contributions for the income year, worked out in accordance with step 4 of method</w:t>
      </w:r>
      <w:r w:rsidR="00672E95" w:rsidRPr="00F00002">
        <w:rPr>
          <w:rFonts w:eastAsia="MS Mincho"/>
        </w:rPr>
        <w:t xml:space="preserve"> </w:t>
      </w:r>
      <w:r w:rsidRPr="00F00002">
        <w:rPr>
          <w:rFonts w:eastAsia="MS Mincho"/>
        </w:rPr>
        <w:t>1 or method 2;</w:t>
      </w:r>
    </w:p>
    <w:p w:rsidR="00BB4501" w:rsidRPr="00F00002" w:rsidRDefault="00BB4501" w:rsidP="00D150ED">
      <w:pPr>
        <w:pStyle w:val="paragraph"/>
        <w:rPr>
          <w:rFonts w:eastAsia="MS Mincho"/>
        </w:rPr>
      </w:pPr>
      <w:r w:rsidRPr="00F00002">
        <w:rPr>
          <w:rFonts w:eastAsia="MS Mincho"/>
        </w:rPr>
        <w:tab/>
        <w:t>(d)</w:t>
      </w:r>
      <w:r w:rsidRPr="00F00002">
        <w:rPr>
          <w:rFonts w:eastAsia="MS Mincho"/>
        </w:rPr>
        <w:tab/>
        <w:t>for an income year that ended before 9</w:t>
      </w:r>
      <w:r w:rsidR="00F00002">
        <w:rPr>
          <w:rFonts w:eastAsia="MS Mincho"/>
        </w:rPr>
        <w:t> </w:t>
      </w:r>
      <w:r w:rsidRPr="00F00002">
        <w:rPr>
          <w:rFonts w:eastAsia="MS Mincho"/>
        </w:rPr>
        <w:t>May 2006</w:t>
      </w:r>
      <w:r w:rsidR="00D150ED" w:rsidRPr="00F00002">
        <w:rPr>
          <w:rFonts w:eastAsia="MS Mincho"/>
        </w:rPr>
        <w:t>—</w:t>
      </w:r>
      <w:r w:rsidRPr="00F00002">
        <w:rPr>
          <w:rFonts w:eastAsia="MS Mincho"/>
        </w:rPr>
        <w:t xml:space="preserve">the amount that the </w:t>
      </w:r>
      <w:r w:rsidRPr="00F00002">
        <w:t>superannuation provider</w:t>
      </w:r>
      <w:r w:rsidRPr="00F00002">
        <w:rPr>
          <w:rFonts w:eastAsia="MS Mincho"/>
        </w:rPr>
        <w:t xml:space="preserve"> could specify</w:t>
      </w:r>
      <w:r w:rsidRPr="00F00002">
        <w:t xml:space="preserve"> </w:t>
      </w:r>
      <w:r w:rsidRPr="00F00002">
        <w:rPr>
          <w:rFonts w:eastAsia="MS Mincho"/>
        </w:rPr>
        <w:t>under subsection</w:t>
      </w:r>
      <w:r w:rsidR="00F00002">
        <w:rPr>
          <w:rFonts w:eastAsia="MS Mincho"/>
        </w:rPr>
        <w:t> </w:t>
      </w:r>
      <w:r w:rsidRPr="00F00002">
        <w:rPr>
          <w:rFonts w:eastAsia="MS Mincho"/>
        </w:rPr>
        <w:t>295</w:t>
      </w:r>
      <w:r w:rsidR="00F00002">
        <w:rPr>
          <w:rFonts w:eastAsia="MS Mincho"/>
        </w:rPr>
        <w:noBreakHyphen/>
      </w:r>
      <w:r w:rsidRPr="00F00002">
        <w:rPr>
          <w:rFonts w:eastAsia="MS Mincho"/>
        </w:rPr>
        <w:t>265(1) of the Act under the legislation that applied to the income year.</w:t>
      </w:r>
    </w:p>
    <w:p w:rsidR="00BB4501" w:rsidRPr="00F00002" w:rsidRDefault="00BB4501" w:rsidP="00D150ED">
      <w:pPr>
        <w:pStyle w:val="subsection"/>
        <w:rPr>
          <w:rFonts w:eastAsia="MS Mincho"/>
        </w:rPr>
      </w:pPr>
      <w:r w:rsidRPr="00F00002">
        <w:tab/>
        <w:t>(4)</w:t>
      </w:r>
      <w:r w:rsidRPr="00F00002">
        <w:tab/>
        <w:t>The amount identified in accordance with subregulation</w:t>
      </w:r>
      <w:r w:rsidR="00135C25" w:rsidRPr="00F00002">
        <w:t> </w:t>
      </w:r>
      <w:r w:rsidRPr="00F00002">
        <w:t>(3) must then be adjusted for all transfers of funding credits and relevant liabilities into or out of the fund.</w:t>
      </w:r>
    </w:p>
    <w:p w:rsidR="00BB4501" w:rsidRPr="00F00002" w:rsidRDefault="00BB4501" w:rsidP="00D150ED">
      <w:pPr>
        <w:pStyle w:val="subsection"/>
        <w:rPr>
          <w:rFonts w:eastAsia="MS Mincho"/>
          <w:color w:val="000000"/>
        </w:rPr>
      </w:pPr>
      <w:r w:rsidRPr="00F00002">
        <w:rPr>
          <w:rFonts w:eastAsia="MS Mincho"/>
          <w:color w:val="000000"/>
        </w:rPr>
        <w:tab/>
        <w:t>(5)</w:t>
      </w:r>
      <w:r w:rsidRPr="00F00002">
        <w:rPr>
          <w:rFonts w:eastAsia="MS Mincho"/>
          <w:color w:val="000000"/>
        </w:rPr>
        <w:tab/>
        <w:t>The procedure in method</w:t>
      </w:r>
      <w:r w:rsidR="00672E95" w:rsidRPr="00F00002">
        <w:rPr>
          <w:rFonts w:eastAsia="MS Mincho"/>
          <w:color w:val="000000"/>
        </w:rPr>
        <w:t xml:space="preserve"> </w:t>
      </w:r>
      <w:r w:rsidRPr="00F00002">
        <w:rPr>
          <w:rFonts w:eastAsia="MS Mincho"/>
          <w:color w:val="000000"/>
        </w:rPr>
        <w:t xml:space="preserve">1 for determining an amount applicable to a fund is referred to in this regulation as a </w:t>
      </w:r>
      <w:r w:rsidRPr="00F00002">
        <w:rPr>
          <w:rFonts w:eastAsia="MS Mincho"/>
          <w:b/>
          <w:i/>
          <w:color w:val="000000"/>
        </w:rPr>
        <w:t>funding credit valuation process</w:t>
      </w:r>
      <w:r w:rsidRPr="00F00002">
        <w:rPr>
          <w:rFonts w:eastAsia="MS Mincho"/>
          <w:color w:val="000000"/>
        </w:rPr>
        <w:t>.</w:t>
      </w:r>
    </w:p>
    <w:p w:rsidR="00BB4501" w:rsidRPr="00F00002" w:rsidRDefault="00BB4501" w:rsidP="00D150ED">
      <w:pPr>
        <w:pStyle w:val="subsection"/>
        <w:rPr>
          <w:rFonts w:eastAsia="MS Mincho"/>
          <w:color w:val="000000"/>
        </w:rPr>
      </w:pPr>
      <w:r w:rsidRPr="00F00002">
        <w:rPr>
          <w:rFonts w:eastAsia="MS Mincho"/>
          <w:color w:val="000000"/>
        </w:rPr>
        <w:tab/>
        <w:t>(6)</w:t>
      </w:r>
      <w:r w:rsidRPr="00F00002">
        <w:rPr>
          <w:rFonts w:eastAsia="MS Mincho"/>
          <w:color w:val="000000"/>
        </w:rPr>
        <w:tab/>
        <w:t xml:space="preserve">The amounts mentioned in </w:t>
      </w:r>
      <w:r w:rsidR="00F00002">
        <w:rPr>
          <w:rFonts w:eastAsia="MS Mincho"/>
          <w:color w:val="000000"/>
        </w:rPr>
        <w:t>paragraphs (</w:t>
      </w:r>
      <w:r w:rsidRPr="00F00002">
        <w:rPr>
          <w:rFonts w:eastAsia="MS Mincho"/>
          <w:color w:val="000000"/>
        </w:rPr>
        <w:t>3</w:t>
      </w:r>
      <w:r w:rsidR="00D150ED" w:rsidRPr="00F00002">
        <w:rPr>
          <w:rFonts w:eastAsia="MS Mincho"/>
          <w:color w:val="000000"/>
        </w:rPr>
        <w:t>)(</w:t>
      </w:r>
      <w:r w:rsidRPr="00F00002">
        <w:rPr>
          <w:rFonts w:eastAsia="MS Mincho"/>
          <w:color w:val="000000"/>
        </w:rPr>
        <w:t>a), (b), (c) and (d), and the amount as adjusted under subregulation</w:t>
      </w:r>
      <w:r w:rsidR="00135C25" w:rsidRPr="00F00002">
        <w:rPr>
          <w:rFonts w:eastAsia="MS Mincho"/>
          <w:color w:val="000000"/>
        </w:rPr>
        <w:t> </w:t>
      </w:r>
      <w:r w:rsidRPr="00F00002">
        <w:rPr>
          <w:rFonts w:eastAsia="MS Mincho"/>
          <w:color w:val="000000"/>
        </w:rPr>
        <w:t>(4), must be certified by an actuary.</w:t>
      </w:r>
    </w:p>
    <w:p w:rsidR="00BB4501" w:rsidRPr="00F00002" w:rsidRDefault="00BB4501" w:rsidP="00E569F3">
      <w:pPr>
        <w:pStyle w:val="SubsectionHead"/>
        <w:keepNext w:val="0"/>
        <w:spacing w:before="180"/>
        <w:rPr>
          <w:rFonts w:eastAsia="MS Mincho"/>
        </w:rPr>
      </w:pPr>
      <w:r w:rsidRPr="00F00002">
        <w:rPr>
          <w:rFonts w:eastAsia="MS Mincho"/>
        </w:rPr>
        <w:t>Method 2</w:t>
      </w:r>
      <w:r w:rsidR="00D150ED" w:rsidRPr="00F00002">
        <w:rPr>
          <w:rFonts w:eastAsia="MS Mincho"/>
        </w:rPr>
        <w:t>—</w:t>
      </w:r>
      <w:r w:rsidRPr="00F00002">
        <w:rPr>
          <w:rFonts w:eastAsia="MS Mincho"/>
        </w:rPr>
        <w:t>Notionally updated funding credit valuation process</w:t>
      </w:r>
    </w:p>
    <w:p w:rsidR="00BB4501" w:rsidRPr="00F00002" w:rsidRDefault="00BB4501" w:rsidP="00D150ED">
      <w:pPr>
        <w:pStyle w:val="subsection"/>
        <w:rPr>
          <w:rFonts w:eastAsia="MS Mincho"/>
        </w:rPr>
      </w:pPr>
      <w:r w:rsidRPr="00F00002">
        <w:rPr>
          <w:rFonts w:eastAsia="MS Mincho"/>
        </w:rPr>
        <w:tab/>
        <w:t>(7)</w:t>
      </w:r>
      <w:r w:rsidRPr="00F00002">
        <w:rPr>
          <w:rFonts w:eastAsia="MS Mincho"/>
        </w:rPr>
        <w:tab/>
        <w:t>The actuary may use method 2 for an income year if:</w:t>
      </w:r>
    </w:p>
    <w:p w:rsidR="00BB4501" w:rsidRPr="00F00002" w:rsidRDefault="00BB4501" w:rsidP="00D150ED">
      <w:pPr>
        <w:pStyle w:val="paragraph"/>
        <w:rPr>
          <w:rFonts w:eastAsia="MS Mincho"/>
        </w:rPr>
      </w:pPr>
      <w:r w:rsidRPr="00F00002">
        <w:rPr>
          <w:rFonts w:eastAsia="MS Mincho"/>
          <w:color w:val="000000"/>
        </w:rPr>
        <w:lastRenderedPageBreak/>
        <w:tab/>
        <w:t>(a)</w:t>
      </w:r>
      <w:r w:rsidRPr="00F00002">
        <w:rPr>
          <w:rFonts w:eastAsia="MS Mincho"/>
          <w:color w:val="000000"/>
        </w:rPr>
        <w:tab/>
        <w:t>the actuary can identify, at the start of the income year, that the value of unfunded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 xml:space="preserve">July 1988 liabilities exceeds the amount that the </w:t>
      </w:r>
      <w:r w:rsidRPr="00F00002">
        <w:rPr>
          <w:color w:val="000000"/>
        </w:rPr>
        <w:t>superannuation provider</w:t>
      </w:r>
      <w:r w:rsidRPr="00F00002">
        <w:rPr>
          <w:rFonts w:eastAsia="MS Mincho"/>
          <w:color w:val="000000"/>
        </w:rPr>
        <w:t xml:space="preserve"> wishes to specify for subsection</w:t>
      </w:r>
      <w:r w:rsidR="00F00002">
        <w:rPr>
          <w:rFonts w:eastAsia="MS Mincho"/>
          <w:color w:val="000000"/>
        </w:rPr>
        <w:t> </w:t>
      </w:r>
      <w:r w:rsidRPr="00F00002">
        <w:rPr>
          <w:rFonts w:eastAsia="MS Mincho"/>
          <w:color w:val="000000"/>
        </w:rPr>
        <w:t>295</w:t>
      </w:r>
      <w:r w:rsidR="00F00002">
        <w:rPr>
          <w:rFonts w:eastAsia="MS Mincho"/>
          <w:color w:val="000000"/>
        </w:rPr>
        <w:noBreakHyphen/>
      </w:r>
      <w:r w:rsidRPr="00F00002">
        <w:rPr>
          <w:rFonts w:eastAsia="MS Mincho"/>
          <w:color w:val="000000"/>
        </w:rPr>
        <w:t>265(1) of the Act; and</w:t>
      </w:r>
    </w:p>
    <w:p w:rsidR="00BB4501" w:rsidRPr="00F00002" w:rsidRDefault="00BB4501" w:rsidP="00D150ED">
      <w:pPr>
        <w:pStyle w:val="paragraph"/>
        <w:rPr>
          <w:rFonts w:eastAsia="MS Mincho"/>
        </w:rPr>
      </w:pPr>
      <w:r w:rsidRPr="00F00002">
        <w:rPr>
          <w:rFonts w:eastAsia="MS Mincho"/>
        </w:rPr>
        <w:tab/>
        <w:t>(b)</w:t>
      </w:r>
      <w:r w:rsidRPr="00F00002">
        <w:rPr>
          <w:rFonts w:eastAsia="MS Mincho"/>
        </w:rPr>
        <w:tab/>
        <w:t>the income year is the first year after, or the second year after, an income year for which method 1 was used to calculate the amount applicable to the fund.</w:t>
      </w:r>
    </w:p>
    <w:p w:rsidR="00BB4501" w:rsidRPr="00F00002" w:rsidRDefault="00BB4501" w:rsidP="00D150ED">
      <w:pPr>
        <w:pStyle w:val="subsection"/>
        <w:rPr>
          <w:rFonts w:eastAsia="MS Mincho"/>
        </w:rPr>
      </w:pPr>
      <w:r w:rsidRPr="00F00002">
        <w:rPr>
          <w:rFonts w:eastAsia="MS Mincho"/>
          <w:color w:val="000000"/>
        </w:rPr>
        <w:tab/>
        <w:t>(8)</w:t>
      </w:r>
      <w:r w:rsidRPr="00F00002">
        <w:rPr>
          <w:rFonts w:eastAsia="MS Mincho"/>
          <w:color w:val="000000"/>
        </w:rPr>
        <w:tab/>
        <w:t xml:space="preserve">The procedure in method 2 for calculating an amount applicable to a fund is referred to in this regulation as a </w:t>
      </w:r>
      <w:r w:rsidRPr="00F00002">
        <w:rPr>
          <w:rFonts w:eastAsia="MS Mincho"/>
          <w:b/>
          <w:i/>
          <w:color w:val="000000"/>
        </w:rPr>
        <w:t>notionally updated funding credit valuation process</w:t>
      </w:r>
      <w:r w:rsidRPr="00F00002">
        <w:rPr>
          <w:rFonts w:eastAsia="MS Mincho"/>
          <w:color w:val="000000"/>
        </w:rPr>
        <w:t>.</w:t>
      </w:r>
    </w:p>
    <w:p w:rsidR="00BB4501" w:rsidRPr="00F00002" w:rsidRDefault="00C933A3" w:rsidP="00E569F3">
      <w:pPr>
        <w:spacing w:before="120" w:after="120"/>
        <w:rPr>
          <w:b/>
        </w:rPr>
      </w:pPr>
      <w:r w:rsidRPr="00F00002">
        <w:rPr>
          <w:b/>
        </w:rPr>
        <w:t xml:space="preserve">Method 1  </w:t>
      </w:r>
      <w:r w:rsidR="00BB4501" w:rsidRPr="00F00002">
        <w:rPr>
          <w:b/>
        </w:rPr>
        <w:t>Funding credit valuation process</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629"/>
        <w:gridCol w:w="6900"/>
      </w:tblGrid>
      <w:tr w:rsidR="001E08BD" w:rsidRPr="00F00002" w:rsidTr="000505B9">
        <w:trPr>
          <w:trHeight w:val="2850"/>
        </w:trPr>
        <w:tc>
          <w:tcPr>
            <w:tcW w:w="955" w:type="pct"/>
            <w:tcBorders>
              <w:top w:val="single" w:sz="12" w:space="0" w:color="auto"/>
              <w:bottom w:val="nil"/>
            </w:tcBorders>
            <w:shd w:val="clear" w:color="auto" w:fill="auto"/>
          </w:tcPr>
          <w:p w:rsidR="001E08BD" w:rsidRPr="00F00002" w:rsidRDefault="001E08BD" w:rsidP="004478BF">
            <w:pPr>
              <w:pStyle w:val="Tabletext"/>
              <w:rPr>
                <w:rFonts w:eastAsia="MS Mincho"/>
              </w:rPr>
            </w:pPr>
            <w:r w:rsidRPr="00F00002">
              <w:rPr>
                <w:rFonts w:eastAsia="MS Mincho"/>
                <w:b/>
              </w:rPr>
              <w:t>Step 1</w:t>
            </w:r>
            <w:r w:rsidRPr="00F00002">
              <w:rPr>
                <w:rFonts w:eastAsia="MS Mincho"/>
                <w:b/>
              </w:rPr>
              <w:br/>
            </w:r>
            <w:r w:rsidRPr="00F00002">
              <w:rPr>
                <w:rFonts w:eastAsia="MS Mincho"/>
                <w:i/>
              </w:rPr>
              <w:t>(value liabilities)</w:t>
            </w:r>
          </w:p>
        </w:tc>
        <w:tc>
          <w:tcPr>
            <w:tcW w:w="4045" w:type="pct"/>
            <w:tcBorders>
              <w:top w:val="single" w:sz="12" w:space="0" w:color="auto"/>
              <w:bottom w:val="nil"/>
            </w:tcBorders>
            <w:shd w:val="clear" w:color="auto" w:fill="auto"/>
          </w:tcPr>
          <w:p w:rsidR="001E08BD" w:rsidRPr="00F00002" w:rsidRDefault="001E08BD" w:rsidP="007C6A16">
            <w:pPr>
              <w:pStyle w:val="Tabletext"/>
              <w:ind w:left="400" w:hanging="400"/>
              <w:rPr>
                <w:rFonts w:eastAsia="MS Mincho"/>
              </w:rPr>
            </w:pPr>
            <w:r w:rsidRPr="00F00002">
              <w:rPr>
                <w:rFonts w:eastAsia="MS Mincho"/>
              </w:rPr>
              <w:t>1.1</w:t>
            </w:r>
            <w:r w:rsidRPr="00F00002">
              <w:rPr>
                <w:rFonts w:eastAsia="MS Mincho"/>
              </w:rPr>
              <w:tab/>
              <w:t>For any income year in which funding credits are claimed, calculate the discounted present value of liabilities as at the first day of that income year that relates to membership completed.</w:t>
            </w:r>
          </w:p>
          <w:p w:rsidR="001E08BD" w:rsidRPr="00F00002" w:rsidRDefault="001E08BD" w:rsidP="007C6A16">
            <w:pPr>
              <w:pStyle w:val="Tabletext"/>
              <w:ind w:left="400" w:hanging="400"/>
              <w:rPr>
                <w:rFonts w:eastAsia="MS Mincho"/>
              </w:rPr>
            </w:pPr>
            <w:r w:rsidRPr="00F00002">
              <w:rPr>
                <w:rFonts w:eastAsia="MS Mincho"/>
              </w:rPr>
              <w:t>1.2</w:t>
            </w:r>
            <w:r w:rsidRPr="00F00002">
              <w:rPr>
                <w:rFonts w:eastAsia="MS Mincho"/>
              </w:rPr>
              <w:tab/>
              <w:t>The basis for the calculations in item</w:t>
            </w:r>
            <w:r w:rsidR="00F00002">
              <w:rPr>
                <w:rFonts w:eastAsia="MS Mincho"/>
              </w:rPr>
              <w:t> </w:t>
            </w:r>
            <w:r w:rsidRPr="00F00002">
              <w:rPr>
                <w:rFonts w:eastAsia="MS Mincho"/>
              </w:rPr>
              <w:t>1.1 must be the actuarial valuation basis relevant to the income year in question which the superannuation fund’s actuary would consider appropriate for a valuation under Part</w:t>
            </w:r>
            <w:r w:rsidR="00F00002">
              <w:rPr>
                <w:rFonts w:eastAsia="MS Mincho"/>
              </w:rPr>
              <w:t> </w:t>
            </w:r>
            <w:r w:rsidRPr="00F00002">
              <w:rPr>
                <w:rFonts w:eastAsia="MS Mincho"/>
              </w:rPr>
              <w:t>9 of the SIS Regulations.</w:t>
            </w:r>
          </w:p>
          <w:p w:rsidR="001E08BD" w:rsidRPr="00F00002" w:rsidRDefault="001E08BD" w:rsidP="007C6A16">
            <w:pPr>
              <w:pStyle w:val="Tabletext"/>
              <w:ind w:left="400" w:hanging="400"/>
              <w:rPr>
                <w:rFonts w:eastAsia="MS Mincho"/>
              </w:rPr>
            </w:pPr>
            <w:r w:rsidRPr="00F00002">
              <w:rPr>
                <w:rFonts w:eastAsia="MS Mincho"/>
              </w:rPr>
              <w:t>1.3</w:t>
            </w:r>
            <w:r w:rsidRPr="00F00002">
              <w:rPr>
                <w:rFonts w:eastAsia="MS Mincho"/>
              </w:rPr>
              <w:tab/>
              <w:t>In making the calculation in item</w:t>
            </w:r>
            <w:r w:rsidR="00F00002">
              <w:rPr>
                <w:rFonts w:eastAsia="MS Mincho"/>
              </w:rPr>
              <w:t> </w:t>
            </w:r>
            <w:r w:rsidRPr="00F00002">
              <w:rPr>
                <w:rFonts w:eastAsia="MS Mincho"/>
              </w:rPr>
              <w:t>1.1 exclude the following liabilities that are not provided from taxable contributions:</w:t>
            </w:r>
          </w:p>
          <w:p w:rsidR="001E08BD" w:rsidRPr="00F00002" w:rsidRDefault="001E08BD" w:rsidP="007C6A16">
            <w:pPr>
              <w:pStyle w:val="Tablea"/>
              <w:ind w:left="688"/>
              <w:rPr>
                <w:rFonts w:eastAsia="MS Mincho"/>
              </w:rPr>
            </w:pPr>
            <w:r w:rsidRPr="00F00002">
              <w:rPr>
                <w:rFonts w:eastAsia="MS Mincho"/>
              </w:rPr>
              <w:t>(a) liabilities representing benefits financed by undeducted contributions;</w:t>
            </w:r>
          </w:p>
        </w:tc>
      </w:tr>
      <w:tr w:rsidR="00B83BCB" w:rsidRPr="00F00002" w:rsidTr="007D5627">
        <w:trPr>
          <w:trHeight w:val="285"/>
        </w:trPr>
        <w:tc>
          <w:tcPr>
            <w:tcW w:w="955" w:type="pct"/>
            <w:tcBorders>
              <w:top w:val="nil"/>
              <w:bottom w:val="single" w:sz="4" w:space="0" w:color="auto"/>
            </w:tcBorders>
            <w:shd w:val="clear" w:color="auto" w:fill="auto"/>
          </w:tcPr>
          <w:p w:rsidR="00B83BCB" w:rsidRPr="00F00002" w:rsidRDefault="00B83BCB" w:rsidP="004478BF">
            <w:pPr>
              <w:pStyle w:val="Tabletext"/>
              <w:rPr>
                <w:rFonts w:eastAsia="MS Mincho"/>
                <w:b/>
              </w:rPr>
            </w:pPr>
            <w:bookmarkStart w:id="101" w:name="CU_288383"/>
            <w:bookmarkStart w:id="102" w:name="CU_285337"/>
            <w:bookmarkEnd w:id="101"/>
            <w:bookmarkEnd w:id="102"/>
          </w:p>
        </w:tc>
        <w:tc>
          <w:tcPr>
            <w:tcW w:w="4045" w:type="pct"/>
            <w:tcBorders>
              <w:top w:val="nil"/>
              <w:bottom w:val="single" w:sz="4" w:space="0" w:color="auto"/>
            </w:tcBorders>
            <w:shd w:val="clear" w:color="auto" w:fill="auto"/>
          </w:tcPr>
          <w:p w:rsidR="00B83BCB" w:rsidRPr="00F00002" w:rsidRDefault="00B83BCB" w:rsidP="004478BF">
            <w:pPr>
              <w:pStyle w:val="Tablea"/>
              <w:spacing w:before="40"/>
              <w:ind w:left="688"/>
              <w:rPr>
                <w:rFonts w:eastAsia="MS Mincho"/>
              </w:rPr>
            </w:pPr>
            <w:r w:rsidRPr="00F00002">
              <w:rPr>
                <w:rFonts w:eastAsia="MS Mincho"/>
              </w:rPr>
              <w:t>(b) liabilities representing benefits or components that are expected to be treated as paid from an untaxed source;</w:t>
            </w:r>
          </w:p>
          <w:p w:rsidR="00B83BCB" w:rsidRPr="00F00002" w:rsidRDefault="00B83BCB" w:rsidP="007C6A16">
            <w:pPr>
              <w:pStyle w:val="notemargin"/>
              <w:tabs>
                <w:tab w:val="clear" w:pos="709"/>
              </w:tabs>
              <w:spacing w:before="40"/>
              <w:ind w:left="1500" w:hanging="835"/>
              <w:rPr>
                <w:rFonts w:eastAsia="MS Mincho"/>
              </w:rPr>
            </w:pPr>
            <w:r w:rsidRPr="00F00002">
              <w:rPr>
                <w:rFonts w:eastAsia="MS Mincho"/>
              </w:rPr>
              <w:t>Example:</w:t>
            </w:r>
            <w:r w:rsidRPr="00F00002">
              <w:rPr>
                <w:rFonts w:eastAsia="MS Mincho"/>
              </w:rPr>
              <w:tab/>
              <w:t>Pensions provided on an emerging cost or pay as you go basis, with corresponding elections being made under subsection</w:t>
            </w:r>
            <w:r w:rsidR="00F00002">
              <w:rPr>
                <w:rFonts w:eastAsia="MS Mincho"/>
              </w:rPr>
              <w:t> </w:t>
            </w:r>
            <w:r w:rsidRPr="00F00002">
              <w:rPr>
                <w:rFonts w:eastAsia="MS Mincho"/>
              </w:rPr>
              <w:t>295</w:t>
            </w:r>
            <w:r w:rsidR="00F00002">
              <w:rPr>
                <w:rFonts w:eastAsia="MS Mincho"/>
              </w:rPr>
              <w:noBreakHyphen/>
            </w:r>
            <w:r w:rsidRPr="00F00002">
              <w:rPr>
                <w:rFonts w:eastAsia="MS Mincho"/>
              </w:rPr>
              <w:t>180(1) of the Act.</w:t>
            </w:r>
          </w:p>
          <w:p w:rsidR="00B83BCB" w:rsidRPr="00F00002" w:rsidRDefault="00B83BCB" w:rsidP="004478BF">
            <w:pPr>
              <w:pStyle w:val="Tablea"/>
              <w:spacing w:before="40"/>
              <w:ind w:left="688"/>
              <w:rPr>
                <w:rFonts w:eastAsia="MS Mincho"/>
              </w:rPr>
            </w:pPr>
            <w:r w:rsidRPr="00F00002">
              <w:rPr>
                <w:rFonts w:eastAsia="MS Mincho"/>
              </w:rPr>
              <w:t>(c) liabilities for entitlements relating to membership and for which corresponding assets can be identified;</w:t>
            </w:r>
          </w:p>
          <w:p w:rsidR="00B83BCB" w:rsidRPr="00F00002" w:rsidRDefault="00B83BCB" w:rsidP="007C6A16">
            <w:pPr>
              <w:pStyle w:val="notemargin"/>
              <w:tabs>
                <w:tab w:val="clear" w:pos="709"/>
              </w:tabs>
              <w:spacing w:before="40"/>
              <w:ind w:left="1500" w:hanging="835"/>
              <w:rPr>
                <w:rFonts w:eastAsia="MS Mincho"/>
              </w:rPr>
            </w:pPr>
            <w:r w:rsidRPr="00F00002">
              <w:rPr>
                <w:rFonts w:eastAsia="MS Mincho"/>
              </w:rPr>
              <w:t>Example:</w:t>
            </w:r>
            <w:r w:rsidRPr="00F00002">
              <w:rPr>
                <w:rFonts w:eastAsia="MS Mincho"/>
              </w:rPr>
              <w:tab/>
              <w:t>Fully funded productivity, superannuation guarantee or salary sacrifice account balances.</w:t>
            </w:r>
          </w:p>
          <w:p w:rsidR="00B83BCB" w:rsidRPr="00F00002" w:rsidRDefault="00B83BCB" w:rsidP="004478BF">
            <w:pPr>
              <w:pStyle w:val="Tablea"/>
              <w:spacing w:before="40"/>
              <w:ind w:left="688"/>
              <w:rPr>
                <w:rFonts w:eastAsia="MS Mincho"/>
              </w:rPr>
            </w:pPr>
            <w:r w:rsidRPr="00F00002">
              <w:rPr>
                <w:rFonts w:eastAsia="MS Mincho"/>
                <w:color w:val="000000"/>
              </w:rPr>
              <w:t xml:space="preserve">(d) </w:t>
            </w:r>
            <w:r w:rsidRPr="00F00002">
              <w:rPr>
                <w:rFonts w:eastAsia="MS Mincho"/>
              </w:rPr>
              <w:t>liabilities</w:t>
            </w:r>
            <w:r w:rsidRPr="00F00002">
              <w:rPr>
                <w:rFonts w:eastAsia="MS Mincho"/>
                <w:color w:val="000000"/>
              </w:rPr>
              <w:t xml:space="preserve"> </w:t>
            </w:r>
            <w:r w:rsidRPr="00F00002">
              <w:rPr>
                <w:rFonts w:eastAsia="MS Mincho"/>
              </w:rPr>
              <w:t>representing</w:t>
            </w:r>
            <w:r w:rsidRPr="00F00002">
              <w:rPr>
                <w:rFonts w:eastAsia="MS Mincho"/>
                <w:color w:val="000000"/>
              </w:rPr>
              <w:t xml:space="preserve"> death and disability benefits for which </w:t>
            </w:r>
            <w:r w:rsidRPr="00F00002">
              <w:rPr>
                <w:rFonts w:eastAsia="MS Mincho"/>
              </w:rPr>
              <w:t>costs</w:t>
            </w:r>
            <w:r w:rsidRPr="00F00002">
              <w:rPr>
                <w:rFonts w:eastAsia="MS Mincho"/>
                <w:color w:val="000000"/>
              </w:rPr>
              <w:t xml:space="preserve"> are claimed as deductible under section</w:t>
            </w:r>
            <w:r w:rsidR="00F00002">
              <w:rPr>
                <w:rFonts w:eastAsia="MS Mincho"/>
                <w:color w:val="000000"/>
              </w:rPr>
              <w:t> </w:t>
            </w:r>
            <w:r w:rsidRPr="00F00002">
              <w:rPr>
                <w:rFonts w:eastAsia="MS Mincho"/>
                <w:color w:val="000000"/>
              </w:rPr>
              <w:t>295</w:t>
            </w:r>
            <w:r w:rsidR="00F00002">
              <w:rPr>
                <w:rFonts w:eastAsia="MS Mincho"/>
                <w:color w:val="000000"/>
              </w:rPr>
              <w:noBreakHyphen/>
            </w:r>
            <w:r w:rsidRPr="00F00002">
              <w:rPr>
                <w:rFonts w:eastAsia="MS Mincho"/>
                <w:color w:val="000000"/>
              </w:rPr>
              <w:t>465 or 295</w:t>
            </w:r>
            <w:r w:rsidR="00F00002">
              <w:rPr>
                <w:rFonts w:eastAsia="MS Mincho"/>
                <w:color w:val="000000"/>
              </w:rPr>
              <w:noBreakHyphen/>
            </w:r>
            <w:r w:rsidRPr="00F00002">
              <w:rPr>
                <w:rFonts w:eastAsia="MS Mincho"/>
                <w:color w:val="000000"/>
              </w:rPr>
              <w:t>470 of the Act.</w:t>
            </w:r>
          </w:p>
          <w:p w:rsidR="00B83BCB" w:rsidRPr="00F00002" w:rsidRDefault="00B83BCB" w:rsidP="007C6A16">
            <w:pPr>
              <w:pStyle w:val="Tabletext"/>
              <w:ind w:left="400" w:hanging="400"/>
              <w:rPr>
                <w:rFonts w:eastAsia="MS Mincho"/>
              </w:rPr>
            </w:pPr>
            <w:r w:rsidRPr="00F00002">
              <w:rPr>
                <w:rFonts w:eastAsia="MS Mincho"/>
              </w:rPr>
              <w:t>1.4</w:t>
            </w:r>
            <w:r w:rsidRPr="00F00002">
              <w:rPr>
                <w:rFonts w:eastAsia="MS Mincho"/>
              </w:rPr>
              <w:tab/>
              <w:t xml:space="preserve">Apportion the discounted present value of the liabilities, between: </w:t>
            </w:r>
          </w:p>
          <w:p w:rsidR="00B83BCB" w:rsidRPr="00F00002" w:rsidRDefault="00B83BCB" w:rsidP="004478BF">
            <w:pPr>
              <w:pStyle w:val="Tablea"/>
              <w:spacing w:before="40"/>
              <w:ind w:left="688"/>
              <w:rPr>
                <w:rFonts w:eastAsia="MS Mincho"/>
              </w:rPr>
            </w:pPr>
            <w:r w:rsidRPr="00F00002">
              <w:rPr>
                <w:rFonts w:eastAsia="MS Mincho"/>
                <w:color w:val="000000"/>
              </w:rPr>
              <w:t>(a) the period of superannuation fund membership completed before 1</w:t>
            </w:r>
            <w:r w:rsidR="00F00002">
              <w:rPr>
                <w:rFonts w:eastAsia="MS Mincho"/>
                <w:color w:val="000000"/>
              </w:rPr>
              <w:t> </w:t>
            </w:r>
            <w:r w:rsidRPr="00F00002">
              <w:rPr>
                <w:rFonts w:eastAsia="MS Mincho"/>
                <w:color w:val="000000"/>
              </w:rPr>
              <w:t xml:space="preserve">July 1988; and </w:t>
            </w:r>
          </w:p>
          <w:p w:rsidR="00B83BCB" w:rsidRPr="00F00002" w:rsidRDefault="00B83BCB" w:rsidP="004478BF">
            <w:pPr>
              <w:pStyle w:val="Tablea"/>
              <w:spacing w:before="40"/>
              <w:ind w:left="688"/>
              <w:rPr>
                <w:rFonts w:eastAsia="MS Mincho"/>
              </w:rPr>
            </w:pPr>
            <w:r w:rsidRPr="00F00002">
              <w:rPr>
                <w:rFonts w:eastAsia="MS Mincho"/>
                <w:color w:val="000000"/>
              </w:rPr>
              <w:t xml:space="preserve">(b) </w:t>
            </w:r>
            <w:r w:rsidRPr="00F00002">
              <w:rPr>
                <w:rFonts w:eastAsia="MS Mincho"/>
              </w:rPr>
              <w:t>the</w:t>
            </w:r>
            <w:r w:rsidRPr="00F00002">
              <w:rPr>
                <w:rFonts w:eastAsia="MS Mincho"/>
                <w:color w:val="000000"/>
              </w:rPr>
              <w:t xml:space="preserve"> period of </w:t>
            </w:r>
            <w:r w:rsidRPr="00F00002">
              <w:rPr>
                <w:rFonts w:eastAsia="MS Mincho"/>
              </w:rPr>
              <w:t>superannuation</w:t>
            </w:r>
            <w:r w:rsidRPr="00F00002">
              <w:rPr>
                <w:rFonts w:eastAsia="MS Mincho"/>
                <w:color w:val="000000"/>
              </w:rPr>
              <w:t xml:space="preserve"> fund membership completed on and after 1</w:t>
            </w:r>
            <w:r w:rsidR="00F00002">
              <w:rPr>
                <w:rFonts w:eastAsia="MS Mincho"/>
                <w:color w:val="000000"/>
              </w:rPr>
              <w:t> </w:t>
            </w:r>
            <w:r w:rsidRPr="00F00002">
              <w:rPr>
                <w:rFonts w:eastAsia="MS Mincho"/>
                <w:color w:val="000000"/>
              </w:rPr>
              <w:t>July 1988;</w:t>
            </w:r>
          </w:p>
          <w:p w:rsidR="00B83BCB" w:rsidRPr="00F00002" w:rsidRDefault="00B83BCB" w:rsidP="00E569F3">
            <w:pPr>
              <w:pStyle w:val="Tabletext"/>
              <w:spacing w:before="40"/>
              <w:ind w:left="400" w:hanging="400"/>
              <w:rPr>
                <w:rFonts w:eastAsia="MS Mincho"/>
              </w:rPr>
            </w:pPr>
            <w:r w:rsidRPr="00F00002">
              <w:tab/>
              <w:t xml:space="preserve">for </w:t>
            </w:r>
            <w:r w:rsidRPr="00F00002">
              <w:rPr>
                <w:rFonts w:eastAsia="MS Mincho"/>
              </w:rPr>
              <w:t>each</w:t>
            </w:r>
            <w:r w:rsidRPr="00F00002">
              <w:t xml:space="preserve"> superannuation fund member or former member for </w:t>
            </w:r>
            <w:r w:rsidRPr="00F00002">
              <w:rPr>
                <w:rFonts w:eastAsia="MS Mincho"/>
              </w:rPr>
              <w:t>whom</w:t>
            </w:r>
            <w:r w:rsidRPr="00F00002">
              <w:t xml:space="preserve"> a liability is being valued</w:t>
            </w:r>
            <w:r w:rsidRPr="00F00002">
              <w:rPr>
                <w:rFonts w:eastAsia="MS Mincho"/>
                <w:color w:val="000000"/>
              </w:rPr>
              <w:t>.</w:t>
            </w:r>
          </w:p>
          <w:p w:rsidR="00B83BCB" w:rsidRPr="00F00002" w:rsidRDefault="00B83BCB" w:rsidP="007C6A16">
            <w:pPr>
              <w:pStyle w:val="Tabletext"/>
              <w:ind w:left="400" w:hanging="400"/>
              <w:rPr>
                <w:rFonts w:eastAsia="MS Mincho"/>
              </w:rPr>
            </w:pPr>
            <w:r w:rsidRPr="00F00002">
              <w:rPr>
                <w:rFonts w:eastAsia="MS Mincho"/>
              </w:rPr>
              <w:t>1.5</w:t>
            </w:r>
            <w:r w:rsidRPr="00F00002">
              <w:rPr>
                <w:rFonts w:eastAsia="MS Mincho"/>
              </w:rPr>
              <w:tab/>
              <w:t>The apportionment in item</w:t>
            </w:r>
            <w:r w:rsidR="00F00002">
              <w:rPr>
                <w:rFonts w:eastAsia="MS Mincho"/>
              </w:rPr>
              <w:t> </w:t>
            </w:r>
            <w:r w:rsidRPr="00F00002">
              <w:rPr>
                <w:rFonts w:eastAsia="MS Mincho"/>
              </w:rPr>
              <w:t>1.4 must be made having regard to the following requirements and principles:</w:t>
            </w:r>
          </w:p>
          <w:p w:rsidR="00B83BCB" w:rsidRPr="00F00002" w:rsidRDefault="00B83BCB" w:rsidP="004478BF">
            <w:pPr>
              <w:pStyle w:val="Tablea"/>
              <w:spacing w:before="40"/>
              <w:ind w:left="688"/>
              <w:rPr>
                <w:rFonts w:eastAsia="MS Mincho"/>
              </w:rPr>
            </w:pPr>
            <w:r w:rsidRPr="00F00002">
              <w:rPr>
                <w:rFonts w:eastAsia="MS Mincho"/>
              </w:rPr>
              <w:t>(a) superannuation fund membership must be consistent with the definition used by the fund to determine the benefit being valued;</w:t>
            </w:r>
          </w:p>
          <w:p w:rsidR="00B83BCB" w:rsidRPr="00F00002" w:rsidRDefault="00B83BCB" w:rsidP="004478BF">
            <w:pPr>
              <w:pStyle w:val="Tablea"/>
              <w:spacing w:before="40"/>
              <w:ind w:left="688"/>
              <w:rPr>
                <w:rFonts w:eastAsia="MS Mincho"/>
              </w:rPr>
            </w:pPr>
            <w:r w:rsidRPr="00F00002">
              <w:rPr>
                <w:rFonts w:eastAsia="MS Mincho"/>
              </w:rPr>
              <w:lastRenderedPageBreak/>
              <w:t>(b) the actuary of the superannuation fund may use an alternative method for apportioning the discounted present value of liabilities only if the actuary certifies that the method will provide a reasonable approximation of the apportionment;</w:t>
            </w:r>
          </w:p>
          <w:p w:rsidR="00B83BCB" w:rsidRPr="00F00002" w:rsidRDefault="00B83BCB" w:rsidP="004478BF">
            <w:pPr>
              <w:pStyle w:val="Tablea"/>
              <w:spacing w:before="40"/>
              <w:ind w:left="688"/>
              <w:rPr>
                <w:rFonts w:eastAsia="MS Mincho"/>
              </w:rPr>
            </w:pPr>
            <w:r w:rsidRPr="00F00002">
              <w:rPr>
                <w:rFonts w:eastAsia="MS Mincho"/>
              </w:rPr>
              <w:t>(c) the actuary will generally use a linear apportionment method, but may use an apportionment method that reflects non</w:t>
            </w:r>
            <w:r w:rsidR="00F00002">
              <w:rPr>
                <w:rFonts w:eastAsia="MS Mincho"/>
              </w:rPr>
              <w:noBreakHyphen/>
            </w:r>
            <w:r w:rsidRPr="00F00002">
              <w:rPr>
                <w:rFonts w:eastAsia="MS Mincho"/>
              </w:rPr>
              <w:t>linear accrual of entitlements, provided the actuary considers that such an approach achieves an outcome that is consistent with the principle that funding credits can only be used against contributions intended to provide for entitlements relating to membership completed before 1</w:t>
            </w:r>
            <w:r w:rsidR="00F00002">
              <w:rPr>
                <w:rFonts w:eastAsia="MS Mincho"/>
              </w:rPr>
              <w:t> </w:t>
            </w:r>
            <w:r w:rsidRPr="00F00002">
              <w:rPr>
                <w:rFonts w:eastAsia="MS Mincho"/>
              </w:rPr>
              <w:t>July 1988.</w:t>
            </w:r>
          </w:p>
          <w:p w:rsidR="00B83BCB" w:rsidRPr="00F00002" w:rsidRDefault="00B83BCB" w:rsidP="007C6A16">
            <w:pPr>
              <w:pStyle w:val="Tabletext"/>
              <w:ind w:left="400" w:hanging="400"/>
              <w:rPr>
                <w:rFonts w:eastAsia="MS Mincho"/>
              </w:rPr>
            </w:pPr>
            <w:r w:rsidRPr="00F00002">
              <w:rPr>
                <w:rFonts w:eastAsia="MS Mincho"/>
              </w:rPr>
              <w:t>1.6</w:t>
            </w:r>
            <w:r w:rsidRPr="00F00002">
              <w:rPr>
                <w:rFonts w:eastAsia="MS Mincho"/>
              </w:rPr>
              <w:tab/>
              <w:t>The actuary must retain documentation of the liability and valuation apportionment calculations for not less than 5 years.</w:t>
            </w:r>
          </w:p>
          <w:p w:rsidR="00B83BCB" w:rsidRPr="00F00002" w:rsidRDefault="00B83BCB" w:rsidP="007C6A16">
            <w:pPr>
              <w:pStyle w:val="Tabletext"/>
              <w:ind w:left="400" w:hanging="400"/>
              <w:rPr>
                <w:rFonts w:eastAsia="MS Mincho"/>
              </w:rPr>
            </w:pPr>
            <w:r w:rsidRPr="00F00002">
              <w:rPr>
                <w:rFonts w:eastAsia="MS Mincho"/>
              </w:rPr>
              <w:t>1.7</w:t>
            </w:r>
            <w:r w:rsidRPr="00F00002">
              <w:rPr>
                <w:rFonts w:eastAsia="MS Mincho"/>
              </w:rPr>
              <w:tab/>
              <w:t>The discounted present value of liabilities for all members apportioned to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membership is the value of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w:t>
            </w:r>
          </w:p>
        </w:tc>
      </w:tr>
      <w:tr w:rsidR="001E08BD" w:rsidRPr="00F00002" w:rsidTr="000505B9">
        <w:trPr>
          <w:cantSplit/>
        </w:trPr>
        <w:tc>
          <w:tcPr>
            <w:tcW w:w="955" w:type="pct"/>
            <w:tcBorders>
              <w:top w:val="single" w:sz="4" w:space="0" w:color="auto"/>
              <w:bottom w:val="single" w:sz="4" w:space="0" w:color="auto"/>
            </w:tcBorders>
            <w:shd w:val="clear" w:color="auto" w:fill="auto"/>
          </w:tcPr>
          <w:p w:rsidR="001E08BD" w:rsidRPr="00F00002" w:rsidRDefault="001E08BD" w:rsidP="006100B2">
            <w:pPr>
              <w:pStyle w:val="Tabletext"/>
              <w:rPr>
                <w:rFonts w:eastAsia="MS Mincho"/>
                <w:i/>
              </w:rPr>
            </w:pPr>
            <w:r w:rsidRPr="00F00002">
              <w:rPr>
                <w:rFonts w:eastAsia="MS Mincho"/>
                <w:b/>
              </w:rPr>
              <w:lastRenderedPageBreak/>
              <w:t>Step 2</w:t>
            </w:r>
            <w:r w:rsidRPr="00F00002">
              <w:rPr>
                <w:rFonts w:eastAsia="MS Mincho"/>
                <w:b/>
              </w:rPr>
              <w:br/>
            </w:r>
            <w:r w:rsidRPr="00F00002">
              <w:rPr>
                <w:rFonts w:eastAsia="MS Mincho"/>
                <w:i/>
              </w:rPr>
              <w:t>(apportion assets)</w:t>
            </w:r>
          </w:p>
          <w:p w:rsidR="001E08BD" w:rsidRPr="00F00002" w:rsidRDefault="001E08BD" w:rsidP="006100B2">
            <w:pPr>
              <w:pStyle w:val="Tabletext"/>
              <w:rPr>
                <w:rFonts w:eastAsia="MS Mincho"/>
                <w:i/>
                <w:color w:val="000000"/>
              </w:rPr>
            </w:pPr>
          </w:p>
        </w:tc>
        <w:tc>
          <w:tcPr>
            <w:tcW w:w="4045" w:type="pct"/>
            <w:tcBorders>
              <w:top w:val="single" w:sz="4" w:space="0" w:color="auto"/>
              <w:bottom w:val="single" w:sz="4" w:space="0" w:color="auto"/>
            </w:tcBorders>
            <w:shd w:val="clear" w:color="auto" w:fill="auto"/>
          </w:tcPr>
          <w:p w:rsidR="001E08BD" w:rsidRPr="00F00002" w:rsidRDefault="001E08BD" w:rsidP="007C6A16">
            <w:pPr>
              <w:pStyle w:val="Tabletext"/>
              <w:ind w:left="400" w:hanging="400"/>
              <w:rPr>
                <w:rFonts w:eastAsia="MS Mincho"/>
              </w:rPr>
            </w:pPr>
            <w:r w:rsidRPr="00F00002">
              <w:rPr>
                <w:rFonts w:eastAsia="MS Mincho"/>
              </w:rPr>
              <w:t>2.1</w:t>
            </w:r>
            <w:r w:rsidRPr="00F00002">
              <w:rPr>
                <w:rFonts w:eastAsia="MS Mincho"/>
              </w:rPr>
              <w:tab/>
              <w:t>Calculate the total amount of superannuation fund assets at their market value at the start of the income year, on the basis on which the superannuation fund’s actuary would consider appropriate for a valuation under Part</w:t>
            </w:r>
            <w:r w:rsidR="00F00002">
              <w:rPr>
                <w:rFonts w:eastAsia="MS Mincho"/>
              </w:rPr>
              <w:t> </w:t>
            </w:r>
            <w:r w:rsidRPr="00F00002">
              <w:rPr>
                <w:rFonts w:eastAsia="MS Mincho"/>
              </w:rPr>
              <w:t>9 of the SIS Regulations.</w:t>
            </w:r>
          </w:p>
          <w:p w:rsidR="001E08BD" w:rsidRPr="00F00002" w:rsidRDefault="001E08BD" w:rsidP="007C6A16">
            <w:pPr>
              <w:pStyle w:val="Tabletext"/>
              <w:ind w:left="400" w:hanging="400"/>
              <w:rPr>
                <w:rFonts w:eastAsia="MS Mincho"/>
              </w:rPr>
            </w:pPr>
            <w:r w:rsidRPr="00F00002">
              <w:rPr>
                <w:rFonts w:eastAsia="MS Mincho"/>
              </w:rPr>
              <w:t>2.2</w:t>
            </w:r>
            <w:r w:rsidRPr="00F00002">
              <w:rPr>
                <w:rFonts w:eastAsia="MS Mincho"/>
              </w:rPr>
              <w:tab/>
              <w:t>Allow deductions for realisation costs and charges incurred in the normal course of operation of the superannuation fund.</w:t>
            </w:r>
          </w:p>
          <w:p w:rsidR="001E08BD" w:rsidRPr="00F00002" w:rsidRDefault="001E08BD" w:rsidP="007C6A16">
            <w:pPr>
              <w:pStyle w:val="Tabletext"/>
              <w:ind w:left="400" w:hanging="400"/>
              <w:rPr>
                <w:rFonts w:eastAsia="MS Mincho"/>
              </w:rPr>
            </w:pPr>
            <w:r w:rsidRPr="00F00002">
              <w:rPr>
                <w:rFonts w:eastAsia="MS Mincho"/>
              </w:rPr>
              <w:t>2.3</w:t>
            </w:r>
            <w:r w:rsidRPr="00F00002">
              <w:rPr>
                <w:rFonts w:eastAsia="MS Mincho"/>
              </w:rPr>
              <w:tab/>
              <w:t>Deduct the amount of assets that relate to excluded liabilities mentioned in item</w:t>
            </w:r>
            <w:r w:rsidR="00F00002">
              <w:rPr>
                <w:rFonts w:eastAsia="MS Mincho"/>
              </w:rPr>
              <w:t> </w:t>
            </w:r>
            <w:r w:rsidRPr="00F00002">
              <w:rPr>
                <w:rFonts w:eastAsia="MS Mincho"/>
              </w:rPr>
              <w:t>1.3 of step 1 of this method.</w:t>
            </w:r>
          </w:p>
          <w:p w:rsidR="001E08BD" w:rsidRPr="00F00002" w:rsidRDefault="001E08BD" w:rsidP="007C6A16">
            <w:pPr>
              <w:pStyle w:val="Tabletext"/>
              <w:ind w:left="400" w:hanging="400"/>
              <w:rPr>
                <w:rFonts w:eastAsia="MS Mincho"/>
              </w:rPr>
            </w:pPr>
            <w:r w:rsidRPr="00F00002">
              <w:rPr>
                <w:rFonts w:eastAsia="MS Mincho"/>
              </w:rPr>
              <w:t>2.4</w:t>
            </w:r>
            <w:r w:rsidRPr="00F00002">
              <w:rPr>
                <w:rFonts w:eastAsia="MS Mincho"/>
              </w:rPr>
              <w:tab/>
              <w:t>All remaining assets should be treated as available to provide for the value of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 unless the superannuation provider can provide the actuary with written evidence to support exclusion of both an amount of assets and a corresponding value of liabilities.</w:t>
            </w:r>
          </w:p>
          <w:p w:rsidR="001E08BD" w:rsidRPr="00F00002" w:rsidRDefault="001E08BD" w:rsidP="007C6A16">
            <w:pPr>
              <w:pStyle w:val="Tabletext"/>
              <w:ind w:left="400" w:hanging="400"/>
              <w:rPr>
                <w:rFonts w:eastAsia="MS Mincho"/>
              </w:rPr>
            </w:pPr>
            <w:r w:rsidRPr="00F00002">
              <w:rPr>
                <w:rFonts w:eastAsia="MS Mincho"/>
              </w:rPr>
              <w:t>2.5</w:t>
            </w:r>
            <w:r w:rsidRPr="00F00002">
              <w:rPr>
                <w:rFonts w:eastAsia="MS Mincho"/>
              </w:rPr>
              <w:tab/>
              <w:t>The actuary must retain documentation to support calculations made for the asset apportionment for not less than 5 years.</w:t>
            </w:r>
          </w:p>
          <w:p w:rsidR="001E08BD" w:rsidRPr="00F00002" w:rsidRDefault="001E08BD" w:rsidP="007C6A16">
            <w:pPr>
              <w:pStyle w:val="Tabletext"/>
              <w:ind w:left="400" w:hanging="400"/>
              <w:rPr>
                <w:rFonts w:eastAsia="MS Mincho"/>
              </w:rPr>
            </w:pPr>
            <w:r w:rsidRPr="00F00002">
              <w:rPr>
                <w:rFonts w:eastAsia="MS Mincho"/>
              </w:rPr>
              <w:t>2.6</w:t>
            </w:r>
            <w:r w:rsidRPr="00F00002">
              <w:rPr>
                <w:rFonts w:eastAsia="MS Mincho"/>
              </w:rPr>
              <w:tab/>
              <w:t>The result is the assets available to fund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 for the income year.</w:t>
            </w:r>
          </w:p>
        </w:tc>
      </w:tr>
      <w:tr w:rsidR="001E08BD" w:rsidRPr="00F00002" w:rsidTr="000505B9">
        <w:trPr>
          <w:trHeight w:val="1040"/>
        </w:trPr>
        <w:tc>
          <w:tcPr>
            <w:tcW w:w="955" w:type="pct"/>
            <w:tcBorders>
              <w:top w:val="single" w:sz="4" w:space="0" w:color="auto"/>
              <w:bottom w:val="single" w:sz="4" w:space="0" w:color="auto"/>
            </w:tcBorders>
            <w:shd w:val="clear" w:color="auto" w:fill="auto"/>
          </w:tcPr>
          <w:p w:rsidR="001E08BD" w:rsidRPr="00F00002" w:rsidRDefault="001E08BD" w:rsidP="00E569F3">
            <w:pPr>
              <w:pStyle w:val="Tabletext"/>
              <w:ind w:right="-66"/>
              <w:rPr>
                <w:rFonts w:eastAsia="MS Mincho"/>
                <w:i/>
                <w:color w:val="000000"/>
              </w:rPr>
            </w:pPr>
            <w:r w:rsidRPr="00F00002">
              <w:rPr>
                <w:rFonts w:eastAsia="MS Mincho"/>
                <w:b/>
              </w:rPr>
              <w:t>Step 3</w:t>
            </w:r>
            <w:r w:rsidRPr="00F00002">
              <w:rPr>
                <w:rFonts w:eastAsia="MS Mincho"/>
                <w:b/>
              </w:rPr>
              <w:br/>
            </w:r>
            <w:r w:rsidRPr="00F00002">
              <w:rPr>
                <w:rFonts w:eastAsia="MS Mincho"/>
                <w:i/>
              </w:rPr>
              <w:t>(unfunded pre</w:t>
            </w:r>
            <w:r w:rsidR="00F00002">
              <w:rPr>
                <w:rFonts w:eastAsia="MS Mincho"/>
                <w:i/>
              </w:rPr>
              <w:noBreakHyphen/>
            </w:r>
            <w:r w:rsidRPr="00F00002">
              <w:rPr>
                <w:rFonts w:eastAsia="MS Mincho"/>
                <w:i/>
              </w:rPr>
              <w:t>1</w:t>
            </w:r>
            <w:r w:rsidR="00F00002">
              <w:rPr>
                <w:rFonts w:eastAsia="MS Mincho"/>
                <w:i/>
              </w:rPr>
              <w:t> </w:t>
            </w:r>
            <w:r w:rsidRPr="00F00002">
              <w:rPr>
                <w:rFonts w:eastAsia="MS Mincho"/>
                <w:i/>
              </w:rPr>
              <w:t>July 1988 liabilities)</w:t>
            </w:r>
          </w:p>
        </w:tc>
        <w:tc>
          <w:tcPr>
            <w:tcW w:w="4045" w:type="pct"/>
            <w:tcBorders>
              <w:top w:val="single" w:sz="4" w:space="0" w:color="auto"/>
              <w:bottom w:val="single" w:sz="4" w:space="0" w:color="auto"/>
            </w:tcBorders>
            <w:shd w:val="clear" w:color="auto" w:fill="auto"/>
          </w:tcPr>
          <w:p w:rsidR="001E08BD" w:rsidRPr="00F00002" w:rsidRDefault="001E08BD" w:rsidP="007C6A16">
            <w:pPr>
              <w:pStyle w:val="Tabletext"/>
              <w:ind w:left="400" w:hanging="400"/>
              <w:rPr>
                <w:rFonts w:eastAsia="MS Mincho"/>
              </w:rPr>
            </w:pPr>
            <w:r w:rsidRPr="00F00002">
              <w:rPr>
                <w:rFonts w:eastAsia="MS Mincho"/>
              </w:rPr>
              <w:t>3.1</w:t>
            </w:r>
            <w:r w:rsidRPr="00F00002">
              <w:rPr>
                <w:rFonts w:eastAsia="MS Mincho"/>
              </w:rPr>
              <w:tab/>
              <w:t>Deduct the assets available to fund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 from the value of pre</w:t>
            </w:r>
            <w:r w:rsidR="00F00002">
              <w:rPr>
                <w:rFonts w:eastAsia="MS Mincho"/>
              </w:rPr>
              <w:noBreakHyphen/>
            </w:r>
            <w:r w:rsidRPr="00F00002">
              <w:rPr>
                <w:rFonts w:eastAsia="MS Mincho"/>
              </w:rPr>
              <w:t>1</w:t>
            </w:r>
            <w:r w:rsidR="00F00002">
              <w:rPr>
                <w:rFonts w:eastAsia="MS Mincho"/>
              </w:rPr>
              <w:t> </w:t>
            </w:r>
            <w:r w:rsidRPr="00F00002">
              <w:rPr>
                <w:rFonts w:eastAsia="MS Mincho"/>
              </w:rPr>
              <w:t xml:space="preserve">July 1988 liabilities. </w:t>
            </w:r>
          </w:p>
          <w:p w:rsidR="001E08BD" w:rsidRPr="00F00002" w:rsidRDefault="001E08BD" w:rsidP="007C6A16">
            <w:pPr>
              <w:pStyle w:val="Tabletext"/>
              <w:ind w:left="400" w:hanging="400"/>
              <w:rPr>
                <w:rFonts w:eastAsia="MS Mincho"/>
              </w:rPr>
            </w:pPr>
            <w:r w:rsidRPr="00F00002">
              <w:rPr>
                <w:rFonts w:eastAsia="MS Mincho"/>
              </w:rPr>
              <w:t>3.2</w:t>
            </w:r>
            <w:r w:rsidRPr="00F00002">
              <w:rPr>
                <w:rFonts w:eastAsia="MS Mincho"/>
              </w:rPr>
              <w:tab/>
              <w:t>The result is the value of unfunded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w:t>
            </w:r>
          </w:p>
        </w:tc>
      </w:tr>
      <w:tr w:rsidR="001E08BD" w:rsidRPr="00F00002" w:rsidTr="000505B9">
        <w:trPr>
          <w:trHeight w:val="1726"/>
        </w:trPr>
        <w:tc>
          <w:tcPr>
            <w:tcW w:w="955" w:type="pct"/>
            <w:tcBorders>
              <w:top w:val="single" w:sz="4" w:space="0" w:color="auto"/>
              <w:bottom w:val="single" w:sz="12" w:space="0" w:color="auto"/>
            </w:tcBorders>
            <w:shd w:val="clear" w:color="auto" w:fill="auto"/>
          </w:tcPr>
          <w:p w:rsidR="001E08BD" w:rsidRPr="00F00002" w:rsidRDefault="001E08BD" w:rsidP="006100B2">
            <w:pPr>
              <w:pStyle w:val="Tabletext"/>
              <w:rPr>
                <w:rFonts w:eastAsia="MS Mincho"/>
                <w:i/>
              </w:rPr>
            </w:pPr>
            <w:r w:rsidRPr="00F00002">
              <w:rPr>
                <w:rFonts w:eastAsia="MS Mincho"/>
                <w:b/>
              </w:rPr>
              <w:t>Step 4</w:t>
            </w:r>
            <w:r w:rsidRPr="00F00002">
              <w:rPr>
                <w:rFonts w:eastAsia="MS Mincho"/>
                <w:b/>
              </w:rPr>
              <w:br/>
            </w:r>
            <w:r w:rsidRPr="00F00002">
              <w:rPr>
                <w:rFonts w:eastAsia="MS Mincho"/>
                <w:i/>
              </w:rPr>
              <w:t>(pre</w:t>
            </w:r>
            <w:r w:rsidR="00F00002">
              <w:rPr>
                <w:rFonts w:eastAsia="MS Mincho"/>
                <w:i/>
              </w:rPr>
              <w:noBreakHyphen/>
            </w:r>
            <w:r w:rsidRPr="00F00002">
              <w:rPr>
                <w:rFonts w:eastAsia="MS Mincho"/>
                <w:i/>
              </w:rPr>
              <w:t>1</w:t>
            </w:r>
            <w:r w:rsidR="00F00002">
              <w:rPr>
                <w:rFonts w:eastAsia="MS Mincho"/>
                <w:i/>
              </w:rPr>
              <w:t> </w:t>
            </w:r>
            <w:r w:rsidRPr="00F00002">
              <w:rPr>
                <w:rFonts w:eastAsia="MS Mincho"/>
                <w:i/>
              </w:rPr>
              <w:t>July 1988 taxable contributions)</w:t>
            </w:r>
          </w:p>
        </w:tc>
        <w:tc>
          <w:tcPr>
            <w:tcW w:w="4045" w:type="pct"/>
            <w:tcBorders>
              <w:top w:val="single" w:sz="4" w:space="0" w:color="auto"/>
              <w:bottom w:val="single" w:sz="12" w:space="0" w:color="auto"/>
            </w:tcBorders>
            <w:shd w:val="clear" w:color="auto" w:fill="auto"/>
          </w:tcPr>
          <w:p w:rsidR="001E08BD" w:rsidRPr="00F00002" w:rsidRDefault="001E08BD" w:rsidP="007C6A16">
            <w:pPr>
              <w:pStyle w:val="Tabletext"/>
              <w:ind w:left="400" w:hanging="400"/>
              <w:rPr>
                <w:rFonts w:eastAsia="MS Mincho"/>
              </w:rPr>
            </w:pPr>
            <w:r w:rsidRPr="00F00002">
              <w:rPr>
                <w:rFonts w:eastAsia="MS Mincho"/>
              </w:rPr>
              <w:t>4.1</w:t>
            </w:r>
            <w:r w:rsidRPr="00F00002">
              <w:rPr>
                <w:rFonts w:eastAsia="MS Mincho"/>
              </w:rPr>
              <w:tab/>
              <w:t>The superannuation provider must notify to the actuary the amount of taxable contributions that are used to fund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liabilities for the income year.</w:t>
            </w:r>
          </w:p>
          <w:p w:rsidR="001E08BD" w:rsidRPr="00F00002" w:rsidRDefault="001E08BD" w:rsidP="007C6A16">
            <w:pPr>
              <w:pStyle w:val="Tabletext"/>
              <w:ind w:left="400" w:hanging="400"/>
              <w:rPr>
                <w:rFonts w:eastAsia="MS Mincho"/>
              </w:rPr>
            </w:pPr>
            <w:r w:rsidRPr="00F00002">
              <w:rPr>
                <w:rFonts w:eastAsia="MS Mincho"/>
              </w:rPr>
              <w:t>4.2</w:t>
            </w:r>
            <w:r w:rsidRPr="00F00002">
              <w:rPr>
                <w:rFonts w:eastAsia="MS Mincho"/>
              </w:rPr>
              <w:tab/>
              <w:t>The superannuation provider must retain documentation to support calculations of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taxable contributions for not less than 5 years.</w:t>
            </w:r>
          </w:p>
          <w:p w:rsidR="001E08BD" w:rsidRPr="00F00002" w:rsidRDefault="001E08BD" w:rsidP="007C6A16">
            <w:pPr>
              <w:pStyle w:val="Tabletext"/>
              <w:ind w:left="400" w:hanging="400"/>
              <w:rPr>
                <w:rFonts w:eastAsia="MS Mincho"/>
              </w:rPr>
            </w:pPr>
            <w:r w:rsidRPr="00F00002">
              <w:rPr>
                <w:rFonts w:eastAsia="MS Mincho"/>
                <w:color w:val="000000"/>
              </w:rPr>
              <w:t>4.3</w:t>
            </w:r>
            <w:r w:rsidRPr="00F00002">
              <w:rPr>
                <w:rFonts w:eastAsia="MS Mincho"/>
                <w:color w:val="000000"/>
              </w:rPr>
              <w:tab/>
              <w:t xml:space="preserve">The </w:t>
            </w:r>
            <w:r w:rsidRPr="00F00002">
              <w:rPr>
                <w:rFonts w:eastAsia="MS Mincho"/>
              </w:rPr>
              <w:t>result</w:t>
            </w:r>
            <w:r w:rsidRPr="00F00002">
              <w:rPr>
                <w:rFonts w:eastAsia="MS Mincho"/>
                <w:color w:val="000000"/>
              </w:rPr>
              <w:t xml:space="preserve"> is the </w:t>
            </w:r>
            <w:r w:rsidRPr="00F00002">
              <w:rPr>
                <w:rFonts w:eastAsia="MS Mincho"/>
                <w:b/>
                <w:i/>
                <w:color w:val="000000"/>
              </w:rPr>
              <w:t>pre</w:t>
            </w:r>
            <w:r w:rsidR="00F00002">
              <w:rPr>
                <w:rFonts w:eastAsia="MS Mincho"/>
                <w:b/>
                <w:i/>
                <w:color w:val="000000"/>
              </w:rPr>
              <w:noBreakHyphen/>
            </w:r>
            <w:r w:rsidRPr="00F00002">
              <w:rPr>
                <w:rFonts w:eastAsia="MS Mincho"/>
                <w:b/>
                <w:i/>
                <w:color w:val="000000"/>
              </w:rPr>
              <w:t>1</w:t>
            </w:r>
            <w:r w:rsidR="00F00002">
              <w:rPr>
                <w:rFonts w:eastAsia="MS Mincho"/>
                <w:b/>
                <w:i/>
                <w:color w:val="000000"/>
              </w:rPr>
              <w:t> </w:t>
            </w:r>
            <w:r w:rsidRPr="00F00002">
              <w:rPr>
                <w:rFonts w:eastAsia="MS Mincho"/>
                <w:b/>
                <w:i/>
                <w:color w:val="000000"/>
              </w:rPr>
              <w:t>July 1988 taxable contributions</w:t>
            </w:r>
            <w:r w:rsidRPr="00F00002">
              <w:rPr>
                <w:rFonts w:eastAsia="MS Mincho"/>
                <w:color w:val="000000"/>
              </w:rPr>
              <w:t>.</w:t>
            </w:r>
          </w:p>
        </w:tc>
      </w:tr>
    </w:tbl>
    <w:p w:rsidR="00BB4501" w:rsidRPr="00F00002" w:rsidRDefault="00C933A3" w:rsidP="00E569F3">
      <w:pPr>
        <w:spacing w:before="240" w:after="120"/>
        <w:rPr>
          <w:b/>
        </w:rPr>
      </w:pPr>
      <w:r w:rsidRPr="00F00002">
        <w:rPr>
          <w:b/>
        </w:rPr>
        <w:t xml:space="preserve">Method 2  </w:t>
      </w:r>
      <w:r w:rsidR="00BB4501" w:rsidRPr="00F00002">
        <w:rPr>
          <w:b/>
        </w:rPr>
        <w:t>Notionally updated funding credit valuation process</w:t>
      </w:r>
    </w:p>
    <w:tbl>
      <w:tblPr>
        <w:tblW w:w="5000" w:type="pct"/>
        <w:tblBorders>
          <w:top w:val="single" w:sz="12" w:space="0" w:color="auto"/>
          <w:insideH w:val="single" w:sz="4" w:space="0" w:color="auto"/>
        </w:tblBorders>
        <w:tblLook w:val="01E0" w:firstRow="1" w:lastRow="1" w:firstColumn="1" w:lastColumn="1" w:noHBand="0" w:noVBand="0"/>
      </w:tblPr>
      <w:tblGrid>
        <w:gridCol w:w="1617"/>
        <w:gridCol w:w="6912"/>
      </w:tblGrid>
      <w:tr w:rsidR="001E08BD" w:rsidRPr="00F00002" w:rsidTr="000505B9">
        <w:trPr>
          <w:trHeight w:val="1800"/>
        </w:trPr>
        <w:tc>
          <w:tcPr>
            <w:tcW w:w="948" w:type="pct"/>
            <w:tcBorders>
              <w:top w:val="single" w:sz="12" w:space="0" w:color="auto"/>
              <w:bottom w:val="nil"/>
            </w:tcBorders>
            <w:shd w:val="clear" w:color="auto" w:fill="auto"/>
          </w:tcPr>
          <w:p w:rsidR="001E08BD" w:rsidRPr="00F00002" w:rsidRDefault="001E08BD" w:rsidP="00B83BCB">
            <w:pPr>
              <w:pStyle w:val="Tabletext"/>
              <w:rPr>
                <w:rFonts w:eastAsia="MS Mincho"/>
                <w:i/>
              </w:rPr>
            </w:pPr>
            <w:r w:rsidRPr="00F00002">
              <w:rPr>
                <w:rFonts w:eastAsia="MS Mincho"/>
                <w:b/>
              </w:rPr>
              <w:lastRenderedPageBreak/>
              <w:t>Step 1</w:t>
            </w:r>
            <w:r w:rsidRPr="00F00002">
              <w:rPr>
                <w:rFonts w:eastAsia="MS Mincho"/>
                <w:b/>
              </w:rPr>
              <w:br/>
            </w:r>
            <w:r w:rsidRPr="00F00002">
              <w:rPr>
                <w:rFonts w:eastAsia="MS Mincho"/>
                <w:i/>
              </w:rPr>
              <w:t>(notionally update value of liabilities)</w:t>
            </w:r>
          </w:p>
        </w:tc>
        <w:tc>
          <w:tcPr>
            <w:tcW w:w="4052" w:type="pct"/>
            <w:tcBorders>
              <w:top w:val="single" w:sz="12" w:space="0" w:color="auto"/>
              <w:bottom w:val="nil"/>
            </w:tcBorders>
            <w:shd w:val="clear" w:color="auto" w:fill="auto"/>
          </w:tcPr>
          <w:p w:rsidR="001E08BD" w:rsidRPr="00F00002" w:rsidRDefault="001E08BD" w:rsidP="00B83BCB">
            <w:pPr>
              <w:pStyle w:val="Tabletext"/>
              <w:ind w:left="400" w:hanging="400"/>
              <w:rPr>
                <w:rFonts w:eastAsia="MS Mincho"/>
              </w:rPr>
            </w:pPr>
            <w:r w:rsidRPr="00F00002">
              <w:rPr>
                <w:rFonts w:eastAsia="MS Mincho"/>
                <w:color w:val="000000"/>
              </w:rPr>
              <w:t>1.1</w:t>
            </w:r>
            <w:r w:rsidRPr="00F00002">
              <w:rPr>
                <w:rFonts w:eastAsia="MS Mincho"/>
                <w:color w:val="000000"/>
              </w:rPr>
              <w:tab/>
              <w:t>The actuary must notionally adjust the value of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 xml:space="preserve">July </w:t>
            </w:r>
            <w:r w:rsidRPr="00F00002">
              <w:rPr>
                <w:rFonts w:eastAsia="MS Mincho"/>
              </w:rPr>
              <w:t>1988</w:t>
            </w:r>
            <w:r w:rsidRPr="00F00002">
              <w:rPr>
                <w:rFonts w:eastAsia="MS Mincho"/>
                <w:color w:val="000000"/>
              </w:rPr>
              <w:t xml:space="preserve"> liabilities from the start of the previous year to the start of the current income year, taking into </w:t>
            </w:r>
            <w:r w:rsidRPr="00F00002">
              <w:rPr>
                <w:rFonts w:eastAsia="MS Mincho"/>
              </w:rPr>
              <w:t>account</w:t>
            </w:r>
            <w:r w:rsidRPr="00F00002">
              <w:rPr>
                <w:rFonts w:eastAsia="MS Mincho"/>
                <w:color w:val="000000"/>
              </w:rPr>
              <w:t xml:space="preserve"> any factors likely to affect the value of the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w:t>
            </w:r>
          </w:p>
          <w:p w:rsidR="001E08BD" w:rsidRPr="00F00002" w:rsidRDefault="001E08BD" w:rsidP="00B83BCB">
            <w:pPr>
              <w:pStyle w:val="Tabletext"/>
              <w:ind w:left="400" w:hanging="400"/>
              <w:rPr>
                <w:rFonts w:eastAsia="MS Mincho"/>
              </w:rPr>
            </w:pPr>
            <w:r w:rsidRPr="00F00002">
              <w:rPr>
                <w:rFonts w:eastAsia="MS Mincho"/>
                <w:color w:val="000000"/>
              </w:rPr>
              <w:t>1.2</w:t>
            </w:r>
            <w:r w:rsidRPr="00F00002">
              <w:rPr>
                <w:rFonts w:eastAsia="MS Mincho"/>
                <w:color w:val="000000"/>
              </w:rPr>
              <w:tab/>
              <w:t>In making a calculation under item</w:t>
            </w:r>
            <w:r w:rsidR="00F00002">
              <w:rPr>
                <w:rFonts w:eastAsia="MS Mincho"/>
                <w:color w:val="000000"/>
              </w:rPr>
              <w:t> </w:t>
            </w:r>
            <w:r w:rsidRPr="00F00002">
              <w:rPr>
                <w:rFonts w:eastAsia="MS Mincho"/>
                <w:color w:val="000000"/>
              </w:rPr>
              <w:t xml:space="preserve">1.1 the actuary must have regard to the </w:t>
            </w:r>
            <w:r w:rsidRPr="00F00002">
              <w:rPr>
                <w:color w:val="000000"/>
              </w:rPr>
              <w:t xml:space="preserve">valuation basis that would be used by the </w:t>
            </w:r>
            <w:r w:rsidRPr="00F00002">
              <w:rPr>
                <w:rFonts w:eastAsia="MS Mincho"/>
              </w:rPr>
              <w:t>fund</w:t>
            </w:r>
            <w:r w:rsidRPr="00F00002">
              <w:rPr>
                <w:color w:val="000000"/>
              </w:rPr>
              <w:t xml:space="preserve"> if method 1 were being used.</w:t>
            </w:r>
          </w:p>
        </w:tc>
      </w:tr>
      <w:tr w:rsidR="00B83BCB" w:rsidRPr="00F00002" w:rsidTr="000505B9">
        <w:trPr>
          <w:trHeight w:val="2340"/>
        </w:trPr>
        <w:tc>
          <w:tcPr>
            <w:tcW w:w="948" w:type="pct"/>
            <w:tcBorders>
              <w:top w:val="nil"/>
              <w:bottom w:val="single" w:sz="4" w:space="0" w:color="auto"/>
            </w:tcBorders>
            <w:shd w:val="clear" w:color="auto" w:fill="auto"/>
          </w:tcPr>
          <w:p w:rsidR="00B83BCB" w:rsidRPr="00F00002" w:rsidRDefault="00B83BCB" w:rsidP="00B83BCB">
            <w:pPr>
              <w:pStyle w:val="Tabletext"/>
              <w:keepNext/>
              <w:keepLines/>
              <w:rPr>
                <w:rFonts w:eastAsia="MS Mincho"/>
                <w:b/>
              </w:rPr>
            </w:pPr>
          </w:p>
        </w:tc>
        <w:tc>
          <w:tcPr>
            <w:tcW w:w="4052" w:type="pct"/>
            <w:tcBorders>
              <w:top w:val="nil"/>
              <w:bottom w:val="single" w:sz="4" w:space="0" w:color="auto"/>
            </w:tcBorders>
            <w:shd w:val="clear" w:color="auto" w:fill="auto"/>
          </w:tcPr>
          <w:p w:rsidR="00B83BCB" w:rsidRPr="00F00002" w:rsidRDefault="00B83BCB" w:rsidP="00B83BCB">
            <w:pPr>
              <w:pStyle w:val="Tabletext"/>
              <w:keepNext/>
              <w:keepLines/>
              <w:ind w:left="400" w:hanging="400"/>
              <w:rPr>
                <w:rFonts w:eastAsia="MS Mincho"/>
              </w:rPr>
            </w:pPr>
            <w:r w:rsidRPr="00F00002">
              <w:rPr>
                <w:color w:val="000000"/>
              </w:rPr>
              <w:t>1.3</w:t>
            </w:r>
            <w:r w:rsidRPr="00F00002">
              <w:rPr>
                <w:color w:val="000000"/>
              </w:rPr>
              <w:tab/>
            </w:r>
            <w:r w:rsidRPr="00F00002">
              <w:rPr>
                <w:rFonts w:eastAsia="MS Mincho"/>
                <w:color w:val="000000"/>
              </w:rPr>
              <w:t>In making a calculation under item</w:t>
            </w:r>
            <w:r w:rsidR="00F00002">
              <w:rPr>
                <w:rFonts w:eastAsia="MS Mincho"/>
                <w:color w:val="000000"/>
              </w:rPr>
              <w:t> </w:t>
            </w:r>
            <w:r w:rsidRPr="00F00002">
              <w:rPr>
                <w:rFonts w:eastAsia="MS Mincho"/>
                <w:color w:val="000000"/>
              </w:rPr>
              <w:t xml:space="preserve">1.1 the actuary must have regard to actual experience gained from the operation of the fund if the experience is </w:t>
            </w:r>
            <w:r w:rsidRPr="00F00002">
              <w:rPr>
                <w:rFonts w:eastAsia="MS Mincho"/>
              </w:rPr>
              <w:t>materially</w:t>
            </w:r>
            <w:r w:rsidRPr="00F00002">
              <w:rPr>
                <w:rFonts w:eastAsia="MS Mincho"/>
                <w:color w:val="000000"/>
              </w:rPr>
              <w:t xml:space="preserve"> different from valuation assumptions used in the calculation of the previous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w:t>
            </w:r>
          </w:p>
          <w:p w:rsidR="00B83BCB" w:rsidRPr="00F00002" w:rsidRDefault="00B83BCB" w:rsidP="00B83BCB">
            <w:pPr>
              <w:pStyle w:val="Tabletext"/>
              <w:keepNext/>
              <w:keepLines/>
              <w:ind w:left="400" w:hanging="400"/>
              <w:rPr>
                <w:rFonts w:eastAsia="MS Mincho"/>
              </w:rPr>
            </w:pPr>
            <w:r w:rsidRPr="00F00002">
              <w:rPr>
                <w:rFonts w:eastAsia="MS Mincho"/>
                <w:color w:val="000000"/>
              </w:rPr>
              <w:t>1.4</w:t>
            </w:r>
            <w:r w:rsidRPr="00F00002">
              <w:rPr>
                <w:rFonts w:eastAsia="MS Mincho"/>
                <w:color w:val="000000"/>
              </w:rPr>
              <w:tab/>
              <w:t xml:space="preserve">The actuary must retain documentation of the notional </w:t>
            </w:r>
            <w:r w:rsidRPr="00F00002">
              <w:rPr>
                <w:rFonts w:eastAsia="MS Mincho"/>
              </w:rPr>
              <w:t>updating</w:t>
            </w:r>
            <w:r w:rsidRPr="00F00002">
              <w:rPr>
                <w:rFonts w:eastAsia="MS Mincho"/>
                <w:color w:val="000000"/>
              </w:rPr>
              <w:t xml:space="preserve"> of </w:t>
            </w:r>
            <w:r w:rsidRPr="00F00002">
              <w:rPr>
                <w:rFonts w:eastAsia="MS Mincho"/>
              </w:rPr>
              <w:t>the</w:t>
            </w:r>
            <w:r w:rsidRPr="00F00002">
              <w:rPr>
                <w:rFonts w:eastAsia="MS Mincho"/>
                <w:color w:val="000000"/>
              </w:rPr>
              <w:t xml:space="preserve">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liability valuation calculations for not less than 5 years.</w:t>
            </w:r>
          </w:p>
          <w:p w:rsidR="00B83BCB" w:rsidRPr="00F00002" w:rsidRDefault="00B83BCB" w:rsidP="00B83BCB">
            <w:pPr>
              <w:pStyle w:val="Tabletext"/>
              <w:keepNext/>
              <w:keepLines/>
              <w:ind w:left="400" w:hanging="400"/>
              <w:rPr>
                <w:rFonts w:eastAsia="MS Mincho"/>
                <w:color w:val="000000"/>
              </w:rPr>
            </w:pPr>
            <w:r w:rsidRPr="00F00002">
              <w:rPr>
                <w:rFonts w:eastAsia="MS Mincho"/>
                <w:color w:val="000000"/>
              </w:rPr>
              <w:t>1.5</w:t>
            </w:r>
            <w:r w:rsidRPr="00F00002">
              <w:rPr>
                <w:rFonts w:eastAsia="MS Mincho"/>
                <w:color w:val="000000"/>
              </w:rPr>
              <w:tab/>
              <w:t xml:space="preserve">The result is the </w:t>
            </w:r>
            <w:r w:rsidRPr="00F00002">
              <w:rPr>
                <w:rFonts w:eastAsia="MS Mincho"/>
                <w:b/>
                <w:i/>
                <w:color w:val="000000"/>
              </w:rPr>
              <w:t>notionally updated value of pre</w:t>
            </w:r>
            <w:r w:rsidR="00F00002">
              <w:rPr>
                <w:rFonts w:eastAsia="MS Mincho"/>
                <w:b/>
                <w:i/>
                <w:color w:val="000000"/>
              </w:rPr>
              <w:noBreakHyphen/>
            </w:r>
            <w:r w:rsidRPr="00F00002">
              <w:rPr>
                <w:rFonts w:eastAsia="MS Mincho"/>
                <w:b/>
                <w:i/>
                <w:color w:val="000000"/>
              </w:rPr>
              <w:t>1</w:t>
            </w:r>
            <w:r w:rsidR="00F00002">
              <w:rPr>
                <w:rFonts w:eastAsia="MS Mincho"/>
                <w:b/>
                <w:i/>
                <w:color w:val="000000"/>
              </w:rPr>
              <w:t> </w:t>
            </w:r>
            <w:r w:rsidRPr="00F00002">
              <w:rPr>
                <w:rFonts w:eastAsia="MS Mincho"/>
                <w:b/>
                <w:i/>
                <w:color w:val="000000"/>
              </w:rPr>
              <w:t xml:space="preserve">July 1988 </w:t>
            </w:r>
            <w:r w:rsidRPr="00F00002">
              <w:rPr>
                <w:rFonts w:eastAsia="MS Mincho"/>
              </w:rPr>
              <w:t>liabilities</w:t>
            </w:r>
            <w:r w:rsidRPr="00F00002">
              <w:rPr>
                <w:rFonts w:eastAsia="MS Mincho"/>
                <w:color w:val="000000"/>
              </w:rPr>
              <w:t xml:space="preserve"> for the income year.</w:t>
            </w:r>
          </w:p>
        </w:tc>
      </w:tr>
      <w:tr w:rsidR="001E08BD" w:rsidRPr="00F00002" w:rsidTr="000505B9">
        <w:trPr>
          <w:trHeight w:val="4750"/>
        </w:trPr>
        <w:tc>
          <w:tcPr>
            <w:tcW w:w="948" w:type="pct"/>
            <w:tcBorders>
              <w:top w:val="single" w:sz="4" w:space="0" w:color="auto"/>
              <w:bottom w:val="single" w:sz="4" w:space="0" w:color="auto"/>
            </w:tcBorders>
            <w:shd w:val="clear" w:color="auto" w:fill="auto"/>
          </w:tcPr>
          <w:p w:rsidR="001E08BD" w:rsidRPr="00F00002" w:rsidRDefault="001E08BD" w:rsidP="006100B2">
            <w:pPr>
              <w:pStyle w:val="Tabletext"/>
              <w:rPr>
                <w:rFonts w:eastAsia="MS Mincho"/>
                <w:b/>
              </w:rPr>
            </w:pPr>
            <w:r w:rsidRPr="00F00002">
              <w:rPr>
                <w:rFonts w:eastAsia="MS Mincho"/>
                <w:b/>
              </w:rPr>
              <w:t>Step 2</w:t>
            </w:r>
            <w:r w:rsidRPr="00F00002">
              <w:rPr>
                <w:rFonts w:eastAsia="MS Mincho"/>
                <w:b/>
              </w:rPr>
              <w:br/>
            </w:r>
            <w:r w:rsidRPr="00F00002">
              <w:rPr>
                <w:rFonts w:eastAsia="MS Mincho"/>
                <w:i/>
              </w:rPr>
              <w:t>(notionally update apportionment of assets)</w:t>
            </w:r>
          </w:p>
        </w:tc>
        <w:tc>
          <w:tcPr>
            <w:tcW w:w="4052" w:type="pct"/>
            <w:tcBorders>
              <w:top w:val="single" w:sz="4" w:space="0" w:color="auto"/>
              <w:bottom w:val="single" w:sz="4" w:space="0" w:color="auto"/>
            </w:tcBorders>
            <w:shd w:val="clear" w:color="auto" w:fill="auto"/>
          </w:tcPr>
          <w:p w:rsidR="001E08BD" w:rsidRPr="00F00002" w:rsidRDefault="001E08BD" w:rsidP="006100B2">
            <w:pPr>
              <w:pStyle w:val="Tabletext"/>
              <w:ind w:left="400" w:hanging="400"/>
              <w:rPr>
                <w:rFonts w:eastAsia="MS Mincho"/>
              </w:rPr>
            </w:pPr>
            <w:r w:rsidRPr="00F00002">
              <w:rPr>
                <w:rFonts w:eastAsia="MS Mincho"/>
                <w:color w:val="000000"/>
              </w:rPr>
              <w:t>2.1</w:t>
            </w:r>
            <w:r w:rsidRPr="00F00002">
              <w:rPr>
                <w:rFonts w:eastAsia="MS Mincho"/>
                <w:color w:val="000000"/>
              </w:rPr>
              <w:tab/>
              <w:t xml:space="preserve">The actuary must notionally adjust the amount of the assets </w:t>
            </w:r>
            <w:r w:rsidRPr="00F00002">
              <w:rPr>
                <w:rFonts w:eastAsia="MS Mincho"/>
              </w:rPr>
              <w:t>available</w:t>
            </w:r>
            <w:r w:rsidRPr="00F00002">
              <w:rPr>
                <w:rFonts w:eastAsia="MS Mincho"/>
                <w:color w:val="000000"/>
              </w:rPr>
              <w:t xml:space="preserve"> to fund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 from the start of the previous year to the start of the current income year, taking into account any factors likely to affect the amount of the assets available to fund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w:t>
            </w:r>
          </w:p>
          <w:p w:rsidR="001E08BD" w:rsidRPr="00F00002" w:rsidRDefault="001E08BD" w:rsidP="006100B2">
            <w:pPr>
              <w:pStyle w:val="Tabletext"/>
              <w:ind w:left="400" w:hanging="400"/>
              <w:rPr>
                <w:rFonts w:eastAsia="MS Mincho"/>
              </w:rPr>
            </w:pPr>
            <w:r w:rsidRPr="00F00002">
              <w:rPr>
                <w:rFonts w:eastAsia="MS Mincho"/>
                <w:color w:val="000000"/>
              </w:rPr>
              <w:t>2.2</w:t>
            </w:r>
            <w:r w:rsidRPr="00F00002">
              <w:rPr>
                <w:rFonts w:eastAsia="MS Mincho"/>
                <w:color w:val="000000"/>
              </w:rPr>
              <w:tab/>
            </w:r>
            <w:r w:rsidRPr="00F00002">
              <w:rPr>
                <w:rFonts w:eastAsia="MS Mincho"/>
              </w:rPr>
              <w:t>Add</w:t>
            </w:r>
            <w:r w:rsidRPr="00F00002">
              <w:rPr>
                <w:rFonts w:eastAsia="MS Mincho"/>
                <w:color w:val="000000"/>
              </w:rPr>
              <w:t xml:space="preserve"> taxable </w:t>
            </w:r>
            <w:r w:rsidRPr="00F00002">
              <w:rPr>
                <w:rFonts w:eastAsia="MS Mincho"/>
              </w:rPr>
              <w:t>contributions</w:t>
            </w:r>
            <w:r w:rsidRPr="00F00002">
              <w:rPr>
                <w:rFonts w:eastAsia="MS Mincho"/>
                <w:color w:val="000000"/>
              </w:rPr>
              <w:t xml:space="preserve"> allocated to fund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taxed liabilities in the previous income year.</w:t>
            </w:r>
          </w:p>
          <w:p w:rsidR="001E08BD" w:rsidRPr="00F00002" w:rsidRDefault="001E08BD" w:rsidP="006100B2">
            <w:pPr>
              <w:pStyle w:val="Tabletext"/>
              <w:ind w:left="400" w:hanging="400"/>
              <w:rPr>
                <w:rFonts w:eastAsia="MS Mincho"/>
              </w:rPr>
            </w:pPr>
            <w:r w:rsidRPr="00F00002">
              <w:rPr>
                <w:rFonts w:eastAsia="MS Mincho"/>
                <w:color w:val="000000"/>
              </w:rPr>
              <w:t>2.3</w:t>
            </w:r>
            <w:r w:rsidRPr="00F00002">
              <w:rPr>
                <w:rFonts w:eastAsia="MS Mincho"/>
                <w:color w:val="000000"/>
              </w:rPr>
              <w:tab/>
            </w:r>
            <w:r w:rsidRPr="00F00002">
              <w:rPr>
                <w:rFonts w:eastAsia="MS Mincho"/>
              </w:rPr>
              <w:t>Deduct</w:t>
            </w:r>
            <w:r w:rsidRPr="00F00002">
              <w:rPr>
                <w:rFonts w:eastAsia="MS Mincho"/>
                <w:color w:val="000000"/>
              </w:rPr>
              <w:t xml:space="preserve"> the employer financed component of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 xml:space="preserve">July 1988 taxed </w:t>
            </w:r>
            <w:r w:rsidRPr="00F00002">
              <w:rPr>
                <w:rFonts w:eastAsia="MS Mincho"/>
              </w:rPr>
              <w:t>benefits</w:t>
            </w:r>
            <w:r w:rsidRPr="00F00002">
              <w:rPr>
                <w:rFonts w:eastAsia="MS Mincho"/>
                <w:color w:val="000000"/>
              </w:rPr>
              <w:t xml:space="preserve"> paid out during the previous income year.</w:t>
            </w:r>
          </w:p>
          <w:p w:rsidR="001E08BD" w:rsidRPr="00F00002" w:rsidRDefault="001E08BD" w:rsidP="006100B2">
            <w:pPr>
              <w:pStyle w:val="Tabletext"/>
              <w:ind w:left="400" w:hanging="400"/>
              <w:rPr>
                <w:rFonts w:eastAsia="MS Mincho"/>
              </w:rPr>
            </w:pPr>
            <w:r w:rsidRPr="00F00002">
              <w:rPr>
                <w:rFonts w:eastAsia="MS Mincho"/>
                <w:color w:val="000000"/>
              </w:rPr>
              <w:t>2.4</w:t>
            </w:r>
            <w:r w:rsidRPr="00F00002">
              <w:rPr>
                <w:rFonts w:eastAsia="MS Mincho"/>
                <w:color w:val="000000"/>
              </w:rPr>
              <w:tab/>
              <w:t xml:space="preserve">Add actual investment earnings net of the tax and expenses </w:t>
            </w:r>
            <w:r w:rsidRPr="00F00002">
              <w:rPr>
                <w:rFonts w:eastAsia="MS Mincho"/>
              </w:rPr>
              <w:t>relating</w:t>
            </w:r>
            <w:r w:rsidRPr="00F00002">
              <w:rPr>
                <w:rFonts w:eastAsia="MS Mincho"/>
                <w:color w:val="000000"/>
              </w:rPr>
              <w:t xml:space="preserve"> to investment income for the previous income year using a basis that is consistent with the underlying investment earnings achieved and normal practices of the superannuation fund.</w:t>
            </w:r>
          </w:p>
          <w:p w:rsidR="001E08BD" w:rsidRPr="00F00002" w:rsidRDefault="001E08BD" w:rsidP="006100B2">
            <w:pPr>
              <w:pStyle w:val="Tabletext"/>
              <w:ind w:left="400" w:hanging="400"/>
              <w:rPr>
                <w:rFonts w:eastAsia="MS Mincho"/>
                <w:color w:val="000000"/>
              </w:rPr>
            </w:pPr>
            <w:r w:rsidRPr="00F00002">
              <w:rPr>
                <w:rFonts w:eastAsia="MS Mincho"/>
                <w:color w:val="000000"/>
              </w:rPr>
              <w:t>2.5</w:t>
            </w:r>
            <w:r w:rsidRPr="00F00002">
              <w:rPr>
                <w:rFonts w:eastAsia="MS Mincho"/>
                <w:color w:val="000000"/>
              </w:rPr>
              <w:tab/>
              <w:t xml:space="preserve">The actuary must retain documentation to support notional </w:t>
            </w:r>
            <w:r w:rsidRPr="00F00002">
              <w:rPr>
                <w:rFonts w:eastAsia="MS Mincho"/>
              </w:rPr>
              <w:t>updating</w:t>
            </w:r>
            <w:r w:rsidRPr="00F00002">
              <w:rPr>
                <w:rFonts w:eastAsia="MS Mincho"/>
                <w:color w:val="000000"/>
              </w:rPr>
              <w:t xml:space="preserve"> of the amount of assets available to fund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rPr>
              <w:t>July</w:t>
            </w:r>
            <w:r w:rsidRPr="00F00002">
              <w:rPr>
                <w:rFonts w:eastAsia="MS Mincho"/>
                <w:color w:val="000000"/>
              </w:rPr>
              <w:t xml:space="preserve"> 1988 liabilities for not less than 5 years.</w:t>
            </w:r>
          </w:p>
          <w:p w:rsidR="001E08BD" w:rsidRPr="00F00002" w:rsidRDefault="001E08BD" w:rsidP="006100B2">
            <w:pPr>
              <w:pStyle w:val="Tabletext"/>
              <w:ind w:left="400" w:hanging="400"/>
              <w:rPr>
                <w:rFonts w:eastAsia="MS Mincho"/>
              </w:rPr>
            </w:pPr>
            <w:r w:rsidRPr="00F00002">
              <w:rPr>
                <w:rFonts w:eastAsia="MS Mincho"/>
                <w:color w:val="000000"/>
              </w:rPr>
              <w:t>2.6</w:t>
            </w:r>
            <w:r w:rsidRPr="00F00002">
              <w:rPr>
                <w:rFonts w:eastAsia="MS Mincho"/>
                <w:color w:val="000000"/>
              </w:rPr>
              <w:tab/>
              <w:t xml:space="preserve">The </w:t>
            </w:r>
            <w:r w:rsidRPr="00F00002">
              <w:rPr>
                <w:rFonts w:eastAsia="MS Mincho"/>
              </w:rPr>
              <w:t>result</w:t>
            </w:r>
            <w:r w:rsidRPr="00F00002">
              <w:rPr>
                <w:rFonts w:eastAsia="MS Mincho"/>
                <w:color w:val="000000"/>
              </w:rPr>
              <w:t xml:space="preserve"> is the </w:t>
            </w:r>
            <w:r w:rsidRPr="00F00002">
              <w:rPr>
                <w:rFonts w:eastAsia="MS Mincho"/>
              </w:rPr>
              <w:t>notionally</w:t>
            </w:r>
            <w:r w:rsidRPr="00F00002">
              <w:rPr>
                <w:rFonts w:eastAsia="MS Mincho"/>
                <w:b/>
                <w:i/>
                <w:color w:val="000000"/>
              </w:rPr>
              <w:t xml:space="preserve"> updated amount of assets available to fund pre</w:t>
            </w:r>
            <w:r w:rsidR="00F00002">
              <w:rPr>
                <w:rFonts w:eastAsia="MS Mincho"/>
                <w:b/>
                <w:i/>
                <w:color w:val="000000"/>
              </w:rPr>
              <w:noBreakHyphen/>
            </w:r>
            <w:r w:rsidRPr="00F00002">
              <w:rPr>
                <w:rFonts w:eastAsia="MS Mincho"/>
                <w:b/>
                <w:i/>
                <w:color w:val="000000"/>
              </w:rPr>
              <w:t>1</w:t>
            </w:r>
            <w:r w:rsidR="00F00002">
              <w:rPr>
                <w:rFonts w:eastAsia="MS Mincho"/>
                <w:b/>
                <w:i/>
                <w:color w:val="000000"/>
              </w:rPr>
              <w:t> </w:t>
            </w:r>
            <w:r w:rsidRPr="00F00002">
              <w:rPr>
                <w:rFonts w:eastAsia="MS Mincho"/>
                <w:b/>
                <w:i/>
                <w:color w:val="000000"/>
              </w:rPr>
              <w:t>July 1988 liabilities</w:t>
            </w:r>
            <w:r w:rsidRPr="00F00002">
              <w:rPr>
                <w:rFonts w:eastAsia="MS Mincho"/>
                <w:color w:val="000000"/>
              </w:rPr>
              <w:t>.</w:t>
            </w:r>
          </w:p>
        </w:tc>
      </w:tr>
      <w:tr w:rsidR="001E08BD" w:rsidRPr="00F00002" w:rsidTr="000505B9">
        <w:trPr>
          <w:trHeight w:val="1350"/>
        </w:trPr>
        <w:tc>
          <w:tcPr>
            <w:tcW w:w="948" w:type="pct"/>
            <w:tcBorders>
              <w:top w:val="single" w:sz="4" w:space="0" w:color="auto"/>
              <w:bottom w:val="single" w:sz="4" w:space="0" w:color="auto"/>
            </w:tcBorders>
            <w:shd w:val="clear" w:color="auto" w:fill="auto"/>
          </w:tcPr>
          <w:p w:rsidR="001E08BD" w:rsidRPr="00F00002" w:rsidRDefault="001E08BD" w:rsidP="006100B2">
            <w:pPr>
              <w:pStyle w:val="Tabletext"/>
              <w:rPr>
                <w:rFonts w:eastAsia="MS Mincho"/>
                <w:i/>
                <w:color w:val="000000"/>
              </w:rPr>
            </w:pPr>
            <w:bookmarkStart w:id="103" w:name="CU_494351"/>
            <w:bookmarkStart w:id="104" w:name="CU_491305"/>
            <w:bookmarkEnd w:id="103"/>
            <w:bookmarkEnd w:id="104"/>
            <w:r w:rsidRPr="00F00002">
              <w:rPr>
                <w:rFonts w:eastAsia="MS Mincho"/>
                <w:b/>
              </w:rPr>
              <w:t>Step 3</w:t>
            </w:r>
            <w:r w:rsidRPr="00F00002">
              <w:rPr>
                <w:rFonts w:eastAsia="MS Mincho"/>
                <w:b/>
              </w:rPr>
              <w:br/>
            </w:r>
            <w:r w:rsidRPr="00F00002">
              <w:rPr>
                <w:rFonts w:eastAsia="MS Mincho"/>
                <w:i/>
              </w:rPr>
              <w:t>(unfunded pre</w:t>
            </w:r>
            <w:r w:rsidR="00F00002">
              <w:rPr>
                <w:rFonts w:eastAsia="MS Mincho"/>
                <w:i/>
              </w:rPr>
              <w:noBreakHyphen/>
            </w:r>
            <w:r w:rsidRPr="00F00002">
              <w:rPr>
                <w:rFonts w:eastAsia="MS Mincho"/>
                <w:i/>
              </w:rPr>
              <w:t>1</w:t>
            </w:r>
            <w:r w:rsidR="00F00002">
              <w:rPr>
                <w:rFonts w:eastAsia="MS Mincho"/>
                <w:i/>
              </w:rPr>
              <w:t> </w:t>
            </w:r>
            <w:r w:rsidRPr="00F00002">
              <w:rPr>
                <w:rFonts w:eastAsia="MS Mincho"/>
                <w:i/>
              </w:rPr>
              <w:t>July 1988 liabilities)</w:t>
            </w:r>
          </w:p>
        </w:tc>
        <w:tc>
          <w:tcPr>
            <w:tcW w:w="4052" w:type="pct"/>
            <w:tcBorders>
              <w:top w:val="single" w:sz="4" w:space="0" w:color="auto"/>
              <w:bottom w:val="single" w:sz="4" w:space="0" w:color="auto"/>
            </w:tcBorders>
            <w:shd w:val="clear" w:color="auto" w:fill="auto"/>
          </w:tcPr>
          <w:p w:rsidR="001E08BD" w:rsidRPr="00F00002" w:rsidRDefault="001E08BD" w:rsidP="006100B2">
            <w:pPr>
              <w:pStyle w:val="Tabletext"/>
              <w:ind w:left="400" w:hanging="400"/>
              <w:rPr>
                <w:rFonts w:eastAsia="MS Mincho"/>
              </w:rPr>
            </w:pPr>
            <w:r w:rsidRPr="00F00002">
              <w:rPr>
                <w:rFonts w:eastAsia="MS Mincho"/>
                <w:color w:val="000000"/>
              </w:rPr>
              <w:t>3.1</w:t>
            </w:r>
            <w:r w:rsidRPr="00F00002">
              <w:rPr>
                <w:rFonts w:eastAsia="MS Mincho"/>
                <w:color w:val="000000"/>
              </w:rPr>
              <w:tab/>
            </w:r>
            <w:r w:rsidRPr="00F00002">
              <w:rPr>
                <w:rFonts w:eastAsia="MS Mincho"/>
              </w:rPr>
              <w:t>Deduct</w:t>
            </w:r>
            <w:r w:rsidRPr="00F00002">
              <w:rPr>
                <w:rFonts w:eastAsia="MS Mincho"/>
                <w:color w:val="000000"/>
              </w:rPr>
              <w:t xml:space="preserve"> the notionally updated amount of assets available to fund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 from the notionally updated value of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w:t>
            </w:r>
          </w:p>
          <w:p w:rsidR="001E08BD" w:rsidRPr="00F00002" w:rsidRDefault="001E08BD" w:rsidP="006100B2">
            <w:pPr>
              <w:pStyle w:val="Tabletext"/>
              <w:ind w:left="400" w:hanging="400"/>
              <w:rPr>
                <w:rFonts w:eastAsia="MS Mincho"/>
              </w:rPr>
            </w:pPr>
            <w:r w:rsidRPr="00F00002">
              <w:rPr>
                <w:rFonts w:eastAsia="MS Mincho"/>
              </w:rPr>
              <w:t>3.2</w:t>
            </w:r>
            <w:r w:rsidRPr="00F00002">
              <w:rPr>
                <w:rFonts w:eastAsia="MS Mincho"/>
              </w:rPr>
              <w:tab/>
              <w:t xml:space="preserve">The result is the </w:t>
            </w:r>
            <w:r w:rsidRPr="00F00002">
              <w:rPr>
                <w:rFonts w:eastAsia="MS Mincho"/>
                <w:b/>
                <w:i/>
              </w:rPr>
              <w:t>value of unfunded pre</w:t>
            </w:r>
            <w:r w:rsidR="00F00002">
              <w:rPr>
                <w:rFonts w:eastAsia="MS Mincho"/>
                <w:b/>
                <w:i/>
              </w:rPr>
              <w:noBreakHyphen/>
            </w:r>
            <w:r w:rsidRPr="00F00002">
              <w:rPr>
                <w:rFonts w:eastAsia="MS Mincho"/>
                <w:b/>
                <w:i/>
              </w:rPr>
              <w:t>1</w:t>
            </w:r>
            <w:r w:rsidR="00F00002">
              <w:rPr>
                <w:rFonts w:eastAsia="MS Mincho"/>
                <w:b/>
                <w:i/>
              </w:rPr>
              <w:t> </w:t>
            </w:r>
            <w:r w:rsidRPr="00F00002">
              <w:rPr>
                <w:rFonts w:eastAsia="MS Mincho"/>
                <w:b/>
                <w:i/>
              </w:rPr>
              <w:t>July 1988 liabilities</w:t>
            </w:r>
            <w:r w:rsidRPr="00F00002">
              <w:rPr>
                <w:rFonts w:eastAsia="MS Mincho"/>
              </w:rPr>
              <w:t xml:space="preserve"> for the income year.</w:t>
            </w:r>
          </w:p>
        </w:tc>
      </w:tr>
      <w:tr w:rsidR="001E08BD" w:rsidRPr="00F00002" w:rsidTr="000505B9">
        <w:trPr>
          <w:trHeight w:val="1900"/>
        </w:trPr>
        <w:tc>
          <w:tcPr>
            <w:tcW w:w="948" w:type="pct"/>
            <w:tcBorders>
              <w:top w:val="single" w:sz="4" w:space="0" w:color="auto"/>
              <w:bottom w:val="single" w:sz="12" w:space="0" w:color="auto"/>
            </w:tcBorders>
            <w:shd w:val="clear" w:color="auto" w:fill="auto"/>
          </w:tcPr>
          <w:p w:rsidR="001E08BD" w:rsidRPr="00F00002" w:rsidRDefault="001E08BD" w:rsidP="006100B2">
            <w:pPr>
              <w:pStyle w:val="Tabletext"/>
              <w:rPr>
                <w:rFonts w:eastAsia="MS Mincho"/>
                <w:b/>
              </w:rPr>
            </w:pPr>
            <w:r w:rsidRPr="00F00002">
              <w:rPr>
                <w:rFonts w:eastAsia="MS Mincho"/>
                <w:b/>
              </w:rPr>
              <w:lastRenderedPageBreak/>
              <w:t>Step 4</w:t>
            </w:r>
          </w:p>
          <w:p w:rsidR="001E08BD" w:rsidRPr="00F00002" w:rsidRDefault="001E08BD" w:rsidP="006100B2">
            <w:pPr>
              <w:pStyle w:val="Tabletext"/>
              <w:rPr>
                <w:rFonts w:eastAsia="MS Mincho"/>
                <w:i/>
                <w:color w:val="000000"/>
              </w:rPr>
            </w:pPr>
            <w:r w:rsidRPr="00F00002">
              <w:rPr>
                <w:rFonts w:eastAsia="MS Mincho"/>
                <w:i/>
              </w:rPr>
              <w:t>(pre</w:t>
            </w:r>
            <w:r w:rsidR="00F00002">
              <w:rPr>
                <w:rFonts w:eastAsia="MS Mincho"/>
                <w:i/>
              </w:rPr>
              <w:noBreakHyphen/>
            </w:r>
            <w:r w:rsidRPr="00F00002">
              <w:rPr>
                <w:rFonts w:eastAsia="MS Mincho"/>
                <w:i/>
              </w:rPr>
              <w:t>1</w:t>
            </w:r>
            <w:r w:rsidR="00F00002">
              <w:rPr>
                <w:rFonts w:eastAsia="MS Mincho"/>
                <w:i/>
              </w:rPr>
              <w:t> </w:t>
            </w:r>
            <w:r w:rsidRPr="00F00002">
              <w:rPr>
                <w:rFonts w:eastAsia="MS Mincho"/>
                <w:i/>
              </w:rPr>
              <w:t>July 1988 taxable contributions)</w:t>
            </w:r>
          </w:p>
        </w:tc>
        <w:tc>
          <w:tcPr>
            <w:tcW w:w="4052" w:type="pct"/>
            <w:tcBorders>
              <w:top w:val="single" w:sz="4" w:space="0" w:color="auto"/>
              <w:bottom w:val="single" w:sz="12" w:space="0" w:color="auto"/>
            </w:tcBorders>
            <w:shd w:val="clear" w:color="auto" w:fill="auto"/>
          </w:tcPr>
          <w:p w:rsidR="001E08BD" w:rsidRPr="00F00002" w:rsidRDefault="001E08BD" w:rsidP="006100B2">
            <w:pPr>
              <w:pStyle w:val="Tabletext"/>
              <w:ind w:left="400" w:hanging="400"/>
              <w:rPr>
                <w:rFonts w:eastAsia="MS Mincho"/>
              </w:rPr>
            </w:pPr>
            <w:r w:rsidRPr="00F00002">
              <w:rPr>
                <w:rFonts w:eastAsia="MS Mincho"/>
                <w:color w:val="000000"/>
              </w:rPr>
              <w:t>4.1</w:t>
            </w:r>
            <w:r w:rsidRPr="00F00002">
              <w:rPr>
                <w:rFonts w:eastAsia="MS Mincho"/>
                <w:color w:val="000000"/>
              </w:rPr>
              <w:tab/>
              <w:t xml:space="preserve">The </w:t>
            </w:r>
            <w:r w:rsidRPr="00F00002">
              <w:rPr>
                <w:color w:val="000000"/>
              </w:rPr>
              <w:t>superannuation provider</w:t>
            </w:r>
            <w:r w:rsidRPr="00F00002">
              <w:rPr>
                <w:rFonts w:eastAsia="MS Mincho"/>
                <w:color w:val="000000"/>
              </w:rPr>
              <w:t xml:space="preserve"> must notify to the actuary the amount of </w:t>
            </w:r>
            <w:r w:rsidRPr="00F00002">
              <w:rPr>
                <w:rFonts w:eastAsia="MS Mincho"/>
              </w:rPr>
              <w:t>taxable</w:t>
            </w:r>
            <w:r w:rsidRPr="00F00002">
              <w:rPr>
                <w:rFonts w:eastAsia="MS Mincho"/>
                <w:color w:val="000000"/>
              </w:rPr>
              <w:t xml:space="preserve"> contributions that are allocated to fund pre</w:t>
            </w:r>
            <w:r w:rsidR="00F00002">
              <w:rPr>
                <w:rFonts w:eastAsia="MS Mincho"/>
                <w:color w:val="000000"/>
              </w:rPr>
              <w:noBreakHyphen/>
            </w:r>
            <w:r w:rsidRPr="00F00002">
              <w:rPr>
                <w:rFonts w:eastAsia="MS Mincho"/>
                <w:color w:val="000000"/>
              </w:rPr>
              <w:t>1</w:t>
            </w:r>
            <w:r w:rsidR="00F00002">
              <w:rPr>
                <w:rFonts w:eastAsia="MS Mincho"/>
                <w:color w:val="000000"/>
              </w:rPr>
              <w:t> </w:t>
            </w:r>
            <w:r w:rsidRPr="00F00002">
              <w:rPr>
                <w:rFonts w:eastAsia="MS Mincho"/>
                <w:color w:val="000000"/>
              </w:rPr>
              <w:t>July 1988 liabilities for the income year.</w:t>
            </w:r>
          </w:p>
          <w:p w:rsidR="001E08BD" w:rsidRPr="00F00002" w:rsidRDefault="001E08BD" w:rsidP="00C933A3">
            <w:pPr>
              <w:pStyle w:val="Tabletext"/>
              <w:ind w:left="400" w:hanging="400"/>
              <w:rPr>
                <w:rFonts w:eastAsia="MS Mincho"/>
              </w:rPr>
            </w:pPr>
            <w:r w:rsidRPr="00F00002">
              <w:rPr>
                <w:rFonts w:eastAsia="MS Mincho"/>
              </w:rPr>
              <w:t>4.2</w:t>
            </w:r>
            <w:r w:rsidRPr="00F00002">
              <w:rPr>
                <w:rFonts w:eastAsia="MS Mincho"/>
              </w:rPr>
              <w:tab/>
              <w:t>The superannuation</w:t>
            </w:r>
            <w:r w:rsidRPr="00F00002">
              <w:t xml:space="preserve"> provider</w:t>
            </w:r>
            <w:r w:rsidRPr="00F00002">
              <w:rPr>
                <w:rFonts w:eastAsia="MS Mincho"/>
              </w:rPr>
              <w:t xml:space="preserve"> must retain documentation to support calculations of pre</w:t>
            </w:r>
            <w:r w:rsidR="00F00002">
              <w:rPr>
                <w:rFonts w:eastAsia="MS Mincho"/>
              </w:rPr>
              <w:noBreakHyphen/>
            </w:r>
            <w:r w:rsidRPr="00F00002">
              <w:rPr>
                <w:rFonts w:eastAsia="MS Mincho"/>
              </w:rPr>
              <w:t>1</w:t>
            </w:r>
            <w:r w:rsidR="00F00002">
              <w:rPr>
                <w:rFonts w:eastAsia="MS Mincho"/>
              </w:rPr>
              <w:t> </w:t>
            </w:r>
            <w:r w:rsidRPr="00F00002">
              <w:rPr>
                <w:rFonts w:eastAsia="MS Mincho"/>
              </w:rPr>
              <w:t>July 1988 taxable contributions for not less than 5 years.</w:t>
            </w:r>
          </w:p>
          <w:p w:rsidR="001E08BD" w:rsidRPr="00F00002" w:rsidRDefault="001E08BD" w:rsidP="006100B2">
            <w:pPr>
              <w:pStyle w:val="Tabletext"/>
              <w:ind w:left="400" w:hanging="400"/>
              <w:rPr>
                <w:rFonts w:eastAsia="MS Mincho"/>
              </w:rPr>
            </w:pPr>
            <w:r w:rsidRPr="00F00002">
              <w:rPr>
                <w:rFonts w:eastAsia="MS Mincho"/>
              </w:rPr>
              <w:t>4.3</w:t>
            </w:r>
            <w:r w:rsidRPr="00F00002">
              <w:rPr>
                <w:rFonts w:eastAsia="MS Mincho"/>
              </w:rPr>
              <w:tab/>
              <w:t xml:space="preserve">The result is the </w:t>
            </w:r>
            <w:r w:rsidRPr="00F00002">
              <w:rPr>
                <w:rFonts w:eastAsia="MS Mincho"/>
                <w:b/>
                <w:i/>
              </w:rPr>
              <w:t>pre</w:t>
            </w:r>
            <w:r w:rsidR="00F00002">
              <w:rPr>
                <w:rFonts w:eastAsia="MS Mincho"/>
                <w:b/>
                <w:i/>
              </w:rPr>
              <w:noBreakHyphen/>
            </w:r>
            <w:r w:rsidRPr="00F00002">
              <w:rPr>
                <w:rFonts w:eastAsia="MS Mincho"/>
                <w:b/>
                <w:i/>
              </w:rPr>
              <w:t>1</w:t>
            </w:r>
            <w:r w:rsidR="00F00002">
              <w:rPr>
                <w:rFonts w:eastAsia="MS Mincho"/>
                <w:b/>
                <w:i/>
              </w:rPr>
              <w:t> </w:t>
            </w:r>
            <w:r w:rsidRPr="00F00002">
              <w:rPr>
                <w:rFonts w:eastAsia="MS Mincho"/>
                <w:b/>
                <w:i/>
              </w:rPr>
              <w:t>July 1988 taxable contributions</w:t>
            </w:r>
            <w:r w:rsidRPr="00F00002">
              <w:rPr>
                <w:rFonts w:eastAsia="MS Mincho"/>
              </w:rPr>
              <w:t>.</w:t>
            </w:r>
          </w:p>
        </w:tc>
      </w:tr>
    </w:tbl>
    <w:p w:rsidR="00BB4501" w:rsidRPr="00F00002" w:rsidRDefault="00BB4501" w:rsidP="00D150ED">
      <w:pPr>
        <w:pStyle w:val="subsection"/>
        <w:rPr>
          <w:rFonts w:eastAsia="MS Mincho"/>
        </w:rPr>
      </w:pPr>
      <w:r w:rsidRPr="00F00002">
        <w:rPr>
          <w:rFonts w:eastAsia="MS Mincho"/>
          <w:color w:val="000000"/>
        </w:rPr>
        <w:tab/>
        <w:t>(9)</w:t>
      </w:r>
      <w:r w:rsidRPr="00F00002">
        <w:rPr>
          <w:rFonts w:eastAsia="MS Mincho"/>
          <w:color w:val="000000"/>
        </w:rPr>
        <w:tab/>
        <w:t>If an actuary certifies an amount under subregulation</w:t>
      </w:r>
      <w:r w:rsidR="00135C25" w:rsidRPr="00F00002">
        <w:rPr>
          <w:rFonts w:eastAsia="MS Mincho"/>
          <w:color w:val="000000"/>
        </w:rPr>
        <w:t> </w:t>
      </w:r>
      <w:r w:rsidRPr="00F00002">
        <w:rPr>
          <w:rFonts w:eastAsia="MS Mincho"/>
          <w:color w:val="000000"/>
        </w:rPr>
        <w:t xml:space="preserve">(6) the actuary must, if requested by a </w:t>
      </w:r>
      <w:r w:rsidRPr="00F00002">
        <w:rPr>
          <w:color w:val="000000"/>
        </w:rPr>
        <w:t>superannuation provider</w:t>
      </w:r>
      <w:r w:rsidRPr="00F00002">
        <w:rPr>
          <w:rFonts w:eastAsia="MS Mincho"/>
          <w:color w:val="000000"/>
        </w:rPr>
        <w:t>, provide sufficient information to enable another actuary to check the certification.</w:t>
      </w:r>
    </w:p>
    <w:p w:rsidR="00BB4501" w:rsidRPr="00F00002" w:rsidRDefault="00BB4501" w:rsidP="00D150ED">
      <w:pPr>
        <w:pStyle w:val="subsection"/>
        <w:rPr>
          <w:rFonts w:eastAsia="MS Mincho"/>
        </w:rPr>
      </w:pPr>
      <w:r w:rsidRPr="00F00002">
        <w:rPr>
          <w:rFonts w:eastAsia="MS Mincho"/>
        </w:rPr>
        <w:tab/>
        <w:t>(10)</w:t>
      </w:r>
      <w:r w:rsidRPr="00F00002">
        <w:rPr>
          <w:rFonts w:eastAsia="MS Mincho"/>
        </w:rPr>
        <w:tab/>
        <w:t>An actuary must, in making a calculation under or applying method 1 or 2:</w:t>
      </w:r>
    </w:p>
    <w:p w:rsidR="00BB4501" w:rsidRPr="00F00002" w:rsidRDefault="00BB4501" w:rsidP="00D150ED">
      <w:pPr>
        <w:pStyle w:val="paragraph"/>
        <w:rPr>
          <w:rFonts w:eastAsia="MS Mincho"/>
        </w:rPr>
      </w:pPr>
      <w:r w:rsidRPr="00F00002">
        <w:rPr>
          <w:rFonts w:eastAsia="MS Mincho"/>
          <w:color w:val="000000"/>
        </w:rPr>
        <w:tab/>
        <w:t>(a)</w:t>
      </w:r>
      <w:r w:rsidRPr="00F00002">
        <w:rPr>
          <w:rFonts w:eastAsia="MS Mincho"/>
          <w:color w:val="000000"/>
        </w:rPr>
        <w:tab/>
        <w:t>follow any professional standards prepared by the Institute of Actuaries of Australia; and</w:t>
      </w:r>
    </w:p>
    <w:p w:rsidR="00BB4501" w:rsidRPr="00F00002" w:rsidRDefault="00BB4501" w:rsidP="00D150ED">
      <w:pPr>
        <w:pStyle w:val="paragraph"/>
        <w:rPr>
          <w:rFonts w:eastAsia="MS Mincho"/>
        </w:rPr>
      </w:pPr>
      <w:r w:rsidRPr="00F00002">
        <w:rPr>
          <w:rFonts w:eastAsia="MS Mincho"/>
        </w:rPr>
        <w:tab/>
        <w:t>(b)</w:t>
      </w:r>
      <w:r w:rsidRPr="00F00002">
        <w:rPr>
          <w:rFonts w:eastAsia="MS Mincho"/>
        </w:rPr>
        <w:tab/>
        <w:t>have regard to any professional guidance notes prepared by the Institute of Actuaries of Australia;</w:t>
      </w:r>
    </w:p>
    <w:p w:rsidR="00BB4501" w:rsidRPr="00F00002" w:rsidRDefault="00BB4501" w:rsidP="00D150ED">
      <w:pPr>
        <w:pStyle w:val="subsection2"/>
        <w:rPr>
          <w:rFonts w:eastAsia="MS Mincho"/>
        </w:rPr>
      </w:pPr>
      <w:r w:rsidRPr="00F00002">
        <w:rPr>
          <w:rFonts w:eastAsia="MS Mincho"/>
          <w:color w:val="000000"/>
        </w:rPr>
        <w:t>that relate to the determination of accrued benefits mentioned in method 1 or 2.</w:t>
      </w:r>
    </w:p>
    <w:p w:rsidR="00BB4501" w:rsidRPr="00F00002" w:rsidRDefault="00BB4501" w:rsidP="00D150ED">
      <w:pPr>
        <w:pStyle w:val="subsection"/>
        <w:rPr>
          <w:rFonts w:eastAsia="MS Mincho"/>
        </w:rPr>
      </w:pPr>
      <w:r w:rsidRPr="00F00002">
        <w:rPr>
          <w:rFonts w:eastAsia="MS Mincho"/>
          <w:color w:val="000000"/>
        </w:rPr>
        <w:tab/>
        <w:t>(11)</w:t>
      </w:r>
      <w:r w:rsidRPr="00F00002">
        <w:rPr>
          <w:rFonts w:eastAsia="MS Mincho"/>
          <w:color w:val="000000"/>
        </w:rPr>
        <w:tab/>
        <w:t xml:space="preserve">A </w:t>
      </w:r>
      <w:r w:rsidRPr="00F00002">
        <w:rPr>
          <w:color w:val="000000"/>
        </w:rPr>
        <w:t>superannuation provider</w:t>
      </w:r>
      <w:r w:rsidRPr="00F00002">
        <w:rPr>
          <w:rFonts w:eastAsia="MS Mincho"/>
          <w:color w:val="000000"/>
        </w:rPr>
        <w:t xml:space="preserve"> must, if requested to do so, provide sufficient information to support a funding credit claim under subsection</w:t>
      </w:r>
      <w:r w:rsidR="00F00002">
        <w:rPr>
          <w:rFonts w:eastAsia="MS Mincho"/>
          <w:color w:val="000000"/>
        </w:rPr>
        <w:t> </w:t>
      </w:r>
      <w:r w:rsidRPr="00F00002">
        <w:rPr>
          <w:rFonts w:eastAsia="MS Mincho"/>
          <w:color w:val="000000"/>
        </w:rPr>
        <w:t>295</w:t>
      </w:r>
      <w:r w:rsidR="00F00002">
        <w:rPr>
          <w:rFonts w:eastAsia="MS Mincho"/>
          <w:color w:val="000000"/>
        </w:rPr>
        <w:noBreakHyphen/>
      </w:r>
      <w:r w:rsidRPr="00F00002">
        <w:rPr>
          <w:rFonts w:eastAsia="MS Mincho"/>
          <w:color w:val="000000"/>
        </w:rPr>
        <w:t>265(1) of the Act, including any relevant information that relates to an income year for which a claim was not made.</w:t>
      </w:r>
    </w:p>
    <w:p w:rsidR="00BB4501" w:rsidRPr="00F00002" w:rsidRDefault="00BB4501" w:rsidP="00D150ED">
      <w:pPr>
        <w:pStyle w:val="subsection"/>
        <w:rPr>
          <w:rFonts w:eastAsia="MS Mincho"/>
        </w:rPr>
      </w:pPr>
      <w:r w:rsidRPr="00F00002">
        <w:rPr>
          <w:rFonts w:eastAsia="MS Mincho"/>
        </w:rPr>
        <w:tab/>
        <w:t>(12)</w:t>
      </w:r>
      <w:r w:rsidRPr="00F00002">
        <w:rPr>
          <w:rFonts w:eastAsia="MS Mincho"/>
        </w:rPr>
        <w:tab/>
        <w:t>In this regulation:</w:t>
      </w:r>
    </w:p>
    <w:p w:rsidR="00BB4501" w:rsidRPr="00F00002" w:rsidRDefault="00BB4501" w:rsidP="00D150ED">
      <w:pPr>
        <w:pStyle w:val="Definition"/>
        <w:rPr>
          <w:rFonts w:eastAsia="MS Mincho"/>
        </w:rPr>
      </w:pPr>
      <w:r w:rsidRPr="00F00002">
        <w:rPr>
          <w:rFonts w:eastAsia="MS Mincho"/>
          <w:b/>
          <w:i/>
          <w:color w:val="000000"/>
        </w:rPr>
        <w:t>method</w:t>
      </w:r>
      <w:r w:rsidR="00672E95" w:rsidRPr="00F00002">
        <w:rPr>
          <w:rFonts w:eastAsia="MS Mincho"/>
          <w:b/>
          <w:i/>
          <w:color w:val="000000"/>
        </w:rPr>
        <w:t xml:space="preserve"> </w:t>
      </w:r>
      <w:r w:rsidRPr="00F00002">
        <w:rPr>
          <w:rFonts w:eastAsia="MS Mincho"/>
          <w:b/>
          <w:i/>
          <w:color w:val="000000"/>
        </w:rPr>
        <w:t xml:space="preserve">1 </w:t>
      </w:r>
      <w:r w:rsidRPr="00F00002">
        <w:rPr>
          <w:rFonts w:eastAsia="MS Mincho"/>
          <w:color w:val="000000"/>
        </w:rPr>
        <w:t>means the method described in the table, Method 1</w:t>
      </w:r>
      <w:r w:rsidR="00D150ED" w:rsidRPr="00F00002">
        <w:rPr>
          <w:rFonts w:eastAsia="MS Mincho"/>
          <w:color w:val="000000"/>
        </w:rPr>
        <w:t>—</w:t>
      </w:r>
      <w:r w:rsidRPr="00F00002">
        <w:rPr>
          <w:rFonts w:eastAsia="MS Mincho"/>
          <w:color w:val="000000"/>
        </w:rPr>
        <w:t>Funding credit valuation process.</w:t>
      </w:r>
    </w:p>
    <w:p w:rsidR="00BB4501" w:rsidRPr="00F00002" w:rsidRDefault="00BB4501" w:rsidP="00D150ED">
      <w:pPr>
        <w:pStyle w:val="Definition"/>
        <w:rPr>
          <w:rFonts w:eastAsia="MS Mincho"/>
        </w:rPr>
      </w:pPr>
      <w:r w:rsidRPr="00F00002">
        <w:rPr>
          <w:rFonts w:eastAsia="MS Mincho"/>
          <w:b/>
          <w:i/>
        </w:rPr>
        <w:t>method</w:t>
      </w:r>
      <w:r w:rsidR="00672E95" w:rsidRPr="00F00002">
        <w:rPr>
          <w:rFonts w:eastAsia="MS Mincho"/>
          <w:b/>
          <w:i/>
        </w:rPr>
        <w:t xml:space="preserve"> </w:t>
      </w:r>
      <w:r w:rsidRPr="00F00002">
        <w:rPr>
          <w:rFonts w:eastAsia="MS Mincho"/>
          <w:b/>
          <w:i/>
        </w:rPr>
        <w:t xml:space="preserve">2 </w:t>
      </w:r>
      <w:r w:rsidRPr="00F00002">
        <w:rPr>
          <w:rFonts w:eastAsia="MS Mincho"/>
        </w:rPr>
        <w:t>means the method described in the table, Method 2</w:t>
      </w:r>
      <w:r w:rsidR="00D150ED" w:rsidRPr="00F00002">
        <w:rPr>
          <w:rFonts w:eastAsia="MS Mincho"/>
        </w:rPr>
        <w:t>—</w:t>
      </w:r>
      <w:r w:rsidRPr="00F00002">
        <w:rPr>
          <w:rFonts w:eastAsia="MS Mincho"/>
        </w:rPr>
        <w:t>Notionally updated funding credit valuation process.</w:t>
      </w:r>
    </w:p>
    <w:p w:rsidR="00BB4501" w:rsidRPr="00F00002" w:rsidRDefault="00D150ED" w:rsidP="00D150ED">
      <w:pPr>
        <w:pStyle w:val="notetext"/>
        <w:rPr>
          <w:rFonts w:eastAsia="MS Mincho"/>
        </w:rPr>
      </w:pPr>
      <w:r w:rsidRPr="00F00002">
        <w:rPr>
          <w:rFonts w:eastAsia="MS Mincho"/>
        </w:rPr>
        <w:t>Note:</w:t>
      </w:r>
      <w:r w:rsidRPr="00F00002">
        <w:rPr>
          <w:rFonts w:eastAsia="MS Mincho"/>
        </w:rPr>
        <w:tab/>
      </w:r>
      <w:r w:rsidR="00BB4501" w:rsidRPr="00F00002">
        <w:rPr>
          <w:rFonts w:eastAsia="MS Mincho"/>
          <w:b/>
          <w:i/>
        </w:rPr>
        <w:t>actuary</w:t>
      </w:r>
      <w:r w:rsidR="00BB4501" w:rsidRPr="00F00002">
        <w:rPr>
          <w:rFonts w:eastAsia="MS Mincho"/>
        </w:rPr>
        <w:t xml:space="preserve"> is defined in section</w:t>
      </w:r>
      <w:r w:rsidR="00F00002">
        <w:rPr>
          <w:rFonts w:eastAsia="MS Mincho"/>
        </w:rPr>
        <w:t> </w:t>
      </w:r>
      <w:r w:rsidR="00BB4501" w:rsidRPr="00F00002">
        <w:rPr>
          <w:rFonts w:eastAsia="MS Mincho"/>
        </w:rPr>
        <w:t>995</w:t>
      </w:r>
      <w:r w:rsidR="00F00002">
        <w:rPr>
          <w:rFonts w:eastAsia="MS Mincho"/>
        </w:rPr>
        <w:noBreakHyphen/>
      </w:r>
      <w:r w:rsidR="00BB4501" w:rsidRPr="00F00002">
        <w:rPr>
          <w:rFonts w:eastAsia="MS Mincho"/>
        </w:rPr>
        <w:t>1 of the Act.</w:t>
      </w:r>
    </w:p>
    <w:p w:rsidR="00BB4501" w:rsidRPr="00F00002" w:rsidRDefault="00D150ED" w:rsidP="00D150ED">
      <w:pPr>
        <w:pStyle w:val="ActHead4"/>
      </w:pPr>
      <w:bookmarkStart w:id="105" w:name="_Toc31109683"/>
      <w:r w:rsidRPr="00A26088">
        <w:rPr>
          <w:rStyle w:val="CharSubdNo"/>
        </w:rPr>
        <w:t>Subdivision</w:t>
      </w:r>
      <w:r w:rsidR="00F00002" w:rsidRPr="00A26088">
        <w:rPr>
          <w:rStyle w:val="CharSubdNo"/>
        </w:rPr>
        <w:t> </w:t>
      </w:r>
      <w:r w:rsidR="00BB4501" w:rsidRPr="00A26088">
        <w:rPr>
          <w:rStyle w:val="CharSubdNo"/>
        </w:rPr>
        <w:t>295</w:t>
      </w:r>
      <w:r w:rsidR="00F00002" w:rsidRPr="00A26088">
        <w:rPr>
          <w:rStyle w:val="CharSubdNo"/>
        </w:rPr>
        <w:noBreakHyphen/>
      </w:r>
      <w:r w:rsidR="00BB4501" w:rsidRPr="00A26088">
        <w:rPr>
          <w:rStyle w:val="CharSubdNo"/>
        </w:rPr>
        <w:t>F</w:t>
      </w:r>
      <w:r w:rsidRPr="00F00002">
        <w:t>—</w:t>
      </w:r>
      <w:r w:rsidR="00BB4501" w:rsidRPr="00A26088">
        <w:rPr>
          <w:rStyle w:val="CharSubdText"/>
        </w:rPr>
        <w:t>Exempt income</w:t>
      </w:r>
      <w:bookmarkEnd w:id="105"/>
    </w:p>
    <w:p w:rsidR="00E97D4A" w:rsidRPr="00F00002" w:rsidRDefault="00E97D4A" w:rsidP="00E97D4A">
      <w:pPr>
        <w:pStyle w:val="ActHead5"/>
      </w:pPr>
      <w:bookmarkStart w:id="106" w:name="_Toc31109684"/>
      <w:r w:rsidRPr="00A26088">
        <w:rPr>
          <w:rStyle w:val="CharSectno"/>
        </w:rPr>
        <w:t>295</w:t>
      </w:r>
      <w:r w:rsidR="00F00002" w:rsidRPr="00A26088">
        <w:rPr>
          <w:rStyle w:val="CharSectno"/>
        </w:rPr>
        <w:noBreakHyphen/>
      </w:r>
      <w:r w:rsidRPr="00A26088">
        <w:rPr>
          <w:rStyle w:val="CharSectno"/>
        </w:rPr>
        <w:t>385.01</w:t>
      </w:r>
      <w:r w:rsidRPr="00F00002">
        <w:t xml:space="preserve">  Segregated current pension assets—prescribed superannuation income stream benefits</w:t>
      </w:r>
      <w:bookmarkEnd w:id="106"/>
    </w:p>
    <w:p w:rsidR="00E97D4A" w:rsidRPr="00F00002" w:rsidRDefault="00E97D4A" w:rsidP="00E97D4A">
      <w:pPr>
        <w:pStyle w:val="subsection"/>
      </w:pPr>
      <w:r w:rsidRPr="00F00002">
        <w:tab/>
      </w:r>
      <w:r w:rsidRPr="00F00002">
        <w:tab/>
        <w:t>For section</w:t>
      </w:r>
      <w:r w:rsidR="00F00002">
        <w:t> </w:t>
      </w:r>
      <w:r w:rsidRPr="00F00002">
        <w:t>295</w:t>
      </w:r>
      <w:r w:rsidR="00F00002">
        <w:noBreakHyphen/>
      </w:r>
      <w:r w:rsidRPr="00F00002">
        <w:t>385 of the Act, the following superannuation income stream benefits are prescribed:</w:t>
      </w:r>
    </w:p>
    <w:p w:rsidR="00E97D4A" w:rsidRPr="00F00002" w:rsidRDefault="00E97D4A" w:rsidP="00E97D4A">
      <w:pPr>
        <w:pStyle w:val="paragraph"/>
      </w:pPr>
      <w:r w:rsidRPr="00F00002">
        <w:tab/>
        <w:t>(a)</w:t>
      </w:r>
      <w:r w:rsidRPr="00F00002">
        <w:tab/>
      </w:r>
      <w:r w:rsidR="00807EDF" w:rsidRPr="00F00002">
        <w:t>an RP superannuation income stream benefit of a superannuation fund</w:t>
      </w:r>
      <w:r w:rsidRPr="00F00002">
        <w:t xml:space="preserve"> payable from:</w:t>
      </w:r>
    </w:p>
    <w:p w:rsidR="00E97D4A" w:rsidRPr="00F00002" w:rsidRDefault="00E97D4A" w:rsidP="00E97D4A">
      <w:pPr>
        <w:pStyle w:val="paragraphsub"/>
      </w:pPr>
      <w:r w:rsidRPr="00F00002">
        <w:tab/>
        <w:t>(i)</w:t>
      </w:r>
      <w:r w:rsidRPr="00F00002">
        <w:tab/>
        <w:t>an allocated pension within the meaning of the SIS Regulations; or</w:t>
      </w:r>
    </w:p>
    <w:p w:rsidR="00E97D4A" w:rsidRPr="00F00002" w:rsidRDefault="00E97D4A" w:rsidP="00E97D4A">
      <w:pPr>
        <w:pStyle w:val="paragraphsub"/>
      </w:pPr>
      <w:r w:rsidRPr="00F00002">
        <w:tab/>
        <w:t>(ii)</w:t>
      </w:r>
      <w:r w:rsidRPr="00F00002">
        <w:tab/>
        <w:t>a market linked pension within the meaning of the SIS Regulations; or</w:t>
      </w:r>
    </w:p>
    <w:p w:rsidR="00E97D4A" w:rsidRPr="00F00002" w:rsidRDefault="00E97D4A" w:rsidP="00E97D4A">
      <w:pPr>
        <w:pStyle w:val="paragraphsub"/>
      </w:pPr>
      <w:r w:rsidRPr="00F00002">
        <w:lastRenderedPageBreak/>
        <w:tab/>
        <w:t>(iii)</w:t>
      </w:r>
      <w:r w:rsidRPr="00F00002">
        <w:tab/>
        <w:t>an account</w:t>
      </w:r>
      <w:r w:rsidR="00F00002">
        <w:noBreakHyphen/>
      </w:r>
      <w:r w:rsidRPr="00F00002">
        <w:t>based pension within the meaning of the SIS Regulations;</w:t>
      </w:r>
    </w:p>
    <w:p w:rsidR="00E97D4A" w:rsidRPr="00F00002" w:rsidRDefault="00E97D4A" w:rsidP="00E97D4A">
      <w:pPr>
        <w:pStyle w:val="paragraph"/>
      </w:pPr>
      <w:r w:rsidRPr="00F00002">
        <w:tab/>
        <w:t>(b)</w:t>
      </w:r>
      <w:r w:rsidRPr="00F00002">
        <w:tab/>
        <w:t>an amount taken to be the amount of a superannuation income stream benefit under subregulation</w:t>
      </w:r>
      <w:r w:rsidR="00F00002">
        <w:t> </w:t>
      </w:r>
      <w:r w:rsidRPr="00F00002">
        <w:t>995</w:t>
      </w:r>
      <w:r w:rsidR="00F00002">
        <w:noBreakHyphen/>
      </w:r>
      <w:r w:rsidRPr="00F00002">
        <w:t>1.01(3) or (4), where the superannuation income stream that was payable to the deceased mentioned in that subregulation</w:t>
      </w:r>
      <w:r w:rsidR="00135C25" w:rsidRPr="00F00002">
        <w:t> </w:t>
      </w:r>
      <w:r w:rsidRPr="00F00002">
        <w:t xml:space="preserve">was a pension mentioned in </w:t>
      </w:r>
      <w:r w:rsidR="00F00002">
        <w:t>subparagraph (</w:t>
      </w:r>
      <w:r w:rsidRPr="00F00002">
        <w:t xml:space="preserve">a)(i), </w:t>
      </w:r>
      <w:r w:rsidR="00807EDF" w:rsidRPr="00F00002">
        <w:t>(ii) or (iii) of which the deceased was a retirement phase recipient</w:t>
      </w:r>
      <w:r w:rsidRPr="00F00002">
        <w:t>.</w:t>
      </w:r>
    </w:p>
    <w:p w:rsidR="00E97D4A" w:rsidRPr="00F00002" w:rsidRDefault="00E97D4A" w:rsidP="00E97D4A">
      <w:pPr>
        <w:pStyle w:val="notetext"/>
      </w:pPr>
      <w:r w:rsidRPr="00F00002">
        <w:t>Note:</w:t>
      </w:r>
      <w:r w:rsidRPr="00F00002">
        <w:tab/>
        <w:t>This regulation is also mentioned in regulation</w:t>
      </w:r>
      <w:r w:rsidR="00F00002">
        <w:t> </w:t>
      </w:r>
      <w:r w:rsidRPr="00F00002">
        <w:t>307</w:t>
      </w:r>
      <w:r w:rsidR="00F00002">
        <w:noBreakHyphen/>
      </w:r>
      <w:r w:rsidRPr="00F00002">
        <w:t>205.02 to identify superannuation income streams to which that regulation does not apply.</w:t>
      </w:r>
    </w:p>
    <w:p w:rsidR="00DC1A9B" w:rsidRPr="00F00002" w:rsidRDefault="00D150ED" w:rsidP="00D150ED">
      <w:pPr>
        <w:pStyle w:val="ActHead4"/>
      </w:pPr>
      <w:bookmarkStart w:id="107" w:name="_Toc31109685"/>
      <w:r w:rsidRPr="00A26088">
        <w:rPr>
          <w:rStyle w:val="CharSubdNo"/>
        </w:rPr>
        <w:t>Subdivision</w:t>
      </w:r>
      <w:r w:rsidR="00F00002" w:rsidRPr="00A26088">
        <w:rPr>
          <w:rStyle w:val="CharSubdNo"/>
        </w:rPr>
        <w:t> </w:t>
      </w:r>
      <w:r w:rsidR="00DC1A9B" w:rsidRPr="00A26088">
        <w:rPr>
          <w:rStyle w:val="CharSubdNo"/>
        </w:rPr>
        <w:t>295</w:t>
      </w:r>
      <w:r w:rsidR="00F00002" w:rsidRPr="00A26088">
        <w:rPr>
          <w:rStyle w:val="CharSubdNo"/>
        </w:rPr>
        <w:noBreakHyphen/>
      </w:r>
      <w:r w:rsidR="00DC1A9B" w:rsidRPr="00A26088">
        <w:rPr>
          <w:rStyle w:val="CharSubdNo"/>
        </w:rPr>
        <w:t>G</w:t>
      </w:r>
      <w:r w:rsidRPr="00F00002">
        <w:t>—</w:t>
      </w:r>
      <w:r w:rsidR="00DC1A9B" w:rsidRPr="00A26088">
        <w:rPr>
          <w:rStyle w:val="CharSubdText"/>
        </w:rPr>
        <w:t>Deductions</w:t>
      </w:r>
      <w:bookmarkEnd w:id="107"/>
    </w:p>
    <w:p w:rsidR="00DC1A9B" w:rsidRPr="00F00002" w:rsidRDefault="00DC1A9B" w:rsidP="00D150ED">
      <w:pPr>
        <w:pStyle w:val="ActHead5"/>
      </w:pPr>
      <w:bookmarkStart w:id="108" w:name="_Toc31109686"/>
      <w:r w:rsidRPr="00A26088">
        <w:rPr>
          <w:rStyle w:val="CharSectno"/>
        </w:rPr>
        <w:t>295</w:t>
      </w:r>
      <w:r w:rsidR="00F00002" w:rsidRPr="00A26088">
        <w:rPr>
          <w:rStyle w:val="CharSectno"/>
        </w:rPr>
        <w:noBreakHyphen/>
      </w:r>
      <w:r w:rsidRPr="00A26088">
        <w:rPr>
          <w:rStyle w:val="CharSectno"/>
        </w:rPr>
        <w:t>465.01</w:t>
      </w:r>
      <w:r w:rsidR="00D150ED" w:rsidRPr="00F00002">
        <w:t xml:space="preserve">  </w:t>
      </w:r>
      <w:r w:rsidRPr="00F00002">
        <w:t>Deductible portion of premiums</w:t>
      </w:r>
      <w:bookmarkEnd w:id="108"/>
    </w:p>
    <w:p w:rsidR="00DC1A9B" w:rsidRPr="00F00002" w:rsidRDefault="00DC1A9B" w:rsidP="00D150ED">
      <w:pPr>
        <w:pStyle w:val="subsection"/>
      </w:pPr>
      <w:r w:rsidRPr="00F00002">
        <w:tab/>
        <w:t>(1)</w:t>
      </w:r>
      <w:r w:rsidRPr="00F00002">
        <w:tab/>
        <w:t>For subsections</w:t>
      </w:r>
      <w:r w:rsidR="00F00002">
        <w:t> </w:t>
      </w:r>
      <w:r w:rsidRPr="00F00002">
        <w:t>295</w:t>
      </w:r>
      <w:r w:rsidR="00F00002">
        <w:noBreakHyphen/>
      </w:r>
      <w:r w:rsidRPr="00F00002">
        <w:t>465(1B) and (2A) of the Act, the proportion specified in an item in the table in relation to the insurance policy specified in the item may be treated:</w:t>
      </w:r>
    </w:p>
    <w:p w:rsidR="00DC1A9B" w:rsidRPr="00F00002" w:rsidRDefault="00DC1A9B" w:rsidP="00D150ED">
      <w:pPr>
        <w:pStyle w:val="paragraph"/>
      </w:pPr>
      <w:r w:rsidRPr="00F00002">
        <w:tab/>
        <w:t>(a)</w:t>
      </w:r>
      <w:r w:rsidRPr="00F00002">
        <w:tab/>
        <w:t>as being attributable to the complying superannuation fund’s liability to provide benefits referred to in section</w:t>
      </w:r>
      <w:r w:rsidR="00F00002">
        <w:t> </w:t>
      </w:r>
      <w:r w:rsidRPr="00F00002">
        <w:t>295</w:t>
      </w:r>
      <w:r w:rsidR="00F00002">
        <w:noBreakHyphen/>
      </w:r>
      <w:r w:rsidRPr="00F00002">
        <w:t>460 of the Act; and</w:t>
      </w:r>
    </w:p>
    <w:p w:rsidR="00DC1A9B" w:rsidRPr="00F00002" w:rsidRDefault="00DC1A9B" w:rsidP="00D150ED">
      <w:pPr>
        <w:pStyle w:val="paragraph"/>
      </w:pPr>
      <w:r w:rsidRPr="00F00002">
        <w:tab/>
        <w:t>(b)</w:t>
      </w:r>
      <w:r w:rsidRPr="00F00002">
        <w:tab/>
        <w:t>as being the amount the fund could reasonably be expected to pay, in an arm’s length transaction, to obtain an insurance policy to cover it for its current or contingent</w:t>
      </w:r>
      <w:r w:rsidR="00672E95" w:rsidRPr="00F00002">
        <w:t xml:space="preserve"> </w:t>
      </w:r>
      <w:r w:rsidRPr="00F00002">
        <w:t>liabilities to provide benefits referred to in section</w:t>
      </w:r>
      <w:r w:rsidR="00F00002">
        <w:t> </w:t>
      </w:r>
      <w:r w:rsidRPr="00F00002">
        <w:t>295</w:t>
      </w:r>
      <w:r w:rsidR="00F00002">
        <w:noBreakHyphen/>
      </w:r>
      <w:r w:rsidRPr="00F00002">
        <w:t>460 of the Act.</w:t>
      </w:r>
    </w:p>
    <w:p w:rsidR="00D150ED" w:rsidRPr="00F00002" w:rsidRDefault="00D150ED" w:rsidP="00D150ED">
      <w:pPr>
        <w:pStyle w:val="Tabletext"/>
      </w:pPr>
    </w:p>
    <w:tbl>
      <w:tblPr>
        <w:tblW w:w="5000" w:type="pct"/>
        <w:jc w:val="center"/>
        <w:tblCellMar>
          <w:left w:w="107" w:type="dxa"/>
          <w:right w:w="107" w:type="dxa"/>
        </w:tblCellMar>
        <w:tblLook w:val="0000" w:firstRow="0" w:lastRow="0" w:firstColumn="0" w:lastColumn="0" w:noHBand="0" w:noVBand="0"/>
      </w:tblPr>
      <w:tblGrid>
        <w:gridCol w:w="755"/>
        <w:gridCol w:w="5137"/>
        <w:gridCol w:w="2635"/>
      </w:tblGrid>
      <w:tr w:rsidR="00DC1A9B" w:rsidRPr="00F00002" w:rsidTr="000505B9">
        <w:trPr>
          <w:tblHeader/>
          <w:jc w:val="center"/>
        </w:trPr>
        <w:tc>
          <w:tcPr>
            <w:tcW w:w="443" w:type="pct"/>
            <w:tcBorders>
              <w:top w:val="single" w:sz="12" w:space="0" w:color="auto"/>
              <w:bottom w:val="single" w:sz="6" w:space="0" w:color="auto"/>
            </w:tcBorders>
            <w:shd w:val="clear" w:color="auto" w:fill="auto"/>
          </w:tcPr>
          <w:p w:rsidR="00DC1A9B" w:rsidRPr="00F00002" w:rsidRDefault="00DC1A9B" w:rsidP="00842FEE">
            <w:pPr>
              <w:keepLines/>
              <w:rPr>
                <w:b/>
                <w:sz w:val="20"/>
              </w:rPr>
            </w:pPr>
            <w:r w:rsidRPr="00F00002">
              <w:rPr>
                <w:b/>
                <w:sz w:val="20"/>
              </w:rPr>
              <w:t>Item</w:t>
            </w:r>
          </w:p>
        </w:tc>
        <w:tc>
          <w:tcPr>
            <w:tcW w:w="3012" w:type="pct"/>
            <w:tcBorders>
              <w:top w:val="single" w:sz="12" w:space="0" w:color="auto"/>
              <w:bottom w:val="single" w:sz="6" w:space="0" w:color="auto"/>
            </w:tcBorders>
            <w:shd w:val="clear" w:color="auto" w:fill="auto"/>
          </w:tcPr>
          <w:p w:rsidR="00DC1A9B" w:rsidRPr="00F00002" w:rsidRDefault="00DC1A9B" w:rsidP="00842FEE">
            <w:pPr>
              <w:keepLines/>
              <w:rPr>
                <w:b/>
                <w:sz w:val="20"/>
              </w:rPr>
            </w:pPr>
            <w:r w:rsidRPr="00F00002">
              <w:rPr>
                <w:b/>
                <w:sz w:val="20"/>
              </w:rPr>
              <w:t>Insurance policy</w:t>
            </w:r>
          </w:p>
        </w:tc>
        <w:tc>
          <w:tcPr>
            <w:tcW w:w="1545" w:type="pct"/>
            <w:tcBorders>
              <w:top w:val="single" w:sz="12" w:space="0" w:color="auto"/>
              <w:bottom w:val="single" w:sz="6" w:space="0" w:color="auto"/>
            </w:tcBorders>
            <w:shd w:val="clear" w:color="auto" w:fill="auto"/>
          </w:tcPr>
          <w:p w:rsidR="00DC1A9B" w:rsidRPr="00F00002" w:rsidRDefault="00DC1A9B" w:rsidP="00842FEE">
            <w:pPr>
              <w:keepLines/>
              <w:rPr>
                <w:b/>
                <w:sz w:val="20"/>
              </w:rPr>
            </w:pPr>
            <w:r w:rsidRPr="00F00002">
              <w:rPr>
                <w:b/>
                <w:sz w:val="20"/>
              </w:rPr>
              <w:t>Specified proportion %</w:t>
            </w:r>
          </w:p>
        </w:tc>
      </w:tr>
      <w:tr w:rsidR="00DC1A9B" w:rsidRPr="00F00002" w:rsidTr="000505B9">
        <w:trPr>
          <w:jc w:val="center"/>
        </w:trPr>
        <w:tc>
          <w:tcPr>
            <w:tcW w:w="443" w:type="pct"/>
            <w:tcBorders>
              <w:top w:val="single" w:sz="6" w:space="0" w:color="auto"/>
              <w:bottom w:val="single" w:sz="4" w:space="0" w:color="auto"/>
            </w:tcBorders>
            <w:shd w:val="clear" w:color="auto" w:fill="auto"/>
          </w:tcPr>
          <w:p w:rsidR="00DC1A9B" w:rsidRPr="00F00002" w:rsidRDefault="00DC1A9B" w:rsidP="00D150ED">
            <w:pPr>
              <w:pStyle w:val="Tabletext"/>
            </w:pPr>
            <w:r w:rsidRPr="00F00002">
              <w:t>1</w:t>
            </w:r>
          </w:p>
        </w:tc>
        <w:tc>
          <w:tcPr>
            <w:tcW w:w="3012" w:type="pct"/>
            <w:tcBorders>
              <w:top w:val="single" w:sz="6" w:space="0" w:color="auto"/>
              <w:bottom w:val="single" w:sz="4" w:space="0" w:color="auto"/>
            </w:tcBorders>
            <w:shd w:val="clear" w:color="auto" w:fill="auto"/>
          </w:tcPr>
          <w:p w:rsidR="00DC1A9B" w:rsidRPr="00F00002" w:rsidRDefault="00DC1A9B" w:rsidP="00D150ED">
            <w:pPr>
              <w:pStyle w:val="Tabletext"/>
            </w:pPr>
            <w:r w:rsidRPr="00F00002">
              <w:t>TPD any occupation</w:t>
            </w:r>
          </w:p>
        </w:tc>
        <w:tc>
          <w:tcPr>
            <w:tcW w:w="1545" w:type="pct"/>
            <w:tcBorders>
              <w:top w:val="single" w:sz="6" w:space="0" w:color="auto"/>
              <w:bottom w:val="single" w:sz="4" w:space="0" w:color="auto"/>
            </w:tcBorders>
            <w:shd w:val="clear" w:color="auto" w:fill="auto"/>
          </w:tcPr>
          <w:p w:rsidR="00DC1A9B" w:rsidRPr="00F00002" w:rsidRDefault="00DC1A9B" w:rsidP="00D150ED">
            <w:pPr>
              <w:pStyle w:val="Tabletext"/>
            </w:pPr>
            <w:r w:rsidRPr="00F00002">
              <w:t>100</w:t>
            </w:r>
          </w:p>
        </w:tc>
      </w:tr>
      <w:tr w:rsidR="00DC1A9B" w:rsidRPr="00F00002" w:rsidTr="000505B9">
        <w:trPr>
          <w:jc w:val="center"/>
        </w:trPr>
        <w:tc>
          <w:tcPr>
            <w:tcW w:w="443"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2</w:t>
            </w:r>
          </w:p>
        </w:tc>
        <w:tc>
          <w:tcPr>
            <w:tcW w:w="3012"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TPD any occupation with one or more of the following inclusions:</w:t>
            </w:r>
          </w:p>
          <w:p w:rsidR="00DC1A9B" w:rsidRPr="00F00002" w:rsidRDefault="00D150ED" w:rsidP="00D150ED">
            <w:pPr>
              <w:pStyle w:val="Tablea"/>
            </w:pPr>
            <w:r w:rsidRPr="00F00002">
              <w:t>(</w:t>
            </w:r>
            <w:r w:rsidR="00DC1A9B" w:rsidRPr="00F00002">
              <w:t>a</w:t>
            </w:r>
            <w:r w:rsidRPr="00F00002">
              <w:t xml:space="preserve">) </w:t>
            </w:r>
            <w:r w:rsidR="00DC1A9B" w:rsidRPr="00F00002">
              <w:t>activities of daily living;</w:t>
            </w:r>
          </w:p>
          <w:p w:rsidR="00DC1A9B" w:rsidRPr="00F00002" w:rsidRDefault="00D150ED" w:rsidP="00D150ED">
            <w:pPr>
              <w:pStyle w:val="Tablea"/>
            </w:pPr>
            <w:r w:rsidRPr="00F00002">
              <w:t>(</w:t>
            </w:r>
            <w:r w:rsidR="00DC1A9B" w:rsidRPr="00F00002">
              <w:t>b</w:t>
            </w:r>
            <w:r w:rsidRPr="00F00002">
              <w:t xml:space="preserve">) </w:t>
            </w:r>
            <w:r w:rsidR="00DC1A9B" w:rsidRPr="00F00002">
              <w:t>cognitive loss;</w:t>
            </w:r>
          </w:p>
          <w:p w:rsidR="00DC1A9B" w:rsidRPr="00F00002" w:rsidRDefault="00D150ED" w:rsidP="00D150ED">
            <w:pPr>
              <w:pStyle w:val="Tablea"/>
            </w:pPr>
            <w:r w:rsidRPr="00F00002">
              <w:t>(</w:t>
            </w:r>
            <w:r w:rsidR="00DC1A9B" w:rsidRPr="00F00002">
              <w:t>c</w:t>
            </w:r>
            <w:r w:rsidRPr="00F00002">
              <w:t xml:space="preserve">) </w:t>
            </w:r>
            <w:r w:rsidR="00DC1A9B" w:rsidRPr="00F00002">
              <w:t>loss of limb;</w:t>
            </w:r>
          </w:p>
          <w:p w:rsidR="00DC1A9B" w:rsidRPr="00F00002" w:rsidRDefault="00D150ED" w:rsidP="00D150ED">
            <w:pPr>
              <w:pStyle w:val="Tablea"/>
            </w:pPr>
            <w:r w:rsidRPr="00F00002">
              <w:t>(</w:t>
            </w:r>
            <w:r w:rsidR="00DC1A9B" w:rsidRPr="00F00002">
              <w:t>d</w:t>
            </w:r>
            <w:r w:rsidRPr="00F00002">
              <w:t xml:space="preserve">) </w:t>
            </w:r>
            <w:r w:rsidR="00DC1A9B" w:rsidRPr="00F00002">
              <w:t>domestic (home) duties</w:t>
            </w:r>
          </w:p>
        </w:tc>
        <w:tc>
          <w:tcPr>
            <w:tcW w:w="1545"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100</w:t>
            </w:r>
          </w:p>
        </w:tc>
      </w:tr>
      <w:tr w:rsidR="00DC1A9B" w:rsidRPr="00F00002" w:rsidTr="000505B9">
        <w:trPr>
          <w:jc w:val="center"/>
        </w:trPr>
        <w:tc>
          <w:tcPr>
            <w:tcW w:w="443"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3</w:t>
            </w:r>
          </w:p>
        </w:tc>
        <w:tc>
          <w:tcPr>
            <w:tcW w:w="3012"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TPD own occupation</w:t>
            </w:r>
          </w:p>
        </w:tc>
        <w:tc>
          <w:tcPr>
            <w:tcW w:w="1545"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67</w:t>
            </w:r>
          </w:p>
        </w:tc>
      </w:tr>
      <w:tr w:rsidR="00DC1A9B" w:rsidRPr="00F00002" w:rsidTr="000505B9">
        <w:trPr>
          <w:jc w:val="center"/>
        </w:trPr>
        <w:tc>
          <w:tcPr>
            <w:tcW w:w="443"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4</w:t>
            </w:r>
          </w:p>
        </w:tc>
        <w:tc>
          <w:tcPr>
            <w:tcW w:w="3012"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TPD own occupation with one or more of the following inclusions:</w:t>
            </w:r>
          </w:p>
          <w:p w:rsidR="00DC1A9B" w:rsidRPr="00F00002" w:rsidRDefault="00D150ED" w:rsidP="00D150ED">
            <w:pPr>
              <w:pStyle w:val="Tablea"/>
            </w:pPr>
            <w:r w:rsidRPr="00F00002">
              <w:t>(</w:t>
            </w:r>
            <w:r w:rsidR="00DC1A9B" w:rsidRPr="00F00002">
              <w:t>a</w:t>
            </w:r>
            <w:r w:rsidRPr="00F00002">
              <w:t xml:space="preserve">) </w:t>
            </w:r>
            <w:r w:rsidR="00DC1A9B" w:rsidRPr="00F00002">
              <w:t>activities of daily living;</w:t>
            </w:r>
          </w:p>
          <w:p w:rsidR="00DC1A9B" w:rsidRPr="00F00002" w:rsidRDefault="00D150ED" w:rsidP="00D150ED">
            <w:pPr>
              <w:pStyle w:val="Tablea"/>
            </w:pPr>
            <w:r w:rsidRPr="00F00002">
              <w:t>(</w:t>
            </w:r>
            <w:r w:rsidR="00DC1A9B" w:rsidRPr="00F00002">
              <w:t>b</w:t>
            </w:r>
            <w:r w:rsidRPr="00F00002">
              <w:t xml:space="preserve">) </w:t>
            </w:r>
            <w:r w:rsidR="00DC1A9B" w:rsidRPr="00F00002">
              <w:t>cognitive loss;</w:t>
            </w:r>
          </w:p>
          <w:p w:rsidR="00DC1A9B" w:rsidRPr="00F00002" w:rsidRDefault="00D150ED" w:rsidP="00D150ED">
            <w:pPr>
              <w:pStyle w:val="Tablea"/>
            </w:pPr>
            <w:r w:rsidRPr="00F00002">
              <w:t>(</w:t>
            </w:r>
            <w:r w:rsidR="00DC1A9B" w:rsidRPr="00F00002">
              <w:t>c</w:t>
            </w:r>
            <w:r w:rsidRPr="00F00002">
              <w:t xml:space="preserve">) </w:t>
            </w:r>
            <w:r w:rsidR="00DC1A9B" w:rsidRPr="00F00002">
              <w:t>loss of limb;</w:t>
            </w:r>
          </w:p>
          <w:p w:rsidR="00DC1A9B" w:rsidRPr="00F00002" w:rsidRDefault="00D150ED" w:rsidP="00D150ED">
            <w:pPr>
              <w:pStyle w:val="Tablea"/>
            </w:pPr>
            <w:r w:rsidRPr="00F00002">
              <w:t>(</w:t>
            </w:r>
            <w:r w:rsidR="00DC1A9B" w:rsidRPr="00F00002">
              <w:t>d</w:t>
            </w:r>
            <w:r w:rsidRPr="00F00002">
              <w:t xml:space="preserve">) </w:t>
            </w:r>
            <w:r w:rsidR="00DC1A9B" w:rsidRPr="00F00002">
              <w:t>domestic (home) duties</w:t>
            </w:r>
          </w:p>
        </w:tc>
        <w:tc>
          <w:tcPr>
            <w:tcW w:w="1545"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67</w:t>
            </w:r>
          </w:p>
        </w:tc>
      </w:tr>
      <w:tr w:rsidR="00DC1A9B" w:rsidRPr="00F00002" w:rsidTr="000505B9">
        <w:trPr>
          <w:jc w:val="center"/>
        </w:trPr>
        <w:tc>
          <w:tcPr>
            <w:tcW w:w="443"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5</w:t>
            </w:r>
          </w:p>
        </w:tc>
        <w:tc>
          <w:tcPr>
            <w:tcW w:w="3012"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TPD own occupation bundled with death (life) cover</w:t>
            </w:r>
          </w:p>
        </w:tc>
        <w:tc>
          <w:tcPr>
            <w:tcW w:w="1545" w:type="pct"/>
            <w:tcBorders>
              <w:top w:val="single" w:sz="4" w:space="0" w:color="auto"/>
              <w:bottom w:val="single" w:sz="4" w:space="0" w:color="auto"/>
            </w:tcBorders>
            <w:shd w:val="clear" w:color="auto" w:fill="auto"/>
          </w:tcPr>
          <w:p w:rsidR="00DC1A9B" w:rsidRPr="00F00002" w:rsidRDefault="00DC1A9B" w:rsidP="00D150ED">
            <w:pPr>
              <w:pStyle w:val="Tabletext"/>
            </w:pPr>
            <w:r w:rsidRPr="00F00002">
              <w:t>80</w:t>
            </w:r>
          </w:p>
        </w:tc>
      </w:tr>
      <w:tr w:rsidR="00E43661" w:rsidRPr="00F00002" w:rsidTr="000505B9">
        <w:trPr>
          <w:trHeight w:val="106"/>
          <w:jc w:val="center"/>
        </w:trPr>
        <w:tc>
          <w:tcPr>
            <w:tcW w:w="443" w:type="pct"/>
            <w:tcBorders>
              <w:top w:val="single" w:sz="4" w:space="0" w:color="auto"/>
              <w:bottom w:val="single" w:sz="12" w:space="0" w:color="auto"/>
            </w:tcBorders>
            <w:shd w:val="clear" w:color="auto" w:fill="auto"/>
          </w:tcPr>
          <w:p w:rsidR="00E43661" w:rsidRPr="00F00002" w:rsidRDefault="00E43661" w:rsidP="00D150ED">
            <w:pPr>
              <w:pStyle w:val="Tabletext"/>
            </w:pPr>
            <w:r w:rsidRPr="00F00002">
              <w:t>6</w:t>
            </w:r>
          </w:p>
        </w:tc>
        <w:tc>
          <w:tcPr>
            <w:tcW w:w="3012" w:type="pct"/>
            <w:tcBorders>
              <w:top w:val="single" w:sz="4" w:space="0" w:color="auto"/>
              <w:bottom w:val="single" w:sz="12" w:space="0" w:color="auto"/>
            </w:tcBorders>
            <w:shd w:val="clear" w:color="auto" w:fill="auto"/>
          </w:tcPr>
          <w:p w:rsidR="00E43661" w:rsidRPr="00F00002" w:rsidRDefault="00E43661" w:rsidP="00D150ED">
            <w:pPr>
              <w:pStyle w:val="Tabletext"/>
            </w:pPr>
            <w:r w:rsidRPr="00F00002">
              <w:t>TPD own occupation bundled with death (life) cover with one or more of the following inclusions:</w:t>
            </w:r>
          </w:p>
          <w:p w:rsidR="00E43661" w:rsidRPr="00F00002" w:rsidRDefault="00E43661" w:rsidP="00D150ED">
            <w:pPr>
              <w:pStyle w:val="Tablea"/>
            </w:pPr>
            <w:r w:rsidRPr="00F00002">
              <w:t>(a) activities of daily living;</w:t>
            </w:r>
          </w:p>
          <w:p w:rsidR="00E43661" w:rsidRPr="00F00002" w:rsidRDefault="00E43661" w:rsidP="00D150ED">
            <w:pPr>
              <w:pStyle w:val="Tablea"/>
            </w:pPr>
            <w:r w:rsidRPr="00F00002">
              <w:lastRenderedPageBreak/>
              <w:t>(b) cognitive loss;</w:t>
            </w:r>
          </w:p>
          <w:p w:rsidR="00E43661" w:rsidRPr="00F00002" w:rsidRDefault="00E43661" w:rsidP="00D150ED">
            <w:pPr>
              <w:pStyle w:val="Tablea"/>
            </w:pPr>
            <w:r w:rsidRPr="00F00002">
              <w:t>(c) loss of limb;</w:t>
            </w:r>
          </w:p>
          <w:p w:rsidR="00E43661" w:rsidRPr="00F00002" w:rsidRDefault="00E43661" w:rsidP="00D150ED">
            <w:pPr>
              <w:pStyle w:val="Tablea"/>
            </w:pPr>
            <w:r w:rsidRPr="00F00002">
              <w:t>(d) domestic (home) duties</w:t>
            </w:r>
          </w:p>
        </w:tc>
        <w:tc>
          <w:tcPr>
            <w:tcW w:w="1545" w:type="pct"/>
            <w:tcBorders>
              <w:top w:val="single" w:sz="4" w:space="0" w:color="auto"/>
              <w:bottom w:val="single" w:sz="12" w:space="0" w:color="auto"/>
            </w:tcBorders>
            <w:shd w:val="clear" w:color="auto" w:fill="auto"/>
          </w:tcPr>
          <w:p w:rsidR="00E43661" w:rsidRPr="00F00002" w:rsidRDefault="00E43661" w:rsidP="00D150ED">
            <w:pPr>
              <w:pStyle w:val="Tabletext"/>
            </w:pPr>
            <w:r w:rsidRPr="00F00002">
              <w:lastRenderedPageBreak/>
              <w:t>80</w:t>
            </w:r>
          </w:p>
        </w:tc>
      </w:tr>
    </w:tbl>
    <w:p w:rsidR="00DC1A9B" w:rsidRPr="00F00002" w:rsidRDefault="00DC1A9B" w:rsidP="00D150ED">
      <w:pPr>
        <w:pStyle w:val="subsection"/>
      </w:pPr>
      <w:r w:rsidRPr="00F00002">
        <w:lastRenderedPageBreak/>
        <w:tab/>
        <w:t>(2)</w:t>
      </w:r>
      <w:r w:rsidRPr="00F00002">
        <w:tab/>
        <w:t>A specified proportion mentioned in the table in subregulation</w:t>
      </w:r>
      <w:r w:rsidR="00135C25" w:rsidRPr="00F00002">
        <w:t> </w:t>
      </w:r>
      <w:r w:rsidRPr="00F00002">
        <w:t>(1) will be deductible only if the conditions to which the insurance policy that relates to the proportion is subject are either more restrictive than or have substantially the same meaning as the conditions described in the definition of the policy in subregulation</w:t>
      </w:r>
      <w:r w:rsidR="00135C25" w:rsidRPr="00F00002">
        <w:t> </w:t>
      </w:r>
      <w:r w:rsidRPr="00F00002">
        <w:t>(5).</w:t>
      </w:r>
    </w:p>
    <w:p w:rsidR="00DC1A9B" w:rsidRPr="00F00002" w:rsidRDefault="00DC1A9B" w:rsidP="00D150ED">
      <w:pPr>
        <w:pStyle w:val="subsection"/>
      </w:pPr>
      <w:r w:rsidRPr="00F00002">
        <w:tab/>
        <w:t>(3)</w:t>
      </w:r>
      <w:r w:rsidRPr="00F00002">
        <w:tab/>
        <w:t>If a member is required to meet a criterion to be eligible for a benefit under an insurance policy in addition to the criteria that are essential to the matters identified in the definition of the policy in subregulation</w:t>
      </w:r>
      <w:r w:rsidR="00135C25" w:rsidRPr="00F00002">
        <w:t> </w:t>
      </w:r>
      <w:r w:rsidRPr="00F00002">
        <w:t>(5), the additional criterion may be disregarded.</w:t>
      </w:r>
    </w:p>
    <w:p w:rsidR="00DC1A9B" w:rsidRPr="00F00002" w:rsidRDefault="00DC1A9B" w:rsidP="00D150ED">
      <w:pPr>
        <w:pStyle w:val="subsection"/>
      </w:pPr>
      <w:r w:rsidRPr="00F00002">
        <w:tab/>
        <w:t>(4)</w:t>
      </w:r>
      <w:r w:rsidRPr="00F00002">
        <w:tab/>
        <w:t>The use of a specified proportion in the table in subregulation</w:t>
      </w:r>
      <w:r w:rsidR="00135C25" w:rsidRPr="00F00002">
        <w:t> </w:t>
      </w:r>
      <w:r w:rsidRPr="00F00002">
        <w:t>(1) in respect of a particular insurance policy is not affected by the inclusion in the insurance policy of a benefit payable to a member because a terminal medical condition exists in relation to the member.</w:t>
      </w:r>
    </w:p>
    <w:p w:rsidR="00DC1A9B" w:rsidRPr="00F00002" w:rsidRDefault="00DC1A9B" w:rsidP="00D150ED">
      <w:pPr>
        <w:pStyle w:val="subsection"/>
      </w:pPr>
      <w:r w:rsidRPr="00F00002">
        <w:tab/>
        <w:t>(5)</w:t>
      </w:r>
      <w:r w:rsidRPr="00F00002">
        <w:tab/>
        <w:t>In this regulation:</w:t>
      </w:r>
    </w:p>
    <w:p w:rsidR="00DC1A9B" w:rsidRPr="00F00002" w:rsidRDefault="00DC1A9B" w:rsidP="00D150ED">
      <w:pPr>
        <w:pStyle w:val="Definition"/>
      </w:pPr>
      <w:r w:rsidRPr="00F00002">
        <w:rPr>
          <w:b/>
          <w:i/>
        </w:rPr>
        <w:t>activities of daily living</w:t>
      </w:r>
      <w:r w:rsidRPr="00F00002">
        <w:t xml:space="preserve"> means a component of a disability insurance policy that insures against a disability that results in a member’s total and permanent inability to perform at least 2 of the following activities of daily living without the assistance of another person:</w:t>
      </w:r>
    </w:p>
    <w:p w:rsidR="00DC1A9B" w:rsidRPr="00F00002" w:rsidRDefault="00DC1A9B" w:rsidP="00D150ED">
      <w:pPr>
        <w:pStyle w:val="paragraph"/>
      </w:pPr>
      <w:r w:rsidRPr="00F00002">
        <w:tab/>
        <w:t>(a)</w:t>
      </w:r>
      <w:r w:rsidRPr="00F00002">
        <w:tab/>
        <w:t>bathing and showering;</w:t>
      </w:r>
    </w:p>
    <w:p w:rsidR="00DC1A9B" w:rsidRPr="00F00002" w:rsidRDefault="00DC1A9B" w:rsidP="00D150ED">
      <w:pPr>
        <w:pStyle w:val="paragraph"/>
      </w:pPr>
      <w:r w:rsidRPr="00F00002">
        <w:tab/>
        <w:t>(b)</w:t>
      </w:r>
      <w:r w:rsidRPr="00F00002">
        <w:tab/>
        <w:t>dressing and undressing;</w:t>
      </w:r>
    </w:p>
    <w:p w:rsidR="00DC1A9B" w:rsidRPr="00F00002" w:rsidRDefault="00DC1A9B" w:rsidP="00D150ED">
      <w:pPr>
        <w:pStyle w:val="paragraph"/>
      </w:pPr>
      <w:r w:rsidRPr="00F00002">
        <w:tab/>
        <w:t>(c)</w:t>
      </w:r>
      <w:r w:rsidRPr="00F00002">
        <w:tab/>
        <w:t>eating and drinking;</w:t>
      </w:r>
    </w:p>
    <w:p w:rsidR="00DC1A9B" w:rsidRPr="00F00002" w:rsidRDefault="00DC1A9B" w:rsidP="00D150ED">
      <w:pPr>
        <w:pStyle w:val="paragraph"/>
      </w:pPr>
      <w:r w:rsidRPr="00F00002">
        <w:tab/>
        <w:t>(d)</w:t>
      </w:r>
      <w:r w:rsidRPr="00F00002">
        <w:tab/>
        <w:t>mobility, to the extent of being able to get in and out of bed or a chair, and move from place to place without using a wheelchair;</w:t>
      </w:r>
    </w:p>
    <w:p w:rsidR="00DC1A9B" w:rsidRPr="00F00002" w:rsidRDefault="00DC1A9B" w:rsidP="00D150ED">
      <w:pPr>
        <w:pStyle w:val="paragraph"/>
      </w:pPr>
      <w:r w:rsidRPr="00F00002">
        <w:tab/>
        <w:t>(e)</w:t>
      </w:r>
      <w:r w:rsidRPr="00F00002">
        <w:tab/>
        <w:t>the ability to use a toilet.</w:t>
      </w:r>
    </w:p>
    <w:p w:rsidR="00DC1A9B" w:rsidRPr="00F00002" w:rsidRDefault="00DC1A9B" w:rsidP="00D150ED">
      <w:pPr>
        <w:pStyle w:val="Definition"/>
      </w:pPr>
      <w:r w:rsidRPr="00F00002">
        <w:rPr>
          <w:b/>
          <w:i/>
        </w:rPr>
        <w:t xml:space="preserve">bundled </w:t>
      </w:r>
      <w:r w:rsidRPr="00F00002">
        <w:t>means a situation in which:</w:t>
      </w:r>
    </w:p>
    <w:p w:rsidR="00DC1A9B" w:rsidRPr="00F00002" w:rsidRDefault="00DC1A9B" w:rsidP="00D150ED">
      <w:pPr>
        <w:pStyle w:val="paragraph"/>
      </w:pPr>
      <w:r w:rsidRPr="00F00002">
        <w:tab/>
        <w:t>(a)</w:t>
      </w:r>
      <w:r w:rsidRPr="00F00002">
        <w:tab/>
        <w:t>the TPD and death (life) components of the combined insurance premium are not separately identified; and</w:t>
      </w:r>
    </w:p>
    <w:p w:rsidR="00DC1A9B" w:rsidRPr="00F00002" w:rsidRDefault="00DC1A9B" w:rsidP="00D150ED">
      <w:pPr>
        <w:pStyle w:val="paragraph"/>
        <w:rPr>
          <w:strike/>
        </w:rPr>
      </w:pPr>
      <w:r w:rsidRPr="00F00002">
        <w:tab/>
        <w:t>(b)</w:t>
      </w:r>
      <w:r w:rsidRPr="00F00002">
        <w:tab/>
        <w:t>the amount payable to the insured person in relation to the TPD component does not exceed the amount payable in relation to the insured person in relation to the death (life) component.</w:t>
      </w:r>
    </w:p>
    <w:p w:rsidR="00DC1A9B" w:rsidRPr="00F00002" w:rsidRDefault="00DC1A9B" w:rsidP="00D150ED">
      <w:pPr>
        <w:pStyle w:val="Definition"/>
      </w:pPr>
      <w:r w:rsidRPr="00F00002">
        <w:rPr>
          <w:b/>
          <w:i/>
        </w:rPr>
        <w:t>cognitive loss</w:t>
      </w:r>
      <w:r w:rsidRPr="00F00002">
        <w:t xml:space="preserve"> means a component of a disability insurance policy that insures against a member suffering a permanent deterioration or loss of cognitive functioning or intellectual capacity that requires the person to be under the continuous care and supervision of another person.</w:t>
      </w:r>
    </w:p>
    <w:p w:rsidR="00DC1A9B" w:rsidRPr="00F00002" w:rsidRDefault="00DC1A9B" w:rsidP="00D150ED">
      <w:pPr>
        <w:pStyle w:val="Definition"/>
      </w:pPr>
      <w:r w:rsidRPr="00F00002">
        <w:rPr>
          <w:b/>
          <w:i/>
        </w:rPr>
        <w:lastRenderedPageBreak/>
        <w:t>death (life) cover</w:t>
      </w:r>
      <w:r w:rsidRPr="00F00002">
        <w:t xml:space="preserve"> means insurance against the liability to provide a superannuation death benefit within the meaning of the Act.</w:t>
      </w:r>
    </w:p>
    <w:p w:rsidR="00DC1A9B" w:rsidRPr="00F00002" w:rsidRDefault="00DC1A9B" w:rsidP="00D150ED">
      <w:pPr>
        <w:pStyle w:val="Definition"/>
      </w:pPr>
      <w:r w:rsidRPr="00F00002">
        <w:rPr>
          <w:b/>
          <w:i/>
        </w:rPr>
        <w:t xml:space="preserve">domestic (home) duties </w:t>
      </w:r>
      <w:r w:rsidRPr="00F00002">
        <w:t>means a component of a disability insurance policy that insures against a disability that results in a member being:</w:t>
      </w:r>
    </w:p>
    <w:p w:rsidR="00DC1A9B" w:rsidRPr="00F00002" w:rsidRDefault="00DC1A9B" w:rsidP="00D150ED">
      <w:pPr>
        <w:pStyle w:val="paragraph"/>
      </w:pPr>
      <w:r w:rsidRPr="00F00002">
        <w:tab/>
        <w:t>(a)</w:t>
      </w:r>
      <w:r w:rsidRPr="00F00002">
        <w:tab/>
        <w:t>unable to perform the member’s normal domestic duties; and</w:t>
      </w:r>
    </w:p>
    <w:p w:rsidR="00DC1A9B" w:rsidRPr="00F00002" w:rsidRDefault="00DC1A9B" w:rsidP="00D150ED">
      <w:pPr>
        <w:pStyle w:val="paragraph"/>
      </w:pPr>
      <w:r w:rsidRPr="00F00002">
        <w:tab/>
        <w:t>(b)</w:t>
      </w:r>
      <w:r w:rsidRPr="00F00002">
        <w:tab/>
        <w:t>unable to leave the member’s home unaided; and</w:t>
      </w:r>
    </w:p>
    <w:p w:rsidR="00DC1A9B" w:rsidRPr="00F00002" w:rsidRDefault="00DC1A9B" w:rsidP="00D150ED">
      <w:pPr>
        <w:pStyle w:val="paragraph"/>
      </w:pPr>
      <w:r w:rsidRPr="00F00002">
        <w:tab/>
        <w:t>(c)</w:t>
      </w:r>
      <w:r w:rsidRPr="00F00002">
        <w:tab/>
        <w:t>incapacitated to such an extent that the member is unlikely to ever engage in normal domestic duties or any gainful employment.</w:t>
      </w:r>
    </w:p>
    <w:p w:rsidR="00DC1A9B" w:rsidRPr="00F00002" w:rsidRDefault="00DC1A9B" w:rsidP="00D150ED">
      <w:pPr>
        <w:pStyle w:val="Definition"/>
      </w:pPr>
      <w:r w:rsidRPr="00F00002">
        <w:rPr>
          <w:b/>
          <w:i/>
        </w:rPr>
        <w:t>loss of limb</w:t>
      </w:r>
      <w:r w:rsidRPr="00F00002">
        <w:t xml:space="preserve"> means a component of a disability insurance policy that insures against the permanent loss of:</w:t>
      </w:r>
    </w:p>
    <w:p w:rsidR="00DC1A9B" w:rsidRPr="00F00002" w:rsidRDefault="00DC1A9B" w:rsidP="00D150ED">
      <w:pPr>
        <w:pStyle w:val="paragraph"/>
      </w:pPr>
      <w:r w:rsidRPr="00F00002">
        <w:tab/>
        <w:t>(a)</w:t>
      </w:r>
      <w:r w:rsidRPr="00F00002">
        <w:tab/>
        <w:t>the sight in both the member’s eyes resulting in blindness; or</w:t>
      </w:r>
    </w:p>
    <w:p w:rsidR="00DC1A9B" w:rsidRPr="00F00002" w:rsidRDefault="00DC1A9B" w:rsidP="00D150ED">
      <w:pPr>
        <w:pStyle w:val="paragraph"/>
      </w:pPr>
      <w:r w:rsidRPr="00F00002">
        <w:tab/>
        <w:t>(b)</w:t>
      </w:r>
      <w:r w:rsidRPr="00F00002">
        <w:tab/>
        <w:t>the use of two or more of the member’s limbs, feet or hands; or</w:t>
      </w:r>
    </w:p>
    <w:p w:rsidR="00DC1A9B" w:rsidRPr="00F00002" w:rsidRDefault="00DC1A9B" w:rsidP="00D150ED">
      <w:pPr>
        <w:pStyle w:val="paragraph"/>
      </w:pPr>
      <w:r w:rsidRPr="00F00002">
        <w:tab/>
        <w:t>(c)</w:t>
      </w:r>
      <w:r w:rsidRPr="00F00002">
        <w:tab/>
        <w:t>the sight in one of the member’s eyes resulting in blindness in that eye and the use of one of the member’s limbs, feet or hands.</w:t>
      </w:r>
    </w:p>
    <w:p w:rsidR="00DC1A9B" w:rsidRPr="00F00002" w:rsidRDefault="00DC1A9B" w:rsidP="00D150ED">
      <w:pPr>
        <w:pStyle w:val="Definition"/>
      </w:pPr>
      <w:r w:rsidRPr="00F00002">
        <w:rPr>
          <w:b/>
          <w:i/>
        </w:rPr>
        <w:t xml:space="preserve">normal domestic duties </w:t>
      </w:r>
      <w:r w:rsidRPr="00F00002">
        <w:t>means the tasks performed by an individual whose sole occupation is to maintain the individual’s family home, including;</w:t>
      </w:r>
    </w:p>
    <w:p w:rsidR="00DC1A9B" w:rsidRPr="00F00002" w:rsidRDefault="00DC1A9B" w:rsidP="00D150ED">
      <w:pPr>
        <w:pStyle w:val="paragraph"/>
      </w:pPr>
      <w:r w:rsidRPr="00F00002">
        <w:tab/>
        <w:t>(a)</w:t>
      </w:r>
      <w:r w:rsidRPr="00F00002">
        <w:tab/>
        <w:t>unassisted cleaning of the individual’s home; and</w:t>
      </w:r>
    </w:p>
    <w:p w:rsidR="00DC1A9B" w:rsidRPr="00F00002" w:rsidRDefault="00DC1A9B" w:rsidP="00D150ED">
      <w:pPr>
        <w:pStyle w:val="paragraph"/>
      </w:pPr>
      <w:r w:rsidRPr="00F00002">
        <w:tab/>
        <w:t>(b)</w:t>
      </w:r>
      <w:r w:rsidRPr="00F00002">
        <w:tab/>
        <w:t>cooking of meals for the individual’s family; and</w:t>
      </w:r>
    </w:p>
    <w:p w:rsidR="00DC1A9B" w:rsidRPr="00F00002" w:rsidRDefault="00DC1A9B" w:rsidP="00D150ED">
      <w:pPr>
        <w:pStyle w:val="paragraph"/>
      </w:pPr>
      <w:r w:rsidRPr="00F00002">
        <w:tab/>
        <w:t>(c)</w:t>
      </w:r>
      <w:r w:rsidRPr="00F00002">
        <w:tab/>
        <w:t>doing the laundry for the individual’s family; and</w:t>
      </w:r>
    </w:p>
    <w:p w:rsidR="00DC1A9B" w:rsidRPr="00F00002" w:rsidRDefault="00DC1A9B" w:rsidP="00D150ED">
      <w:pPr>
        <w:pStyle w:val="paragraph"/>
      </w:pPr>
      <w:r w:rsidRPr="00F00002">
        <w:tab/>
        <w:t>(d)</w:t>
      </w:r>
      <w:r w:rsidRPr="00F00002">
        <w:tab/>
        <w:t>shopping for food for the individual’s family; and</w:t>
      </w:r>
    </w:p>
    <w:p w:rsidR="00DC1A9B" w:rsidRPr="00F00002" w:rsidRDefault="00DC1A9B" w:rsidP="00D150ED">
      <w:pPr>
        <w:pStyle w:val="paragraph"/>
      </w:pPr>
      <w:r w:rsidRPr="00F00002">
        <w:tab/>
        <w:t>(e)</w:t>
      </w:r>
      <w:r w:rsidRPr="00F00002">
        <w:tab/>
        <w:t>taking care of any dependent children.</w:t>
      </w:r>
    </w:p>
    <w:p w:rsidR="00DC1A9B" w:rsidRPr="00F00002" w:rsidRDefault="00DC1A9B" w:rsidP="00D150ED">
      <w:pPr>
        <w:pStyle w:val="Definition"/>
      </w:pPr>
      <w:r w:rsidRPr="00F00002">
        <w:rPr>
          <w:b/>
          <w:i/>
        </w:rPr>
        <w:t>TPD any occupation</w:t>
      </w:r>
      <w:r w:rsidRPr="00F00002">
        <w:t xml:space="preserve"> means insurance against the member suffering an illness or injury that is likely to result in the member’s permanent inability to engage in gainful employment for which the member is reasonably qualified by education, training or experience.</w:t>
      </w:r>
    </w:p>
    <w:p w:rsidR="00DC1A9B" w:rsidRPr="00F00002" w:rsidRDefault="00DC1A9B" w:rsidP="00D150ED">
      <w:pPr>
        <w:pStyle w:val="Definition"/>
      </w:pPr>
      <w:r w:rsidRPr="00F00002">
        <w:rPr>
          <w:b/>
          <w:i/>
        </w:rPr>
        <w:t>TPD own occupation</w:t>
      </w:r>
      <w:r w:rsidRPr="00F00002">
        <w:t xml:space="preserve"> means insurance against the member suffering an illness or injury that is likely to result in the member’s permanent inability to engage in gainful employment in the member’s own occupation, where inability to engage in gainful employment includes the inability to work otherwise than in a substantially reduced capacity to that in which the member worked before suffering the illness or injury.</w:t>
      </w:r>
    </w:p>
    <w:p w:rsidR="00BB4501" w:rsidRPr="00F00002" w:rsidRDefault="00D150ED" w:rsidP="00D150ED">
      <w:pPr>
        <w:pStyle w:val="ActHead2"/>
        <w:pageBreakBefore/>
      </w:pPr>
      <w:bookmarkStart w:id="109" w:name="_Toc31109687"/>
      <w:r w:rsidRPr="00A26088">
        <w:rPr>
          <w:rStyle w:val="CharPartNo"/>
        </w:rPr>
        <w:lastRenderedPageBreak/>
        <w:t>Part</w:t>
      </w:r>
      <w:r w:rsidR="00F00002" w:rsidRPr="00A26088">
        <w:rPr>
          <w:rStyle w:val="CharPartNo"/>
        </w:rPr>
        <w:t> </w:t>
      </w:r>
      <w:r w:rsidR="00BB4501" w:rsidRPr="00A26088">
        <w:rPr>
          <w:rStyle w:val="CharPartNo"/>
        </w:rPr>
        <w:t>3</w:t>
      </w:r>
      <w:r w:rsidRPr="00F00002">
        <w:t>—</w:t>
      </w:r>
      <w:r w:rsidR="00BB4501" w:rsidRPr="00A26088">
        <w:rPr>
          <w:rStyle w:val="CharPartText"/>
        </w:rPr>
        <w:t>Superannuation benefits paid from complying plans etc</w:t>
      </w:r>
      <w:bookmarkEnd w:id="109"/>
    </w:p>
    <w:p w:rsidR="00BB4501" w:rsidRPr="00F00002" w:rsidRDefault="00D150ED" w:rsidP="00D150ED">
      <w:pPr>
        <w:pStyle w:val="ActHead3"/>
      </w:pPr>
      <w:bookmarkStart w:id="110" w:name="_Toc31109688"/>
      <w:r w:rsidRPr="00A26088">
        <w:rPr>
          <w:rStyle w:val="CharDivNo"/>
        </w:rPr>
        <w:t>Division</w:t>
      </w:r>
      <w:r w:rsidR="00F00002" w:rsidRPr="00A26088">
        <w:rPr>
          <w:rStyle w:val="CharDivNo"/>
        </w:rPr>
        <w:t> </w:t>
      </w:r>
      <w:r w:rsidR="00BB4501" w:rsidRPr="00A26088">
        <w:rPr>
          <w:rStyle w:val="CharDivNo"/>
        </w:rPr>
        <w:t>301</w:t>
      </w:r>
      <w:r w:rsidRPr="00F00002">
        <w:rPr>
          <w:color w:val="000000"/>
        </w:rPr>
        <w:t>—</w:t>
      </w:r>
      <w:r w:rsidR="00BB4501" w:rsidRPr="00A26088">
        <w:rPr>
          <w:rStyle w:val="CharDivText"/>
        </w:rPr>
        <w:t>Superannuation member benefits paid from complying plans etc</w:t>
      </w:r>
      <w:bookmarkEnd w:id="110"/>
    </w:p>
    <w:p w:rsidR="00BB4501" w:rsidRPr="00F00002" w:rsidRDefault="00D150ED" w:rsidP="00D150ED">
      <w:pPr>
        <w:pStyle w:val="ActHead4"/>
      </w:pPr>
      <w:bookmarkStart w:id="111" w:name="_Toc31109689"/>
      <w:r w:rsidRPr="00A26088">
        <w:rPr>
          <w:rStyle w:val="CharSubdNo"/>
        </w:rPr>
        <w:t>Subdivision</w:t>
      </w:r>
      <w:r w:rsidR="00F00002" w:rsidRPr="00A26088">
        <w:rPr>
          <w:rStyle w:val="CharSubdNo"/>
        </w:rPr>
        <w:t> </w:t>
      </w:r>
      <w:r w:rsidR="00BB4501" w:rsidRPr="00A26088">
        <w:rPr>
          <w:rStyle w:val="CharSubdNo"/>
        </w:rPr>
        <w:t>301</w:t>
      </w:r>
      <w:r w:rsidR="00F00002" w:rsidRPr="00A26088">
        <w:rPr>
          <w:rStyle w:val="CharSubdNo"/>
        </w:rPr>
        <w:noBreakHyphen/>
      </w:r>
      <w:r w:rsidR="00BB4501" w:rsidRPr="00A26088">
        <w:rPr>
          <w:rStyle w:val="CharSubdNo"/>
        </w:rPr>
        <w:t>D</w:t>
      </w:r>
      <w:r w:rsidRPr="00F00002">
        <w:t>—</w:t>
      </w:r>
      <w:r w:rsidR="00BB4501" w:rsidRPr="00A26088">
        <w:rPr>
          <w:rStyle w:val="CharSubdText"/>
        </w:rPr>
        <w:t>Departing Australia superannuation payments</w:t>
      </w:r>
      <w:bookmarkEnd w:id="111"/>
    </w:p>
    <w:p w:rsidR="00BB4501" w:rsidRPr="00F00002" w:rsidRDefault="00BB4501" w:rsidP="00D150ED">
      <w:pPr>
        <w:pStyle w:val="ActHead5"/>
      </w:pPr>
      <w:bookmarkStart w:id="112" w:name="_Toc31109690"/>
      <w:r w:rsidRPr="00A26088">
        <w:rPr>
          <w:rStyle w:val="CharSectno"/>
        </w:rPr>
        <w:t>301</w:t>
      </w:r>
      <w:r w:rsidR="00F00002" w:rsidRPr="00A26088">
        <w:rPr>
          <w:rStyle w:val="CharSectno"/>
        </w:rPr>
        <w:noBreakHyphen/>
      </w:r>
      <w:r w:rsidRPr="00A26088">
        <w:rPr>
          <w:rStyle w:val="CharSectno"/>
        </w:rPr>
        <w:t>170.01</w:t>
      </w:r>
      <w:r w:rsidR="00D150ED" w:rsidRPr="00F00002">
        <w:t xml:space="preserve">  </w:t>
      </w:r>
      <w:r w:rsidRPr="00F00002">
        <w:t>Departing Australia superannuation payments</w:t>
      </w:r>
      <w:bookmarkEnd w:id="112"/>
    </w:p>
    <w:p w:rsidR="00BB4501" w:rsidRPr="00F00002" w:rsidRDefault="00BB4501" w:rsidP="00D150ED">
      <w:pPr>
        <w:pStyle w:val="subsection"/>
      </w:pPr>
      <w:r w:rsidRPr="00F00002">
        <w:tab/>
      </w:r>
      <w:r w:rsidRPr="00F00002">
        <w:tab/>
        <w:t xml:space="preserve">For </w:t>
      </w:r>
      <w:r w:rsidR="00F00002">
        <w:t>subparagraph (</w:t>
      </w:r>
      <w:r w:rsidRPr="00F00002">
        <w:t>b</w:t>
      </w:r>
      <w:r w:rsidR="00D150ED" w:rsidRPr="00F00002">
        <w:t>)(</w:t>
      </w:r>
      <w:r w:rsidRPr="00F00002">
        <w:t xml:space="preserve">i) of the definition of </w:t>
      </w:r>
      <w:r w:rsidRPr="00F00002">
        <w:rPr>
          <w:b/>
          <w:i/>
        </w:rPr>
        <w:t>departing Australia superannuation payment</w:t>
      </w:r>
      <w:r w:rsidRPr="00F00002">
        <w:t xml:space="preserve"> in section</w:t>
      </w:r>
      <w:r w:rsidR="00F00002">
        <w:t> </w:t>
      </w:r>
      <w:r w:rsidRPr="00F00002">
        <w:t>301</w:t>
      </w:r>
      <w:r w:rsidR="00F00002">
        <w:noBreakHyphen/>
      </w:r>
      <w:r w:rsidRPr="00F00002">
        <w:t>170 of the Act, the following regulations are prescribed:</w:t>
      </w:r>
    </w:p>
    <w:p w:rsidR="00BB4501" w:rsidRPr="00F00002" w:rsidRDefault="00BB4501" w:rsidP="00D150ED">
      <w:pPr>
        <w:pStyle w:val="paragraph"/>
      </w:pPr>
      <w:r w:rsidRPr="00F00002">
        <w:rPr>
          <w:color w:val="000000"/>
        </w:rPr>
        <w:tab/>
        <w:t>(a)</w:t>
      </w:r>
      <w:r w:rsidRPr="00F00002">
        <w:rPr>
          <w:color w:val="000000"/>
        </w:rPr>
        <w:tab/>
        <w:t>regulations</w:t>
      </w:r>
      <w:r w:rsidR="00F00002">
        <w:rPr>
          <w:color w:val="000000"/>
        </w:rPr>
        <w:t> </w:t>
      </w:r>
      <w:r w:rsidRPr="00F00002">
        <w:rPr>
          <w:color w:val="000000"/>
        </w:rPr>
        <w:t>6.20A, 6.20B and 6.24A of the SIS Regulations;</w:t>
      </w:r>
    </w:p>
    <w:p w:rsidR="00BB4501" w:rsidRPr="00F00002" w:rsidRDefault="00BB4501" w:rsidP="00D150ED">
      <w:pPr>
        <w:pStyle w:val="paragraph"/>
      </w:pPr>
      <w:r w:rsidRPr="00F00002">
        <w:tab/>
        <w:t>(b)</w:t>
      </w:r>
      <w:r w:rsidRPr="00F00002">
        <w:tab/>
        <w:t>regulation</w:t>
      </w:r>
      <w:r w:rsidR="00F00002">
        <w:t> </w:t>
      </w:r>
      <w:r w:rsidRPr="00F00002">
        <w:t>4.23A of the RSA Regulations.</w:t>
      </w:r>
    </w:p>
    <w:p w:rsidR="00BB4501" w:rsidRPr="00F00002" w:rsidRDefault="00D150ED" w:rsidP="00D150ED">
      <w:pPr>
        <w:pStyle w:val="ActHead4"/>
      </w:pPr>
      <w:bookmarkStart w:id="113" w:name="_Toc31109691"/>
      <w:r w:rsidRPr="00A26088">
        <w:rPr>
          <w:rStyle w:val="CharSubdNo"/>
        </w:rPr>
        <w:t>Subdivision</w:t>
      </w:r>
      <w:r w:rsidR="00F00002" w:rsidRPr="00A26088">
        <w:rPr>
          <w:rStyle w:val="CharSubdNo"/>
        </w:rPr>
        <w:t> </w:t>
      </w:r>
      <w:r w:rsidR="00BB4501" w:rsidRPr="00A26088">
        <w:rPr>
          <w:rStyle w:val="CharSubdNo"/>
        </w:rPr>
        <w:t>301</w:t>
      </w:r>
      <w:r w:rsidR="00F00002" w:rsidRPr="00A26088">
        <w:rPr>
          <w:rStyle w:val="CharSubdNo"/>
        </w:rPr>
        <w:noBreakHyphen/>
      </w:r>
      <w:r w:rsidR="00BB4501" w:rsidRPr="00A26088">
        <w:rPr>
          <w:rStyle w:val="CharSubdNo"/>
        </w:rPr>
        <w:t>E</w:t>
      </w:r>
      <w:r w:rsidRPr="00F00002">
        <w:t>—</w:t>
      </w:r>
      <w:r w:rsidR="00BB4501" w:rsidRPr="00A26088">
        <w:rPr>
          <w:rStyle w:val="CharSubdText"/>
        </w:rPr>
        <w:t>Superannuation lump sum member benefits less than $200</w:t>
      </w:r>
      <w:bookmarkEnd w:id="113"/>
    </w:p>
    <w:p w:rsidR="00BB4501" w:rsidRPr="00F00002" w:rsidRDefault="00BB4501" w:rsidP="00D150ED">
      <w:pPr>
        <w:pStyle w:val="ActHead5"/>
      </w:pPr>
      <w:bookmarkStart w:id="114" w:name="_Toc31109692"/>
      <w:r w:rsidRPr="00A26088">
        <w:rPr>
          <w:rStyle w:val="CharSectno"/>
        </w:rPr>
        <w:t>301</w:t>
      </w:r>
      <w:r w:rsidR="00F00002" w:rsidRPr="00A26088">
        <w:rPr>
          <w:rStyle w:val="CharSectno"/>
        </w:rPr>
        <w:noBreakHyphen/>
      </w:r>
      <w:r w:rsidRPr="00A26088">
        <w:rPr>
          <w:rStyle w:val="CharSectno"/>
        </w:rPr>
        <w:t>225.01</w:t>
      </w:r>
      <w:r w:rsidR="00D150ED" w:rsidRPr="00F00002">
        <w:t xml:space="preserve">  </w:t>
      </w:r>
      <w:r w:rsidRPr="00F00002">
        <w:t>Superannuation lump sum member benefits less than $200 are tax free</w:t>
      </w:r>
      <w:bookmarkEnd w:id="114"/>
    </w:p>
    <w:p w:rsidR="00BB4501" w:rsidRPr="00F00002" w:rsidRDefault="00BB4501" w:rsidP="00D150ED">
      <w:pPr>
        <w:pStyle w:val="subsection"/>
      </w:pPr>
      <w:r w:rsidRPr="00F00002">
        <w:rPr>
          <w:color w:val="000000"/>
        </w:rPr>
        <w:tab/>
        <w:t>(1)</w:t>
      </w:r>
      <w:r w:rsidRPr="00F00002">
        <w:rPr>
          <w:color w:val="000000"/>
        </w:rPr>
        <w:tab/>
        <w:t>For paragraph</w:t>
      </w:r>
      <w:r w:rsidR="00F00002">
        <w:rPr>
          <w:color w:val="000000"/>
        </w:rPr>
        <w:t> </w:t>
      </w:r>
      <w:r w:rsidRPr="00F00002">
        <w:rPr>
          <w:color w:val="000000"/>
        </w:rPr>
        <w:t>301</w:t>
      </w:r>
      <w:r w:rsidR="00F00002">
        <w:rPr>
          <w:color w:val="000000"/>
        </w:rPr>
        <w:noBreakHyphen/>
      </w:r>
      <w:r w:rsidRPr="00F00002">
        <w:rPr>
          <w:color w:val="000000"/>
        </w:rPr>
        <w:t>225(d) of the Act, this regulation sets out requirements in relation to a superannuation member benefit.</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The effect of section</w:t>
      </w:r>
      <w:r w:rsidR="00F00002">
        <w:rPr>
          <w:color w:val="000000"/>
        </w:rPr>
        <w:t> </w:t>
      </w:r>
      <w:r w:rsidR="00BB4501" w:rsidRPr="00F00002">
        <w:rPr>
          <w:color w:val="000000"/>
        </w:rPr>
        <w:t>301</w:t>
      </w:r>
      <w:r w:rsidR="00F00002">
        <w:rPr>
          <w:color w:val="000000"/>
        </w:rPr>
        <w:noBreakHyphen/>
      </w:r>
      <w:r w:rsidR="00BB4501" w:rsidRPr="00F00002">
        <w:rPr>
          <w:color w:val="000000"/>
        </w:rPr>
        <w:t>225 of the Act is that a superannuation member benefit is not assessable income and is not exempt income in specified circumstances. One of the circumstances is that the requirements (if any) specified in the Regulations in relation to the benefit are satisfied.</w:t>
      </w:r>
    </w:p>
    <w:p w:rsidR="00BB4501" w:rsidRPr="00F00002" w:rsidRDefault="00BB4501" w:rsidP="00D150ED">
      <w:pPr>
        <w:pStyle w:val="subsection"/>
      </w:pPr>
      <w:r w:rsidRPr="00F00002">
        <w:tab/>
        <w:t>(2)</w:t>
      </w:r>
      <w:r w:rsidRPr="00F00002">
        <w:tab/>
        <w:t>A requirement is that the member’s benefit must be released under:</w:t>
      </w:r>
    </w:p>
    <w:p w:rsidR="00BB4501" w:rsidRPr="00F00002" w:rsidRDefault="00BB4501" w:rsidP="00D150ED">
      <w:pPr>
        <w:pStyle w:val="paragraph"/>
      </w:pPr>
      <w:r w:rsidRPr="00F00002">
        <w:tab/>
        <w:t>(a)</w:t>
      </w:r>
      <w:r w:rsidRPr="00F00002">
        <w:tab/>
        <w:t>item</w:t>
      </w:r>
      <w:r w:rsidR="00F00002">
        <w:t> </w:t>
      </w:r>
      <w:r w:rsidRPr="00F00002">
        <w:t xml:space="preserve">104 or 111 of </w:t>
      </w:r>
      <w:r w:rsidR="00D150ED" w:rsidRPr="00F00002">
        <w:t>Part</w:t>
      </w:r>
      <w:r w:rsidR="00F00002">
        <w:t> </w:t>
      </w:r>
      <w:r w:rsidRPr="00F00002">
        <w:t xml:space="preserve">1 of </w:t>
      </w:r>
      <w:r w:rsidR="00D150ED" w:rsidRPr="00F00002">
        <w:t>Schedule</w:t>
      </w:r>
      <w:r w:rsidR="00F00002">
        <w:t> </w:t>
      </w:r>
      <w:r w:rsidRPr="00F00002">
        <w:t>1 to the SIS Regulations; or</w:t>
      </w:r>
    </w:p>
    <w:p w:rsidR="00BB4501" w:rsidRPr="00F00002" w:rsidRDefault="00BB4501" w:rsidP="00D150ED">
      <w:pPr>
        <w:pStyle w:val="paragraph"/>
      </w:pPr>
      <w:r w:rsidRPr="00F00002">
        <w:tab/>
        <w:t>(b)</w:t>
      </w:r>
      <w:r w:rsidRPr="00F00002">
        <w:tab/>
        <w:t>item</w:t>
      </w:r>
      <w:r w:rsidR="00F00002">
        <w:t> </w:t>
      </w:r>
      <w:r w:rsidRPr="00F00002">
        <w:t xml:space="preserve">211 of </w:t>
      </w:r>
      <w:r w:rsidR="00D150ED" w:rsidRPr="00F00002">
        <w:t>Part</w:t>
      </w:r>
      <w:r w:rsidR="00F00002">
        <w:t> </w:t>
      </w:r>
      <w:r w:rsidRPr="00F00002">
        <w:t xml:space="preserve">2 of </w:t>
      </w:r>
      <w:r w:rsidR="00D150ED" w:rsidRPr="00F00002">
        <w:t>Schedule</w:t>
      </w:r>
      <w:r w:rsidR="00F00002">
        <w:t> </w:t>
      </w:r>
      <w:r w:rsidRPr="00F00002">
        <w:t>1 to the SIS Regulations; or</w:t>
      </w:r>
    </w:p>
    <w:p w:rsidR="00BB4501" w:rsidRPr="00F00002" w:rsidRDefault="00BB4501" w:rsidP="00D150ED">
      <w:pPr>
        <w:pStyle w:val="paragraph"/>
        <w:rPr>
          <w:color w:val="000000"/>
        </w:rPr>
      </w:pPr>
      <w:r w:rsidRPr="00F00002">
        <w:tab/>
        <w:t>(c)</w:t>
      </w:r>
      <w:r w:rsidRPr="00F00002">
        <w:tab/>
        <w:t>item</w:t>
      </w:r>
      <w:r w:rsidR="00F00002">
        <w:t> </w:t>
      </w:r>
      <w:r w:rsidRPr="00F00002">
        <w:t xml:space="preserve">111 of </w:t>
      </w:r>
      <w:r w:rsidR="00D150ED" w:rsidRPr="00F00002">
        <w:t>Schedule</w:t>
      </w:r>
      <w:r w:rsidR="00F00002">
        <w:t> </w:t>
      </w:r>
      <w:r w:rsidRPr="00F00002">
        <w:t>2 to the RSA Regulations.</w:t>
      </w:r>
    </w:p>
    <w:p w:rsidR="00BB4501" w:rsidRPr="00F00002" w:rsidRDefault="00D150ED" w:rsidP="00EE4631">
      <w:pPr>
        <w:pStyle w:val="ActHead3"/>
        <w:pageBreakBefore/>
        <w:rPr>
          <w:color w:val="000000"/>
        </w:rPr>
      </w:pPr>
      <w:bookmarkStart w:id="115" w:name="_Toc31109693"/>
      <w:r w:rsidRPr="00A26088">
        <w:rPr>
          <w:rStyle w:val="CharDivNo"/>
        </w:rPr>
        <w:lastRenderedPageBreak/>
        <w:t>Division</w:t>
      </w:r>
      <w:r w:rsidR="00F00002" w:rsidRPr="00A26088">
        <w:rPr>
          <w:rStyle w:val="CharDivNo"/>
        </w:rPr>
        <w:t> </w:t>
      </w:r>
      <w:r w:rsidR="00BB4501" w:rsidRPr="00A26088">
        <w:rPr>
          <w:rStyle w:val="CharDivNo"/>
        </w:rPr>
        <w:t>302</w:t>
      </w:r>
      <w:r w:rsidRPr="00F00002">
        <w:rPr>
          <w:color w:val="000000"/>
        </w:rPr>
        <w:t>—</w:t>
      </w:r>
      <w:r w:rsidR="00BB4501" w:rsidRPr="00A26088">
        <w:rPr>
          <w:rStyle w:val="CharDivText"/>
        </w:rPr>
        <w:t>Superannuation death benefits paid from complying plans etc</w:t>
      </w:r>
      <w:bookmarkEnd w:id="115"/>
    </w:p>
    <w:p w:rsidR="00BB4501" w:rsidRPr="00F00002" w:rsidRDefault="00D150ED" w:rsidP="00D150ED">
      <w:pPr>
        <w:pStyle w:val="ActHead4"/>
      </w:pPr>
      <w:bookmarkStart w:id="116" w:name="_Toc31109694"/>
      <w:r w:rsidRPr="00A26088">
        <w:rPr>
          <w:rStyle w:val="CharSubdNo"/>
        </w:rPr>
        <w:t>Subdivision</w:t>
      </w:r>
      <w:r w:rsidR="00F00002" w:rsidRPr="00A26088">
        <w:rPr>
          <w:rStyle w:val="CharSubdNo"/>
        </w:rPr>
        <w:t> </w:t>
      </w:r>
      <w:r w:rsidR="00BB4501" w:rsidRPr="00A26088">
        <w:rPr>
          <w:rStyle w:val="CharSubdNo"/>
        </w:rPr>
        <w:t>302</w:t>
      </w:r>
      <w:r w:rsidR="00F00002" w:rsidRPr="00A26088">
        <w:rPr>
          <w:rStyle w:val="CharSubdNo"/>
        </w:rPr>
        <w:noBreakHyphen/>
      </w:r>
      <w:r w:rsidR="00BB4501" w:rsidRPr="00A26088">
        <w:rPr>
          <w:rStyle w:val="CharSubdNo"/>
        </w:rPr>
        <w:t>D</w:t>
      </w:r>
      <w:r w:rsidRPr="00F00002">
        <w:t>—</w:t>
      </w:r>
      <w:r w:rsidR="00BB4501" w:rsidRPr="00A26088">
        <w:rPr>
          <w:rStyle w:val="CharSubdText"/>
        </w:rPr>
        <w:t>Definitions relating to dependants</w:t>
      </w:r>
      <w:bookmarkEnd w:id="116"/>
    </w:p>
    <w:p w:rsidR="0028407E" w:rsidRPr="00F00002" w:rsidRDefault="0028407E" w:rsidP="00D150ED">
      <w:pPr>
        <w:pStyle w:val="ActHead5"/>
      </w:pPr>
      <w:bookmarkStart w:id="117" w:name="_Toc31109695"/>
      <w:r w:rsidRPr="00A26088">
        <w:rPr>
          <w:rStyle w:val="CharSectno"/>
        </w:rPr>
        <w:t>302</w:t>
      </w:r>
      <w:r w:rsidR="00F00002" w:rsidRPr="00A26088">
        <w:rPr>
          <w:rStyle w:val="CharSectno"/>
        </w:rPr>
        <w:noBreakHyphen/>
      </w:r>
      <w:r w:rsidRPr="00A26088">
        <w:rPr>
          <w:rStyle w:val="CharSectno"/>
        </w:rPr>
        <w:t>195</w:t>
      </w:r>
      <w:r w:rsidR="00D150ED" w:rsidRPr="00F00002">
        <w:t xml:space="preserve">  </w:t>
      </w:r>
      <w:r w:rsidRPr="00F00002">
        <w:t>Circumstances in which a person died in the line of duty</w:t>
      </w:r>
      <w:bookmarkEnd w:id="117"/>
    </w:p>
    <w:p w:rsidR="0028407E" w:rsidRPr="00F00002" w:rsidRDefault="0028407E" w:rsidP="00D150ED">
      <w:pPr>
        <w:pStyle w:val="subsection"/>
      </w:pPr>
      <w:r w:rsidRPr="00F00002">
        <w:tab/>
        <w:t>(1)</w:t>
      </w:r>
      <w:r w:rsidRPr="00F00002">
        <w:tab/>
        <w:t>For subsection</w:t>
      </w:r>
      <w:r w:rsidR="00F00002">
        <w:t> </w:t>
      </w:r>
      <w:r w:rsidRPr="00F00002">
        <w:t>302</w:t>
      </w:r>
      <w:r w:rsidR="00F00002">
        <w:noBreakHyphen/>
      </w:r>
      <w:r w:rsidRPr="00F00002">
        <w:t>195(3) of the Act, the following subregulations sets out circumstances in which a deceased person mentioned in subsection</w:t>
      </w:r>
      <w:r w:rsidR="00F00002">
        <w:t> </w:t>
      </w:r>
      <w:r w:rsidRPr="00F00002">
        <w:t>302</w:t>
      </w:r>
      <w:r w:rsidR="00F00002">
        <w:noBreakHyphen/>
      </w:r>
      <w:r w:rsidRPr="00F00002">
        <w:t>195(2) of the Act (a</w:t>
      </w:r>
      <w:r w:rsidRPr="00F00002">
        <w:rPr>
          <w:b/>
          <w:bCs/>
          <w:i/>
          <w:iCs/>
        </w:rPr>
        <w:t xml:space="preserve"> military or police person</w:t>
      </w:r>
      <w:r w:rsidRPr="00F00002">
        <w:t>) died in the line of duty:</w:t>
      </w:r>
    </w:p>
    <w:p w:rsidR="0028407E" w:rsidRPr="00F00002" w:rsidRDefault="0028407E" w:rsidP="00D150ED">
      <w:pPr>
        <w:pStyle w:val="paragraph"/>
      </w:pPr>
      <w:r w:rsidRPr="00F00002">
        <w:tab/>
        <w:t>(a)</w:t>
      </w:r>
      <w:r w:rsidRPr="00F00002">
        <w:tab/>
        <w:t>in Australia or on overseas service</w:t>
      </w:r>
      <w:r w:rsidR="00D150ED" w:rsidRPr="00F00002">
        <w:t>—</w:t>
      </w:r>
      <w:r w:rsidRPr="00F00002">
        <w:t>subregulations (2), (3), (4), (5), (9) or (10);</w:t>
      </w:r>
    </w:p>
    <w:p w:rsidR="0028407E" w:rsidRPr="00F00002" w:rsidRDefault="0028407E" w:rsidP="00D150ED">
      <w:pPr>
        <w:pStyle w:val="paragraph"/>
      </w:pPr>
      <w:r w:rsidRPr="00F00002">
        <w:tab/>
        <w:t>(b)</w:t>
      </w:r>
      <w:r w:rsidRPr="00F00002">
        <w:tab/>
        <w:t>on overseas service</w:t>
      </w:r>
      <w:r w:rsidR="00D150ED" w:rsidRPr="00F00002">
        <w:t>—</w:t>
      </w:r>
      <w:r w:rsidRPr="00F00002">
        <w:t>subregulations (6), (7) and (8).</w:t>
      </w:r>
    </w:p>
    <w:p w:rsidR="0028407E" w:rsidRPr="00F00002" w:rsidRDefault="00D150ED" w:rsidP="00D150ED">
      <w:pPr>
        <w:pStyle w:val="notetext"/>
      </w:pPr>
      <w:r w:rsidRPr="00F00002">
        <w:rPr>
          <w:iCs/>
        </w:rPr>
        <w:t>Note:</w:t>
      </w:r>
      <w:r w:rsidRPr="00F00002">
        <w:rPr>
          <w:iCs/>
        </w:rPr>
        <w:tab/>
      </w:r>
      <w:r w:rsidR="0028407E" w:rsidRPr="00F00002">
        <w:t>When this regulation was made, subsection</w:t>
      </w:r>
      <w:r w:rsidR="00F00002">
        <w:t> </w:t>
      </w:r>
      <w:r w:rsidR="0028407E" w:rsidRPr="00F00002">
        <w:t>302</w:t>
      </w:r>
      <w:r w:rsidR="00F00002">
        <w:noBreakHyphen/>
      </w:r>
      <w:r w:rsidR="0028407E" w:rsidRPr="00F00002">
        <w:t>195(2) of the Act mentioned the following persons:</w:t>
      </w:r>
    </w:p>
    <w:p w:rsidR="0028407E" w:rsidRPr="00F00002" w:rsidRDefault="0028407E" w:rsidP="00D150ED">
      <w:pPr>
        <w:pStyle w:val="notepara"/>
      </w:pPr>
      <w:r w:rsidRPr="00F00002">
        <w:t>(a)</w:t>
      </w:r>
      <w:r w:rsidRPr="00F00002">
        <w:tab/>
        <w:t>a member of the Defence Force;</w:t>
      </w:r>
    </w:p>
    <w:p w:rsidR="0028407E" w:rsidRPr="00F00002" w:rsidRDefault="0028407E" w:rsidP="00D150ED">
      <w:pPr>
        <w:pStyle w:val="notepara"/>
      </w:pPr>
      <w:r w:rsidRPr="00F00002">
        <w:t>(b)</w:t>
      </w:r>
      <w:r w:rsidRPr="00F00002">
        <w:tab/>
        <w:t>a member of the Australian Federal Police;</w:t>
      </w:r>
    </w:p>
    <w:p w:rsidR="0028407E" w:rsidRPr="00F00002" w:rsidRDefault="0028407E" w:rsidP="00D150ED">
      <w:pPr>
        <w:pStyle w:val="notepara"/>
      </w:pPr>
      <w:r w:rsidRPr="00F00002">
        <w:t>(c)</w:t>
      </w:r>
      <w:r w:rsidRPr="00F00002">
        <w:tab/>
        <w:t xml:space="preserve">a protective service officer within the meaning of the </w:t>
      </w:r>
      <w:r w:rsidRPr="00F00002">
        <w:rPr>
          <w:i/>
          <w:iCs/>
        </w:rPr>
        <w:t>Australian Federal Police Act 1979</w:t>
      </w:r>
      <w:r w:rsidRPr="00F00002">
        <w:t>;</w:t>
      </w:r>
    </w:p>
    <w:p w:rsidR="0028407E" w:rsidRPr="00F00002" w:rsidRDefault="0028407E" w:rsidP="00D150ED">
      <w:pPr>
        <w:pStyle w:val="notepara"/>
      </w:pPr>
      <w:r w:rsidRPr="00F00002">
        <w:t>(d)</w:t>
      </w:r>
      <w:r w:rsidRPr="00F00002">
        <w:tab/>
        <w:t>a member of a State or Territory police force.</w:t>
      </w:r>
    </w:p>
    <w:p w:rsidR="0028407E" w:rsidRPr="00F00002" w:rsidRDefault="0028407E" w:rsidP="00D150ED">
      <w:pPr>
        <w:pStyle w:val="SubsectionHead"/>
      </w:pPr>
      <w:r w:rsidRPr="00F00002">
        <w:t>Performance of duties</w:t>
      </w:r>
    </w:p>
    <w:p w:rsidR="0028407E" w:rsidRPr="00F00002" w:rsidRDefault="0028407E" w:rsidP="00D150ED">
      <w:pPr>
        <w:pStyle w:val="subsection"/>
      </w:pPr>
      <w:r w:rsidRPr="00F00002">
        <w:tab/>
        <w:t>(2)</w:t>
      </w:r>
      <w:r w:rsidRPr="00F00002">
        <w:tab/>
        <w:t>A circumstance is that the military or police person died while performing the duties of a military or police person.</w:t>
      </w:r>
    </w:p>
    <w:p w:rsidR="0028407E" w:rsidRPr="00F00002" w:rsidRDefault="0028407E" w:rsidP="00D150ED">
      <w:pPr>
        <w:pStyle w:val="subsection"/>
      </w:pPr>
      <w:r w:rsidRPr="00F00002">
        <w:tab/>
        <w:t>(3)</w:t>
      </w:r>
      <w:r w:rsidRPr="00F00002">
        <w:tab/>
        <w:t>A circumstance is that:</w:t>
      </w:r>
    </w:p>
    <w:p w:rsidR="0028407E" w:rsidRPr="00F00002" w:rsidRDefault="0028407E" w:rsidP="00D150ED">
      <w:pPr>
        <w:pStyle w:val="paragraph"/>
      </w:pPr>
      <w:r w:rsidRPr="00F00002">
        <w:tab/>
        <w:t>(a)</w:t>
      </w:r>
      <w:r w:rsidRPr="00F00002">
        <w:tab/>
        <w:t>the military or police person was off duty at the time of his or her death; and</w:t>
      </w:r>
    </w:p>
    <w:p w:rsidR="0028407E" w:rsidRPr="00F00002" w:rsidRDefault="0028407E" w:rsidP="00D150ED">
      <w:pPr>
        <w:pStyle w:val="paragraph"/>
      </w:pPr>
      <w:r w:rsidRPr="00F00002">
        <w:tab/>
        <w:t>(b)</w:t>
      </w:r>
      <w:r w:rsidRPr="00F00002">
        <w:tab/>
        <w:t>his or her death occurred:</w:t>
      </w:r>
    </w:p>
    <w:p w:rsidR="0028407E" w:rsidRPr="00F00002" w:rsidRDefault="0028407E" w:rsidP="00D150ED">
      <w:pPr>
        <w:pStyle w:val="paragraphsub"/>
      </w:pPr>
      <w:r w:rsidRPr="00F00002">
        <w:tab/>
        <w:t>(i)</w:t>
      </w:r>
      <w:r w:rsidRPr="00F00002">
        <w:tab/>
        <w:t>in the course of an attempt to arrest a suspected offender; or</w:t>
      </w:r>
    </w:p>
    <w:p w:rsidR="0028407E" w:rsidRPr="00F00002" w:rsidRDefault="0028407E" w:rsidP="00D150ED">
      <w:pPr>
        <w:pStyle w:val="paragraphsub"/>
      </w:pPr>
      <w:r w:rsidRPr="00F00002">
        <w:tab/>
        <w:t>(ii)</w:t>
      </w:r>
      <w:r w:rsidRPr="00F00002">
        <w:tab/>
        <w:t>in the course of an attempt to prevent an offence; or</w:t>
      </w:r>
    </w:p>
    <w:p w:rsidR="0028407E" w:rsidRPr="00F00002" w:rsidRDefault="0028407E" w:rsidP="00D150ED">
      <w:pPr>
        <w:pStyle w:val="paragraphsub"/>
      </w:pPr>
      <w:r w:rsidRPr="00F00002">
        <w:tab/>
        <w:t>(iii)</w:t>
      </w:r>
      <w:r w:rsidRPr="00F00002">
        <w:tab/>
        <w:t>in the course of an attempt to rescue a person; or</w:t>
      </w:r>
    </w:p>
    <w:p w:rsidR="0028407E" w:rsidRPr="00F00002" w:rsidRDefault="0028407E" w:rsidP="00D150ED">
      <w:pPr>
        <w:pStyle w:val="paragraphsub"/>
      </w:pPr>
      <w:r w:rsidRPr="00F00002">
        <w:tab/>
        <w:t>(iv)</w:t>
      </w:r>
      <w:r w:rsidRPr="00F00002">
        <w:tab/>
        <w:t>while he or she was travelling to a place of work as a result of being recalled to duty.</w:t>
      </w:r>
    </w:p>
    <w:p w:rsidR="0028407E" w:rsidRPr="00F00002" w:rsidRDefault="0028407E" w:rsidP="00D150ED">
      <w:pPr>
        <w:pStyle w:val="SubsectionHead"/>
      </w:pPr>
      <w:r w:rsidRPr="00F00002">
        <w:t>Injury</w:t>
      </w:r>
    </w:p>
    <w:p w:rsidR="0028407E" w:rsidRPr="00F00002" w:rsidRDefault="0028407E" w:rsidP="00D150ED">
      <w:pPr>
        <w:pStyle w:val="subsection"/>
      </w:pPr>
      <w:r w:rsidRPr="00F00002">
        <w:tab/>
        <w:t>(4)</w:t>
      </w:r>
      <w:r w:rsidRPr="00F00002">
        <w:tab/>
        <w:t>A circumstance is that the military or police person:</w:t>
      </w:r>
    </w:p>
    <w:p w:rsidR="0028407E" w:rsidRPr="00F00002" w:rsidRDefault="0028407E" w:rsidP="00D150ED">
      <w:pPr>
        <w:pStyle w:val="paragraph"/>
      </w:pPr>
      <w:r w:rsidRPr="00F00002">
        <w:tab/>
        <w:t>(a)</w:t>
      </w:r>
      <w:r w:rsidRPr="00F00002">
        <w:tab/>
        <w:t>died within 12 months after sustaining an injury; and</w:t>
      </w:r>
    </w:p>
    <w:p w:rsidR="0028407E" w:rsidRPr="00F00002" w:rsidRDefault="0028407E" w:rsidP="00D150ED">
      <w:pPr>
        <w:pStyle w:val="paragraph"/>
      </w:pPr>
      <w:r w:rsidRPr="00F00002">
        <w:tab/>
        <w:t>(b)</w:t>
      </w:r>
      <w:r w:rsidRPr="00F00002">
        <w:tab/>
        <w:t>died as a result of sustaining the injury; and</w:t>
      </w:r>
    </w:p>
    <w:p w:rsidR="0028407E" w:rsidRPr="00F00002" w:rsidRDefault="0028407E" w:rsidP="00D150ED">
      <w:pPr>
        <w:pStyle w:val="paragraph"/>
      </w:pPr>
      <w:r w:rsidRPr="00F00002">
        <w:tab/>
        <w:t>(c)</w:t>
      </w:r>
      <w:r w:rsidRPr="00F00002">
        <w:tab/>
        <w:t>sustained the injury while performing the duties of a military or police person.</w:t>
      </w:r>
    </w:p>
    <w:p w:rsidR="0028407E" w:rsidRPr="00F00002" w:rsidRDefault="0028407E" w:rsidP="00D150ED">
      <w:pPr>
        <w:pStyle w:val="subsection"/>
      </w:pPr>
      <w:r w:rsidRPr="00F00002">
        <w:lastRenderedPageBreak/>
        <w:tab/>
        <w:t>(5)</w:t>
      </w:r>
      <w:r w:rsidRPr="00F00002">
        <w:tab/>
        <w:t>A circumstance is that the military or police person:</w:t>
      </w:r>
    </w:p>
    <w:p w:rsidR="0028407E" w:rsidRPr="00F00002" w:rsidRDefault="0028407E" w:rsidP="00D150ED">
      <w:pPr>
        <w:pStyle w:val="paragraph"/>
      </w:pPr>
      <w:r w:rsidRPr="00F00002">
        <w:tab/>
        <w:t>(a)</w:t>
      </w:r>
      <w:r w:rsidRPr="00F00002">
        <w:tab/>
        <w:t>was off duty at the time of sustaining an injury; and</w:t>
      </w:r>
    </w:p>
    <w:p w:rsidR="0028407E" w:rsidRPr="00F00002" w:rsidRDefault="0028407E" w:rsidP="00D150ED">
      <w:pPr>
        <w:pStyle w:val="paragraph"/>
      </w:pPr>
      <w:r w:rsidRPr="00F00002">
        <w:tab/>
        <w:t>(b)</w:t>
      </w:r>
      <w:r w:rsidRPr="00F00002">
        <w:tab/>
        <w:t>sustained the injury:</w:t>
      </w:r>
    </w:p>
    <w:p w:rsidR="0028407E" w:rsidRPr="00F00002" w:rsidRDefault="0028407E" w:rsidP="00D150ED">
      <w:pPr>
        <w:pStyle w:val="paragraphsub"/>
      </w:pPr>
      <w:r w:rsidRPr="00F00002">
        <w:tab/>
        <w:t>(i)</w:t>
      </w:r>
      <w:r w:rsidRPr="00F00002">
        <w:tab/>
        <w:t>in the course of an attempt to arrest a suspected offender; or</w:t>
      </w:r>
    </w:p>
    <w:p w:rsidR="0028407E" w:rsidRPr="00F00002" w:rsidRDefault="0028407E" w:rsidP="00D150ED">
      <w:pPr>
        <w:pStyle w:val="paragraphsub"/>
      </w:pPr>
      <w:r w:rsidRPr="00F00002">
        <w:tab/>
        <w:t>(ii)</w:t>
      </w:r>
      <w:r w:rsidRPr="00F00002">
        <w:tab/>
        <w:t>in the course of an attempt to prevent an offence; or</w:t>
      </w:r>
    </w:p>
    <w:p w:rsidR="0028407E" w:rsidRPr="00F00002" w:rsidRDefault="0028407E" w:rsidP="00D150ED">
      <w:pPr>
        <w:pStyle w:val="paragraphsub"/>
      </w:pPr>
      <w:r w:rsidRPr="00F00002">
        <w:tab/>
        <w:t>(iii)</w:t>
      </w:r>
      <w:r w:rsidRPr="00F00002">
        <w:tab/>
        <w:t>in the course of an attempt to rescue a person; or</w:t>
      </w:r>
    </w:p>
    <w:p w:rsidR="0028407E" w:rsidRPr="00F00002" w:rsidRDefault="0028407E" w:rsidP="00D150ED">
      <w:pPr>
        <w:pStyle w:val="paragraphsub"/>
      </w:pPr>
      <w:r w:rsidRPr="00F00002">
        <w:tab/>
        <w:t>(iv)</w:t>
      </w:r>
      <w:r w:rsidRPr="00F00002">
        <w:tab/>
        <w:t>while he or she was travelling to a place of work as a result of being recalled to duty; and</w:t>
      </w:r>
    </w:p>
    <w:p w:rsidR="0028407E" w:rsidRPr="00F00002" w:rsidRDefault="0028407E" w:rsidP="00D150ED">
      <w:pPr>
        <w:pStyle w:val="paragraph"/>
      </w:pPr>
      <w:r w:rsidRPr="00F00002">
        <w:tab/>
        <w:t>(c)</w:t>
      </w:r>
      <w:r w:rsidRPr="00F00002">
        <w:tab/>
        <w:t>died within 12 months after sustaining the injury; and</w:t>
      </w:r>
    </w:p>
    <w:p w:rsidR="0028407E" w:rsidRPr="00F00002" w:rsidRDefault="0028407E" w:rsidP="00D150ED">
      <w:pPr>
        <w:pStyle w:val="paragraph"/>
      </w:pPr>
      <w:r w:rsidRPr="00F00002">
        <w:tab/>
        <w:t>(d)</w:t>
      </w:r>
      <w:r w:rsidRPr="00F00002">
        <w:tab/>
        <w:t>died as a result of sustaining the injury.</w:t>
      </w:r>
    </w:p>
    <w:p w:rsidR="0028407E" w:rsidRPr="00F00002" w:rsidRDefault="0028407E" w:rsidP="00D150ED">
      <w:pPr>
        <w:pStyle w:val="SubsectionHead"/>
      </w:pPr>
      <w:r w:rsidRPr="00F00002">
        <w:t>Overseas service</w:t>
      </w:r>
    </w:p>
    <w:p w:rsidR="0028407E" w:rsidRPr="00F00002" w:rsidRDefault="0028407E" w:rsidP="00D150ED">
      <w:pPr>
        <w:pStyle w:val="subsection"/>
      </w:pPr>
      <w:r w:rsidRPr="00F00002">
        <w:tab/>
        <w:t>(6)</w:t>
      </w:r>
      <w:r w:rsidRPr="00F00002">
        <w:tab/>
        <w:t>A circumstance is that the military or police person:</w:t>
      </w:r>
    </w:p>
    <w:p w:rsidR="0028407E" w:rsidRPr="00F00002" w:rsidRDefault="0028407E" w:rsidP="00D150ED">
      <w:pPr>
        <w:pStyle w:val="paragraph"/>
      </w:pPr>
      <w:r w:rsidRPr="00F00002">
        <w:tab/>
        <w:t>(a)</w:t>
      </w:r>
      <w:r w:rsidRPr="00F00002">
        <w:tab/>
        <w:t>was a member of the Defence Force; and</w:t>
      </w:r>
    </w:p>
    <w:p w:rsidR="0028407E" w:rsidRPr="00F00002" w:rsidRDefault="0028407E" w:rsidP="00D150ED">
      <w:pPr>
        <w:pStyle w:val="paragraph"/>
      </w:pPr>
      <w:r w:rsidRPr="00F00002">
        <w:tab/>
        <w:t>(b)</w:t>
      </w:r>
      <w:r w:rsidRPr="00F00002">
        <w:tab/>
        <w:t>died while serving overseas, if the service was:</w:t>
      </w:r>
    </w:p>
    <w:p w:rsidR="0028407E" w:rsidRPr="00F00002" w:rsidRDefault="0028407E" w:rsidP="00D150ED">
      <w:pPr>
        <w:pStyle w:val="paragraphsub"/>
      </w:pPr>
      <w:r w:rsidRPr="00F00002">
        <w:tab/>
        <w:t>(i)</w:t>
      </w:r>
      <w:r w:rsidRPr="00F00002">
        <w:tab/>
        <w:t>warlike service mentioned in paragraph</w:t>
      </w:r>
      <w:r w:rsidR="00F00002">
        <w:t> </w:t>
      </w:r>
      <w:r w:rsidRPr="00F00002">
        <w:t>6(1</w:t>
      </w:r>
      <w:r w:rsidR="00D150ED" w:rsidRPr="00F00002">
        <w:t>)(</w:t>
      </w:r>
      <w:r w:rsidRPr="00F00002">
        <w:t xml:space="preserve">a) of the </w:t>
      </w:r>
      <w:r w:rsidRPr="00F00002">
        <w:rPr>
          <w:i/>
          <w:iCs/>
        </w:rPr>
        <w:t>Military Rehabilitation and Compensation Act 2004</w:t>
      </w:r>
      <w:r w:rsidRPr="00F00002">
        <w:t>; or</w:t>
      </w:r>
    </w:p>
    <w:p w:rsidR="0028407E" w:rsidRPr="00F00002" w:rsidRDefault="0028407E" w:rsidP="00D150ED">
      <w:pPr>
        <w:pStyle w:val="paragraphsub"/>
      </w:pPr>
      <w:r w:rsidRPr="00F00002">
        <w:tab/>
        <w:t>(ii)</w:t>
      </w:r>
      <w:r w:rsidRPr="00F00002">
        <w:tab/>
        <w:t>non</w:t>
      </w:r>
      <w:r w:rsidR="00F00002">
        <w:noBreakHyphen/>
      </w:r>
      <w:r w:rsidRPr="00F00002">
        <w:t>warlike service mentioned in paragraph</w:t>
      </w:r>
      <w:r w:rsidR="00F00002">
        <w:t> </w:t>
      </w:r>
      <w:r w:rsidRPr="00F00002">
        <w:t>6(1</w:t>
      </w:r>
      <w:r w:rsidR="00D150ED" w:rsidRPr="00F00002">
        <w:t>)(</w:t>
      </w:r>
      <w:r w:rsidRPr="00F00002">
        <w:t xml:space="preserve">b) of the </w:t>
      </w:r>
      <w:r w:rsidRPr="00F00002">
        <w:rPr>
          <w:i/>
          <w:iCs/>
        </w:rPr>
        <w:t>Military Rehabilitation and Compensation Act 2004</w:t>
      </w:r>
      <w:r w:rsidRPr="00F00002">
        <w:t>.</w:t>
      </w:r>
    </w:p>
    <w:p w:rsidR="0028407E" w:rsidRPr="00F00002" w:rsidRDefault="0028407E" w:rsidP="00D150ED">
      <w:pPr>
        <w:pStyle w:val="subsection"/>
      </w:pPr>
      <w:r w:rsidRPr="00F00002">
        <w:tab/>
        <w:t>(7)</w:t>
      </w:r>
      <w:r w:rsidRPr="00F00002">
        <w:tab/>
        <w:t>A circumstance is that the military or police person:</w:t>
      </w:r>
    </w:p>
    <w:p w:rsidR="0028407E" w:rsidRPr="00F00002" w:rsidRDefault="0028407E" w:rsidP="00D150ED">
      <w:pPr>
        <w:pStyle w:val="paragraph"/>
      </w:pPr>
      <w:r w:rsidRPr="00F00002">
        <w:tab/>
        <w:t>(a)</w:t>
      </w:r>
      <w:r w:rsidRPr="00F00002">
        <w:tab/>
        <w:t xml:space="preserve">was a member of the Australian Federal Police or a protective service officer within the meaning of the </w:t>
      </w:r>
      <w:r w:rsidRPr="00F00002">
        <w:rPr>
          <w:i/>
          <w:iCs/>
        </w:rPr>
        <w:t>Australian Federal Police Act 1979</w:t>
      </w:r>
      <w:r w:rsidRPr="00F00002">
        <w:t>; and</w:t>
      </w:r>
    </w:p>
    <w:p w:rsidR="0028407E" w:rsidRPr="00F00002" w:rsidRDefault="0028407E" w:rsidP="00D150ED">
      <w:pPr>
        <w:pStyle w:val="paragraph"/>
      </w:pPr>
      <w:r w:rsidRPr="00F00002">
        <w:tab/>
        <w:t>(b)</w:t>
      </w:r>
      <w:r w:rsidRPr="00F00002">
        <w:tab/>
        <w:t>died while serving overseas, if the service was:</w:t>
      </w:r>
    </w:p>
    <w:p w:rsidR="0028407E" w:rsidRPr="00F00002" w:rsidRDefault="0028407E" w:rsidP="00D150ED">
      <w:pPr>
        <w:pStyle w:val="paragraphsub"/>
      </w:pPr>
      <w:r w:rsidRPr="00F00002">
        <w:tab/>
        <w:t>(i)</w:t>
      </w:r>
      <w:r w:rsidRPr="00F00002">
        <w:tab/>
        <w:t>at a place specified in a determination under subsection</w:t>
      </w:r>
      <w:r w:rsidR="00F00002">
        <w:t> </w:t>
      </w:r>
      <w:r w:rsidRPr="00F00002">
        <w:t xml:space="preserve">40H(1) of the </w:t>
      </w:r>
      <w:r w:rsidRPr="00F00002">
        <w:rPr>
          <w:i/>
          <w:iCs/>
        </w:rPr>
        <w:t>Australian Federal Police Act 1979</w:t>
      </w:r>
      <w:r w:rsidRPr="00F00002">
        <w:t>; and</w:t>
      </w:r>
    </w:p>
    <w:p w:rsidR="0028407E" w:rsidRPr="00F00002" w:rsidRDefault="0028407E" w:rsidP="00D150ED">
      <w:pPr>
        <w:pStyle w:val="paragraphsub"/>
      </w:pPr>
      <w:r w:rsidRPr="00F00002">
        <w:tab/>
        <w:t>(ii)</w:t>
      </w:r>
      <w:r w:rsidRPr="00F00002">
        <w:tab/>
        <w:t>on a peace</w:t>
      </w:r>
      <w:r w:rsidR="00F00002">
        <w:noBreakHyphen/>
      </w:r>
      <w:r w:rsidRPr="00F00002">
        <w:t>keeping or capacity</w:t>
      </w:r>
      <w:r w:rsidR="00F00002">
        <w:noBreakHyphen/>
      </w:r>
      <w:r w:rsidRPr="00F00002">
        <w:t>building mission.</w:t>
      </w:r>
    </w:p>
    <w:p w:rsidR="0028407E" w:rsidRPr="00F00002" w:rsidRDefault="0028407E" w:rsidP="00D150ED">
      <w:pPr>
        <w:pStyle w:val="subsection"/>
      </w:pPr>
      <w:r w:rsidRPr="00F00002">
        <w:tab/>
        <w:t>(8)</w:t>
      </w:r>
      <w:r w:rsidRPr="00F00002">
        <w:tab/>
        <w:t>A circumstance is that the military or police person:</w:t>
      </w:r>
    </w:p>
    <w:p w:rsidR="0028407E" w:rsidRPr="00F00002" w:rsidRDefault="0028407E" w:rsidP="00D150ED">
      <w:pPr>
        <w:pStyle w:val="paragraph"/>
      </w:pPr>
      <w:r w:rsidRPr="00F00002">
        <w:tab/>
        <w:t>(a)</w:t>
      </w:r>
      <w:r w:rsidRPr="00F00002">
        <w:tab/>
        <w:t>was a member of a State or Territory police force; and</w:t>
      </w:r>
    </w:p>
    <w:p w:rsidR="0028407E" w:rsidRPr="00F00002" w:rsidRDefault="0028407E" w:rsidP="00D150ED">
      <w:pPr>
        <w:pStyle w:val="paragraph"/>
      </w:pPr>
      <w:r w:rsidRPr="00F00002">
        <w:tab/>
        <w:t>(b)</w:t>
      </w:r>
      <w:r w:rsidRPr="00F00002">
        <w:tab/>
        <w:t>died while serving overseas, if the service was:</w:t>
      </w:r>
    </w:p>
    <w:p w:rsidR="0028407E" w:rsidRPr="00F00002" w:rsidRDefault="0028407E" w:rsidP="00D150ED">
      <w:pPr>
        <w:pStyle w:val="paragraphsub"/>
      </w:pPr>
      <w:r w:rsidRPr="00F00002">
        <w:tab/>
        <w:t>(i)</w:t>
      </w:r>
      <w:r w:rsidRPr="00F00002">
        <w:tab/>
        <w:t>undertaken as a special member of the Australian Federal Police under section</w:t>
      </w:r>
      <w:r w:rsidR="00F00002">
        <w:t> </w:t>
      </w:r>
      <w:r w:rsidRPr="00F00002">
        <w:t xml:space="preserve">40E of the </w:t>
      </w:r>
      <w:r w:rsidRPr="00F00002">
        <w:rPr>
          <w:i/>
          <w:iCs/>
        </w:rPr>
        <w:t>Australian Federal Police Act 1979</w:t>
      </w:r>
      <w:r w:rsidRPr="00F00002">
        <w:t>; and</w:t>
      </w:r>
    </w:p>
    <w:p w:rsidR="0028407E" w:rsidRPr="00F00002" w:rsidRDefault="0028407E" w:rsidP="00D150ED">
      <w:pPr>
        <w:pStyle w:val="paragraphsub"/>
      </w:pPr>
      <w:r w:rsidRPr="00F00002">
        <w:tab/>
        <w:t>(ii)</w:t>
      </w:r>
      <w:r w:rsidRPr="00F00002">
        <w:tab/>
        <w:t>on a peace</w:t>
      </w:r>
      <w:r w:rsidR="00F00002">
        <w:noBreakHyphen/>
      </w:r>
      <w:r w:rsidRPr="00F00002">
        <w:t>keeping or capacity</w:t>
      </w:r>
      <w:r w:rsidR="00F00002">
        <w:noBreakHyphen/>
      </w:r>
      <w:r w:rsidRPr="00F00002">
        <w:t>building mission.</w:t>
      </w:r>
    </w:p>
    <w:p w:rsidR="0028407E" w:rsidRPr="00F00002" w:rsidRDefault="0028407E" w:rsidP="00D150ED">
      <w:pPr>
        <w:pStyle w:val="SubsectionHead"/>
      </w:pPr>
      <w:r w:rsidRPr="00F00002">
        <w:t>Consequences of duties</w:t>
      </w:r>
    </w:p>
    <w:p w:rsidR="0028407E" w:rsidRPr="00F00002" w:rsidRDefault="0028407E" w:rsidP="00D150ED">
      <w:pPr>
        <w:pStyle w:val="subsection"/>
      </w:pPr>
      <w:r w:rsidRPr="00F00002">
        <w:tab/>
        <w:t>(9)</w:t>
      </w:r>
      <w:r w:rsidRPr="00F00002">
        <w:tab/>
        <w:t>A circumstance is that, as a result of action taken because the person was a military or police person, the military or police person sustained an injury from which he or she died:</w:t>
      </w:r>
    </w:p>
    <w:p w:rsidR="0028407E" w:rsidRPr="00F00002" w:rsidRDefault="0028407E" w:rsidP="00D150ED">
      <w:pPr>
        <w:pStyle w:val="paragraph"/>
      </w:pPr>
      <w:r w:rsidRPr="00F00002">
        <w:tab/>
        <w:t>(a)</w:t>
      </w:r>
      <w:r w:rsidRPr="00F00002">
        <w:tab/>
        <w:t>immediately; or</w:t>
      </w:r>
    </w:p>
    <w:p w:rsidR="0028407E" w:rsidRPr="00F00002" w:rsidRDefault="0028407E" w:rsidP="00D150ED">
      <w:pPr>
        <w:pStyle w:val="paragraph"/>
      </w:pPr>
      <w:r w:rsidRPr="00F00002">
        <w:tab/>
        <w:t>(b)</w:t>
      </w:r>
      <w:r w:rsidRPr="00F00002">
        <w:tab/>
        <w:t>within 12 months after sustaining the injury.</w:t>
      </w:r>
    </w:p>
    <w:p w:rsidR="0028407E" w:rsidRPr="00F00002" w:rsidRDefault="0028407E" w:rsidP="00D150ED">
      <w:pPr>
        <w:pStyle w:val="notetext"/>
      </w:pPr>
      <w:r w:rsidRPr="00F00002">
        <w:lastRenderedPageBreak/>
        <w:t>Example</w:t>
      </w:r>
      <w:r w:rsidR="000E780C" w:rsidRPr="00F00002">
        <w:t>:</w:t>
      </w:r>
      <w:r w:rsidR="000E780C" w:rsidRPr="00F00002">
        <w:tab/>
      </w:r>
      <w:r w:rsidRPr="00F00002">
        <w:t>The person was killed in retaliation for an action taken in his or her capacity as a military or police person.</w:t>
      </w:r>
    </w:p>
    <w:p w:rsidR="0028407E" w:rsidRPr="00F00002" w:rsidRDefault="0028407E" w:rsidP="00D150ED">
      <w:pPr>
        <w:pStyle w:val="SubsectionHead"/>
      </w:pPr>
      <w:r w:rsidRPr="00F00002">
        <w:t>Uncertainty about circumstances of death</w:t>
      </w:r>
    </w:p>
    <w:p w:rsidR="0028407E" w:rsidRPr="00F00002" w:rsidRDefault="0028407E" w:rsidP="00D150ED">
      <w:pPr>
        <w:pStyle w:val="subsection"/>
      </w:pPr>
      <w:r w:rsidRPr="00F00002">
        <w:tab/>
        <w:t>(10)</w:t>
      </w:r>
      <w:r w:rsidRPr="00F00002">
        <w:tab/>
        <w:t>A circumstance is that:</w:t>
      </w:r>
    </w:p>
    <w:p w:rsidR="0028407E" w:rsidRPr="00F00002" w:rsidRDefault="0028407E" w:rsidP="00D150ED">
      <w:pPr>
        <w:pStyle w:val="paragraph"/>
      </w:pPr>
      <w:r w:rsidRPr="00F00002">
        <w:tab/>
        <w:t>(a)</w:t>
      </w:r>
      <w:r w:rsidRPr="00F00002">
        <w:tab/>
        <w:t>the military or police person has died; and</w:t>
      </w:r>
    </w:p>
    <w:p w:rsidR="0028407E" w:rsidRPr="00F00002" w:rsidRDefault="0028407E" w:rsidP="00D150ED">
      <w:pPr>
        <w:pStyle w:val="paragraph"/>
      </w:pPr>
      <w:r w:rsidRPr="00F00002">
        <w:tab/>
        <w:t>(b)</w:t>
      </w:r>
      <w:r w:rsidRPr="00F00002">
        <w:tab/>
        <w:t>it is not certain, after reasonable inquiry, whether the person died in a circumstance described in regulation</w:t>
      </w:r>
      <w:r w:rsidR="00F00002">
        <w:t> </w:t>
      </w:r>
      <w:r w:rsidRPr="00F00002">
        <w:t>302</w:t>
      </w:r>
      <w:r w:rsidR="00F00002">
        <w:noBreakHyphen/>
      </w:r>
      <w:r w:rsidRPr="00F00002">
        <w:t>195A.</w:t>
      </w:r>
    </w:p>
    <w:p w:rsidR="0028407E" w:rsidRPr="00F00002" w:rsidRDefault="00D150ED" w:rsidP="00D150ED">
      <w:pPr>
        <w:pStyle w:val="notetext"/>
      </w:pPr>
      <w:r w:rsidRPr="00F00002">
        <w:rPr>
          <w:iCs/>
        </w:rPr>
        <w:t>Note:</w:t>
      </w:r>
      <w:r w:rsidRPr="00F00002">
        <w:rPr>
          <w:iCs/>
        </w:rPr>
        <w:tab/>
      </w:r>
      <w:r w:rsidR="0028407E" w:rsidRPr="00F00002">
        <w:t>If it is uncertain whether the death falls within regulation</w:t>
      </w:r>
      <w:r w:rsidR="00F00002">
        <w:t> </w:t>
      </w:r>
      <w:r w:rsidR="0028407E" w:rsidRPr="00F00002">
        <w:t>302</w:t>
      </w:r>
      <w:r w:rsidR="00F00002">
        <w:noBreakHyphen/>
      </w:r>
      <w:r w:rsidR="0028407E" w:rsidRPr="00F00002">
        <w:t>195A, the person will be taken to have died in the line of duty.</w:t>
      </w:r>
    </w:p>
    <w:p w:rsidR="0028407E" w:rsidRPr="00F00002" w:rsidRDefault="0028407E" w:rsidP="00D150ED">
      <w:pPr>
        <w:pStyle w:val="SubsectionHead"/>
      </w:pPr>
      <w:r w:rsidRPr="00F00002">
        <w:t>Interpretation</w:t>
      </w:r>
    </w:p>
    <w:p w:rsidR="0028407E" w:rsidRPr="00F00002" w:rsidRDefault="0028407E" w:rsidP="00D150ED">
      <w:pPr>
        <w:pStyle w:val="subsection"/>
      </w:pPr>
      <w:r w:rsidRPr="00F00002">
        <w:tab/>
        <w:t>(11)</w:t>
      </w:r>
      <w:r w:rsidRPr="00F00002">
        <w:tab/>
        <w:t>For this regulation, the time when a military or police person is off duty includes a time when he or she is:</w:t>
      </w:r>
    </w:p>
    <w:p w:rsidR="0028407E" w:rsidRPr="00F00002" w:rsidRDefault="0028407E" w:rsidP="00D150ED">
      <w:pPr>
        <w:pStyle w:val="paragraph"/>
      </w:pPr>
      <w:r w:rsidRPr="00F00002">
        <w:tab/>
        <w:t>(a)</w:t>
      </w:r>
      <w:r w:rsidRPr="00F00002">
        <w:tab/>
        <w:t>travelling to or from his or her place of work; or</w:t>
      </w:r>
    </w:p>
    <w:p w:rsidR="0028407E" w:rsidRPr="00F00002" w:rsidRDefault="0028407E" w:rsidP="00D150ED">
      <w:pPr>
        <w:pStyle w:val="paragraph"/>
      </w:pPr>
      <w:r w:rsidRPr="00F00002">
        <w:tab/>
        <w:t>(b)</w:t>
      </w:r>
      <w:r w:rsidRPr="00F00002">
        <w:tab/>
        <w:t>on a rostered day off work; or</w:t>
      </w:r>
    </w:p>
    <w:p w:rsidR="0028407E" w:rsidRPr="00F00002" w:rsidRDefault="0028407E" w:rsidP="00D150ED">
      <w:pPr>
        <w:pStyle w:val="paragraph"/>
      </w:pPr>
      <w:r w:rsidRPr="00F00002">
        <w:tab/>
        <w:t>(c)</w:t>
      </w:r>
      <w:r w:rsidRPr="00F00002">
        <w:tab/>
        <w:t>on leave from work.</w:t>
      </w:r>
    </w:p>
    <w:p w:rsidR="0028407E" w:rsidRPr="00F00002" w:rsidRDefault="0028407E" w:rsidP="00D150ED">
      <w:pPr>
        <w:pStyle w:val="ActHead5"/>
      </w:pPr>
      <w:bookmarkStart w:id="118" w:name="_Toc31109696"/>
      <w:r w:rsidRPr="00A26088">
        <w:rPr>
          <w:rStyle w:val="CharSectno"/>
        </w:rPr>
        <w:t>302</w:t>
      </w:r>
      <w:r w:rsidR="00F00002" w:rsidRPr="00A26088">
        <w:rPr>
          <w:rStyle w:val="CharSectno"/>
        </w:rPr>
        <w:noBreakHyphen/>
      </w:r>
      <w:r w:rsidRPr="00A26088">
        <w:rPr>
          <w:rStyle w:val="CharSectno"/>
        </w:rPr>
        <w:t>195A</w:t>
      </w:r>
      <w:r w:rsidR="00D150ED" w:rsidRPr="00F00002">
        <w:t xml:space="preserve">  </w:t>
      </w:r>
      <w:r w:rsidRPr="00F00002">
        <w:t>Circumstances in which a person is taken not to have died in the line of duty</w:t>
      </w:r>
      <w:bookmarkEnd w:id="118"/>
    </w:p>
    <w:p w:rsidR="0028407E" w:rsidRPr="00F00002" w:rsidRDefault="0028407E" w:rsidP="00D150ED">
      <w:pPr>
        <w:pStyle w:val="subsection"/>
      </w:pPr>
      <w:r w:rsidRPr="00F00002">
        <w:tab/>
        <w:t>(1)</w:t>
      </w:r>
      <w:r w:rsidRPr="00F00002">
        <w:tab/>
        <w:t xml:space="preserve">This regulation sets out circumstances in which a person (a </w:t>
      </w:r>
      <w:r w:rsidRPr="00F00002">
        <w:rPr>
          <w:b/>
          <w:bCs/>
          <w:i/>
          <w:iCs/>
        </w:rPr>
        <w:t>military or police person</w:t>
      </w:r>
      <w:r w:rsidRPr="00F00002">
        <w:t>) mentioned in subsection</w:t>
      </w:r>
      <w:r w:rsidR="00F00002">
        <w:t> </w:t>
      </w:r>
      <w:r w:rsidRPr="00F00002">
        <w:t>302</w:t>
      </w:r>
      <w:r w:rsidR="00F00002">
        <w:noBreakHyphen/>
      </w:r>
      <w:r w:rsidRPr="00F00002">
        <w:t>195(2) of the Act is taken not to have died in the line of duty.</w:t>
      </w:r>
    </w:p>
    <w:p w:rsidR="0028407E" w:rsidRPr="00F00002" w:rsidRDefault="00D150ED" w:rsidP="00D150ED">
      <w:pPr>
        <w:pStyle w:val="notetext"/>
      </w:pPr>
      <w:r w:rsidRPr="00F00002">
        <w:rPr>
          <w:iCs/>
        </w:rPr>
        <w:t>Note:</w:t>
      </w:r>
      <w:r w:rsidRPr="00F00002">
        <w:rPr>
          <w:iCs/>
        </w:rPr>
        <w:tab/>
      </w:r>
      <w:r w:rsidR="0028407E" w:rsidRPr="00F00002">
        <w:t>When this regulation was made, subsection</w:t>
      </w:r>
      <w:r w:rsidR="00F00002">
        <w:t> </w:t>
      </w:r>
      <w:r w:rsidR="0028407E" w:rsidRPr="00F00002">
        <w:t>302</w:t>
      </w:r>
      <w:r w:rsidR="00F00002">
        <w:noBreakHyphen/>
      </w:r>
      <w:r w:rsidR="0028407E" w:rsidRPr="00F00002">
        <w:t>195(2) of the Act mentioned the following persons:</w:t>
      </w:r>
    </w:p>
    <w:p w:rsidR="0028407E" w:rsidRPr="00F00002" w:rsidRDefault="0028407E" w:rsidP="00D150ED">
      <w:pPr>
        <w:pStyle w:val="notepara"/>
      </w:pPr>
      <w:r w:rsidRPr="00F00002">
        <w:t>(a)</w:t>
      </w:r>
      <w:r w:rsidRPr="00F00002">
        <w:tab/>
        <w:t>a member of the Defence Force;</w:t>
      </w:r>
    </w:p>
    <w:p w:rsidR="0028407E" w:rsidRPr="00F00002" w:rsidRDefault="0028407E" w:rsidP="00D150ED">
      <w:pPr>
        <w:pStyle w:val="notepara"/>
      </w:pPr>
      <w:r w:rsidRPr="00F00002">
        <w:t>(b)</w:t>
      </w:r>
      <w:r w:rsidRPr="00F00002">
        <w:tab/>
        <w:t>a member of the Australian Federal Police;</w:t>
      </w:r>
    </w:p>
    <w:p w:rsidR="0028407E" w:rsidRPr="00F00002" w:rsidRDefault="0028407E" w:rsidP="00D150ED">
      <w:pPr>
        <w:pStyle w:val="notepara"/>
      </w:pPr>
      <w:r w:rsidRPr="00F00002">
        <w:t>(c)</w:t>
      </w:r>
      <w:r w:rsidRPr="00F00002">
        <w:tab/>
        <w:t xml:space="preserve">a protective service officer within the meaning of the </w:t>
      </w:r>
      <w:r w:rsidRPr="00F00002">
        <w:rPr>
          <w:i/>
          <w:iCs/>
        </w:rPr>
        <w:t>Australian Federal Police Act 1979</w:t>
      </w:r>
      <w:r w:rsidRPr="00F00002">
        <w:t>;</w:t>
      </w:r>
    </w:p>
    <w:p w:rsidR="0028407E" w:rsidRPr="00F00002" w:rsidRDefault="0028407E" w:rsidP="00D150ED">
      <w:pPr>
        <w:pStyle w:val="notepara"/>
      </w:pPr>
      <w:r w:rsidRPr="00F00002">
        <w:t>(d)</w:t>
      </w:r>
      <w:r w:rsidRPr="00F00002">
        <w:tab/>
        <w:t>a member of a State or Territory police force.</w:t>
      </w:r>
    </w:p>
    <w:p w:rsidR="0028407E" w:rsidRPr="00F00002" w:rsidRDefault="0028407E" w:rsidP="00D150ED">
      <w:pPr>
        <w:pStyle w:val="SubsectionHead"/>
      </w:pPr>
      <w:r w:rsidRPr="00F00002">
        <w:t>Off duty</w:t>
      </w:r>
    </w:p>
    <w:p w:rsidR="0028407E" w:rsidRPr="00F00002" w:rsidRDefault="0028407E" w:rsidP="00D150ED">
      <w:pPr>
        <w:pStyle w:val="subsection"/>
      </w:pPr>
      <w:r w:rsidRPr="00F00002">
        <w:tab/>
        <w:t>(2)</w:t>
      </w:r>
      <w:r w:rsidRPr="00F00002">
        <w:tab/>
        <w:t>A circumstance is that:</w:t>
      </w:r>
    </w:p>
    <w:p w:rsidR="0028407E" w:rsidRPr="00F00002" w:rsidRDefault="0028407E" w:rsidP="00D150ED">
      <w:pPr>
        <w:pStyle w:val="paragraph"/>
      </w:pPr>
      <w:r w:rsidRPr="00F00002">
        <w:tab/>
        <w:t>(a)</w:t>
      </w:r>
      <w:r w:rsidRPr="00F00002">
        <w:tab/>
        <w:t>the military or police person was off duty at the time of his or her death; and</w:t>
      </w:r>
    </w:p>
    <w:p w:rsidR="0028407E" w:rsidRPr="00F00002" w:rsidRDefault="0028407E" w:rsidP="00D150ED">
      <w:pPr>
        <w:pStyle w:val="paragraph"/>
      </w:pPr>
      <w:r w:rsidRPr="00F00002">
        <w:tab/>
        <w:t>(b)</w:t>
      </w:r>
      <w:r w:rsidRPr="00F00002">
        <w:tab/>
        <w:t>none of subregulations 302</w:t>
      </w:r>
      <w:r w:rsidR="00F00002">
        <w:noBreakHyphen/>
      </w:r>
      <w:r w:rsidRPr="00F00002">
        <w:t>195(3), (6), (7), (8) and (9) applies.</w:t>
      </w:r>
    </w:p>
    <w:p w:rsidR="0028407E" w:rsidRPr="00F00002" w:rsidRDefault="0028407E" w:rsidP="00D150ED">
      <w:pPr>
        <w:pStyle w:val="subsection"/>
      </w:pPr>
      <w:r w:rsidRPr="00F00002">
        <w:tab/>
        <w:t>(3)</w:t>
      </w:r>
      <w:r w:rsidRPr="00F00002">
        <w:tab/>
        <w:t>A circumstance is that:</w:t>
      </w:r>
    </w:p>
    <w:p w:rsidR="0028407E" w:rsidRPr="00F00002" w:rsidRDefault="0028407E" w:rsidP="00D150ED">
      <w:pPr>
        <w:pStyle w:val="paragraph"/>
      </w:pPr>
      <w:r w:rsidRPr="00F00002">
        <w:tab/>
        <w:t>(a)</w:t>
      </w:r>
      <w:r w:rsidRPr="00F00002">
        <w:tab/>
        <w:t>the military or police person died as a result of sustaining an injury; and</w:t>
      </w:r>
    </w:p>
    <w:p w:rsidR="0028407E" w:rsidRPr="00F00002" w:rsidRDefault="0028407E" w:rsidP="00D150ED">
      <w:pPr>
        <w:pStyle w:val="paragraph"/>
      </w:pPr>
      <w:r w:rsidRPr="00F00002">
        <w:tab/>
        <w:t>(b)</w:t>
      </w:r>
      <w:r w:rsidRPr="00F00002">
        <w:tab/>
        <w:t>the military or police person was off duty at the time of sustaining the injury; and</w:t>
      </w:r>
    </w:p>
    <w:p w:rsidR="0028407E" w:rsidRPr="00F00002" w:rsidRDefault="0028407E" w:rsidP="00D150ED">
      <w:pPr>
        <w:pStyle w:val="paragraph"/>
      </w:pPr>
      <w:r w:rsidRPr="00F00002">
        <w:tab/>
        <w:t>(c)</w:t>
      </w:r>
      <w:r w:rsidRPr="00F00002">
        <w:tab/>
        <w:t>none of subregulations 302</w:t>
      </w:r>
      <w:r w:rsidR="00F00002">
        <w:noBreakHyphen/>
      </w:r>
      <w:r w:rsidRPr="00F00002">
        <w:t>195(5), (6), (7), (8) and (9) applies.</w:t>
      </w:r>
    </w:p>
    <w:p w:rsidR="0028407E" w:rsidRPr="00F00002" w:rsidRDefault="0028407E" w:rsidP="00D150ED">
      <w:pPr>
        <w:pStyle w:val="SubsectionHead"/>
      </w:pPr>
      <w:r w:rsidRPr="00F00002">
        <w:lastRenderedPageBreak/>
        <w:t>Incidental activity</w:t>
      </w:r>
    </w:p>
    <w:p w:rsidR="0028407E" w:rsidRPr="00F00002" w:rsidRDefault="0028407E" w:rsidP="00D150ED">
      <w:pPr>
        <w:pStyle w:val="subsection"/>
      </w:pPr>
      <w:r w:rsidRPr="00F00002">
        <w:tab/>
        <w:t>(4)</w:t>
      </w:r>
      <w:r w:rsidRPr="00F00002">
        <w:tab/>
        <w:t>A circumstance is that:</w:t>
      </w:r>
    </w:p>
    <w:p w:rsidR="0028407E" w:rsidRPr="00F00002" w:rsidRDefault="0028407E" w:rsidP="00D150ED">
      <w:pPr>
        <w:pStyle w:val="paragraph"/>
      </w:pPr>
      <w:r w:rsidRPr="00F00002">
        <w:tab/>
        <w:t>(a)</w:t>
      </w:r>
      <w:r w:rsidRPr="00F00002">
        <w:tab/>
        <w:t>the military or police person’s death related to an activity that was not directly related to the performance of his or her duties; and</w:t>
      </w:r>
    </w:p>
    <w:p w:rsidR="0028407E" w:rsidRPr="00F00002" w:rsidRDefault="0028407E" w:rsidP="00D150ED">
      <w:pPr>
        <w:pStyle w:val="paragraph"/>
      </w:pPr>
      <w:r w:rsidRPr="00F00002">
        <w:tab/>
        <w:t>(b)</w:t>
      </w:r>
      <w:r w:rsidRPr="00F00002">
        <w:tab/>
        <w:t>none of subregulations 302</w:t>
      </w:r>
      <w:r w:rsidR="00F00002">
        <w:noBreakHyphen/>
      </w:r>
      <w:r w:rsidRPr="00F00002">
        <w:t>195(6), (7) and (8) applies.</w:t>
      </w:r>
    </w:p>
    <w:p w:rsidR="0028407E" w:rsidRPr="00F00002" w:rsidRDefault="0028407E" w:rsidP="000E780C">
      <w:pPr>
        <w:pStyle w:val="notetext"/>
      </w:pPr>
      <w:r w:rsidRPr="00F00002">
        <w:t>Example</w:t>
      </w:r>
      <w:r w:rsidR="000E780C" w:rsidRPr="00F00002">
        <w:t>:</w:t>
      </w:r>
      <w:r w:rsidR="000E780C" w:rsidRPr="00F00002">
        <w:tab/>
      </w:r>
      <w:r w:rsidRPr="00F00002">
        <w:t>Undertaking a sporting activity.</w:t>
      </w:r>
    </w:p>
    <w:p w:rsidR="0028407E" w:rsidRPr="00F00002" w:rsidRDefault="0028407E" w:rsidP="00D150ED">
      <w:pPr>
        <w:pStyle w:val="SubsectionHead"/>
      </w:pPr>
      <w:r w:rsidRPr="00F00002">
        <w:t>Death after retirement</w:t>
      </w:r>
    </w:p>
    <w:p w:rsidR="0028407E" w:rsidRPr="00F00002" w:rsidRDefault="0028407E" w:rsidP="00D150ED">
      <w:pPr>
        <w:pStyle w:val="subsection"/>
      </w:pPr>
      <w:r w:rsidRPr="00F00002">
        <w:tab/>
        <w:t>(5)</w:t>
      </w:r>
      <w:r w:rsidRPr="00F00002">
        <w:tab/>
        <w:t>A circumstance is that:</w:t>
      </w:r>
    </w:p>
    <w:p w:rsidR="0028407E" w:rsidRPr="00F00002" w:rsidRDefault="0028407E" w:rsidP="00D150ED">
      <w:pPr>
        <w:pStyle w:val="paragraph"/>
      </w:pPr>
      <w:r w:rsidRPr="00F00002">
        <w:tab/>
        <w:t>(a)</w:t>
      </w:r>
      <w:r w:rsidRPr="00F00002">
        <w:tab/>
        <w:t>the military or police person died after he or she retired as a military or police person; and</w:t>
      </w:r>
    </w:p>
    <w:p w:rsidR="0028407E" w:rsidRPr="00F00002" w:rsidRDefault="0028407E" w:rsidP="00D150ED">
      <w:pPr>
        <w:pStyle w:val="paragraph"/>
      </w:pPr>
      <w:r w:rsidRPr="00F00002">
        <w:tab/>
        <w:t>(b)</w:t>
      </w:r>
      <w:r w:rsidRPr="00F00002">
        <w:tab/>
        <w:t>none of subregulations 302</w:t>
      </w:r>
      <w:r w:rsidR="00F00002">
        <w:noBreakHyphen/>
      </w:r>
      <w:r w:rsidRPr="00F00002">
        <w:t>195(4), (5) and (9) applies.</w:t>
      </w:r>
    </w:p>
    <w:p w:rsidR="0028407E" w:rsidRPr="00F00002" w:rsidRDefault="0028407E" w:rsidP="00D150ED">
      <w:pPr>
        <w:pStyle w:val="SubsectionHead"/>
      </w:pPr>
      <w:r w:rsidRPr="00F00002">
        <w:t>Suicide</w:t>
      </w:r>
    </w:p>
    <w:p w:rsidR="0028407E" w:rsidRPr="00F00002" w:rsidRDefault="0028407E" w:rsidP="00D150ED">
      <w:pPr>
        <w:pStyle w:val="subsection"/>
      </w:pPr>
      <w:r w:rsidRPr="00F00002">
        <w:tab/>
        <w:t>(6)</w:t>
      </w:r>
      <w:r w:rsidRPr="00F00002">
        <w:tab/>
        <w:t>A circumstance is that the military or police person died as a result of committing suicide.</w:t>
      </w:r>
    </w:p>
    <w:p w:rsidR="0028407E" w:rsidRPr="00F00002" w:rsidRDefault="0028407E" w:rsidP="00D150ED">
      <w:pPr>
        <w:pStyle w:val="SubsectionHead"/>
      </w:pPr>
      <w:r w:rsidRPr="00F00002">
        <w:t>Natural causes or disease</w:t>
      </w:r>
    </w:p>
    <w:p w:rsidR="0028407E" w:rsidRPr="00F00002" w:rsidRDefault="0028407E" w:rsidP="00D150ED">
      <w:pPr>
        <w:pStyle w:val="subsection"/>
      </w:pPr>
      <w:r w:rsidRPr="00F00002">
        <w:tab/>
        <w:t>(7)</w:t>
      </w:r>
      <w:r w:rsidRPr="00F00002">
        <w:tab/>
        <w:t>A circumstance is that:</w:t>
      </w:r>
    </w:p>
    <w:p w:rsidR="0028407E" w:rsidRPr="00F00002" w:rsidRDefault="0028407E" w:rsidP="00D150ED">
      <w:pPr>
        <w:pStyle w:val="paragraph"/>
      </w:pPr>
      <w:r w:rsidRPr="00F00002">
        <w:tab/>
        <w:t>(a)</w:t>
      </w:r>
      <w:r w:rsidRPr="00F00002">
        <w:tab/>
        <w:t>the military or police person died as a result of:</w:t>
      </w:r>
    </w:p>
    <w:p w:rsidR="0028407E" w:rsidRPr="00F00002" w:rsidRDefault="0028407E" w:rsidP="00D150ED">
      <w:pPr>
        <w:pStyle w:val="paragraphsub"/>
      </w:pPr>
      <w:r w:rsidRPr="00F00002">
        <w:tab/>
        <w:t>(i)</w:t>
      </w:r>
      <w:r w:rsidRPr="00F00002">
        <w:tab/>
        <w:t>natural causes; or</w:t>
      </w:r>
    </w:p>
    <w:p w:rsidR="0028407E" w:rsidRPr="00F00002" w:rsidRDefault="0028407E" w:rsidP="00D150ED">
      <w:pPr>
        <w:pStyle w:val="paragraphsub"/>
      </w:pPr>
      <w:r w:rsidRPr="00F00002">
        <w:tab/>
        <w:t>(ii)</w:t>
      </w:r>
      <w:r w:rsidRPr="00F00002">
        <w:tab/>
        <w:t>an illness or disease; and</w:t>
      </w:r>
    </w:p>
    <w:p w:rsidR="0028407E" w:rsidRPr="00F00002" w:rsidRDefault="0028407E" w:rsidP="00D150ED">
      <w:pPr>
        <w:pStyle w:val="paragraph"/>
      </w:pPr>
      <w:r w:rsidRPr="00F00002">
        <w:tab/>
        <w:t>(b)</w:t>
      </w:r>
      <w:r w:rsidRPr="00F00002">
        <w:tab/>
        <w:t>none of subregulations 302</w:t>
      </w:r>
      <w:r w:rsidR="00F00002">
        <w:noBreakHyphen/>
      </w:r>
      <w:r w:rsidRPr="00F00002">
        <w:t>195(6), (7) and (8) applies.</w:t>
      </w:r>
    </w:p>
    <w:p w:rsidR="0028407E" w:rsidRPr="00F00002" w:rsidRDefault="0028407E" w:rsidP="00D150ED">
      <w:pPr>
        <w:pStyle w:val="SubsectionHead"/>
      </w:pPr>
      <w:r w:rsidRPr="00F00002">
        <w:t>Interpretation</w:t>
      </w:r>
    </w:p>
    <w:p w:rsidR="0028407E" w:rsidRPr="00F00002" w:rsidRDefault="0028407E" w:rsidP="00D150ED">
      <w:pPr>
        <w:pStyle w:val="subsection"/>
      </w:pPr>
      <w:r w:rsidRPr="00F00002">
        <w:tab/>
        <w:t>(8)</w:t>
      </w:r>
      <w:r w:rsidRPr="00F00002">
        <w:tab/>
        <w:t>For this regulation, the time when a military or police person is off duty includes a time when he or she is:</w:t>
      </w:r>
    </w:p>
    <w:p w:rsidR="0028407E" w:rsidRPr="00F00002" w:rsidRDefault="0028407E" w:rsidP="00D150ED">
      <w:pPr>
        <w:pStyle w:val="paragraph"/>
      </w:pPr>
      <w:r w:rsidRPr="00F00002">
        <w:tab/>
        <w:t>(a)</w:t>
      </w:r>
      <w:r w:rsidRPr="00F00002">
        <w:tab/>
        <w:t>travelling to or from his or her place of work; or</w:t>
      </w:r>
    </w:p>
    <w:p w:rsidR="0028407E" w:rsidRPr="00F00002" w:rsidRDefault="0028407E" w:rsidP="00D150ED">
      <w:pPr>
        <w:pStyle w:val="paragraph"/>
      </w:pPr>
      <w:r w:rsidRPr="00F00002">
        <w:tab/>
        <w:t>(b)</w:t>
      </w:r>
      <w:r w:rsidRPr="00F00002">
        <w:tab/>
        <w:t>on a rostered day off work; or</w:t>
      </w:r>
    </w:p>
    <w:p w:rsidR="0028407E" w:rsidRPr="00F00002" w:rsidRDefault="0028407E" w:rsidP="00D150ED">
      <w:pPr>
        <w:pStyle w:val="paragraph"/>
      </w:pPr>
      <w:r w:rsidRPr="00F00002">
        <w:tab/>
        <w:t>(c)</w:t>
      </w:r>
      <w:r w:rsidRPr="00F00002">
        <w:tab/>
        <w:t>on leave from work.</w:t>
      </w:r>
    </w:p>
    <w:p w:rsidR="00BB4501" w:rsidRPr="00F00002" w:rsidRDefault="00BB4501" w:rsidP="00D150ED">
      <w:pPr>
        <w:pStyle w:val="ActHead5"/>
      </w:pPr>
      <w:bookmarkStart w:id="119" w:name="_Toc31109697"/>
      <w:r w:rsidRPr="00A26088">
        <w:rPr>
          <w:rStyle w:val="CharSectno"/>
        </w:rPr>
        <w:t>302</w:t>
      </w:r>
      <w:r w:rsidR="00F00002" w:rsidRPr="00A26088">
        <w:rPr>
          <w:rStyle w:val="CharSectno"/>
        </w:rPr>
        <w:noBreakHyphen/>
      </w:r>
      <w:r w:rsidRPr="00A26088">
        <w:rPr>
          <w:rStyle w:val="CharSectno"/>
        </w:rPr>
        <w:t>200.01</w:t>
      </w:r>
      <w:r w:rsidR="00D150ED" w:rsidRPr="00F00002">
        <w:t xml:space="preserve">  </w:t>
      </w:r>
      <w:r w:rsidRPr="00F00002">
        <w:t xml:space="preserve">What is an </w:t>
      </w:r>
      <w:r w:rsidRPr="00F00002">
        <w:rPr>
          <w:i/>
        </w:rPr>
        <w:t>interdependency relationship</w:t>
      </w:r>
      <w:r w:rsidR="00D150ED" w:rsidRPr="00F00002">
        <w:rPr>
          <w:i/>
        </w:rPr>
        <w:t>—</w:t>
      </w:r>
      <w:r w:rsidRPr="00F00002">
        <w:t>matters to be taken into account</w:t>
      </w:r>
      <w:bookmarkEnd w:id="119"/>
    </w:p>
    <w:p w:rsidR="00BB4501" w:rsidRPr="00F00002" w:rsidRDefault="00BB4501" w:rsidP="00D150ED">
      <w:pPr>
        <w:pStyle w:val="subsection"/>
      </w:pPr>
      <w:r w:rsidRPr="00F00002">
        <w:rPr>
          <w:color w:val="000000"/>
        </w:rPr>
        <w:tab/>
        <w:t>(1)</w:t>
      </w:r>
      <w:r w:rsidRPr="00F00002">
        <w:rPr>
          <w:color w:val="000000"/>
        </w:rPr>
        <w:tab/>
        <w:t>For paragraph</w:t>
      </w:r>
      <w:r w:rsidR="00F00002">
        <w:rPr>
          <w:color w:val="000000"/>
        </w:rPr>
        <w:t> </w:t>
      </w:r>
      <w:r w:rsidRPr="00F00002">
        <w:rPr>
          <w:color w:val="000000"/>
        </w:rPr>
        <w:t>302</w:t>
      </w:r>
      <w:r w:rsidR="00F00002">
        <w:rPr>
          <w:color w:val="000000"/>
        </w:rPr>
        <w:noBreakHyphen/>
      </w:r>
      <w:r w:rsidRPr="00F00002">
        <w:rPr>
          <w:color w:val="000000"/>
        </w:rPr>
        <w:t>200(3</w:t>
      </w:r>
      <w:r w:rsidR="00D150ED" w:rsidRPr="00F00002">
        <w:rPr>
          <w:color w:val="000000"/>
        </w:rPr>
        <w:t>)(</w:t>
      </w:r>
      <w:r w:rsidRPr="00F00002">
        <w:rPr>
          <w:color w:val="000000"/>
        </w:rPr>
        <w:t>a) of the Act, this regulation sets out matters that are to be taken into account in determining whether 2 persons have an interdependency relationship.</w:t>
      </w:r>
    </w:p>
    <w:p w:rsidR="00BB4501" w:rsidRPr="00F00002" w:rsidRDefault="00BB4501" w:rsidP="00D150ED">
      <w:pPr>
        <w:pStyle w:val="subsection"/>
      </w:pPr>
      <w:r w:rsidRPr="00F00002">
        <w:tab/>
        <w:t>(2)</w:t>
      </w:r>
      <w:r w:rsidRPr="00F00002">
        <w:tab/>
        <w:t>The matters are:</w:t>
      </w:r>
    </w:p>
    <w:p w:rsidR="00BB4501" w:rsidRPr="00F00002" w:rsidRDefault="00BB4501" w:rsidP="00D150ED">
      <w:pPr>
        <w:pStyle w:val="paragraph"/>
      </w:pPr>
      <w:r w:rsidRPr="00F00002">
        <w:lastRenderedPageBreak/>
        <w:tab/>
        <w:t>(a)</w:t>
      </w:r>
      <w:r w:rsidRPr="00F00002">
        <w:tab/>
        <w:t>all of the circumstances of the relationship between the persons, including (where relevant):</w:t>
      </w:r>
    </w:p>
    <w:p w:rsidR="00BB4501" w:rsidRPr="00F00002" w:rsidRDefault="00BB4501" w:rsidP="00D150ED">
      <w:pPr>
        <w:pStyle w:val="paragraphsub"/>
      </w:pPr>
      <w:r w:rsidRPr="00F00002">
        <w:rPr>
          <w:color w:val="000000"/>
        </w:rPr>
        <w:tab/>
        <w:t>(i)</w:t>
      </w:r>
      <w:r w:rsidRPr="00F00002">
        <w:rPr>
          <w:color w:val="000000"/>
        </w:rPr>
        <w:tab/>
        <w:t>the duration of the relationship; and</w:t>
      </w:r>
    </w:p>
    <w:p w:rsidR="00BB4501" w:rsidRPr="00F00002" w:rsidRDefault="00BB4501" w:rsidP="00D150ED">
      <w:pPr>
        <w:pStyle w:val="paragraphsub"/>
      </w:pPr>
      <w:r w:rsidRPr="00F00002">
        <w:tab/>
        <w:t>(ii)</w:t>
      </w:r>
      <w:r w:rsidRPr="00F00002">
        <w:tab/>
        <w:t>whether or not a sexual relationship exists; and</w:t>
      </w:r>
    </w:p>
    <w:p w:rsidR="00BB4501" w:rsidRPr="00F00002" w:rsidRDefault="00BB4501" w:rsidP="00D150ED">
      <w:pPr>
        <w:pStyle w:val="paragraphsub"/>
      </w:pPr>
      <w:r w:rsidRPr="00F00002">
        <w:tab/>
        <w:t>(iii)</w:t>
      </w:r>
      <w:r w:rsidRPr="00F00002">
        <w:tab/>
        <w:t>the ownership, use and acquisition of property; and</w:t>
      </w:r>
    </w:p>
    <w:p w:rsidR="00BB4501" w:rsidRPr="00F00002" w:rsidRDefault="00BB4501" w:rsidP="00D150ED">
      <w:pPr>
        <w:pStyle w:val="paragraphsub"/>
      </w:pPr>
      <w:r w:rsidRPr="00F00002">
        <w:tab/>
        <w:t>(iv)</w:t>
      </w:r>
      <w:r w:rsidRPr="00F00002">
        <w:tab/>
        <w:t>the degree of mutual commitment to a shared life; and</w:t>
      </w:r>
    </w:p>
    <w:p w:rsidR="00BB4501" w:rsidRPr="00F00002" w:rsidRDefault="00BB4501" w:rsidP="00D150ED">
      <w:pPr>
        <w:pStyle w:val="paragraphsub"/>
      </w:pPr>
      <w:r w:rsidRPr="00F00002">
        <w:tab/>
        <w:t>(v)</w:t>
      </w:r>
      <w:r w:rsidRPr="00F00002">
        <w:tab/>
        <w:t>the care and support of children; and</w:t>
      </w:r>
    </w:p>
    <w:p w:rsidR="00BB4501" w:rsidRPr="00F00002" w:rsidRDefault="00BB4501" w:rsidP="00D150ED">
      <w:pPr>
        <w:pStyle w:val="paragraphsub"/>
      </w:pPr>
      <w:r w:rsidRPr="00F00002">
        <w:tab/>
        <w:t>(vi)</w:t>
      </w:r>
      <w:r w:rsidRPr="00F00002">
        <w:tab/>
        <w:t>the reputation and public aspects of the relationship; and</w:t>
      </w:r>
    </w:p>
    <w:p w:rsidR="00BB4501" w:rsidRPr="00F00002" w:rsidRDefault="00BB4501" w:rsidP="00D150ED">
      <w:pPr>
        <w:pStyle w:val="paragraphsub"/>
      </w:pPr>
      <w:r w:rsidRPr="00F00002">
        <w:tab/>
        <w:t>(vii)</w:t>
      </w:r>
      <w:r w:rsidRPr="00F00002">
        <w:tab/>
        <w:t>the degree of emotional support; and</w:t>
      </w:r>
    </w:p>
    <w:p w:rsidR="00BB4501" w:rsidRPr="00F00002" w:rsidRDefault="00BB4501" w:rsidP="00D150ED">
      <w:pPr>
        <w:pStyle w:val="paragraphsub"/>
      </w:pPr>
      <w:r w:rsidRPr="00F00002">
        <w:tab/>
        <w:t>(viii)</w:t>
      </w:r>
      <w:r w:rsidRPr="00F00002">
        <w:tab/>
        <w:t>the extent to which the relationship is one of mere convenience; and</w:t>
      </w:r>
    </w:p>
    <w:p w:rsidR="00BB4501" w:rsidRPr="00F00002" w:rsidRDefault="00BB4501" w:rsidP="00D150ED">
      <w:pPr>
        <w:pStyle w:val="paragraphsub"/>
      </w:pPr>
      <w:r w:rsidRPr="00F00002">
        <w:tab/>
        <w:t>(ix)</w:t>
      </w:r>
      <w:r w:rsidRPr="00F00002">
        <w:tab/>
        <w:t>any evidence suggesting that the parties intend the relationship to be permanent; and</w:t>
      </w:r>
    </w:p>
    <w:p w:rsidR="00BB4501" w:rsidRPr="00F00002" w:rsidRDefault="00BB4501" w:rsidP="00D150ED">
      <w:pPr>
        <w:pStyle w:val="paragraph"/>
      </w:pPr>
      <w:r w:rsidRPr="00F00002">
        <w:rPr>
          <w:color w:val="000000"/>
        </w:rPr>
        <w:tab/>
        <w:t>(b)</w:t>
      </w:r>
      <w:r w:rsidRPr="00F00002">
        <w:rPr>
          <w:color w:val="000000"/>
        </w:rPr>
        <w:tab/>
        <w:t>the existence of a statutory declaration signed by 1 of the persons to the effect that the person is, or (in the case of a statutory declaration made after the end of the relationship) was, in an interdependency relationship with the other person.</w:t>
      </w:r>
    </w:p>
    <w:p w:rsidR="00BB4501" w:rsidRPr="00F00002" w:rsidRDefault="00BB4501" w:rsidP="00D150ED">
      <w:pPr>
        <w:pStyle w:val="ActHead5"/>
      </w:pPr>
      <w:bookmarkStart w:id="120" w:name="_Toc31109698"/>
      <w:r w:rsidRPr="00A26088">
        <w:rPr>
          <w:rStyle w:val="CharSectno"/>
        </w:rPr>
        <w:t>302</w:t>
      </w:r>
      <w:r w:rsidR="00F00002" w:rsidRPr="00A26088">
        <w:rPr>
          <w:rStyle w:val="CharSectno"/>
        </w:rPr>
        <w:noBreakHyphen/>
      </w:r>
      <w:r w:rsidRPr="00A26088">
        <w:rPr>
          <w:rStyle w:val="CharSectno"/>
        </w:rPr>
        <w:t>200.02</w:t>
      </w:r>
      <w:r w:rsidR="00D150ED" w:rsidRPr="00F00002">
        <w:t xml:space="preserve">  </w:t>
      </w:r>
      <w:r w:rsidRPr="00F00002">
        <w:t xml:space="preserve">What is an </w:t>
      </w:r>
      <w:r w:rsidRPr="00F00002">
        <w:rPr>
          <w:i/>
        </w:rPr>
        <w:t>interdependency relationship</w:t>
      </w:r>
      <w:r w:rsidR="00D150ED" w:rsidRPr="00F00002">
        <w:rPr>
          <w:i/>
        </w:rPr>
        <w:t>—</w:t>
      </w:r>
      <w:r w:rsidRPr="00F00002">
        <w:t>existence of relationship</w:t>
      </w:r>
      <w:bookmarkEnd w:id="120"/>
    </w:p>
    <w:p w:rsidR="00BB4501" w:rsidRPr="00F00002" w:rsidRDefault="00BB4501" w:rsidP="00D150ED">
      <w:pPr>
        <w:pStyle w:val="subsection"/>
      </w:pPr>
      <w:r w:rsidRPr="00F00002">
        <w:tab/>
        <w:t>(1)</w:t>
      </w:r>
      <w:r w:rsidRPr="00F00002">
        <w:tab/>
        <w:t>For paragraph</w:t>
      </w:r>
      <w:r w:rsidR="00F00002">
        <w:t> </w:t>
      </w:r>
      <w:r w:rsidRPr="00F00002">
        <w:t>302</w:t>
      </w:r>
      <w:r w:rsidR="00F00002">
        <w:noBreakHyphen/>
      </w:r>
      <w:r w:rsidRPr="00F00002">
        <w:t>200(3</w:t>
      </w:r>
      <w:r w:rsidR="00D150ED" w:rsidRPr="00F00002">
        <w:t>)(</w:t>
      </w:r>
      <w:r w:rsidRPr="00F00002">
        <w:t>b) of the Act, this regulation sets out circumstances in which 2 persons have, or do not have, an interdependency relationship under section</w:t>
      </w:r>
      <w:r w:rsidR="00F00002">
        <w:t> </w:t>
      </w:r>
      <w:r w:rsidRPr="00F00002">
        <w:t>302</w:t>
      </w:r>
      <w:r w:rsidR="00F00002">
        <w:noBreakHyphen/>
      </w:r>
      <w:r w:rsidRPr="00F00002">
        <w:t>200 of the Act.</w:t>
      </w:r>
    </w:p>
    <w:p w:rsidR="00BB4501" w:rsidRPr="00F00002" w:rsidRDefault="00BB4501" w:rsidP="00D150ED">
      <w:pPr>
        <w:pStyle w:val="SubsectionHead"/>
      </w:pPr>
      <w:r w:rsidRPr="00F00002">
        <w:t>Interdependency relationship</w:t>
      </w:r>
    </w:p>
    <w:p w:rsidR="00BB4501" w:rsidRPr="00F00002" w:rsidRDefault="00BB4501" w:rsidP="00D150ED">
      <w:pPr>
        <w:pStyle w:val="subsection"/>
      </w:pPr>
      <w:r w:rsidRPr="00F00002">
        <w:tab/>
        <w:t>(2)</w:t>
      </w:r>
      <w:r w:rsidRPr="00F00002">
        <w:tab/>
        <w:t>2 persons have an interdependency relationship if:</w:t>
      </w:r>
    </w:p>
    <w:p w:rsidR="00BB4501" w:rsidRPr="00F00002" w:rsidRDefault="00BB4501" w:rsidP="00D150ED">
      <w:pPr>
        <w:pStyle w:val="paragraph"/>
      </w:pPr>
      <w:r w:rsidRPr="00F00002">
        <w:rPr>
          <w:color w:val="000000"/>
        </w:rPr>
        <w:tab/>
        <w:t>(a)</w:t>
      </w:r>
      <w:r w:rsidRPr="00F00002">
        <w:rPr>
          <w:color w:val="000000"/>
        </w:rPr>
        <w:tab/>
        <w:t>they satisfy the requirements of paragraphs 302</w:t>
      </w:r>
      <w:r w:rsidR="00F00002">
        <w:rPr>
          <w:color w:val="000000"/>
        </w:rPr>
        <w:noBreakHyphen/>
      </w:r>
      <w:r w:rsidRPr="00F00002">
        <w:rPr>
          <w:color w:val="000000"/>
        </w:rPr>
        <w:t>200(1</w:t>
      </w:r>
      <w:r w:rsidR="00D150ED" w:rsidRPr="00F00002">
        <w:rPr>
          <w:color w:val="000000"/>
        </w:rPr>
        <w:t>)(</w:t>
      </w:r>
      <w:r w:rsidRPr="00F00002">
        <w:rPr>
          <w:color w:val="000000"/>
        </w:rPr>
        <w:t>a) to (c) of the Act; and</w:t>
      </w:r>
    </w:p>
    <w:p w:rsidR="00BB4501" w:rsidRPr="00F00002" w:rsidRDefault="00BB4501" w:rsidP="00D150ED">
      <w:pPr>
        <w:pStyle w:val="paragraph"/>
      </w:pPr>
      <w:r w:rsidRPr="00F00002">
        <w:tab/>
        <w:t>(b)</w:t>
      </w:r>
      <w:r w:rsidRPr="00F00002">
        <w:tab/>
        <w:t>1 or each of them provides the other with support and care of a type and quality normally provided in a close personal relationship, rather than by a mere friend or flatmate.</w:t>
      </w:r>
    </w:p>
    <w:p w:rsidR="00BB4501" w:rsidRPr="00F00002" w:rsidRDefault="00BB4501" w:rsidP="00AC4DDD">
      <w:pPr>
        <w:pStyle w:val="notetext"/>
        <w:ind w:left="1134" w:firstLine="0"/>
      </w:pPr>
      <w:bookmarkStart w:id="121" w:name="BK_S3P57L18C1"/>
      <w:bookmarkEnd w:id="121"/>
      <w:r w:rsidRPr="00F00002">
        <w:t>Examples of care normally provided in a close personal relationship rather than by a friend or flatmate</w:t>
      </w:r>
      <w:r w:rsidR="002D5625" w:rsidRPr="00F00002">
        <w:t>:</w:t>
      </w:r>
    </w:p>
    <w:p w:rsidR="00BB4501" w:rsidRPr="00F00002" w:rsidRDefault="00BB4501" w:rsidP="00AC4DDD">
      <w:pPr>
        <w:pStyle w:val="notepara"/>
        <w:ind w:left="1560" w:hanging="412"/>
      </w:pPr>
      <w:r w:rsidRPr="00F00002">
        <w:t>1</w:t>
      </w:r>
      <w:r w:rsidR="00AC4DDD" w:rsidRPr="00F00002">
        <w:tab/>
      </w:r>
      <w:r w:rsidRPr="00F00002">
        <w:t>Significant care provided for the other person when he or she is unwell.</w:t>
      </w:r>
    </w:p>
    <w:p w:rsidR="00BB4501" w:rsidRPr="00F00002" w:rsidRDefault="00AC4DDD" w:rsidP="00AC4DDD">
      <w:pPr>
        <w:pStyle w:val="notepara"/>
        <w:ind w:left="1560" w:hanging="412"/>
      </w:pPr>
      <w:r w:rsidRPr="00F00002">
        <w:t>2</w:t>
      </w:r>
      <w:r w:rsidRPr="00F00002">
        <w:tab/>
      </w:r>
      <w:r w:rsidR="00BB4501" w:rsidRPr="00F00002">
        <w:t>Significant care provided for the other person when he or she is suffering emotionally.</w:t>
      </w:r>
    </w:p>
    <w:p w:rsidR="00BB4501" w:rsidRPr="00F00002" w:rsidRDefault="00BB4501" w:rsidP="00D150ED">
      <w:pPr>
        <w:pStyle w:val="subsection"/>
      </w:pPr>
      <w:r w:rsidRPr="00F00002">
        <w:tab/>
        <w:t>(3)</w:t>
      </w:r>
      <w:r w:rsidRPr="00F00002">
        <w:tab/>
        <w:t>2 persons have an interdependency relationship if:</w:t>
      </w:r>
    </w:p>
    <w:p w:rsidR="00BB4501" w:rsidRPr="00F00002" w:rsidRDefault="00BB4501" w:rsidP="00D150ED">
      <w:pPr>
        <w:pStyle w:val="paragraph"/>
      </w:pPr>
      <w:r w:rsidRPr="00F00002">
        <w:rPr>
          <w:color w:val="000000"/>
        </w:rPr>
        <w:tab/>
        <w:t>(a)</w:t>
      </w:r>
      <w:r w:rsidRPr="00F00002">
        <w:rPr>
          <w:color w:val="000000"/>
        </w:rPr>
        <w:tab/>
        <w:t>they have a close personal relationship; and</w:t>
      </w:r>
    </w:p>
    <w:p w:rsidR="00BB4501" w:rsidRPr="00F00002" w:rsidRDefault="00BB4501" w:rsidP="00D150ED">
      <w:pPr>
        <w:pStyle w:val="paragraph"/>
      </w:pPr>
      <w:r w:rsidRPr="00F00002">
        <w:tab/>
        <w:t>(b)</w:t>
      </w:r>
      <w:r w:rsidRPr="00F00002">
        <w:tab/>
        <w:t>they do not satisfy the other requirements set out in subsection</w:t>
      </w:r>
      <w:r w:rsidR="00F00002">
        <w:t> </w:t>
      </w:r>
      <w:r w:rsidRPr="00F00002">
        <w:t>302</w:t>
      </w:r>
      <w:r w:rsidR="00F00002">
        <w:noBreakHyphen/>
      </w:r>
      <w:r w:rsidRPr="00F00002">
        <w:t>200(1) of the Act; and</w:t>
      </w:r>
    </w:p>
    <w:p w:rsidR="00BB4501" w:rsidRPr="00F00002" w:rsidRDefault="00BB4501" w:rsidP="00D150ED">
      <w:pPr>
        <w:pStyle w:val="paragraph"/>
      </w:pPr>
      <w:r w:rsidRPr="00F00002">
        <w:tab/>
        <w:t>(c)</w:t>
      </w:r>
      <w:r w:rsidRPr="00F00002">
        <w:tab/>
        <w:t>the reason they do not satisfy the other requirements is that they are temporarily living apart.</w:t>
      </w:r>
    </w:p>
    <w:p w:rsidR="00BB4501" w:rsidRPr="00F00002" w:rsidRDefault="00BB4501" w:rsidP="002D5625">
      <w:pPr>
        <w:pStyle w:val="notetext"/>
      </w:pPr>
      <w:r w:rsidRPr="00F00002">
        <w:t xml:space="preserve">Example for </w:t>
      </w:r>
      <w:r w:rsidR="00F00002">
        <w:t>paragraph (</w:t>
      </w:r>
      <w:r w:rsidRPr="00F00002">
        <w:t>3</w:t>
      </w:r>
      <w:r w:rsidR="00D150ED" w:rsidRPr="00F00002">
        <w:t>)(</w:t>
      </w:r>
      <w:r w:rsidRPr="00F00002">
        <w:t>c)</w:t>
      </w:r>
      <w:r w:rsidR="002D5625" w:rsidRPr="00F00002">
        <w:t>:</w:t>
      </w:r>
      <w:r w:rsidR="002D5625" w:rsidRPr="00F00002">
        <w:tab/>
      </w:r>
      <w:r w:rsidRPr="00F00002">
        <w:rPr>
          <w:color w:val="000000"/>
        </w:rPr>
        <w:t xml:space="preserve">One of the </w:t>
      </w:r>
      <w:r w:rsidRPr="00F00002">
        <w:t>persons</w:t>
      </w:r>
      <w:r w:rsidRPr="00F00002">
        <w:rPr>
          <w:color w:val="000000"/>
        </w:rPr>
        <w:t xml:space="preserve"> is temporarily working overseas or is in gaol.</w:t>
      </w:r>
    </w:p>
    <w:p w:rsidR="00BB4501" w:rsidRPr="00F00002" w:rsidRDefault="00BB4501" w:rsidP="00D150ED">
      <w:pPr>
        <w:pStyle w:val="subsection"/>
      </w:pPr>
      <w:r w:rsidRPr="00F00002">
        <w:lastRenderedPageBreak/>
        <w:tab/>
        <w:t>(4)</w:t>
      </w:r>
      <w:r w:rsidRPr="00F00002">
        <w:tab/>
        <w:t>2 persons have an interdependency relationship if:</w:t>
      </w:r>
    </w:p>
    <w:p w:rsidR="00BB4501" w:rsidRPr="00F00002" w:rsidRDefault="00BB4501" w:rsidP="00D150ED">
      <w:pPr>
        <w:pStyle w:val="paragraph"/>
      </w:pPr>
      <w:r w:rsidRPr="00F00002">
        <w:rPr>
          <w:color w:val="000000"/>
        </w:rPr>
        <w:tab/>
        <w:t>(a)</w:t>
      </w:r>
      <w:r w:rsidRPr="00F00002">
        <w:rPr>
          <w:color w:val="000000"/>
        </w:rPr>
        <w:tab/>
        <w:t>they have a close personal relationship; and</w:t>
      </w:r>
    </w:p>
    <w:p w:rsidR="00BB4501" w:rsidRPr="00F00002" w:rsidRDefault="00BB4501" w:rsidP="00D150ED">
      <w:pPr>
        <w:pStyle w:val="paragraph"/>
      </w:pPr>
      <w:r w:rsidRPr="00F00002">
        <w:tab/>
        <w:t>(b)</w:t>
      </w:r>
      <w:r w:rsidRPr="00F00002">
        <w:tab/>
        <w:t>they do not satisfy the other requirements set out in subsection</w:t>
      </w:r>
      <w:r w:rsidR="00F00002">
        <w:t> </w:t>
      </w:r>
      <w:r w:rsidRPr="00F00002">
        <w:t>302</w:t>
      </w:r>
      <w:r w:rsidR="00F00002">
        <w:noBreakHyphen/>
      </w:r>
      <w:r w:rsidRPr="00F00002">
        <w:t>200(1) of the Act; and</w:t>
      </w:r>
    </w:p>
    <w:p w:rsidR="00BB4501" w:rsidRPr="00F00002" w:rsidRDefault="00BB4501" w:rsidP="00D150ED">
      <w:pPr>
        <w:pStyle w:val="paragraph"/>
      </w:pPr>
      <w:r w:rsidRPr="00F00002">
        <w:tab/>
        <w:t>(c)</w:t>
      </w:r>
      <w:r w:rsidRPr="00F00002">
        <w:tab/>
        <w:t>the reason they do not satisfy the other requirements is that either or both of them suffer from a disability.</w:t>
      </w:r>
    </w:p>
    <w:p w:rsidR="00BB4501" w:rsidRPr="00F00002" w:rsidRDefault="00BB4501" w:rsidP="00D150ED">
      <w:pPr>
        <w:pStyle w:val="SubsectionHead"/>
      </w:pPr>
      <w:r w:rsidRPr="00F00002">
        <w:t>No interdependency relationship</w:t>
      </w:r>
    </w:p>
    <w:p w:rsidR="00BB4501" w:rsidRPr="00F00002" w:rsidRDefault="00BB4501" w:rsidP="00D150ED">
      <w:pPr>
        <w:pStyle w:val="subsection"/>
      </w:pPr>
      <w:r w:rsidRPr="00F00002">
        <w:tab/>
        <w:t>(5)</w:t>
      </w:r>
      <w:r w:rsidRPr="00F00002">
        <w:tab/>
        <w:t>2 persons do not have an interdependency relationship if 1 of them provides domestic support and personal care to the other:</w:t>
      </w:r>
    </w:p>
    <w:p w:rsidR="00BB4501" w:rsidRPr="00F00002" w:rsidRDefault="00BB4501" w:rsidP="00D150ED">
      <w:pPr>
        <w:pStyle w:val="paragraph"/>
      </w:pPr>
      <w:r w:rsidRPr="00F00002">
        <w:rPr>
          <w:color w:val="000000"/>
        </w:rPr>
        <w:tab/>
        <w:t>(a)</w:t>
      </w:r>
      <w:r w:rsidRPr="00F00002">
        <w:rPr>
          <w:color w:val="000000"/>
        </w:rPr>
        <w:tab/>
        <w:t>under an employment contract or a contract for services; or</w:t>
      </w:r>
    </w:p>
    <w:p w:rsidR="00BB4501" w:rsidRPr="00F00002" w:rsidRDefault="00BB4501" w:rsidP="00D150ED">
      <w:pPr>
        <w:pStyle w:val="paragraph"/>
      </w:pPr>
      <w:r w:rsidRPr="00F00002">
        <w:tab/>
        <w:t>(b)</w:t>
      </w:r>
      <w:r w:rsidRPr="00F00002">
        <w:tab/>
        <w:t>on behalf of another person or organisation such as a government agency, a body corporate or a benevolent or charitable organisation.</w:t>
      </w:r>
    </w:p>
    <w:p w:rsidR="00BB4501" w:rsidRPr="00F00002" w:rsidRDefault="00D150ED" w:rsidP="00D150ED">
      <w:pPr>
        <w:pStyle w:val="ActHead3"/>
        <w:pageBreakBefore/>
      </w:pPr>
      <w:bookmarkStart w:id="122" w:name="_Toc31109699"/>
      <w:r w:rsidRPr="00A26088">
        <w:rPr>
          <w:rStyle w:val="CharDivNo"/>
        </w:rPr>
        <w:lastRenderedPageBreak/>
        <w:t>Division</w:t>
      </w:r>
      <w:r w:rsidR="00F00002" w:rsidRPr="00A26088">
        <w:rPr>
          <w:rStyle w:val="CharDivNo"/>
        </w:rPr>
        <w:t> </w:t>
      </w:r>
      <w:r w:rsidR="00BB4501" w:rsidRPr="00A26088">
        <w:rPr>
          <w:rStyle w:val="CharDivNo"/>
        </w:rPr>
        <w:t>303</w:t>
      </w:r>
      <w:r w:rsidRPr="00F00002">
        <w:rPr>
          <w:color w:val="000000"/>
        </w:rPr>
        <w:t>—</w:t>
      </w:r>
      <w:r w:rsidR="00BB4501" w:rsidRPr="00A26088">
        <w:rPr>
          <w:rStyle w:val="CharDivText"/>
        </w:rPr>
        <w:t>Superannuation benefits paid in special circumstances</w:t>
      </w:r>
      <w:bookmarkEnd w:id="122"/>
    </w:p>
    <w:p w:rsidR="00BB4501" w:rsidRPr="00F00002" w:rsidRDefault="00BB4501" w:rsidP="00D150ED">
      <w:pPr>
        <w:pStyle w:val="ActHead5"/>
        <w:rPr>
          <w:color w:val="000000"/>
        </w:rPr>
      </w:pPr>
      <w:bookmarkStart w:id="123" w:name="_Toc31109700"/>
      <w:r w:rsidRPr="00A26088">
        <w:rPr>
          <w:rStyle w:val="CharSectno"/>
        </w:rPr>
        <w:t>303</w:t>
      </w:r>
      <w:r w:rsidR="00F00002" w:rsidRPr="00A26088">
        <w:rPr>
          <w:rStyle w:val="CharSectno"/>
        </w:rPr>
        <w:noBreakHyphen/>
      </w:r>
      <w:r w:rsidRPr="00A26088">
        <w:rPr>
          <w:rStyle w:val="CharSectno"/>
        </w:rPr>
        <w:t>10.01</w:t>
      </w:r>
      <w:r w:rsidR="00D150ED" w:rsidRPr="00F00002">
        <w:rPr>
          <w:color w:val="000000"/>
        </w:rPr>
        <w:t xml:space="preserve">  </w:t>
      </w:r>
      <w:r w:rsidRPr="00F00002">
        <w:t xml:space="preserve">Meaning of </w:t>
      </w:r>
      <w:r w:rsidRPr="00F00002">
        <w:rPr>
          <w:i/>
        </w:rPr>
        <w:t>terminal medical condition</w:t>
      </w:r>
      <w:bookmarkEnd w:id="123"/>
    </w:p>
    <w:p w:rsidR="00BB4501" w:rsidRPr="00F00002" w:rsidRDefault="00BB4501" w:rsidP="00D150ED">
      <w:pPr>
        <w:pStyle w:val="subsection"/>
      </w:pPr>
      <w:r w:rsidRPr="00F00002">
        <w:tab/>
      </w:r>
      <w:r w:rsidRPr="00F00002">
        <w:tab/>
        <w:t>For section</w:t>
      </w:r>
      <w:r w:rsidR="00F00002">
        <w:t> </w:t>
      </w:r>
      <w:r w:rsidRPr="00F00002">
        <w:rPr>
          <w:color w:val="000000"/>
        </w:rPr>
        <w:t>303</w:t>
      </w:r>
      <w:r w:rsidR="00F00002">
        <w:noBreakHyphen/>
      </w:r>
      <w:r w:rsidRPr="00F00002">
        <w:rPr>
          <w:color w:val="000000"/>
        </w:rPr>
        <w:t xml:space="preserve">10 of the Act, </w:t>
      </w:r>
      <w:r w:rsidRPr="00F00002">
        <w:t xml:space="preserve">a </w:t>
      </w:r>
      <w:r w:rsidRPr="00F00002">
        <w:rPr>
          <w:b/>
          <w:i/>
        </w:rPr>
        <w:t>terminal medical condition</w:t>
      </w:r>
      <w:r w:rsidRPr="00F00002">
        <w:t xml:space="preserve"> exists in relation to a person at a particular time if the following circumstances exist:</w:t>
      </w:r>
    </w:p>
    <w:p w:rsidR="00BB4501" w:rsidRPr="00F00002" w:rsidRDefault="00BB4501" w:rsidP="00D150ED">
      <w:pPr>
        <w:pStyle w:val="paragraph"/>
      </w:pPr>
      <w:r w:rsidRPr="00F00002">
        <w:tab/>
        <w:t>(a)</w:t>
      </w:r>
      <w:r w:rsidRPr="00F00002">
        <w:tab/>
        <w:t xml:space="preserve">two registered medical practitioners have certified, jointly or separately, that the person suffers from an illness, or has incurred an injury, that is likely to result in the death of the person within a period (the </w:t>
      </w:r>
      <w:r w:rsidRPr="00F00002">
        <w:rPr>
          <w:b/>
          <w:i/>
        </w:rPr>
        <w:t>certification period</w:t>
      </w:r>
      <w:r w:rsidRPr="00F00002">
        <w:t xml:space="preserve">) that ends not more than </w:t>
      </w:r>
      <w:r w:rsidR="00BD027A" w:rsidRPr="00F00002">
        <w:t>24 months</w:t>
      </w:r>
      <w:r w:rsidRPr="00F00002">
        <w:t xml:space="preserve"> after the date of the certification;</w:t>
      </w:r>
    </w:p>
    <w:p w:rsidR="00BB4501" w:rsidRPr="00F00002" w:rsidRDefault="00BB4501" w:rsidP="00D150ED">
      <w:pPr>
        <w:pStyle w:val="paragraph"/>
      </w:pPr>
      <w:r w:rsidRPr="00F00002">
        <w:tab/>
        <w:t>(b)</w:t>
      </w:r>
      <w:r w:rsidRPr="00F00002">
        <w:tab/>
        <w:t>at least one of the registered medical practitioners is a specialist practising in an area related to the illness or injury suffered by the person;</w:t>
      </w:r>
    </w:p>
    <w:p w:rsidR="00BB4501" w:rsidRPr="00F00002" w:rsidRDefault="00BB4501" w:rsidP="00D150ED">
      <w:pPr>
        <w:pStyle w:val="paragraph"/>
      </w:pPr>
      <w:r w:rsidRPr="00F00002">
        <w:tab/>
        <w:t>(c)</w:t>
      </w:r>
      <w:r w:rsidRPr="00F00002">
        <w:tab/>
        <w:t>for each of the certificates, the certification period has not ended.</w:t>
      </w:r>
    </w:p>
    <w:p w:rsidR="00BB4501" w:rsidRPr="00F00002" w:rsidRDefault="00D150ED" w:rsidP="00D150ED">
      <w:pPr>
        <w:pStyle w:val="ActHead3"/>
        <w:pageBreakBefore/>
        <w:rPr>
          <w:color w:val="000000"/>
        </w:rPr>
      </w:pPr>
      <w:bookmarkStart w:id="124" w:name="_Toc31109701"/>
      <w:r w:rsidRPr="00A26088">
        <w:rPr>
          <w:rStyle w:val="CharDivNo"/>
        </w:rPr>
        <w:lastRenderedPageBreak/>
        <w:t>Division</w:t>
      </w:r>
      <w:r w:rsidR="00F00002" w:rsidRPr="00A26088">
        <w:rPr>
          <w:rStyle w:val="CharDivNo"/>
        </w:rPr>
        <w:t> </w:t>
      </w:r>
      <w:r w:rsidR="00BB4501" w:rsidRPr="00A26088">
        <w:rPr>
          <w:rStyle w:val="CharDivNo"/>
        </w:rPr>
        <w:t>306</w:t>
      </w:r>
      <w:r w:rsidRPr="00F00002">
        <w:rPr>
          <w:color w:val="000000"/>
        </w:rPr>
        <w:t>—</w:t>
      </w:r>
      <w:r w:rsidR="00BB4501" w:rsidRPr="00A26088">
        <w:rPr>
          <w:rStyle w:val="CharDivText"/>
        </w:rPr>
        <w:t>Roll</w:t>
      </w:r>
      <w:r w:rsidR="00F00002" w:rsidRPr="00A26088">
        <w:rPr>
          <w:rStyle w:val="CharDivText"/>
        </w:rPr>
        <w:noBreakHyphen/>
      </w:r>
      <w:r w:rsidR="00BB4501" w:rsidRPr="00A26088">
        <w:rPr>
          <w:rStyle w:val="CharDivText"/>
        </w:rPr>
        <w:t>overs etc</w:t>
      </w:r>
      <w:bookmarkEnd w:id="124"/>
    </w:p>
    <w:p w:rsidR="00807EDF" w:rsidRPr="00F00002" w:rsidRDefault="00807EDF" w:rsidP="00807EDF">
      <w:pPr>
        <w:pStyle w:val="ActHead5"/>
      </w:pPr>
      <w:bookmarkStart w:id="125" w:name="_Toc31109702"/>
      <w:r w:rsidRPr="00A26088">
        <w:rPr>
          <w:rStyle w:val="CharSectno"/>
        </w:rPr>
        <w:t>306</w:t>
      </w:r>
      <w:r w:rsidR="00F00002" w:rsidRPr="00A26088">
        <w:rPr>
          <w:rStyle w:val="CharSectno"/>
        </w:rPr>
        <w:noBreakHyphen/>
      </w:r>
      <w:r w:rsidRPr="00A26088">
        <w:rPr>
          <w:rStyle w:val="CharSectno"/>
        </w:rPr>
        <w:t>10.01</w:t>
      </w:r>
      <w:r w:rsidRPr="00F00002">
        <w:t xml:space="preserve">  Roll</w:t>
      </w:r>
      <w:r w:rsidR="00F00002">
        <w:noBreakHyphen/>
      </w:r>
      <w:r w:rsidRPr="00F00002">
        <w:t>over superannuation benefit</w:t>
      </w:r>
      <w:bookmarkEnd w:id="125"/>
    </w:p>
    <w:p w:rsidR="00807EDF" w:rsidRPr="00F00002" w:rsidRDefault="00807EDF" w:rsidP="00807EDF">
      <w:pPr>
        <w:pStyle w:val="subsection"/>
      </w:pPr>
      <w:r w:rsidRPr="00F00002">
        <w:tab/>
      </w:r>
      <w:r w:rsidRPr="00F00002">
        <w:tab/>
        <w:t>For the purposes of paragraph</w:t>
      </w:r>
      <w:r w:rsidR="00F00002">
        <w:t> </w:t>
      </w:r>
      <w:r w:rsidRPr="00F00002">
        <w:t>306</w:t>
      </w:r>
      <w:r w:rsidR="00F00002">
        <w:noBreakHyphen/>
      </w:r>
      <w:r w:rsidRPr="00F00002">
        <w:t>10(b) of the Act, each of the following kinds of superannuation benefit is specified:</w:t>
      </w:r>
    </w:p>
    <w:p w:rsidR="00807EDF" w:rsidRPr="00F00002" w:rsidRDefault="00807EDF" w:rsidP="00807EDF">
      <w:pPr>
        <w:pStyle w:val="paragraph"/>
      </w:pPr>
      <w:r w:rsidRPr="00F00002">
        <w:tab/>
        <w:t>(a)</w:t>
      </w:r>
      <w:r w:rsidRPr="00F00002">
        <w:tab/>
        <w:t>a superannuation death benefit, unless it is paid to a person covered by subregulation</w:t>
      </w:r>
      <w:r w:rsidR="00F00002">
        <w:t> </w:t>
      </w:r>
      <w:r w:rsidRPr="00F00002">
        <w:t>6.21(2A) of the SIS Regulations or subregulation</w:t>
      </w:r>
      <w:r w:rsidR="00F00002">
        <w:t> </w:t>
      </w:r>
      <w:r w:rsidRPr="00F00002">
        <w:t>4.24(3A) of the RSA Regulations in relation to the deceased member;</w:t>
      </w:r>
    </w:p>
    <w:p w:rsidR="00807EDF" w:rsidRPr="00F00002" w:rsidRDefault="00807EDF" w:rsidP="00807EDF">
      <w:pPr>
        <w:pStyle w:val="paragraph"/>
      </w:pPr>
      <w:r w:rsidRPr="00F00002">
        <w:tab/>
        <w:t>(b)</w:t>
      </w:r>
      <w:r w:rsidRPr="00F00002">
        <w:tab/>
        <w:t>a benefit to which section</w:t>
      </w:r>
      <w:r w:rsidR="00F00002">
        <w:t> </w:t>
      </w:r>
      <w:r w:rsidRPr="00F00002">
        <w:t>303</w:t>
      </w:r>
      <w:r w:rsidR="00F00002">
        <w:noBreakHyphen/>
      </w:r>
      <w:r w:rsidRPr="00F00002">
        <w:t>10 of the Act, or section</w:t>
      </w:r>
      <w:r w:rsidR="00F00002">
        <w:t> </w:t>
      </w:r>
      <w:r w:rsidRPr="00F00002">
        <w:t>303</w:t>
      </w:r>
      <w:r w:rsidR="00F00002">
        <w:noBreakHyphen/>
      </w:r>
      <w:r w:rsidRPr="00F00002">
        <w:t xml:space="preserve">10 of the </w:t>
      </w:r>
      <w:r w:rsidRPr="00F00002">
        <w:rPr>
          <w:i/>
        </w:rPr>
        <w:t>Income Tax (Transitional Provisions) Act 1997</w:t>
      </w:r>
      <w:r w:rsidRPr="00F00002">
        <w:t>, applies.</w:t>
      </w:r>
    </w:p>
    <w:p w:rsidR="00BB4501" w:rsidRPr="00F00002" w:rsidRDefault="00D150ED" w:rsidP="00D150ED">
      <w:pPr>
        <w:pStyle w:val="ActHead3"/>
        <w:pageBreakBefore/>
        <w:rPr>
          <w:color w:val="000000"/>
        </w:rPr>
      </w:pPr>
      <w:bookmarkStart w:id="126" w:name="_Toc31109703"/>
      <w:r w:rsidRPr="00A26088">
        <w:rPr>
          <w:rStyle w:val="CharDivNo"/>
        </w:rPr>
        <w:lastRenderedPageBreak/>
        <w:t>Division</w:t>
      </w:r>
      <w:r w:rsidR="00F00002" w:rsidRPr="00A26088">
        <w:rPr>
          <w:rStyle w:val="CharDivNo"/>
        </w:rPr>
        <w:t> </w:t>
      </w:r>
      <w:r w:rsidR="00BB4501" w:rsidRPr="00A26088">
        <w:rPr>
          <w:rStyle w:val="CharDivNo"/>
        </w:rPr>
        <w:t>307</w:t>
      </w:r>
      <w:r w:rsidRPr="00F00002">
        <w:rPr>
          <w:color w:val="000000"/>
        </w:rPr>
        <w:t>—</w:t>
      </w:r>
      <w:r w:rsidR="00BB4501" w:rsidRPr="00A26088">
        <w:rPr>
          <w:rStyle w:val="CharDivText"/>
        </w:rPr>
        <w:t>Key concepts relating to superannuation benefits</w:t>
      </w:r>
      <w:bookmarkEnd w:id="126"/>
    </w:p>
    <w:p w:rsidR="00B71232" w:rsidRPr="00F00002" w:rsidRDefault="00B71232" w:rsidP="00B71232">
      <w:pPr>
        <w:pStyle w:val="ActHead4"/>
      </w:pPr>
      <w:bookmarkStart w:id="127" w:name="_Toc31109704"/>
      <w:r w:rsidRPr="00A26088">
        <w:rPr>
          <w:rStyle w:val="CharSubdNo"/>
        </w:rPr>
        <w:t>Subdivision</w:t>
      </w:r>
      <w:r w:rsidR="00F00002" w:rsidRPr="00A26088">
        <w:rPr>
          <w:rStyle w:val="CharSubdNo"/>
        </w:rPr>
        <w:t> </w:t>
      </w:r>
      <w:r w:rsidRPr="00A26088">
        <w:rPr>
          <w:rStyle w:val="CharSubdNo"/>
        </w:rPr>
        <w:t>307</w:t>
      </w:r>
      <w:r w:rsidR="00F00002" w:rsidRPr="00A26088">
        <w:rPr>
          <w:rStyle w:val="CharSubdNo"/>
        </w:rPr>
        <w:noBreakHyphen/>
      </w:r>
      <w:r w:rsidRPr="00A26088">
        <w:rPr>
          <w:rStyle w:val="CharSubdNo"/>
        </w:rPr>
        <w:t>B</w:t>
      </w:r>
      <w:r w:rsidRPr="00F00002">
        <w:t>—</w:t>
      </w:r>
      <w:r w:rsidRPr="00A26088">
        <w:rPr>
          <w:rStyle w:val="CharSubdText"/>
        </w:rPr>
        <w:t>Superannuation lump sums and superannuation income stream benefits</w:t>
      </w:r>
      <w:bookmarkEnd w:id="127"/>
    </w:p>
    <w:p w:rsidR="00B71232" w:rsidRPr="00F00002" w:rsidRDefault="00B71232" w:rsidP="00B71232">
      <w:pPr>
        <w:pStyle w:val="ActHead5"/>
      </w:pPr>
      <w:bookmarkStart w:id="128" w:name="_Toc31109705"/>
      <w:r w:rsidRPr="00A26088">
        <w:rPr>
          <w:rStyle w:val="CharSectno"/>
        </w:rPr>
        <w:t>307</w:t>
      </w:r>
      <w:r w:rsidR="00F00002" w:rsidRPr="00A26088">
        <w:rPr>
          <w:rStyle w:val="CharSectno"/>
        </w:rPr>
        <w:noBreakHyphen/>
      </w:r>
      <w:r w:rsidRPr="00A26088">
        <w:rPr>
          <w:rStyle w:val="CharSectno"/>
        </w:rPr>
        <w:t>70.01</w:t>
      </w:r>
      <w:r w:rsidRPr="00F00002">
        <w:t xml:space="preserve">  Superannuation income stream benefits</w:t>
      </w:r>
      <w:bookmarkEnd w:id="128"/>
    </w:p>
    <w:p w:rsidR="00B71232" w:rsidRPr="00F00002" w:rsidRDefault="00B71232" w:rsidP="00B71232">
      <w:pPr>
        <w:pStyle w:val="subsection"/>
      </w:pPr>
      <w:r w:rsidRPr="00F00002">
        <w:tab/>
        <w:t>(1)</w:t>
      </w:r>
      <w:r w:rsidRPr="00F00002">
        <w:tab/>
        <w:t>For the purposes of subsection</w:t>
      </w:r>
      <w:r w:rsidR="00F00002">
        <w:t> </w:t>
      </w:r>
      <w:r w:rsidRPr="00F00002">
        <w:t>307</w:t>
      </w:r>
      <w:r w:rsidR="00F00002">
        <w:noBreakHyphen/>
      </w:r>
      <w:r w:rsidRPr="00F00002">
        <w:t xml:space="preserve">70(1) of the Act (definition of </w:t>
      </w:r>
      <w:r w:rsidRPr="00F00002">
        <w:rPr>
          <w:b/>
          <w:i/>
        </w:rPr>
        <w:t>superannuation income stream benefit</w:t>
      </w:r>
      <w:r w:rsidRPr="00F00002">
        <w:t>), all superannuation benefits are specified, apart from a superannuation benefit covered by subregulation (2).</w:t>
      </w:r>
    </w:p>
    <w:p w:rsidR="00B71232" w:rsidRPr="00F00002" w:rsidRDefault="00B71232" w:rsidP="00B71232">
      <w:pPr>
        <w:pStyle w:val="subsection"/>
      </w:pPr>
      <w:r w:rsidRPr="00F00002">
        <w:tab/>
        <w:t>(2)</w:t>
      </w:r>
      <w:r w:rsidRPr="00F00002">
        <w:tab/>
        <w:t>A superannuation benefit is covered by this subregulation if:</w:t>
      </w:r>
    </w:p>
    <w:p w:rsidR="00B71232" w:rsidRPr="00F00002" w:rsidRDefault="00B71232" w:rsidP="00B71232">
      <w:pPr>
        <w:pStyle w:val="paragraph"/>
      </w:pPr>
      <w:r w:rsidRPr="00F00002">
        <w:tab/>
        <w:t>(a)</w:t>
      </w:r>
      <w:r w:rsidRPr="00F00002">
        <w:tab/>
        <w:t>the superannuation benefit was paid:</w:t>
      </w:r>
    </w:p>
    <w:p w:rsidR="00B71232" w:rsidRPr="00F00002" w:rsidRDefault="00B71232" w:rsidP="00B71232">
      <w:pPr>
        <w:pStyle w:val="paragraphsub"/>
      </w:pPr>
      <w:r w:rsidRPr="00F00002">
        <w:tab/>
        <w:t>(i)</w:t>
      </w:r>
      <w:r w:rsidRPr="00F00002">
        <w:tab/>
        <w:t>on or after 1</w:t>
      </w:r>
      <w:r w:rsidR="00F00002">
        <w:t> </w:t>
      </w:r>
      <w:r w:rsidRPr="00F00002">
        <w:t>July 2007; and</w:t>
      </w:r>
    </w:p>
    <w:p w:rsidR="00B71232" w:rsidRPr="00F00002" w:rsidRDefault="00B71232" w:rsidP="00B71232">
      <w:pPr>
        <w:pStyle w:val="paragraphsub"/>
      </w:pPr>
      <w:r w:rsidRPr="00F00002">
        <w:tab/>
        <w:t>(ii)</w:t>
      </w:r>
      <w:r w:rsidRPr="00F00002">
        <w:tab/>
        <w:t>before 1</w:t>
      </w:r>
      <w:r w:rsidR="00F00002">
        <w:t> </w:t>
      </w:r>
      <w:r w:rsidRPr="00F00002">
        <w:t>July 2017</w:t>
      </w:r>
      <w:r w:rsidRPr="00F00002">
        <w:rPr>
          <w:noProof/>
        </w:rPr>
        <w:t>; and</w:t>
      </w:r>
    </w:p>
    <w:p w:rsidR="00B71232" w:rsidRPr="00F00002" w:rsidRDefault="00B71232" w:rsidP="00B71232">
      <w:pPr>
        <w:pStyle w:val="paragraph"/>
      </w:pPr>
      <w:r w:rsidRPr="00F00002">
        <w:tab/>
        <w:t>(b)</w:t>
      </w:r>
      <w:r w:rsidRPr="00F00002">
        <w:tab/>
        <w:t>the superannuation benefit was paid from a superannuation interest that supported a superannuation income stream; and</w:t>
      </w:r>
    </w:p>
    <w:p w:rsidR="00B71232" w:rsidRPr="00F00002" w:rsidRDefault="00B71232" w:rsidP="00B71232">
      <w:pPr>
        <w:pStyle w:val="paragraph"/>
      </w:pPr>
      <w:r w:rsidRPr="00F00002">
        <w:tab/>
        <w:t>(c)</w:t>
      </w:r>
      <w:r w:rsidRPr="00F00002">
        <w:tab/>
        <w:t>the superannuation income stream met the requirement in paragraph</w:t>
      </w:r>
      <w:r w:rsidR="00F00002">
        <w:t> </w:t>
      </w:r>
      <w:r w:rsidRPr="00F00002">
        <w:t>995</w:t>
      </w:r>
      <w:r w:rsidR="00F00002">
        <w:noBreakHyphen/>
      </w:r>
      <w:r w:rsidRPr="00F00002">
        <w:t>1.03(a) (as in force before the commencement of Schedule</w:t>
      </w:r>
      <w:r w:rsidR="00F00002">
        <w:t> </w:t>
      </w:r>
      <w:r w:rsidRPr="00F00002">
        <w:t xml:space="preserve">6 to the </w:t>
      </w:r>
      <w:r w:rsidRPr="00F00002">
        <w:rPr>
          <w:i/>
          <w:noProof/>
        </w:rPr>
        <w:t>Treasury Laws Amendment (Fair and Sustainable Superannuation) Regulations</w:t>
      </w:r>
      <w:r w:rsidR="00F00002">
        <w:rPr>
          <w:i/>
          <w:noProof/>
        </w:rPr>
        <w:t> </w:t>
      </w:r>
      <w:r w:rsidRPr="00F00002">
        <w:rPr>
          <w:i/>
          <w:noProof/>
        </w:rPr>
        <w:t>2017</w:t>
      </w:r>
      <w:r w:rsidRPr="00F00002">
        <w:rPr>
          <w:noProof/>
        </w:rPr>
        <w:t xml:space="preserve">) when the </w:t>
      </w:r>
      <w:r w:rsidRPr="00F00002">
        <w:t>superannuation benefit was paid</w:t>
      </w:r>
      <w:r w:rsidRPr="00F00002">
        <w:rPr>
          <w:noProof/>
        </w:rPr>
        <w:t>; and</w:t>
      </w:r>
    </w:p>
    <w:p w:rsidR="00B71232" w:rsidRPr="00F00002" w:rsidRDefault="00B71232" w:rsidP="00B71232">
      <w:pPr>
        <w:pStyle w:val="paragraph"/>
        <w:rPr>
          <w:noProof/>
        </w:rPr>
      </w:pPr>
      <w:r w:rsidRPr="00F00002">
        <w:tab/>
        <w:t>(d)</w:t>
      </w:r>
      <w:r w:rsidRPr="00F00002">
        <w:tab/>
        <w:t>the person to whom the superannuation benefit was paid made an election in relation to that payment under paragraph</w:t>
      </w:r>
      <w:r w:rsidR="00F00002">
        <w:t> </w:t>
      </w:r>
      <w:r w:rsidRPr="00F00002">
        <w:t>995</w:t>
      </w:r>
      <w:r w:rsidR="00F00002">
        <w:noBreakHyphen/>
      </w:r>
      <w:r w:rsidRPr="00F00002">
        <w:t>1.03(b) (as in force before the commencement of that Schedule)</w:t>
      </w:r>
      <w:r w:rsidRPr="00F00002">
        <w:rPr>
          <w:noProof/>
        </w:rPr>
        <w:t>.</w:t>
      </w:r>
    </w:p>
    <w:p w:rsidR="00BB4501" w:rsidRPr="00F00002" w:rsidRDefault="00D150ED" w:rsidP="00D150ED">
      <w:pPr>
        <w:pStyle w:val="ActHead4"/>
      </w:pPr>
      <w:bookmarkStart w:id="129" w:name="_Toc31109706"/>
      <w:r w:rsidRPr="00A26088">
        <w:rPr>
          <w:rStyle w:val="CharSubdNo"/>
        </w:rPr>
        <w:t>Subdivision</w:t>
      </w:r>
      <w:r w:rsidR="00F00002" w:rsidRPr="00A26088">
        <w:rPr>
          <w:rStyle w:val="CharSubdNo"/>
        </w:rPr>
        <w:t> </w:t>
      </w:r>
      <w:r w:rsidR="00BB4501" w:rsidRPr="00A26088">
        <w:rPr>
          <w:rStyle w:val="CharSubdNo"/>
        </w:rPr>
        <w:t>307</w:t>
      </w:r>
      <w:r w:rsidR="00F00002" w:rsidRPr="00A26088">
        <w:rPr>
          <w:rStyle w:val="CharSubdNo"/>
        </w:rPr>
        <w:noBreakHyphen/>
      </w:r>
      <w:r w:rsidR="00BB4501" w:rsidRPr="00A26088">
        <w:rPr>
          <w:rStyle w:val="CharSubdNo"/>
        </w:rPr>
        <w:t>C</w:t>
      </w:r>
      <w:r w:rsidRPr="00F00002">
        <w:t>—</w:t>
      </w:r>
      <w:r w:rsidR="00BB4501" w:rsidRPr="00A26088">
        <w:rPr>
          <w:rStyle w:val="CharSubdText"/>
        </w:rPr>
        <w:t>Components of a superannuation benefit</w:t>
      </w:r>
      <w:bookmarkEnd w:id="129"/>
    </w:p>
    <w:p w:rsidR="00BB4501" w:rsidRPr="00F00002" w:rsidRDefault="00BB4501" w:rsidP="00D150ED">
      <w:pPr>
        <w:pStyle w:val="ActHead5"/>
      </w:pPr>
      <w:bookmarkStart w:id="130" w:name="_Toc31109707"/>
      <w:r w:rsidRPr="00A26088">
        <w:rPr>
          <w:rStyle w:val="CharSectno"/>
        </w:rPr>
        <w:t>307</w:t>
      </w:r>
      <w:r w:rsidR="00F00002" w:rsidRPr="00A26088">
        <w:rPr>
          <w:rStyle w:val="CharSectno"/>
        </w:rPr>
        <w:noBreakHyphen/>
      </w:r>
      <w:r w:rsidRPr="00A26088">
        <w:rPr>
          <w:rStyle w:val="CharSectno"/>
        </w:rPr>
        <w:t>125.01</w:t>
      </w:r>
      <w:r w:rsidR="00D150ED" w:rsidRPr="00F00002">
        <w:t xml:space="preserve">  </w:t>
      </w:r>
      <w:r w:rsidRPr="00F00002">
        <w:t>Components of member benefits accruing before 1</w:t>
      </w:r>
      <w:r w:rsidR="00F00002">
        <w:t> </w:t>
      </w:r>
      <w:r w:rsidRPr="00F00002">
        <w:t>July 1999 paid from the Military Superannuation and Benefits Scheme</w:t>
      </w:r>
      <w:bookmarkEnd w:id="130"/>
    </w:p>
    <w:p w:rsidR="00BB4501" w:rsidRPr="00F00002" w:rsidRDefault="00BB4501" w:rsidP="00D150ED">
      <w:pPr>
        <w:pStyle w:val="subsection"/>
      </w:pPr>
      <w:r w:rsidRPr="00F00002">
        <w:tab/>
        <w:t>(1)</w:t>
      </w:r>
      <w:r w:rsidRPr="00F00002">
        <w:tab/>
        <w:t>For paragraph</w:t>
      </w:r>
      <w:r w:rsidR="00F00002">
        <w:t> </w:t>
      </w:r>
      <w:r w:rsidRPr="00F00002">
        <w:t>307</w:t>
      </w:r>
      <w:r w:rsidR="00F00002">
        <w:noBreakHyphen/>
      </w:r>
      <w:r w:rsidRPr="00F00002">
        <w:t>125(4</w:t>
      </w:r>
      <w:r w:rsidR="00D150ED" w:rsidRPr="00F00002">
        <w:t>)(</w:t>
      </w:r>
      <w:r w:rsidRPr="00F00002">
        <w:t>a) of the Act, a member of the Military Superannuation and Benefits Scheme who is below preservation age may, subject to subregulation</w:t>
      </w:r>
      <w:r w:rsidR="00135C25" w:rsidRPr="00F00002">
        <w:t> </w:t>
      </w:r>
      <w:r w:rsidRPr="00F00002">
        <w:t>(2), determine the amount of the components of his or her member benefits accruing before 1</w:t>
      </w:r>
      <w:r w:rsidR="00F00002">
        <w:t> </w:t>
      </w:r>
      <w:r w:rsidRPr="00F00002">
        <w:t>July 1999 paid from the Military Superannuation and Benefits Scheme in respect of the member.</w:t>
      </w:r>
    </w:p>
    <w:p w:rsidR="00BB4501" w:rsidRPr="00F00002" w:rsidRDefault="00BB4501" w:rsidP="00D150ED">
      <w:pPr>
        <w:pStyle w:val="subsection"/>
      </w:pPr>
      <w:r w:rsidRPr="00F00002">
        <w:tab/>
        <w:t>(2)</w:t>
      </w:r>
      <w:r w:rsidRPr="00F00002">
        <w:tab/>
        <w:t>For subregulation</w:t>
      </w:r>
      <w:r w:rsidR="00135C25" w:rsidRPr="00F00002">
        <w:t> </w:t>
      </w:r>
      <w:r w:rsidRPr="00F00002">
        <w:t>(1), the maximum amount that a member may determine as a component of his or her member benefits accruing before 1</w:t>
      </w:r>
      <w:r w:rsidR="00F00002">
        <w:t> </w:t>
      </w:r>
      <w:r w:rsidRPr="00F00002">
        <w:t>July 1999, whether by a single choice or cumulatively, may not exceed:</w:t>
      </w:r>
    </w:p>
    <w:p w:rsidR="00BB4501" w:rsidRPr="00F00002" w:rsidRDefault="00BB4501" w:rsidP="00D150ED">
      <w:pPr>
        <w:pStyle w:val="paragraph"/>
      </w:pPr>
      <w:r w:rsidRPr="00F00002">
        <w:tab/>
        <w:t>(a)</w:t>
      </w:r>
      <w:r w:rsidRPr="00F00002">
        <w:tab/>
        <w:t>for the tax free component of his or her member benefits accruing before 1</w:t>
      </w:r>
      <w:r w:rsidR="00F00002">
        <w:t> </w:t>
      </w:r>
      <w:r w:rsidRPr="00F00002">
        <w:t>July 1999</w:t>
      </w:r>
      <w:r w:rsidR="00D150ED" w:rsidRPr="00F00002">
        <w:t>—</w:t>
      </w:r>
      <w:r w:rsidRPr="00F00002">
        <w:t>the amount worked out under section</w:t>
      </w:r>
      <w:r w:rsidR="00F00002">
        <w:t> </w:t>
      </w:r>
      <w:r w:rsidRPr="00F00002">
        <w:t>307</w:t>
      </w:r>
      <w:r w:rsidR="00F00002">
        <w:noBreakHyphen/>
      </w:r>
      <w:r w:rsidRPr="00F00002">
        <w:t>210 of the Act for the interest; and</w:t>
      </w:r>
    </w:p>
    <w:p w:rsidR="00BB4501" w:rsidRPr="00F00002" w:rsidRDefault="00BB4501" w:rsidP="00D150ED">
      <w:pPr>
        <w:pStyle w:val="paragraph"/>
      </w:pPr>
      <w:r w:rsidRPr="00F00002">
        <w:lastRenderedPageBreak/>
        <w:tab/>
        <w:t>(b)</w:t>
      </w:r>
      <w:r w:rsidRPr="00F00002">
        <w:tab/>
        <w:t>for the taxable component of his or her member benefits accruing before 1</w:t>
      </w:r>
      <w:r w:rsidR="00F00002">
        <w:t> </w:t>
      </w:r>
      <w:r w:rsidRPr="00F00002">
        <w:t>July 1999</w:t>
      </w:r>
      <w:r w:rsidR="00D150ED" w:rsidRPr="00F00002">
        <w:t>—</w:t>
      </w:r>
      <w:r w:rsidRPr="00F00002">
        <w:t>the amount worked out under section</w:t>
      </w:r>
      <w:r w:rsidR="00F00002">
        <w:t> </w:t>
      </w:r>
      <w:r w:rsidRPr="00F00002">
        <w:t>307</w:t>
      </w:r>
      <w:r w:rsidR="00F00002">
        <w:noBreakHyphen/>
      </w:r>
      <w:r w:rsidRPr="00F00002">
        <w:t>215 of the Act for the interest.</w:t>
      </w:r>
    </w:p>
    <w:p w:rsidR="00BB4501" w:rsidRPr="00F00002" w:rsidRDefault="00BB4501" w:rsidP="0006203A">
      <w:pPr>
        <w:pStyle w:val="notetext"/>
      </w:pPr>
      <w:r w:rsidRPr="00F00002">
        <w:t>Example</w:t>
      </w:r>
      <w:r w:rsidR="0006203A" w:rsidRPr="00F00002">
        <w:t>:</w:t>
      </w:r>
      <w:r w:rsidR="0006203A" w:rsidRPr="00F00002">
        <w:tab/>
      </w:r>
      <w:r w:rsidRPr="00F00002">
        <w:t>A member of the Military Superannuation and Benefits Scheme has an amount of his or her member benefits accruing before 1</w:t>
      </w:r>
      <w:r w:rsidR="00F00002">
        <w:t> </w:t>
      </w:r>
      <w:r w:rsidRPr="00F00002">
        <w:t>July 1999 of $1</w:t>
      </w:r>
      <w:r w:rsidR="00F00002">
        <w:t> </w:t>
      </w:r>
      <w:r w:rsidRPr="00F00002">
        <w:t>000. Just before the benefit is paid, the value of the tax free component is $800 and the taxable component is $200. Before reaching preservation age, the member takes a lump sum benefit of $900.</w:t>
      </w:r>
    </w:p>
    <w:p w:rsidR="00BB4501" w:rsidRPr="00F00002" w:rsidRDefault="0006203A" w:rsidP="006E0220">
      <w:pPr>
        <w:pStyle w:val="notetext"/>
        <w:spacing w:before="60"/>
      </w:pPr>
      <w:r w:rsidRPr="00F00002">
        <w:tab/>
      </w:r>
      <w:r w:rsidR="00BB4501" w:rsidRPr="00F00002">
        <w:t>Under subregulation</w:t>
      </w:r>
      <w:r w:rsidR="00135C25" w:rsidRPr="00F00002">
        <w:t> </w:t>
      </w:r>
      <w:r w:rsidR="00BB4501" w:rsidRPr="00F00002">
        <w:t>(1), the member is able to determine the amount of the benefit that will be the tax free component and the amount that will be the taxable component of the benefit. However, subregulation</w:t>
      </w:r>
      <w:r w:rsidR="00135C25" w:rsidRPr="00F00002">
        <w:t> </w:t>
      </w:r>
      <w:r w:rsidR="00BB4501" w:rsidRPr="00F00002">
        <w:t>(2) prevents the member from treating more than $800 of the superannuation benefit as tax free.</w:t>
      </w:r>
    </w:p>
    <w:p w:rsidR="00BB4501" w:rsidRPr="00F00002" w:rsidRDefault="00D150ED" w:rsidP="00D150ED">
      <w:pPr>
        <w:pStyle w:val="notetext"/>
      </w:pPr>
      <w:r w:rsidRPr="00F00002">
        <w:t>Note:</w:t>
      </w:r>
      <w:r w:rsidRPr="00F00002">
        <w:tab/>
      </w:r>
      <w:r w:rsidR="00BB4501" w:rsidRPr="00F00002">
        <w:t>A preserved superannuation benefit paid in respect of a member of the Military Superannuation and Benefits Scheme is paid in accordance with subsection</w:t>
      </w:r>
      <w:r w:rsidR="00F00002">
        <w:t> </w:t>
      </w:r>
      <w:r w:rsidR="00BB4501" w:rsidRPr="00F00002">
        <w:t>307</w:t>
      </w:r>
      <w:r w:rsidR="00F00002">
        <w:noBreakHyphen/>
      </w:r>
      <w:r w:rsidR="00BB4501" w:rsidRPr="00F00002">
        <w:t>125(2) of the Act.</w:t>
      </w:r>
    </w:p>
    <w:p w:rsidR="00BB4501" w:rsidRPr="00F00002" w:rsidRDefault="00BB4501" w:rsidP="00D150ED">
      <w:pPr>
        <w:pStyle w:val="subsection"/>
      </w:pPr>
      <w:r w:rsidRPr="00F00002">
        <w:tab/>
        <w:t>(3)</w:t>
      </w:r>
      <w:r w:rsidRPr="00F00002">
        <w:tab/>
        <w:t>This regulation applies to a superannuation benefit paid from the Military Superannuation and Benefits Scheme on or after 1</w:t>
      </w:r>
      <w:r w:rsidR="00F00002">
        <w:t> </w:t>
      </w:r>
      <w:r w:rsidRPr="00F00002">
        <w:t>July 2007.</w:t>
      </w:r>
    </w:p>
    <w:p w:rsidR="00BB4501" w:rsidRPr="00F00002" w:rsidRDefault="00BB4501" w:rsidP="00D150ED">
      <w:pPr>
        <w:pStyle w:val="subsection"/>
      </w:pPr>
      <w:r w:rsidRPr="00F00002">
        <w:tab/>
        <w:t>(4)</w:t>
      </w:r>
      <w:r w:rsidRPr="00F00002">
        <w:tab/>
        <w:t>In this regulation:</w:t>
      </w:r>
    </w:p>
    <w:p w:rsidR="00BB4501" w:rsidRPr="00F00002" w:rsidRDefault="00BB4501" w:rsidP="00D150ED">
      <w:pPr>
        <w:pStyle w:val="Definition"/>
      </w:pPr>
      <w:r w:rsidRPr="00F00002">
        <w:rPr>
          <w:b/>
          <w:i/>
        </w:rPr>
        <w:t>Military Superannuation and Benefits Scheme</w:t>
      </w:r>
      <w:r w:rsidRPr="00F00002">
        <w:t xml:space="preserve"> is the scheme that is established by clause</w:t>
      </w:r>
      <w:r w:rsidR="00F00002">
        <w:t> </w:t>
      </w:r>
      <w:r w:rsidRPr="00F00002">
        <w:t>2 of the Military Superannuation and Benefits Trust Deed.</w:t>
      </w:r>
    </w:p>
    <w:p w:rsidR="0066430C" w:rsidRPr="00F00002" w:rsidRDefault="0066430C" w:rsidP="0066430C">
      <w:pPr>
        <w:pStyle w:val="ActHead5"/>
      </w:pPr>
      <w:bookmarkStart w:id="131" w:name="_Toc31109708"/>
      <w:r w:rsidRPr="00A26088">
        <w:rPr>
          <w:rStyle w:val="CharSectno"/>
        </w:rPr>
        <w:t>307</w:t>
      </w:r>
      <w:r w:rsidR="00F00002" w:rsidRPr="00A26088">
        <w:rPr>
          <w:rStyle w:val="CharSectno"/>
        </w:rPr>
        <w:noBreakHyphen/>
      </w:r>
      <w:r w:rsidRPr="00A26088">
        <w:rPr>
          <w:rStyle w:val="CharSectno"/>
        </w:rPr>
        <w:t>125.02</w:t>
      </w:r>
      <w:r w:rsidRPr="00F00002">
        <w:t xml:space="preserve">  Components of superannuation benefits after death of recipient of superannuation income stream</w:t>
      </w:r>
      <w:bookmarkEnd w:id="131"/>
    </w:p>
    <w:p w:rsidR="0066430C" w:rsidRPr="00F00002" w:rsidRDefault="0066430C" w:rsidP="0066430C">
      <w:pPr>
        <w:pStyle w:val="subsection"/>
        <w:rPr>
          <w:rFonts w:ascii="Arial" w:hAnsi="Arial" w:cs="Arial"/>
          <w:sz w:val="20"/>
        </w:rPr>
      </w:pPr>
      <w:r w:rsidRPr="00F00002">
        <w:tab/>
        <w:t>(1)</w:t>
      </w:r>
      <w:r w:rsidRPr="00F00002">
        <w:tab/>
        <w:t>For paragraph</w:t>
      </w:r>
      <w:r w:rsidR="00F00002">
        <w:t> </w:t>
      </w:r>
      <w:r w:rsidRPr="00F00002">
        <w:t>307</w:t>
      </w:r>
      <w:r w:rsidR="00F00002">
        <w:noBreakHyphen/>
      </w:r>
      <w:r w:rsidRPr="00F00002">
        <w:t>125(4)(a) of the Act, subregulation</w:t>
      </w:r>
      <w:r w:rsidR="00135C25" w:rsidRPr="00F00002">
        <w:t> </w:t>
      </w:r>
      <w:r w:rsidRPr="00F00002">
        <w:t>(2) specifies an alternative method for determining the components of a superannuation benefit to which that subregulation</w:t>
      </w:r>
      <w:r w:rsidR="00135C25" w:rsidRPr="00F00002">
        <w:t> </w:t>
      </w:r>
      <w:r w:rsidRPr="00F00002">
        <w:t>applies if:</w:t>
      </w:r>
    </w:p>
    <w:p w:rsidR="0066430C" w:rsidRPr="00F00002" w:rsidRDefault="0066430C" w:rsidP="0066430C">
      <w:pPr>
        <w:pStyle w:val="paragraph"/>
      </w:pPr>
      <w:r w:rsidRPr="00F00002">
        <w:tab/>
        <w:t>(a)</w:t>
      </w:r>
      <w:r w:rsidRPr="00F00002">
        <w:tab/>
        <w:t xml:space="preserve">immediately before the death of a person (the </w:t>
      </w:r>
      <w:r w:rsidRPr="00F00002">
        <w:rPr>
          <w:b/>
          <w:i/>
        </w:rPr>
        <w:t>deceased</w:t>
      </w:r>
      <w:r w:rsidRPr="00F00002">
        <w:t xml:space="preserve">), a superannuation interest (the </w:t>
      </w:r>
      <w:r w:rsidRPr="00F00002">
        <w:rPr>
          <w:b/>
          <w:i/>
        </w:rPr>
        <w:t>relevant superannuation interest</w:t>
      </w:r>
      <w:r w:rsidRPr="00F00002">
        <w:t xml:space="preserve">) was supporting a superannuation income stream (the </w:t>
      </w:r>
      <w:r w:rsidRPr="00F00002">
        <w:rPr>
          <w:b/>
          <w:i/>
        </w:rPr>
        <w:t>original superannuation income stream</w:t>
      </w:r>
      <w:r w:rsidRPr="00F00002">
        <w:t>) payable to the deceased; and</w:t>
      </w:r>
    </w:p>
    <w:p w:rsidR="0066430C" w:rsidRPr="00F00002" w:rsidRDefault="0066430C" w:rsidP="0066430C">
      <w:pPr>
        <w:pStyle w:val="paragraph"/>
      </w:pPr>
      <w:r w:rsidRPr="00F00002">
        <w:tab/>
        <w:t>(b)</w:t>
      </w:r>
      <w:r w:rsidRPr="00F00002">
        <w:tab/>
        <w:t>the original superannuation income stream did not automatically revert to another person on the deceased’s death; and</w:t>
      </w:r>
    </w:p>
    <w:p w:rsidR="0066430C" w:rsidRPr="00F00002" w:rsidRDefault="0066430C" w:rsidP="0066430C">
      <w:pPr>
        <w:pStyle w:val="paragraph"/>
      </w:pPr>
      <w:r w:rsidRPr="00F00002">
        <w:tab/>
        <w:t>(c)</w:t>
      </w:r>
      <w:r w:rsidRPr="00F00002">
        <w:tab/>
        <w:t>no amounts, other than investment earnings, have been added to the relevant superannuation interest on or after the deceased’s death; and</w:t>
      </w:r>
    </w:p>
    <w:p w:rsidR="0066430C" w:rsidRPr="00F00002" w:rsidRDefault="0066430C" w:rsidP="0066430C">
      <w:pPr>
        <w:pStyle w:val="paragraph"/>
        <w:rPr>
          <w:rFonts w:ascii="Arial" w:hAnsi="Arial" w:cs="Arial"/>
          <w:sz w:val="20"/>
        </w:rPr>
      </w:pPr>
      <w:r w:rsidRPr="00F00002">
        <w:tab/>
        <w:t>(d)</w:t>
      </w:r>
      <w:r w:rsidRPr="00F00002">
        <w:tab/>
        <w:t>one or both of the following occurs after the deceased’s death:</w:t>
      </w:r>
    </w:p>
    <w:p w:rsidR="0066430C" w:rsidRPr="00F00002" w:rsidRDefault="0066430C" w:rsidP="0066430C">
      <w:pPr>
        <w:pStyle w:val="paragraphsub"/>
      </w:pPr>
      <w:r w:rsidRPr="00F00002">
        <w:tab/>
        <w:t>(i)</w:t>
      </w:r>
      <w:r w:rsidRPr="00F00002">
        <w:tab/>
        <w:t>a superannuation death benefit that is a superannuation lump sum is paid using only an amount from the relevant superannuation interest;</w:t>
      </w:r>
    </w:p>
    <w:p w:rsidR="0066430C" w:rsidRPr="00F00002" w:rsidRDefault="0066430C" w:rsidP="0066430C">
      <w:pPr>
        <w:pStyle w:val="paragraphsub"/>
      </w:pPr>
      <w:r w:rsidRPr="00F00002">
        <w:tab/>
        <w:t>(ii)</w:t>
      </w:r>
      <w:r w:rsidRPr="00F00002">
        <w:tab/>
        <w:t xml:space="preserve">a superannuation income stream (the </w:t>
      </w:r>
      <w:r w:rsidRPr="00F00002">
        <w:rPr>
          <w:b/>
          <w:i/>
        </w:rPr>
        <w:t>new superannuation income stream</w:t>
      </w:r>
      <w:r w:rsidRPr="00F00002">
        <w:t>) is commenced using only an amount applied from the relevant superannuation interest.</w:t>
      </w:r>
    </w:p>
    <w:p w:rsidR="0066430C" w:rsidRPr="00F00002" w:rsidRDefault="0066430C" w:rsidP="0066430C">
      <w:pPr>
        <w:pStyle w:val="subsection"/>
      </w:pPr>
      <w:r w:rsidRPr="00F00002">
        <w:tab/>
        <w:t>(2)</w:t>
      </w:r>
      <w:r w:rsidRPr="00F00002">
        <w:tab/>
        <w:t>The method statement sets out how to work out the tax free component and taxable component of:</w:t>
      </w:r>
    </w:p>
    <w:p w:rsidR="0066430C" w:rsidRPr="00F00002" w:rsidRDefault="0066430C" w:rsidP="0066430C">
      <w:pPr>
        <w:pStyle w:val="paragraph"/>
        <w:rPr>
          <w:rFonts w:ascii="Arial" w:hAnsi="Arial" w:cs="Arial"/>
          <w:sz w:val="20"/>
        </w:rPr>
      </w:pPr>
      <w:r w:rsidRPr="00F00002">
        <w:lastRenderedPageBreak/>
        <w:tab/>
        <w:t>(a)</w:t>
      </w:r>
      <w:r w:rsidRPr="00F00002">
        <w:tab/>
        <w:t xml:space="preserve">a superannuation death benefit mentioned in </w:t>
      </w:r>
      <w:r w:rsidR="00F00002">
        <w:t>subparagraph (</w:t>
      </w:r>
      <w:r w:rsidRPr="00F00002">
        <w:t>1)(d)(i);</w:t>
      </w:r>
      <w:r w:rsidRPr="00F00002">
        <w:rPr>
          <w:rFonts w:ascii="Arial" w:hAnsi="Arial" w:cs="Arial"/>
          <w:sz w:val="20"/>
        </w:rPr>
        <w:t xml:space="preserve"> </w:t>
      </w:r>
      <w:r w:rsidRPr="00F00002">
        <w:t>or</w:t>
      </w:r>
    </w:p>
    <w:p w:rsidR="0066430C" w:rsidRPr="00F00002" w:rsidRDefault="0066430C" w:rsidP="0066430C">
      <w:pPr>
        <w:pStyle w:val="paragraph"/>
      </w:pPr>
      <w:r w:rsidRPr="00F00002">
        <w:tab/>
        <w:t>(b)</w:t>
      </w:r>
      <w:r w:rsidRPr="00F00002">
        <w:tab/>
        <w:t xml:space="preserve">a superannuation benefit paid from a superannuation interest that supports the new superannuation income stream mentioned in </w:t>
      </w:r>
      <w:r w:rsidR="00F00002">
        <w:t>subparagraph (</w:t>
      </w:r>
      <w:r w:rsidRPr="00F00002">
        <w:t>1)(d)(ii).</w:t>
      </w:r>
    </w:p>
    <w:p w:rsidR="0066430C" w:rsidRPr="00F00002" w:rsidRDefault="0066430C" w:rsidP="0066430C">
      <w:pPr>
        <w:pStyle w:val="BoxHeadItalic"/>
      </w:pPr>
      <w:r w:rsidRPr="00F00002">
        <w:t>Method statement</w:t>
      </w:r>
    </w:p>
    <w:p w:rsidR="0066430C" w:rsidRPr="00F00002" w:rsidRDefault="0066430C" w:rsidP="0066430C">
      <w:pPr>
        <w:pStyle w:val="BoxStep"/>
        <w:spacing w:before="120"/>
      </w:pPr>
      <w:r w:rsidRPr="00F00002">
        <w:t>Step 1.</w:t>
      </w:r>
      <w:r w:rsidRPr="00F00002">
        <w:tab/>
        <w:t>Reduce the amount of the benefit by the extent, if any, to which the benefit is attributable to any of the following:</w:t>
      </w:r>
    </w:p>
    <w:p w:rsidR="0066430C" w:rsidRPr="00F00002" w:rsidRDefault="0066430C" w:rsidP="0066430C">
      <w:pPr>
        <w:pStyle w:val="BoxPara"/>
      </w:pPr>
      <w:r w:rsidRPr="00F00002">
        <w:tab/>
        <w:t>(b)</w:t>
      </w:r>
      <w:r w:rsidRPr="00F00002">
        <w:tab/>
        <w:t>an amount paid on or after the death of the deceased under a policy of insurance on the life of the deceased;</w:t>
      </w:r>
    </w:p>
    <w:p w:rsidR="0066430C" w:rsidRPr="00F00002" w:rsidRDefault="0066430C" w:rsidP="0066430C">
      <w:pPr>
        <w:pStyle w:val="BoxPara"/>
        <w:rPr>
          <w:strike/>
        </w:rPr>
      </w:pPr>
      <w:r w:rsidRPr="00F00002">
        <w:tab/>
        <w:t>(c)</w:t>
      </w:r>
      <w:r w:rsidRPr="00F00002">
        <w:tab/>
        <w:t>an amount arising on or after the death of the deceased from self</w:t>
      </w:r>
      <w:r w:rsidR="00F00002">
        <w:noBreakHyphen/>
      </w:r>
      <w:r w:rsidRPr="00F00002">
        <w:t>insurance.</w:t>
      </w:r>
    </w:p>
    <w:p w:rsidR="0066430C" w:rsidRPr="00F00002" w:rsidRDefault="0066430C" w:rsidP="0066430C">
      <w:pPr>
        <w:pStyle w:val="BoxStep"/>
      </w:pPr>
      <w:r w:rsidRPr="00F00002">
        <w:t>Step 2.</w:t>
      </w:r>
      <w:r w:rsidRPr="00F00002">
        <w:tab/>
        <w:t>The tax free component of the benefit is the amount that represents the same proportion of the amount resulting from step 1 as the tax free component of the relevant superannuation interest bore to the value of the relevant superannuation interest when the original superannuation income stream commenced.</w:t>
      </w:r>
    </w:p>
    <w:p w:rsidR="0066430C" w:rsidRPr="00F00002" w:rsidRDefault="0066430C" w:rsidP="0066430C">
      <w:pPr>
        <w:pStyle w:val="BoxStep"/>
      </w:pPr>
      <w:r w:rsidRPr="00F00002">
        <w:t>Step 3.</w:t>
      </w:r>
      <w:r w:rsidRPr="00F00002">
        <w:tab/>
        <w:t>The taxable component of the benefit is the amount of the benefit less the tax free component of the benefit worked out under step 2.</w:t>
      </w:r>
    </w:p>
    <w:p w:rsidR="0066430C" w:rsidRPr="00F00002" w:rsidRDefault="0066430C" w:rsidP="0066430C">
      <w:pPr>
        <w:pStyle w:val="subsection"/>
      </w:pPr>
      <w:r w:rsidRPr="00F00002">
        <w:tab/>
        <w:t>(3)</w:t>
      </w:r>
      <w:r w:rsidRPr="00F00002">
        <w:tab/>
        <w:t>In this regulation:</w:t>
      </w:r>
    </w:p>
    <w:p w:rsidR="0066430C" w:rsidRPr="00F00002" w:rsidRDefault="0066430C" w:rsidP="0066430C">
      <w:pPr>
        <w:pStyle w:val="Definition"/>
      </w:pPr>
      <w:r w:rsidRPr="00F00002">
        <w:rPr>
          <w:b/>
          <w:i/>
        </w:rPr>
        <w:t>investment earnings</w:t>
      </w:r>
      <w:r w:rsidRPr="00F00002">
        <w:t xml:space="preserve"> includes:</w:t>
      </w:r>
    </w:p>
    <w:p w:rsidR="0066430C" w:rsidRPr="00F00002" w:rsidRDefault="0066430C" w:rsidP="0066430C">
      <w:pPr>
        <w:pStyle w:val="paragraph"/>
      </w:pPr>
      <w:r w:rsidRPr="00F00002">
        <w:tab/>
        <w:t>(a)</w:t>
      </w:r>
      <w:r w:rsidRPr="00F00002">
        <w:tab/>
        <w:t>an amount paid under a policy of insurance on the life of the deceased; or</w:t>
      </w:r>
    </w:p>
    <w:p w:rsidR="0066430C" w:rsidRPr="00F00002" w:rsidRDefault="0066430C" w:rsidP="0066430C">
      <w:pPr>
        <w:pStyle w:val="paragraph"/>
      </w:pPr>
      <w:r w:rsidRPr="00F00002">
        <w:tab/>
        <w:t>(b)</w:t>
      </w:r>
      <w:r w:rsidRPr="00F00002">
        <w:tab/>
        <w:t>an amount arising from self</w:t>
      </w:r>
      <w:r w:rsidR="00F00002">
        <w:noBreakHyphen/>
      </w:r>
      <w:r w:rsidRPr="00F00002">
        <w:t>insurance.</w:t>
      </w:r>
    </w:p>
    <w:p w:rsidR="00BB4501" w:rsidRPr="00F00002" w:rsidRDefault="00D150ED" w:rsidP="00D150ED">
      <w:pPr>
        <w:pStyle w:val="ActHead4"/>
      </w:pPr>
      <w:bookmarkStart w:id="132" w:name="_Toc31109709"/>
      <w:r w:rsidRPr="00A26088">
        <w:rPr>
          <w:rStyle w:val="CharSubdNo"/>
        </w:rPr>
        <w:t>Subdivision</w:t>
      </w:r>
      <w:r w:rsidR="00F00002" w:rsidRPr="00A26088">
        <w:rPr>
          <w:rStyle w:val="CharSubdNo"/>
        </w:rPr>
        <w:t> </w:t>
      </w:r>
      <w:r w:rsidR="00BB4501" w:rsidRPr="00A26088">
        <w:rPr>
          <w:rStyle w:val="CharSubdNo"/>
        </w:rPr>
        <w:t>307</w:t>
      </w:r>
      <w:r w:rsidR="00F00002" w:rsidRPr="00A26088">
        <w:rPr>
          <w:rStyle w:val="CharSubdNo"/>
        </w:rPr>
        <w:noBreakHyphen/>
      </w:r>
      <w:r w:rsidR="00BB4501" w:rsidRPr="00A26088">
        <w:rPr>
          <w:rStyle w:val="CharSubdNo"/>
        </w:rPr>
        <w:t>D</w:t>
      </w:r>
      <w:r w:rsidRPr="00F00002">
        <w:t>—</w:t>
      </w:r>
      <w:r w:rsidR="00BB4501" w:rsidRPr="00A26088">
        <w:rPr>
          <w:rStyle w:val="CharSubdText"/>
        </w:rPr>
        <w:t>Superannuation interests</w:t>
      </w:r>
      <w:bookmarkEnd w:id="132"/>
    </w:p>
    <w:p w:rsidR="004C2376" w:rsidRPr="00F00002" w:rsidRDefault="004C2376" w:rsidP="004C2376">
      <w:pPr>
        <w:pStyle w:val="ActHead5"/>
      </w:pPr>
      <w:bookmarkStart w:id="133" w:name="_Toc31109710"/>
      <w:r w:rsidRPr="00A26088">
        <w:rPr>
          <w:rStyle w:val="CharSectno"/>
        </w:rPr>
        <w:t>307</w:t>
      </w:r>
      <w:r w:rsidR="00F00002" w:rsidRPr="00A26088">
        <w:rPr>
          <w:rStyle w:val="CharSectno"/>
        </w:rPr>
        <w:noBreakHyphen/>
      </w:r>
      <w:r w:rsidRPr="00A26088">
        <w:rPr>
          <w:rStyle w:val="CharSectno"/>
        </w:rPr>
        <w:t>200.01</w:t>
      </w:r>
      <w:r w:rsidRPr="00F00002">
        <w:t xml:space="preserve">  Application of Subdivision</w:t>
      </w:r>
      <w:r w:rsidR="00F00002">
        <w:t> </w:t>
      </w:r>
      <w:r w:rsidRPr="00F00002">
        <w:t>307</w:t>
      </w:r>
      <w:r w:rsidR="00F00002">
        <w:noBreakHyphen/>
      </w:r>
      <w:r w:rsidRPr="00F00002">
        <w:t>D to Subdivisions</w:t>
      </w:r>
      <w:r w:rsidR="00F00002">
        <w:t> </w:t>
      </w:r>
      <w:r w:rsidRPr="00F00002">
        <w:t>291</w:t>
      </w:r>
      <w:r w:rsidR="00F00002">
        <w:noBreakHyphen/>
      </w:r>
      <w:r w:rsidRPr="00F00002">
        <w:t>C and 293</w:t>
      </w:r>
      <w:r w:rsidR="00F00002">
        <w:noBreakHyphen/>
      </w:r>
      <w:r w:rsidRPr="00F00002">
        <w:t>D of the Act</w:t>
      </w:r>
      <w:bookmarkEnd w:id="133"/>
    </w:p>
    <w:p w:rsidR="004C2376" w:rsidRPr="00F00002" w:rsidRDefault="004C2376" w:rsidP="004C2376">
      <w:pPr>
        <w:pStyle w:val="subsection"/>
      </w:pPr>
      <w:r w:rsidRPr="00F00002">
        <w:tab/>
      </w:r>
      <w:r w:rsidRPr="00F00002">
        <w:tab/>
        <w:t>This Subdivision does not apply for the purposes of:</w:t>
      </w:r>
    </w:p>
    <w:p w:rsidR="004C2376" w:rsidRPr="00F00002" w:rsidRDefault="004C2376" w:rsidP="004C2376">
      <w:pPr>
        <w:pStyle w:val="paragraph"/>
      </w:pPr>
      <w:r w:rsidRPr="00F00002">
        <w:tab/>
        <w:t>(a)</w:t>
      </w:r>
      <w:r w:rsidRPr="00F00002">
        <w:tab/>
        <w:t>calculating an amount of contributions under Subdivision</w:t>
      </w:r>
      <w:r w:rsidR="00F00002">
        <w:t> </w:t>
      </w:r>
      <w:r w:rsidRPr="00F00002">
        <w:t>291</w:t>
      </w:r>
      <w:r w:rsidR="00F00002">
        <w:noBreakHyphen/>
      </w:r>
      <w:r w:rsidRPr="00F00002">
        <w:t>C of the Act; or</w:t>
      </w:r>
    </w:p>
    <w:p w:rsidR="004C2376" w:rsidRPr="00F00002" w:rsidRDefault="004C2376" w:rsidP="004C2376">
      <w:pPr>
        <w:pStyle w:val="paragraph"/>
      </w:pPr>
      <w:r w:rsidRPr="00F00002">
        <w:tab/>
        <w:t>(b)</w:t>
      </w:r>
      <w:r w:rsidRPr="00F00002">
        <w:tab/>
        <w:t>calculating low tax contributions under Subdivision</w:t>
      </w:r>
      <w:r w:rsidR="00F00002">
        <w:t> </w:t>
      </w:r>
      <w:r w:rsidRPr="00F00002">
        <w:t>293</w:t>
      </w:r>
      <w:r w:rsidR="00F00002">
        <w:noBreakHyphen/>
      </w:r>
      <w:r w:rsidRPr="00F00002">
        <w:t>D of the Act.</w:t>
      </w:r>
    </w:p>
    <w:p w:rsidR="00BB4501" w:rsidRPr="00F00002" w:rsidRDefault="00BB4501" w:rsidP="00D150ED">
      <w:pPr>
        <w:pStyle w:val="ActHead5"/>
      </w:pPr>
      <w:bookmarkStart w:id="134" w:name="_Toc31109711"/>
      <w:r w:rsidRPr="00A26088">
        <w:rPr>
          <w:rStyle w:val="CharSectno"/>
        </w:rPr>
        <w:t>307</w:t>
      </w:r>
      <w:r w:rsidR="00F00002" w:rsidRPr="00A26088">
        <w:rPr>
          <w:rStyle w:val="CharSectno"/>
        </w:rPr>
        <w:noBreakHyphen/>
      </w:r>
      <w:r w:rsidRPr="00A26088">
        <w:rPr>
          <w:rStyle w:val="CharSectno"/>
        </w:rPr>
        <w:t>200.02</w:t>
      </w:r>
      <w:r w:rsidR="00D150ED" w:rsidRPr="00F00002">
        <w:t xml:space="preserve">  </w:t>
      </w:r>
      <w:r w:rsidRPr="00F00002">
        <w:t>Meaning of superannuation interests</w:t>
      </w:r>
      <w:bookmarkEnd w:id="134"/>
    </w:p>
    <w:p w:rsidR="00BB4501" w:rsidRPr="00F00002" w:rsidRDefault="00BB4501" w:rsidP="00D150ED">
      <w:pPr>
        <w:pStyle w:val="subsection"/>
      </w:pPr>
      <w:r w:rsidRPr="00F00002">
        <w:tab/>
      </w:r>
      <w:r w:rsidRPr="00F00002">
        <w:tab/>
        <w:t>For subsection</w:t>
      </w:r>
      <w:r w:rsidR="00F00002">
        <w:t> </w:t>
      </w:r>
      <w:r w:rsidRPr="00F00002">
        <w:t>307</w:t>
      </w:r>
      <w:r w:rsidR="00F00002">
        <w:noBreakHyphen/>
      </w:r>
      <w:r w:rsidRPr="00F00002">
        <w:t>200(2) of the Act, every amount, benefit or entitlement that a member holds in a self</w:t>
      </w:r>
      <w:r w:rsidR="00F00002">
        <w:noBreakHyphen/>
      </w:r>
      <w:r w:rsidRPr="00F00002">
        <w:t xml:space="preserve">managed superannuation fund is to be treated as 1 superannuation interest in the superannuation fund unless the amount, benefit or </w:t>
      </w:r>
      <w:r w:rsidRPr="00F00002">
        <w:lastRenderedPageBreak/>
        <w:t>entitlement is to be treated as 2 or more superannuation interests in accordance with 1 of the other arrangements in this Subdivision.</w:t>
      </w:r>
    </w:p>
    <w:p w:rsidR="00BB4501" w:rsidRPr="00F00002" w:rsidRDefault="00BB4501" w:rsidP="00D150ED">
      <w:pPr>
        <w:pStyle w:val="ActHead5"/>
      </w:pPr>
      <w:bookmarkStart w:id="135" w:name="_Toc31109712"/>
      <w:r w:rsidRPr="00A26088">
        <w:rPr>
          <w:rStyle w:val="CharSectno"/>
        </w:rPr>
        <w:t>307</w:t>
      </w:r>
      <w:r w:rsidR="00F00002" w:rsidRPr="00A26088">
        <w:rPr>
          <w:rStyle w:val="CharSectno"/>
        </w:rPr>
        <w:noBreakHyphen/>
      </w:r>
      <w:r w:rsidRPr="00A26088">
        <w:rPr>
          <w:rStyle w:val="CharSectno"/>
        </w:rPr>
        <w:t>200.03</w:t>
      </w:r>
      <w:r w:rsidR="00D150ED" w:rsidRPr="00F00002">
        <w:t xml:space="preserve">  </w:t>
      </w:r>
      <w:r w:rsidRPr="00F00002">
        <w:t>Meaning of superannuation interests</w:t>
      </w:r>
      <w:r w:rsidR="00D150ED" w:rsidRPr="00F00002">
        <w:t>—</w:t>
      </w:r>
      <w:r w:rsidRPr="00F00002">
        <w:t>treating a superannuation interest as 2 or more superannuation interests (public sector schemes)</w:t>
      </w:r>
      <w:bookmarkEnd w:id="135"/>
    </w:p>
    <w:p w:rsidR="00BB4501" w:rsidRPr="00F00002" w:rsidRDefault="00BB4501" w:rsidP="00D150ED">
      <w:pPr>
        <w:pStyle w:val="subsection"/>
      </w:pPr>
      <w:r w:rsidRPr="00F00002">
        <w:tab/>
        <w:t>(1)</w:t>
      </w:r>
      <w:r w:rsidRPr="00F00002">
        <w:tab/>
        <w:t>For subsection</w:t>
      </w:r>
      <w:r w:rsidR="00F00002">
        <w:t> </w:t>
      </w:r>
      <w:r w:rsidRPr="00F00002">
        <w:t>307</w:t>
      </w:r>
      <w:r w:rsidR="00F00002">
        <w:noBreakHyphen/>
      </w:r>
      <w:r w:rsidRPr="00F00002">
        <w:t>200(1) of the Act, this regulation explains how to treat a superannuation interest in a public sector superannuation scheme as 2 or more superannuation interests.</w:t>
      </w:r>
    </w:p>
    <w:p w:rsidR="00BB4501" w:rsidRPr="00F00002" w:rsidRDefault="00BB4501" w:rsidP="00D150ED">
      <w:pPr>
        <w:pStyle w:val="subsection"/>
      </w:pPr>
      <w:r w:rsidRPr="00F00002">
        <w:tab/>
        <w:t>(2)</w:t>
      </w:r>
      <w:r w:rsidRPr="00F00002">
        <w:tab/>
        <w:t>The interest is to be treated as 2 interests if:</w:t>
      </w:r>
    </w:p>
    <w:p w:rsidR="00BB4501" w:rsidRPr="00F00002" w:rsidRDefault="00BB4501" w:rsidP="00D150ED">
      <w:pPr>
        <w:pStyle w:val="paragraph"/>
      </w:pPr>
      <w:r w:rsidRPr="00F00002">
        <w:tab/>
        <w:t>(a)</w:t>
      </w:r>
      <w:r w:rsidRPr="00F00002">
        <w:tab/>
        <w:t>the superannuation benefit that is to be paid from the scheme is sourced:</w:t>
      </w:r>
    </w:p>
    <w:p w:rsidR="00BB4501" w:rsidRPr="00F00002" w:rsidRDefault="00BB4501" w:rsidP="00D150ED">
      <w:pPr>
        <w:pStyle w:val="paragraphsub"/>
      </w:pPr>
      <w:r w:rsidRPr="00F00002">
        <w:tab/>
        <w:t>(i)</w:t>
      </w:r>
      <w:r w:rsidRPr="00F00002">
        <w:tab/>
        <w:t>partly from contributions made into the scheme or earnings on those contributions; and</w:t>
      </w:r>
    </w:p>
    <w:p w:rsidR="00BB4501" w:rsidRPr="00F00002" w:rsidRDefault="00BB4501" w:rsidP="00D150ED">
      <w:pPr>
        <w:pStyle w:val="paragraphsub"/>
      </w:pPr>
      <w:r w:rsidRPr="00F00002">
        <w:tab/>
        <w:t>(ii)</w:t>
      </w:r>
      <w:r w:rsidRPr="00F00002">
        <w:tab/>
        <w:t>partly from 1 or more other sources; or</w:t>
      </w:r>
    </w:p>
    <w:p w:rsidR="00BB4501" w:rsidRPr="00F00002" w:rsidRDefault="00BB4501" w:rsidP="00D150ED">
      <w:pPr>
        <w:pStyle w:val="paragraph"/>
      </w:pPr>
      <w:r w:rsidRPr="00F00002">
        <w:tab/>
        <w:t>(b)</w:t>
      </w:r>
      <w:r w:rsidRPr="00F00002">
        <w:tab/>
        <w:t>the superannuation benefits that are to be paid from the scheme are sourced:</w:t>
      </w:r>
    </w:p>
    <w:p w:rsidR="00BB4501" w:rsidRPr="00F00002" w:rsidRDefault="00BB4501" w:rsidP="00D150ED">
      <w:pPr>
        <w:pStyle w:val="paragraphsub"/>
      </w:pPr>
      <w:r w:rsidRPr="00F00002">
        <w:tab/>
        <w:t>(i)</w:t>
      </w:r>
      <w:r w:rsidRPr="00F00002">
        <w:tab/>
        <w:t>partly from contributions made into the scheme or earnings on those contributions; and</w:t>
      </w:r>
    </w:p>
    <w:p w:rsidR="00BB4501" w:rsidRPr="00F00002" w:rsidRDefault="00BB4501" w:rsidP="00D150ED">
      <w:pPr>
        <w:pStyle w:val="paragraphsub"/>
      </w:pPr>
      <w:r w:rsidRPr="00F00002">
        <w:tab/>
        <w:t>(ii)</w:t>
      </w:r>
      <w:r w:rsidRPr="00F00002">
        <w:tab/>
        <w:t>partly from 1 or more other sources.</w:t>
      </w:r>
    </w:p>
    <w:p w:rsidR="00BB4501" w:rsidRPr="00F00002" w:rsidRDefault="00BB4501" w:rsidP="00D150ED">
      <w:pPr>
        <w:pStyle w:val="subsection"/>
      </w:pPr>
      <w:r w:rsidRPr="00F00002">
        <w:tab/>
        <w:t>(3)</w:t>
      </w:r>
      <w:r w:rsidRPr="00F00002">
        <w:tab/>
        <w:t>For subregulation</w:t>
      </w:r>
      <w:r w:rsidR="00135C25" w:rsidRPr="00F00002">
        <w:t> </w:t>
      </w:r>
      <w:r w:rsidRPr="00F00002">
        <w:t>(2), the interests are:</w:t>
      </w:r>
    </w:p>
    <w:p w:rsidR="00BB4501" w:rsidRPr="00F00002" w:rsidRDefault="00BB4501" w:rsidP="00D150ED">
      <w:pPr>
        <w:pStyle w:val="paragraph"/>
      </w:pPr>
      <w:r w:rsidRPr="00F00002">
        <w:tab/>
        <w:t>(a)</w:t>
      </w:r>
      <w:r w:rsidRPr="00F00002">
        <w:tab/>
        <w:t>an interest that consists of the contributions made into the scheme and the earnings on those contributions; and</w:t>
      </w:r>
    </w:p>
    <w:p w:rsidR="00BB4501" w:rsidRPr="00F00002" w:rsidRDefault="00BB4501" w:rsidP="00D150ED">
      <w:pPr>
        <w:pStyle w:val="paragraph"/>
      </w:pPr>
      <w:r w:rsidRPr="00F00002">
        <w:tab/>
        <w:t>(b)</w:t>
      </w:r>
      <w:r w:rsidRPr="00F00002">
        <w:tab/>
        <w:t>an interest that consists of the remainder of the amount sourced from the other source or sources.</w:t>
      </w:r>
    </w:p>
    <w:p w:rsidR="00BB4501" w:rsidRPr="00F00002" w:rsidRDefault="00BB4501" w:rsidP="00D150ED">
      <w:pPr>
        <w:pStyle w:val="subsection"/>
      </w:pPr>
      <w:r w:rsidRPr="00F00002">
        <w:tab/>
        <w:t>(4)</w:t>
      </w:r>
      <w:r w:rsidRPr="00F00002">
        <w:tab/>
        <w:t>For this regulation, an amount specified in a notice given under subsection</w:t>
      </w:r>
      <w:r w:rsidR="00F00002">
        <w:t> </w:t>
      </w:r>
      <w:r w:rsidRPr="00F00002">
        <w:t>307</w:t>
      </w:r>
      <w:r w:rsidR="00F00002">
        <w:noBreakHyphen/>
      </w:r>
      <w:r w:rsidRPr="00F00002">
        <w:t xml:space="preserve">285(1) of the Act by the trustee of a scheme is not included as contributions made into the scheme or earnings on those contributions. </w:t>
      </w:r>
    </w:p>
    <w:p w:rsidR="002B0BDC" w:rsidRPr="00F00002" w:rsidRDefault="002B0BDC" w:rsidP="002B0BDC">
      <w:pPr>
        <w:pStyle w:val="ActHead5"/>
      </w:pPr>
      <w:bookmarkStart w:id="136" w:name="_Toc31109713"/>
      <w:r w:rsidRPr="00A26088">
        <w:rPr>
          <w:rStyle w:val="CharSectno"/>
        </w:rPr>
        <w:t>307</w:t>
      </w:r>
      <w:r w:rsidR="00F00002" w:rsidRPr="00A26088">
        <w:rPr>
          <w:rStyle w:val="CharSectno"/>
        </w:rPr>
        <w:noBreakHyphen/>
      </w:r>
      <w:r w:rsidRPr="00A26088">
        <w:rPr>
          <w:rStyle w:val="CharSectno"/>
        </w:rPr>
        <w:t>200.05</w:t>
      </w:r>
      <w:r w:rsidRPr="00F00002">
        <w:t xml:space="preserve">  Meaning of superannuation interests—treating a superannuation interest as 2 or more superannuation interests (superannuation income streams)</w:t>
      </w:r>
      <w:bookmarkEnd w:id="136"/>
    </w:p>
    <w:p w:rsidR="002B0BDC" w:rsidRPr="00F00002" w:rsidRDefault="002B0BDC" w:rsidP="002B0BDC">
      <w:pPr>
        <w:pStyle w:val="subsection"/>
      </w:pPr>
      <w:r w:rsidRPr="00F00002">
        <w:tab/>
      </w:r>
      <w:r w:rsidRPr="00F00002">
        <w:tab/>
        <w:t>If a superannuation income stream:</w:t>
      </w:r>
    </w:p>
    <w:p w:rsidR="002B0BDC" w:rsidRPr="00F00002" w:rsidRDefault="002B0BDC" w:rsidP="002B0BDC">
      <w:pPr>
        <w:pStyle w:val="paragraph"/>
      </w:pPr>
      <w:r w:rsidRPr="00F00002">
        <w:tab/>
        <w:t>(a)</w:t>
      </w:r>
      <w:r w:rsidRPr="00F00002">
        <w:tab/>
        <w:t>is payable; or</w:t>
      </w:r>
    </w:p>
    <w:p w:rsidR="002B0BDC" w:rsidRPr="00F00002" w:rsidRDefault="002B0BDC" w:rsidP="002B0BDC">
      <w:pPr>
        <w:pStyle w:val="paragraph"/>
      </w:pPr>
      <w:r w:rsidRPr="00F00002">
        <w:tab/>
        <w:t>(b)</w:t>
      </w:r>
      <w:r w:rsidRPr="00F00002">
        <w:tab/>
        <w:t xml:space="preserve">will be payable, and it is a deferred superannuation income stream covered by </w:t>
      </w:r>
      <w:r w:rsidR="00F00002">
        <w:t>paragraph (</w:t>
      </w:r>
      <w:r w:rsidRPr="00F00002">
        <w:t xml:space="preserve">c) of the definition of </w:t>
      </w:r>
      <w:r w:rsidRPr="00F00002">
        <w:rPr>
          <w:b/>
          <w:i/>
        </w:rPr>
        <w:t>superannuation income stream</w:t>
      </w:r>
      <w:r w:rsidRPr="00F00002">
        <w:t xml:space="preserve"> in subregulation</w:t>
      </w:r>
      <w:r w:rsidR="00F00002">
        <w:t> </w:t>
      </w:r>
      <w:r w:rsidRPr="00F00002">
        <w:t>995</w:t>
      </w:r>
      <w:r w:rsidR="00F00002">
        <w:noBreakHyphen/>
      </w:r>
      <w:r w:rsidRPr="00F00002">
        <w:t>1.01(1);</w:t>
      </w:r>
    </w:p>
    <w:p w:rsidR="002B0BDC" w:rsidRPr="00F00002" w:rsidRDefault="002B0BDC" w:rsidP="002B0BDC">
      <w:pPr>
        <w:pStyle w:val="subsection2"/>
      </w:pPr>
      <w:r w:rsidRPr="00F00002">
        <w:t>an amount that supports the superannuation income stream is always to be treated as a separate superannuation interest.</w:t>
      </w:r>
    </w:p>
    <w:p w:rsidR="00BB4501" w:rsidRPr="00F00002" w:rsidRDefault="00BB4501" w:rsidP="00D150ED">
      <w:pPr>
        <w:pStyle w:val="ActHead5"/>
      </w:pPr>
      <w:bookmarkStart w:id="137" w:name="_Toc31109714"/>
      <w:r w:rsidRPr="00A26088">
        <w:rPr>
          <w:rStyle w:val="CharSectno"/>
        </w:rPr>
        <w:lastRenderedPageBreak/>
        <w:t>307</w:t>
      </w:r>
      <w:r w:rsidR="00F00002" w:rsidRPr="00A26088">
        <w:rPr>
          <w:rStyle w:val="CharSectno"/>
        </w:rPr>
        <w:noBreakHyphen/>
      </w:r>
      <w:r w:rsidRPr="00A26088">
        <w:rPr>
          <w:rStyle w:val="CharSectno"/>
        </w:rPr>
        <w:t>205.01</w:t>
      </w:r>
      <w:r w:rsidR="00D150ED" w:rsidRPr="00F00002">
        <w:t xml:space="preserve">  </w:t>
      </w:r>
      <w:r w:rsidRPr="00F00002">
        <w:t>Value of superannuation interest for calculating pre</w:t>
      </w:r>
      <w:r w:rsidR="00F00002">
        <w:noBreakHyphen/>
      </w:r>
      <w:r w:rsidRPr="00F00002">
        <w:t>July 1983 amount for members in the contributions and investment phase</w:t>
      </w:r>
      <w:bookmarkEnd w:id="137"/>
    </w:p>
    <w:p w:rsidR="00BB4501" w:rsidRPr="00F00002" w:rsidRDefault="00BB4501" w:rsidP="00D150ED">
      <w:pPr>
        <w:pStyle w:val="subsection"/>
      </w:pPr>
      <w:r w:rsidRPr="00F00002">
        <w:rPr>
          <w:color w:val="000000"/>
        </w:rPr>
        <w:tab/>
        <w:t>(1)</w:t>
      </w:r>
      <w:r w:rsidRPr="00F00002">
        <w:rPr>
          <w:color w:val="000000"/>
        </w:rPr>
        <w:tab/>
        <w:t>For paragraph</w:t>
      </w:r>
      <w:r w:rsidR="00F00002">
        <w:rPr>
          <w:color w:val="000000"/>
        </w:rPr>
        <w:t> </w:t>
      </w:r>
      <w:r w:rsidR="00465211" w:rsidRPr="00F00002">
        <w:t>307</w:t>
      </w:r>
      <w:r w:rsidR="00F00002">
        <w:noBreakHyphen/>
      </w:r>
      <w:r w:rsidR="00465211" w:rsidRPr="00F00002">
        <w:t>205(1)(a)</w:t>
      </w:r>
      <w:r w:rsidRPr="00F00002">
        <w:rPr>
          <w:color w:val="000000"/>
        </w:rPr>
        <w:t xml:space="preserve"> of the Act, this regulation specifies methods for determining the value of a superannuation interest at a particular time for the purposes of calculating the pre</w:t>
      </w:r>
      <w:r w:rsidR="00F00002">
        <w:rPr>
          <w:color w:val="000000"/>
        </w:rPr>
        <w:noBreakHyphen/>
      </w:r>
      <w:r w:rsidRPr="00F00002">
        <w:rPr>
          <w:color w:val="000000"/>
        </w:rPr>
        <w:t>July 1983 amount of the crystallised segment of a tax</w:t>
      </w:r>
      <w:r w:rsidR="00F00002">
        <w:rPr>
          <w:color w:val="000000"/>
        </w:rPr>
        <w:noBreakHyphen/>
      </w:r>
      <w:r w:rsidRPr="00F00002">
        <w:rPr>
          <w:color w:val="000000"/>
        </w:rPr>
        <w:t>free component under section</w:t>
      </w:r>
      <w:r w:rsidR="00F00002">
        <w:rPr>
          <w:color w:val="000000"/>
        </w:rPr>
        <w:t> </w:t>
      </w:r>
      <w:r w:rsidRPr="00F00002">
        <w:rPr>
          <w:color w:val="000000"/>
        </w:rPr>
        <w:t>307</w:t>
      </w:r>
      <w:r w:rsidR="00F00002">
        <w:rPr>
          <w:color w:val="000000"/>
        </w:rPr>
        <w:noBreakHyphen/>
      </w:r>
      <w:r w:rsidRPr="00F00002">
        <w:rPr>
          <w:color w:val="000000"/>
        </w:rPr>
        <w:t>225 of the Act.</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Calculating the pre</w:t>
      </w:r>
      <w:r w:rsidR="00F00002">
        <w:rPr>
          <w:color w:val="000000"/>
        </w:rPr>
        <w:noBreakHyphen/>
      </w:r>
      <w:r w:rsidR="00BB4501" w:rsidRPr="00F00002">
        <w:rPr>
          <w:color w:val="000000"/>
        </w:rPr>
        <w:t>July 1983 amount of the crystallised segment of the tax</w:t>
      </w:r>
      <w:r w:rsidR="00F00002">
        <w:rPr>
          <w:color w:val="000000"/>
        </w:rPr>
        <w:noBreakHyphen/>
      </w:r>
      <w:r w:rsidR="00BB4501" w:rsidRPr="00F00002">
        <w:rPr>
          <w:color w:val="000000"/>
        </w:rPr>
        <w:t>free component will require the superannuation interest to be valued before 1</w:t>
      </w:r>
      <w:r w:rsidR="00F00002">
        <w:rPr>
          <w:color w:val="000000"/>
        </w:rPr>
        <w:t> </w:t>
      </w:r>
      <w:r w:rsidR="00BB4501" w:rsidRPr="00F00002">
        <w:rPr>
          <w:color w:val="000000"/>
        </w:rPr>
        <w:t>July 2007. This calculation will only be performed for a superannuation interest in the accumulation phase, and only for a superannuation interest in which part of the taxable component is comprised of an element taxed in the fund.</w:t>
      </w:r>
    </w:p>
    <w:p w:rsidR="00BB4501" w:rsidRPr="00F00002" w:rsidRDefault="00BB4501" w:rsidP="00AC4DDD">
      <w:pPr>
        <w:pStyle w:val="SubsectionHead"/>
        <w:spacing w:before="180"/>
      </w:pPr>
      <w:r w:rsidRPr="00F00002">
        <w:t>Defined benefit interest</w:t>
      </w:r>
    </w:p>
    <w:p w:rsidR="00BB4501" w:rsidRPr="00F00002" w:rsidRDefault="00BB4501" w:rsidP="00AC4DDD">
      <w:pPr>
        <w:pStyle w:val="subsection"/>
        <w:spacing w:after="60"/>
        <w:rPr>
          <w:color w:val="000000"/>
        </w:rPr>
      </w:pPr>
      <w:r w:rsidRPr="00F00002">
        <w:rPr>
          <w:color w:val="000000"/>
        </w:rPr>
        <w:tab/>
        <w:t>(2)</w:t>
      </w:r>
      <w:r w:rsidRPr="00F00002">
        <w:rPr>
          <w:color w:val="000000"/>
        </w:rPr>
        <w:tab/>
        <w:t>For a defined benefit interest, the method is as follows.</w:t>
      </w:r>
    </w:p>
    <w:p w:rsidR="006E0220" w:rsidRPr="00F00002" w:rsidRDefault="006E0220" w:rsidP="00FF7630">
      <w:pPr>
        <w:pStyle w:val="subsection"/>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08"/>
        <w:gridCol w:w="7521"/>
      </w:tblGrid>
      <w:tr w:rsidR="00AC4DDD" w:rsidRPr="00F00002" w:rsidTr="000505B9">
        <w:trPr>
          <w:trHeight w:val="1541"/>
        </w:trPr>
        <w:tc>
          <w:tcPr>
            <w:tcW w:w="591" w:type="pct"/>
            <w:tcBorders>
              <w:top w:val="single" w:sz="12" w:space="0" w:color="auto"/>
              <w:bottom w:val="nil"/>
            </w:tcBorders>
            <w:shd w:val="clear" w:color="auto" w:fill="auto"/>
          </w:tcPr>
          <w:p w:rsidR="00AC4DDD" w:rsidRPr="00F00002" w:rsidRDefault="00AC4DDD" w:rsidP="00AC4DDD">
            <w:pPr>
              <w:pStyle w:val="TableHeading"/>
              <w:keepNext w:val="0"/>
            </w:pPr>
            <w:r w:rsidRPr="00F00002">
              <w:t>Step 1</w:t>
            </w:r>
          </w:p>
        </w:tc>
        <w:tc>
          <w:tcPr>
            <w:tcW w:w="4409" w:type="pct"/>
            <w:tcBorders>
              <w:top w:val="single" w:sz="12" w:space="0" w:color="auto"/>
              <w:bottom w:val="nil"/>
            </w:tcBorders>
            <w:shd w:val="clear" w:color="auto" w:fill="auto"/>
          </w:tcPr>
          <w:p w:rsidR="00AC4DDD" w:rsidRPr="00F00002" w:rsidRDefault="00AC4DDD" w:rsidP="00AC4DDD">
            <w:pPr>
              <w:pStyle w:val="Tabletext"/>
              <w:ind w:left="358" w:hanging="358"/>
              <w:rPr>
                <w:color w:val="000000"/>
              </w:rPr>
            </w:pPr>
            <w:r w:rsidRPr="00F00002">
              <w:rPr>
                <w:color w:val="000000"/>
              </w:rPr>
              <w:t>1</w:t>
            </w:r>
            <w:r w:rsidRPr="00F00002">
              <w:rPr>
                <w:color w:val="000000"/>
              </w:rPr>
              <w:tab/>
              <w:t xml:space="preserve">Calculate the value of the </w:t>
            </w:r>
            <w:r w:rsidRPr="00F00002">
              <w:rPr>
                <w:rFonts w:eastAsia="MS Mincho"/>
              </w:rPr>
              <w:t>retirement</w:t>
            </w:r>
            <w:r w:rsidRPr="00F00002">
              <w:rPr>
                <w:color w:val="000000"/>
              </w:rPr>
              <w:t xml:space="preserve"> benefit that would have been payable if the member:</w:t>
            </w:r>
          </w:p>
          <w:p w:rsidR="00AC4DDD" w:rsidRPr="00F00002" w:rsidRDefault="00AC4DDD" w:rsidP="00AC4DDD">
            <w:pPr>
              <w:pStyle w:val="TableAA"/>
              <w:ind w:left="641"/>
            </w:pPr>
            <w:r w:rsidRPr="00F00002">
              <w:t xml:space="preserve">(a) had been </w:t>
            </w:r>
            <w:r w:rsidRPr="00F00002">
              <w:rPr>
                <w:rFonts w:eastAsia="MS Mincho"/>
              </w:rPr>
              <w:t>eligible</w:t>
            </w:r>
            <w:r w:rsidRPr="00F00002">
              <w:t xml:space="preserve"> to retire immediately before 1</w:t>
            </w:r>
            <w:r w:rsidR="00F00002">
              <w:t> </w:t>
            </w:r>
            <w:r w:rsidRPr="00F00002">
              <w:t xml:space="preserve">July 2007; and </w:t>
            </w:r>
          </w:p>
          <w:p w:rsidR="00AC4DDD" w:rsidRPr="00F00002" w:rsidRDefault="00AC4DDD" w:rsidP="00AC4DDD">
            <w:pPr>
              <w:pStyle w:val="TableAA"/>
              <w:ind w:left="641"/>
            </w:pPr>
            <w:r w:rsidRPr="00F00002">
              <w:t xml:space="preserve">(b) had </w:t>
            </w:r>
            <w:r w:rsidRPr="00F00002">
              <w:rPr>
                <w:rFonts w:eastAsia="MS Mincho"/>
              </w:rPr>
              <w:t>elected</w:t>
            </w:r>
            <w:r w:rsidRPr="00F00002">
              <w:t xml:space="preserve"> to do so.</w:t>
            </w:r>
          </w:p>
          <w:p w:rsidR="00AC4DDD" w:rsidRPr="00F00002" w:rsidRDefault="00AC4DDD" w:rsidP="00AC4DDD">
            <w:pPr>
              <w:pStyle w:val="NoteToSubpara"/>
              <w:ind w:left="928" w:hanging="532"/>
            </w:pPr>
            <w:r w:rsidRPr="00F00002">
              <w:t>Note:</w:t>
            </w:r>
            <w:r w:rsidRPr="00F00002">
              <w:tab/>
              <w:t>If a member is no longer in the employment which gave rise to the interest, but the interest is preserved in the scheme, retirement is taken to be the point at which the benefit is payable without penalty to the member.</w:t>
            </w:r>
          </w:p>
        </w:tc>
      </w:tr>
      <w:tr w:rsidR="00AC4DDD" w:rsidRPr="00F00002" w:rsidTr="000505B9">
        <w:trPr>
          <w:trHeight w:val="1885"/>
        </w:trPr>
        <w:tc>
          <w:tcPr>
            <w:tcW w:w="591" w:type="pct"/>
            <w:tcBorders>
              <w:top w:val="nil"/>
              <w:bottom w:val="nil"/>
            </w:tcBorders>
            <w:shd w:val="clear" w:color="auto" w:fill="auto"/>
          </w:tcPr>
          <w:p w:rsidR="00AC4DDD" w:rsidRPr="00F00002" w:rsidRDefault="00AC4DDD" w:rsidP="00774AE2">
            <w:pPr>
              <w:pStyle w:val="TableHeading"/>
              <w:keepNext w:val="0"/>
            </w:pPr>
          </w:p>
        </w:tc>
        <w:tc>
          <w:tcPr>
            <w:tcW w:w="4409" w:type="pct"/>
            <w:tcBorders>
              <w:top w:val="nil"/>
              <w:bottom w:val="nil"/>
            </w:tcBorders>
            <w:shd w:val="clear" w:color="auto" w:fill="auto"/>
          </w:tcPr>
          <w:p w:rsidR="00AC4DDD" w:rsidRPr="00F00002" w:rsidRDefault="00AC4DDD" w:rsidP="00774AE2">
            <w:pPr>
              <w:pStyle w:val="Tabletext"/>
              <w:ind w:left="358" w:hanging="358"/>
              <w:rPr>
                <w:color w:val="000000"/>
              </w:rPr>
            </w:pPr>
            <w:r w:rsidRPr="00F00002">
              <w:rPr>
                <w:color w:val="000000"/>
              </w:rPr>
              <w:t>2</w:t>
            </w:r>
            <w:r w:rsidRPr="00F00002">
              <w:rPr>
                <w:color w:val="000000"/>
              </w:rPr>
              <w:tab/>
              <w:t xml:space="preserve">If the retirement </w:t>
            </w:r>
            <w:r w:rsidRPr="00F00002">
              <w:rPr>
                <w:rFonts w:eastAsia="MS Mincho"/>
              </w:rPr>
              <w:t>benefit</w:t>
            </w:r>
            <w:r w:rsidRPr="00F00002">
              <w:rPr>
                <w:color w:val="000000"/>
              </w:rPr>
              <w:t xml:space="preserve"> depends upon the member’s age, service or salary, or upon the employer’s consent, the value is to be calculated on the assumption that:</w:t>
            </w:r>
          </w:p>
          <w:p w:rsidR="00AC4DDD" w:rsidRPr="00F00002" w:rsidRDefault="00AC4DDD" w:rsidP="00774AE2">
            <w:pPr>
              <w:pStyle w:val="TableAA"/>
              <w:ind w:left="641"/>
            </w:pPr>
            <w:r w:rsidRPr="00F00002">
              <w:t>(a) the member’s service was his or her actual service immediately before 1</w:t>
            </w:r>
            <w:r w:rsidR="00F00002">
              <w:t> </w:t>
            </w:r>
            <w:r w:rsidRPr="00F00002">
              <w:t xml:space="preserve">July 2007; and </w:t>
            </w:r>
          </w:p>
          <w:p w:rsidR="00AC4DDD" w:rsidRPr="00F00002" w:rsidRDefault="00AC4DDD" w:rsidP="00774AE2">
            <w:pPr>
              <w:pStyle w:val="TableAA"/>
              <w:ind w:left="641"/>
            </w:pPr>
            <w:r w:rsidRPr="00F00002">
              <w:t>(b) the member’s age was the greater of:</w:t>
            </w:r>
          </w:p>
          <w:p w:rsidR="00AC4DDD" w:rsidRPr="00F00002" w:rsidRDefault="00AC4DDD" w:rsidP="00774AE2">
            <w:pPr>
              <w:pStyle w:val="Tablei"/>
              <w:tabs>
                <w:tab w:val="clear" w:pos="970"/>
              </w:tabs>
              <w:ind w:left="942"/>
            </w:pPr>
            <w:r w:rsidRPr="00F00002">
              <w:t xml:space="preserve">(i) the minimum age at which a retirement benefit could be taken without requiring the employer’s consent; and </w:t>
            </w:r>
          </w:p>
          <w:p w:rsidR="00AC4DDD" w:rsidRPr="00F00002" w:rsidRDefault="00AC4DDD" w:rsidP="00774AE2">
            <w:pPr>
              <w:pStyle w:val="Tablei"/>
              <w:tabs>
                <w:tab w:val="clear" w:pos="970"/>
              </w:tabs>
              <w:ind w:left="942"/>
              <w:rPr>
                <w:color w:val="000000"/>
              </w:rPr>
            </w:pPr>
            <w:r w:rsidRPr="00F00002">
              <w:rPr>
                <w:color w:val="000000"/>
              </w:rPr>
              <w:t xml:space="preserve">(ii) the </w:t>
            </w:r>
            <w:r w:rsidRPr="00F00002">
              <w:t>member’s</w:t>
            </w:r>
            <w:r w:rsidRPr="00F00002">
              <w:rPr>
                <w:color w:val="000000"/>
              </w:rPr>
              <w:t xml:space="preserve"> actual age immediately before 1</w:t>
            </w:r>
            <w:r w:rsidR="00F00002">
              <w:rPr>
                <w:color w:val="000000"/>
              </w:rPr>
              <w:t> </w:t>
            </w:r>
            <w:r w:rsidRPr="00F00002">
              <w:rPr>
                <w:color w:val="000000"/>
              </w:rPr>
              <w:t>July 2007; and</w:t>
            </w:r>
          </w:p>
          <w:p w:rsidR="00AC4DDD" w:rsidRPr="00F00002" w:rsidRDefault="00AC4DDD" w:rsidP="00774AE2">
            <w:pPr>
              <w:pStyle w:val="TableAA"/>
              <w:ind w:left="641"/>
              <w:rPr>
                <w:color w:val="000000"/>
              </w:rPr>
            </w:pPr>
            <w:r w:rsidRPr="00F00002">
              <w:rPr>
                <w:color w:val="000000"/>
              </w:rPr>
              <w:t xml:space="preserve">(c) the </w:t>
            </w:r>
            <w:r w:rsidRPr="00F00002">
              <w:t>member’s</w:t>
            </w:r>
            <w:r w:rsidRPr="00F00002">
              <w:rPr>
                <w:color w:val="000000"/>
              </w:rPr>
              <w:t xml:space="preserve"> salary was his or her salary for </w:t>
            </w:r>
            <w:r w:rsidRPr="00F00002">
              <w:t>superannuation</w:t>
            </w:r>
            <w:r w:rsidRPr="00F00002">
              <w:rPr>
                <w:color w:val="000000"/>
              </w:rPr>
              <w:t xml:space="preserve"> purposes immediately before 1</w:t>
            </w:r>
            <w:r w:rsidR="00F00002">
              <w:rPr>
                <w:color w:val="000000"/>
              </w:rPr>
              <w:t> </w:t>
            </w:r>
            <w:r w:rsidRPr="00F00002">
              <w:rPr>
                <w:color w:val="000000"/>
              </w:rPr>
              <w:t>July 2007; and</w:t>
            </w:r>
          </w:p>
          <w:p w:rsidR="00AC4DDD" w:rsidRPr="00F00002" w:rsidRDefault="00AC4DDD" w:rsidP="00774AE2">
            <w:pPr>
              <w:pStyle w:val="TableAA"/>
              <w:ind w:left="641"/>
              <w:rPr>
                <w:color w:val="000000"/>
              </w:rPr>
            </w:pPr>
            <w:r w:rsidRPr="00F00002">
              <w:rPr>
                <w:color w:val="000000"/>
              </w:rPr>
              <w:t xml:space="preserve">(d) the </w:t>
            </w:r>
            <w:r w:rsidRPr="00F00002">
              <w:t>employer</w:t>
            </w:r>
            <w:r w:rsidRPr="00F00002">
              <w:rPr>
                <w:color w:val="000000"/>
              </w:rPr>
              <w:t xml:space="preserve"> consents to the retirement.</w:t>
            </w:r>
          </w:p>
        </w:tc>
      </w:tr>
      <w:tr w:rsidR="00AC4DDD" w:rsidRPr="00F00002" w:rsidTr="000505B9">
        <w:trPr>
          <w:cantSplit/>
          <w:trHeight w:val="1485"/>
        </w:trPr>
        <w:tc>
          <w:tcPr>
            <w:tcW w:w="591" w:type="pct"/>
            <w:tcBorders>
              <w:top w:val="nil"/>
              <w:bottom w:val="nil"/>
            </w:tcBorders>
            <w:shd w:val="clear" w:color="auto" w:fill="auto"/>
          </w:tcPr>
          <w:p w:rsidR="00AC4DDD" w:rsidRPr="00F00002" w:rsidRDefault="00AC4DDD" w:rsidP="00774AE2">
            <w:pPr>
              <w:pStyle w:val="TableHeading"/>
              <w:keepNext w:val="0"/>
            </w:pPr>
          </w:p>
        </w:tc>
        <w:tc>
          <w:tcPr>
            <w:tcW w:w="4409" w:type="pct"/>
            <w:tcBorders>
              <w:top w:val="nil"/>
              <w:bottom w:val="nil"/>
            </w:tcBorders>
            <w:shd w:val="clear" w:color="auto" w:fill="auto"/>
          </w:tcPr>
          <w:p w:rsidR="00AC4DDD" w:rsidRPr="00F00002" w:rsidRDefault="00AC4DDD" w:rsidP="00774AE2">
            <w:pPr>
              <w:pStyle w:val="Tabletext"/>
              <w:ind w:left="358" w:hanging="358"/>
              <w:rPr>
                <w:color w:val="000000"/>
              </w:rPr>
            </w:pPr>
            <w:r w:rsidRPr="00F00002">
              <w:rPr>
                <w:color w:val="000000"/>
              </w:rPr>
              <w:t>3</w:t>
            </w:r>
            <w:r w:rsidRPr="00F00002">
              <w:rPr>
                <w:color w:val="000000"/>
              </w:rPr>
              <w:tab/>
              <w:t xml:space="preserve">If part or all of the </w:t>
            </w:r>
            <w:r w:rsidRPr="00F00002">
              <w:rPr>
                <w:rFonts w:eastAsia="MS Mincho"/>
              </w:rPr>
              <w:t>retirement</w:t>
            </w:r>
            <w:r w:rsidRPr="00F00002">
              <w:rPr>
                <w:color w:val="000000"/>
              </w:rPr>
              <w:t xml:space="preserve"> benefit can be paid as a superannuation income stream, then the value of that income stream is determined as the product of:</w:t>
            </w:r>
          </w:p>
          <w:p w:rsidR="00AC4DDD" w:rsidRPr="00F00002" w:rsidRDefault="00AC4DDD" w:rsidP="00774AE2">
            <w:pPr>
              <w:pStyle w:val="TableAA"/>
              <w:ind w:left="641"/>
              <w:rPr>
                <w:color w:val="000000"/>
              </w:rPr>
            </w:pPr>
            <w:r w:rsidRPr="00F00002">
              <w:rPr>
                <w:color w:val="000000"/>
              </w:rPr>
              <w:t xml:space="preserve">(a) the </w:t>
            </w:r>
            <w:r w:rsidRPr="00F00002">
              <w:t>annual</w:t>
            </w:r>
            <w:r w:rsidRPr="00F00002">
              <w:rPr>
                <w:color w:val="000000"/>
              </w:rPr>
              <w:t xml:space="preserve"> rate of the superannuation income stream that would have been </w:t>
            </w:r>
            <w:r w:rsidRPr="00F00002">
              <w:rPr>
                <w:rFonts w:eastAsia="MS Mincho"/>
              </w:rPr>
              <w:t>paid</w:t>
            </w:r>
            <w:r w:rsidRPr="00F00002">
              <w:rPr>
                <w:color w:val="000000"/>
              </w:rPr>
              <w:t xml:space="preserve"> had the maximum proportion of the benefit possible been taken as an income stream; and</w:t>
            </w:r>
          </w:p>
        </w:tc>
      </w:tr>
      <w:tr w:rsidR="00774AE2" w:rsidRPr="00F00002" w:rsidTr="000505B9">
        <w:trPr>
          <w:cantSplit/>
          <w:trHeight w:val="1500"/>
        </w:trPr>
        <w:tc>
          <w:tcPr>
            <w:tcW w:w="591" w:type="pct"/>
            <w:tcBorders>
              <w:top w:val="nil"/>
              <w:bottom w:val="nil"/>
            </w:tcBorders>
            <w:shd w:val="clear" w:color="auto" w:fill="auto"/>
          </w:tcPr>
          <w:p w:rsidR="00774AE2" w:rsidRPr="00F00002" w:rsidRDefault="00774AE2" w:rsidP="00774AE2">
            <w:pPr>
              <w:pStyle w:val="TableHeading"/>
              <w:keepLines/>
            </w:pPr>
          </w:p>
        </w:tc>
        <w:tc>
          <w:tcPr>
            <w:tcW w:w="4409" w:type="pct"/>
            <w:tcBorders>
              <w:top w:val="nil"/>
              <w:bottom w:val="nil"/>
            </w:tcBorders>
            <w:shd w:val="clear" w:color="auto" w:fill="auto"/>
          </w:tcPr>
          <w:p w:rsidR="00774AE2" w:rsidRPr="00F00002" w:rsidRDefault="00774AE2" w:rsidP="00774AE2">
            <w:pPr>
              <w:pStyle w:val="TableAA"/>
              <w:keepNext/>
              <w:keepLines/>
              <w:ind w:left="641"/>
              <w:rPr>
                <w:color w:val="000000"/>
              </w:rPr>
            </w:pPr>
            <w:r w:rsidRPr="00F00002">
              <w:rPr>
                <w:color w:val="000000"/>
              </w:rPr>
              <w:t xml:space="preserve">(b) the </w:t>
            </w:r>
            <w:r w:rsidRPr="00F00002">
              <w:t>applicable</w:t>
            </w:r>
            <w:r w:rsidRPr="00F00002">
              <w:rPr>
                <w:color w:val="000000"/>
              </w:rPr>
              <w:t xml:space="preserve"> </w:t>
            </w:r>
            <w:r w:rsidRPr="00F00002">
              <w:rPr>
                <w:rFonts w:eastAsia="MS Mincho"/>
              </w:rPr>
              <w:t>factor</w:t>
            </w:r>
            <w:r w:rsidRPr="00F00002">
              <w:rPr>
                <w:color w:val="000000"/>
              </w:rPr>
              <w:t xml:space="preserve"> set out in clause</w:t>
            </w:r>
            <w:r w:rsidR="00F00002">
              <w:rPr>
                <w:color w:val="000000"/>
              </w:rPr>
              <w:t> </w:t>
            </w:r>
            <w:r w:rsidRPr="00F00002">
              <w:rPr>
                <w:color w:val="000000"/>
              </w:rPr>
              <w:t>1 of Schedule</w:t>
            </w:r>
            <w:r w:rsidR="00F00002">
              <w:rPr>
                <w:color w:val="000000"/>
              </w:rPr>
              <w:t> </w:t>
            </w:r>
            <w:r w:rsidRPr="00F00002">
              <w:rPr>
                <w:color w:val="000000"/>
              </w:rPr>
              <w:t>1B.</w:t>
            </w:r>
          </w:p>
          <w:p w:rsidR="00774AE2" w:rsidRPr="00F00002" w:rsidRDefault="00774AE2" w:rsidP="00774AE2">
            <w:pPr>
              <w:pStyle w:val="Tabletext"/>
              <w:keepNext/>
              <w:keepLines/>
              <w:ind w:left="720" w:firstLine="6"/>
              <w:rPr>
                <w:color w:val="000000"/>
              </w:rPr>
            </w:pPr>
            <w:r w:rsidRPr="00F00002">
              <w:rPr>
                <w:color w:val="000000"/>
              </w:rPr>
              <w:t xml:space="preserve">The total value of the retirement benefit is the sum of the value of the </w:t>
            </w:r>
            <w:r w:rsidRPr="00F00002">
              <w:rPr>
                <w:rFonts w:eastAsia="MS Mincho"/>
              </w:rPr>
              <w:t>superannuation</w:t>
            </w:r>
            <w:r w:rsidRPr="00F00002">
              <w:rPr>
                <w:color w:val="000000"/>
              </w:rPr>
              <w:t xml:space="preserve"> income stream so determined and any lump sum that would have been payable under the assumptions described above had the member taken the maximum possible proportion of his or her benefit as an income stream.</w:t>
            </w:r>
          </w:p>
        </w:tc>
      </w:tr>
      <w:tr w:rsidR="00AC4DDD" w:rsidRPr="00F00002" w:rsidTr="000505B9">
        <w:trPr>
          <w:trHeight w:val="44"/>
        </w:trPr>
        <w:tc>
          <w:tcPr>
            <w:tcW w:w="591" w:type="pct"/>
            <w:tcBorders>
              <w:top w:val="nil"/>
              <w:bottom w:val="single" w:sz="4" w:space="0" w:color="auto"/>
            </w:tcBorders>
            <w:shd w:val="clear" w:color="auto" w:fill="auto"/>
          </w:tcPr>
          <w:p w:rsidR="00AC4DDD" w:rsidRPr="00F00002" w:rsidRDefault="00AC4DDD" w:rsidP="00AC4DDD">
            <w:pPr>
              <w:pStyle w:val="TableHeading"/>
              <w:keepNext w:val="0"/>
            </w:pPr>
          </w:p>
        </w:tc>
        <w:tc>
          <w:tcPr>
            <w:tcW w:w="4409" w:type="pct"/>
            <w:tcBorders>
              <w:top w:val="nil"/>
              <w:bottom w:val="single" w:sz="4" w:space="0" w:color="auto"/>
            </w:tcBorders>
            <w:shd w:val="clear" w:color="auto" w:fill="auto"/>
          </w:tcPr>
          <w:p w:rsidR="00AC4DDD" w:rsidRPr="00F00002" w:rsidRDefault="00AC4DDD" w:rsidP="00AC4DDD">
            <w:pPr>
              <w:pStyle w:val="Tabletext"/>
              <w:ind w:left="358" w:hanging="358"/>
              <w:rPr>
                <w:color w:val="000000"/>
              </w:rPr>
            </w:pPr>
            <w:r w:rsidRPr="00F00002">
              <w:rPr>
                <w:color w:val="000000"/>
              </w:rPr>
              <w:t>4</w:t>
            </w:r>
            <w:r w:rsidRPr="00F00002">
              <w:rPr>
                <w:color w:val="000000"/>
              </w:rPr>
              <w:tab/>
              <w:t xml:space="preserve">If the superannuation </w:t>
            </w:r>
            <w:r w:rsidRPr="00F00002">
              <w:rPr>
                <w:rFonts w:eastAsia="MS Mincho"/>
              </w:rPr>
              <w:t>benefit</w:t>
            </w:r>
            <w:r w:rsidRPr="00F00002">
              <w:rPr>
                <w:color w:val="000000"/>
              </w:rPr>
              <w:t xml:space="preserve"> can only be paid as a lump sum then the value of the retirement benefit is the amount of that lump sum.</w:t>
            </w:r>
          </w:p>
        </w:tc>
      </w:tr>
      <w:tr w:rsidR="00BB4501" w:rsidRPr="00F00002" w:rsidTr="000505B9">
        <w:trPr>
          <w:cantSplit/>
        </w:trPr>
        <w:tc>
          <w:tcPr>
            <w:tcW w:w="591" w:type="pct"/>
            <w:tcBorders>
              <w:top w:val="single" w:sz="4" w:space="0" w:color="auto"/>
              <w:bottom w:val="single" w:sz="4" w:space="0" w:color="auto"/>
            </w:tcBorders>
            <w:shd w:val="clear" w:color="auto" w:fill="auto"/>
          </w:tcPr>
          <w:p w:rsidR="00BB4501" w:rsidRPr="00F00002" w:rsidRDefault="00BB4501" w:rsidP="008C7AD5">
            <w:pPr>
              <w:pStyle w:val="TableHeading"/>
              <w:keepNext w:val="0"/>
            </w:pPr>
            <w:r w:rsidRPr="00F00002">
              <w:t>Step 2</w:t>
            </w:r>
          </w:p>
        </w:tc>
        <w:tc>
          <w:tcPr>
            <w:tcW w:w="4409" w:type="pct"/>
            <w:tcBorders>
              <w:top w:val="single" w:sz="4" w:space="0" w:color="auto"/>
              <w:bottom w:val="single" w:sz="4" w:space="0" w:color="auto"/>
            </w:tcBorders>
            <w:shd w:val="clear" w:color="auto" w:fill="auto"/>
          </w:tcPr>
          <w:p w:rsidR="00BB4501" w:rsidRPr="00F00002" w:rsidRDefault="00BB4501" w:rsidP="007450AF">
            <w:pPr>
              <w:pStyle w:val="Tabletext"/>
              <w:rPr>
                <w:color w:val="000000"/>
              </w:rPr>
            </w:pPr>
            <w:r w:rsidRPr="00F00002">
              <w:rPr>
                <w:color w:val="000000"/>
              </w:rPr>
              <w:t>If a superannuation lump sum benefit, including a roll</w:t>
            </w:r>
            <w:r w:rsidR="00F00002">
              <w:rPr>
                <w:color w:val="000000"/>
              </w:rPr>
              <w:noBreakHyphen/>
            </w:r>
            <w:r w:rsidRPr="00F00002">
              <w:rPr>
                <w:color w:val="000000"/>
              </w:rPr>
              <w:t>over superannuation benefit, would have been payable had the member resigned, or withdrawn his or her benefit, immediately before 1</w:t>
            </w:r>
            <w:r w:rsidR="00F00002">
              <w:rPr>
                <w:color w:val="000000"/>
              </w:rPr>
              <w:t> </w:t>
            </w:r>
            <w:r w:rsidRPr="00F00002">
              <w:rPr>
                <w:color w:val="000000"/>
              </w:rPr>
              <w:t>July 2007, calculate the amount of that benefit.</w:t>
            </w:r>
          </w:p>
        </w:tc>
      </w:tr>
      <w:tr w:rsidR="00BB4501" w:rsidRPr="00F00002" w:rsidTr="000505B9">
        <w:tc>
          <w:tcPr>
            <w:tcW w:w="591" w:type="pct"/>
            <w:tcBorders>
              <w:top w:val="single" w:sz="4" w:space="0" w:color="auto"/>
              <w:bottom w:val="single" w:sz="12" w:space="0" w:color="auto"/>
            </w:tcBorders>
            <w:shd w:val="clear" w:color="auto" w:fill="auto"/>
          </w:tcPr>
          <w:p w:rsidR="00BB4501" w:rsidRPr="00F00002" w:rsidRDefault="00BB4501" w:rsidP="008C7AD5">
            <w:pPr>
              <w:pStyle w:val="TableHeading"/>
              <w:keepNext w:val="0"/>
            </w:pPr>
            <w:r w:rsidRPr="00F00002">
              <w:t>Step 3</w:t>
            </w:r>
          </w:p>
        </w:tc>
        <w:tc>
          <w:tcPr>
            <w:tcW w:w="4409" w:type="pct"/>
            <w:tcBorders>
              <w:top w:val="single" w:sz="4" w:space="0" w:color="auto"/>
              <w:bottom w:val="single" w:sz="12" w:space="0" w:color="auto"/>
            </w:tcBorders>
            <w:shd w:val="clear" w:color="auto" w:fill="auto"/>
          </w:tcPr>
          <w:p w:rsidR="00BB4501" w:rsidRPr="00F00002" w:rsidRDefault="00BB4501" w:rsidP="00AC4DDD">
            <w:pPr>
              <w:pStyle w:val="Tabletext"/>
              <w:ind w:left="358" w:hanging="358"/>
              <w:rPr>
                <w:color w:val="000000"/>
              </w:rPr>
            </w:pPr>
            <w:r w:rsidRPr="00F00002">
              <w:rPr>
                <w:color w:val="000000"/>
              </w:rPr>
              <w:t>1</w:t>
            </w:r>
            <w:r w:rsidRPr="00F00002">
              <w:rPr>
                <w:color w:val="000000"/>
              </w:rPr>
              <w:tab/>
              <w:t xml:space="preserve">The value of the superannuation interest is the greater of the values worked out using steps 1 and 2. </w:t>
            </w:r>
          </w:p>
          <w:p w:rsidR="00BB4501" w:rsidRPr="00F00002" w:rsidRDefault="00BB4501" w:rsidP="00AC4DDD">
            <w:pPr>
              <w:pStyle w:val="Tabletext"/>
              <w:ind w:left="358" w:hanging="358"/>
              <w:rPr>
                <w:color w:val="000000"/>
              </w:rPr>
            </w:pPr>
            <w:r w:rsidRPr="00F00002">
              <w:rPr>
                <w:color w:val="000000"/>
              </w:rPr>
              <w:t>2</w:t>
            </w:r>
            <w:r w:rsidRPr="00F00002">
              <w:rPr>
                <w:color w:val="000000"/>
              </w:rPr>
              <w:tab/>
              <w:t>If no value can be determined under step 2, the value of the superannuation interest is the value determined under step 1.</w:t>
            </w:r>
          </w:p>
        </w:tc>
      </w:tr>
    </w:tbl>
    <w:p w:rsidR="00BB4501" w:rsidRPr="00F00002" w:rsidRDefault="00BB4501" w:rsidP="00D150ED">
      <w:pPr>
        <w:pStyle w:val="SubsectionHead"/>
      </w:pPr>
      <w:r w:rsidRPr="00F00002">
        <w:t>Interest other than defined benefit interest</w:t>
      </w:r>
    </w:p>
    <w:p w:rsidR="00BB4501" w:rsidRPr="00F00002" w:rsidRDefault="00BB4501" w:rsidP="00D150ED">
      <w:pPr>
        <w:pStyle w:val="subsection"/>
      </w:pPr>
      <w:r w:rsidRPr="00F00002">
        <w:rPr>
          <w:color w:val="000000"/>
        </w:rPr>
        <w:tab/>
        <w:t>(3)</w:t>
      </w:r>
      <w:r w:rsidRPr="00F00002">
        <w:rPr>
          <w:color w:val="000000"/>
        </w:rPr>
        <w:tab/>
        <w:t>For a superannuation interest that is not a defined benefit interest, the method is as follows.</w:t>
      </w:r>
    </w:p>
    <w:p w:rsidR="00D150ED" w:rsidRPr="00F00002" w:rsidRDefault="00D150ED" w:rsidP="00D150E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0"/>
        <w:gridCol w:w="7519"/>
      </w:tblGrid>
      <w:tr w:rsidR="00BB4501" w:rsidRPr="00F00002" w:rsidTr="000505B9">
        <w:tc>
          <w:tcPr>
            <w:tcW w:w="592" w:type="pct"/>
            <w:tcBorders>
              <w:top w:val="single" w:sz="12" w:space="0" w:color="auto"/>
              <w:bottom w:val="single" w:sz="4" w:space="0" w:color="auto"/>
            </w:tcBorders>
            <w:shd w:val="clear" w:color="auto" w:fill="auto"/>
          </w:tcPr>
          <w:p w:rsidR="00BB4501" w:rsidRPr="00F00002" w:rsidRDefault="00BB4501" w:rsidP="008C7AD5">
            <w:pPr>
              <w:pStyle w:val="TableHeading"/>
              <w:keepNext w:val="0"/>
            </w:pPr>
            <w:r w:rsidRPr="00F00002">
              <w:t>Step 1</w:t>
            </w:r>
          </w:p>
        </w:tc>
        <w:tc>
          <w:tcPr>
            <w:tcW w:w="4408" w:type="pct"/>
            <w:tcBorders>
              <w:top w:val="single" w:sz="12" w:space="0" w:color="auto"/>
              <w:bottom w:val="single" w:sz="4" w:space="0" w:color="auto"/>
            </w:tcBorders>
            <w:shd w:val="clear" w:color="auto" w:fill="auto"/>
          </w:tcPr>
          <w:p w:rsidR="00BB4501" w:rsidRPr="00F00002" w:rsidRDefault="00BB4501" w:rsidP="007450AF">
            <w:pPr>
              <w:pStyle w:val="Tabletext"/>
              <w:rPr>
                <w:color w:val="000000"/>
              </w:rPr>
            </w:pPr>
            <w:r w:rsidRPr="00F00002">
              <w:rPr>
                <w:color w:val="000000"/>
              </w:rPr>
              <w:t>Assume that the member was eligible to retire immediately before</w:t>
            </w:r>
            <w:r w:rsidR="00672E95" w:rsidRPr="00F00002">
              <w:rPr>
                <w:color w:val="000000"/>
              </w:rPr>
              <w:t xml:space="preserve"> </w:t>
            </w:r>
            <w:r w:rsidRPr="00F00002">
              <w:rPr>
                <w:color w:val="000000"/>
              </w:rPr>
              <w:t>1</w:t>
            </w:r>
            <w:r w:rsidR="00F00002">
              <w:rPr>
                <w:color w:val="000000"/>
              </w:rPr>
              <w:t> </w:t>
            </w:r>
            <w:r w:rsidRPr="00F00002">
              <w:rPr>
                <w:color w:val="000000"/>
              </w:rPr>
              <w:t>July 2007, and work out the total amount of all the superannuation lump sums that could be payable from the interest at that time.</w:t>
            </w:r>
          </w:p>
        </w:tc>
      </w:tr>
      <w:tr w:rsidR="00BB4501" w:rsidRPr="00F00002" w:rsidTr="000505B9">
        <w:tc>
          <w:tcPr>
            <w:tcW w:w="592" w:type="pct"/>
            <w:tcBorders>
              <w:top w:val="single" w:sz="4" w:space="0" w:color="auto"/>
              <w:bottom w:val="single" w:sz="12" w:space="0" w:color="auto"/>
            </w:tcBorders>
            <w:shd w:val="clear" w:color="auto" w:fill="auto"/>
          </w:tcPr>
          <w:p w:rsidR="00BB4501" w:rsidRPr="00F00002" w:rsidRDefault="00BB4501" w:rsidP="008C7AD5">
            <w:pPr>
              <w:pStyle w:val="TableHeading"/>
              <w:keepNext w:val="0"/>
            </w:pPr>
            <w:r w:rsidRPr="00F00002">
              <w:t>Step 2</w:t>
            </w:r>
          </w:p>
        </w:tc>
        <w:tc>
          <w:tcPr>
            <w:tcW w:w="4408" w:type="pct"/>
            <w:tcBorders>
              <w:top w:val="single" w:sz="4" w:space="0" w:color="auto"/>
              <w:bottom w:val="single" w:sz="12" w:space="0" w:color="auto"/>
            </w:tcBorders>
            <w:shd w:val="clear" w:color="auto" w:fill="auto"/>
          </w:tcPr>
          <w:p w:rsidR="00BB4501" w:rsidRPr="00F00002" w:rsidRDefault="00BB4501" w:rsidP="007450AF">
            <w:pPr>
              <w:pStyle w:val="Tabletext"/>
              <w:rPr>
                <w:color w:val="000000"/>
              </w:rPr>
            </w:pPr>
            <w:r w:rsidRPr="00F00002">
              <w:rPr>
                <w:color w:val="000000"/>
              </w:rPr>
              <w:t>If the total amount worked out under step 1 is less than the total amount actually or notionally allocated to the member (other than because of superannuation contributions surcharge liabilities, insurance costs or other fees, taxes and charges), the value of the interest is the amount actually or notionally allocated to the member.</w:t>
            </w:r>
          </w:p>
        </w:tc>
      </w:tr>
    </w:tbl>
    <w:p w:rsidR="00BB4501" w:rsidRPr="00F00002" w:rsidRDefault="00BB4501" w:rsidP="00D150ED">
      <w:pPr>
        <w:pStyle w:val="ActHead5"/>
      </w:pPr>
      <w:bookmarkStart w:id="138" w:name="_Toc31109715"/>
      <w:r w:rsidRPr="00A26088">
        <w:rPr>
          <w:rStyle w:val="CharSectno"/>
        </w:rPr>
        <w:t>307</w:t>
      </w:r>
      <w:r w:rsidR="00F00002" w:rsidRPr="00A26088">
        <w:rPr>
          <w:rStyle w:val="CharSectno"/>
        </w:rPr>
        <w:noBreakHyphen/>
      </w:r>
      <w:r w:rsidRPr="00A26088">
        <w:rPr>
          <w:rStyle w:val="CharSectno"/>
        </w:rPr>
        <w:t>205.02</w:t>
      </w:r>
      <w:r w:rsidR="00D150ED" w:rsidRPr="00F00002">
        <w:t xml:space="preserve">  </w:t>
      </w:r>
      <w:r w:rsidRPr="00F00002">
        <w:t>Value of superannuation interest</w:t>
      </w:r>
      <w:bookmarkEnd w:id="138"/>
    </w:p>
    <w:p w:rsidR="00BB4501" w:rsidRPr="00F00002" w:rsidRDefault="00BB4501" w:rsidP="00D150ED">
      <w:pPr>
        <w:pStyle w:val="subsection"/>
      </w:pPr>
      <w:r w:rsidRPr="00F00002">
        <w:rPr>
          <w:color w:val="000000"/>
        </w:rPr>
        <w:tab/>
        <w:t>(1)</w:t>
      </w:r>
      <w:r w:rsidRPr="00F00002">
        <w:rPr>
          <w:color w:val="000000"/>
        </w:rPr>
        <w:tab/>
      </w:r>
      <w:r w:rsidRPr="00F00002">
        <w:t>For paragraph</w:t>
      </w:r>
      <w:r w:rsidR="00F00002">
        <w:t> </w:t>
      </w:r>
      <w:r w:rsidR="00465211" w:rsidRPr="00F00002">
        <w:t>307</w:t>
      </w:r>
      <w:r w:rsidR="00F00002">
        <w:noBreakHyphen/>
      </w:r>
      <w:r w:rsidR="00465211" w:rsidRPr="00F00002">
        <w:t>205(1)(a)</w:t>
      </w:r>
      <w:r w:rsidRPr="00F00002">
        <w:t xml:space="preserve"> of the Act, this regulation:</w:t>
      </w:r>
    </w:p>
    <w:p w:rsidR="00BB4501" w:rsidRPr="00F00002" w:rsidRDefault="00BB4501" w:rsidP="00D150ED">
      <w:pPr>
        <w:pStyle w:val="paragraph"/>
      </w:pPr>
      <w:r w:rsidRPr="00F00002">
        <w:tab/>
        <w:t>(a)</w:t>
      </w:r>
      <w:r w:rsidRPr="00F00002">
        <w:tab/>
        <w:t>applies to a superannuation income stream or a superannuation annuity, other than:</w:t>
      </w:r>
    </w:p>
    <w:p w:rsidR="00A41F41" w:rsidRPr="00F00002" w:rsidRDefault="00A41F41" w:rsidP="00A41F41">
      <w:pPr>
        <w:pStyle w:val="paragraphsub"/>
        <w:rPr>
          <w:rFonts w:cs="Arial"/>
          <w:noProof/>
        </w:rPr>
      </w:pPr>
      <w:r w:rsidRPr="00F00002">
        <w:tab/>
        <w:t>(i)</w:t>
      </w:r>
      <w:r w:rsidRPr="00F00002">
        <w:tab/>
        <w:t>a superannuation income stream that is a pension mentioned in subparagraph</w:t>
      </w:r>
      <w:r w:rsidR="00F00002">
        <w:t> </w:t>
      </w:r>
      <w:r w:rsidRPr="00F00002">
        <w:t>295</w:t>
      </w:r>
      <w:r w:rsidR="00F00002">
        <w:noBreakHyphen/>
      </w:r>
      <w:r w:rsidRPr="00F00002">
        <w:t>385.01(a)(i), (ii) or (iii); or</w:t>
      </w:r>
    </w:p>
    <w:p w:rsidR="00BB4501" w:rsidRPr="00F00002" w:rsidRDefault="00BB4501" w:rsidP="00D150ED">
      <w:pPr>
        <w:pStyle w:val="paragraphsub"/>
      </w:pPr>
      <w:r w:rsidRPr="00F00002">
        <w:tab/>
        <w:t>(ii)</w:t>
      </w:r>
      <w:r w:rsidRPr="00F00002">
        <w:tab/>
        <w:t>a superannuation income stream or a superannuation annuity for which the rules providing for the income stream or annuity are based on:</w:t>
      </w:r>
    </w:p>
    <w:p w:rsidR="00BB4501" w:rsidRPr="00F00002" w:rsidRDefault="00BB4501" w:rsidP="00D150ED">
      <w:pPr>
        <w:pStyle w:val="paragraphsub-sub"/>
      </w:pPr>
      <w:r w:rsidRPr="00F00002">
        <w:tab/>
        <w:t>(A)</w:t>
      </w:r>
      <w:r w:rsidRPr="00F00002">
        <w:tab/>
        <w:t>an identifiable lump sum amount; or</w:t>
      </w:r>
    </w:p>
    <w:p w:rsidR="00BB4501" w:rsidRPr="00F00002" w:rsidRDefault="00BB4501" w:rsidP="00D150ED">
      <w:pPr>
        <w:pStyle w:val="paragraphsub-sub"/>
      </w:pPr>
      <w:r w:rsidRPr="00F00002">
        <w:tab/>
        <w:t>(B)</w:t>
      </w:r>
      <w:r w:rsidRPr="00F00002">
        <w:tab/>
        <w:t>the amount available in the member’s account; or</w:t>
      </w:r>
    </w:p>
    <w:p w:rsidR="00BB4501" w:rsidRPr="00F00002" w:rsidRDefault="00BB4501" w:rsidP="00D150ED">
      <w:pPr>
        <w:pStyle w:val="paragraphsub"/>
      </w:pPr>
      <w:r w:rsidRPr="00F00002">
        <w:tab/>
        <w:t>(iii)</w:t>
      </w:r>
      <w:r w:rsidRPr="00F00002">
        <w:tab/>
        <w:t>a superannuation income stream that is supported by a superannuation interest that can be valued under paragraph</w:t>
      </w:r>
      <w:r w:rsidR="00F00002">
        <w:t> </w:t>
      </w:r>
      <w:r w:rsidR="002B0BDC" w:rsidRPr="00F00002">
        <w:rPr>
          <w:color w:val="000000" w:themeColor="text1"/>
        </w:rPr>
        <w:t>307</w:t>
      </w:r>
      <w:r w:rsidR="00F00002">
        <w:rPr>
          <w:color w:val="000000" w:themeColor="text1"/>
        </w:rPr>
        <w:noBreakHyphen/>
      </w:r>
      <w:r w:rsidR="002B0BDC" w:rsidRPr="00F00002">
        <w:rPr>
          <w:color w:val="000000" w:themeColor="text1"/>
        </w:rPr>
        <w:t>205.02B(a); or</w:t>
      </w:r>
    </w:p>
    <w:p w:rsidR="002B0BDC" w:rsidRPr="00F00002" w:rsidRDefault="002B0BDC" w:rsidP="002B0BDC">
      <w:pPr>
        <w:pStyle w:val="paragraphsub"/>
        <w:rPr>
          <w:color w:val="000000" w:themeColor="text1"/>
        </w:rPr>
      </w:pPr>
      <w:r w:rsidRPr="00F00002">
        <w:lastRenderedPageBreak/>
        <w:tab/>
        <w:t>(iv)</w:t>
      </w:r>
      <w:r w:rsidRPr="00F00002">
        <w:tab/>
        <w:t xml:space="preserve">a superannuation income stream that is supported by a superannuation interest that can be valued under </w:t>
      </w:r>
      <w:r w:rsidRPr="00F00002">
        <w:rPr>
          <w:color w:val="000000" w:themeColor="text1"/>
        </w:rPr>
        <w:t>regulation</w:t>
      </w:r>
      <w:r w:rsidR="00F00002">
        <w:rPr>
          <w:color w:val="000000" w:themeColor="text1"/>
        </w:rPr>
        <w:t> </w:t>
      </w:r>
      <w:r w:rsidRPr="00F00002">
        <w:rPr>
          <w:color w:val="000000" w:themeColor="text1"/>
        </w:rPr>
        <w:t>307</w:t>
      </w:r>
      <w:r w:rsidR="00F00002">
        <w:rPr>
          <w:color w:val="000000" w:themeColor="text1"/>
        </w:rPr>
        <w:noBreakHyphen/>
      </w:r>
      <w:r w:rsidRPr="00F00002">
        <w:rPr>
          <w:color w:val="000000" w:themeColor="text1"/>
        </w:rPr>
        <w:t>205.02C, 307</w:t>
      </w:r>
      <w:r w:rsidR="00F00002">
        <w:rPr>
          <w:color w:val="000000" w:themeColor="text1"/>
        </w:rPr>
        <w:noBreakHyphen/>
      </w:r>
      <w:r w:rsidRPr="00F00002">
        <w:rPr>
          <w:color w:val="000000" w:themeColor="text1"/>
        </w:rPr>
        <w:t xml:space="preserve">205.02D or </w:t>
      </w:r>
      <w:r w:rsidRPr="00F00002">
        <w:t>307</w:t>
      </w:r>
      <w:r w:rsidR="00F00002">
        <w:noBreakHyphen/>
      </w:r>
      <w:r w:rsidRPr="00F00002">
        <w:t>205.02E</w:t>
      </w:r>
      <w:r w:rsidRPr="00F00002">
        <w:rPr>
          <w:color w:val="000000" w:themeColor="text1"/>
        </w:rPr>
        <w:t>; and</w:t>
      </w:r>
    </w:p>
    <w:p w:rsidR="00BB4501" w:rsidRPr="00F00002" w:rsidRDefault="00BB4501" w:rsidP="00D150ED">
      <w:pPr>
        <w:pStyle w:val="paragraph"/>
      </w:pPr>
      <w:r w:rsidRPr="00F00002">
        <w:tab/>
        <w:t>(b)</w:t>
      </w:r>
      <w:r w:rsidRPr="00F00002">
        <w:tab/>
        <w:t>specifies a method for determining the value of a superannuation interest at a particular time if the interest supports a superannuation income stream to which this regulation applies.</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The proportioning rule requires the tax</w:t>
      </w:r>
      <w:r w:rsidR="00F00002">
        <w:rPr>
          <w:color w:val="000000"/>
        </w:rPr>
        <w:noBreakHyphen/>
      </w:r>
      <w:r w:rsidR="00BB4501" w:rsidRPr="00F00002">
        <w:rPr>
          <w:color w:val="000000"/>
        </w:rPr>
        <w:t>free and taxable components of superannuation to be paid out as benefits in the same proportion as they make up of the underlying interest. A value of a superannuation interest is required to ensure that the proportioning rule operates appropriately.</w:t>
      </w:r>
    </w:p>
    <w:p w:rsidR="00BB4501" w:rsidRPr="00F00002" w:rsidRDefault="00BB4501" w:rsidP="00D150ED">
      <w:pPr>
        <w:pStyle w:val="subsection"/>
      </w:pPr>
      <w:r w:rsidRPr="00F00002">
        <w:tab/>
        <w:t>(2)</w:t>
      </w:r>
      <w:r w:rsidRPr="00F00002">
        <w:tab/>
        <w:t>The value of the interest at a particular time is the sum of:</w:t>
      </w:r>
    </w:p>
    <w:p w:rsidR="00BB4501" w:rsidRPr="00F00002" w:rsidRDefault="00BB4501" w:rsidP="00D150ED">
      <w:pPr>
        <w:pStyle w:val="paragraph"/>
      </w:pPr>
      <w:r w:rsidRPr="00F00002">
        <w:tab/>
        <w:t>(a)</w:t>
      </w:r>
      <w:r w:rsidRPr="00F00002">
        <w:tab/>
        <w:t>the product of:</w:t>
      </w:r>
    </w:p>
    <w:p w:rsidR="00BB4501" w:rsidRPr="00F00002" w:rsidRDefault="00BB4501" w:rsidP="00D150ED">
      <w:pPr>
        <w:pStyle w:val="paragraphsub"/>
      </w:pPr>
      <w:r w:rsidRPr="00F00002">
        <w:rPr>
          <w:color w:val="000000"/>
        </w:rPr>
        <w:tab/>
        <w:t>(i)</w:t>
      </w:r>
      <w:r w:rsidRPr="00F00002">
        <w:rPr>
          <w:color w:val="000000"/>
        </w:rPr>
        <w:tab/>
        <w:t>the annual amount of the superannuation income stream payable in respect of the superannuation interest at that time; and</w:t>
      </w:r>
    </w:p>
    <w:p w:rsidR="00BB4501" w:rsidRPr="00F00002" w:rsidRDefault="00BB4501" w:rsidP="00D150ED">
      <w:pPr>
        <w:pStyle w:val="paragraphsub"/>
      </w:pPr>
      <w:r w:rsidRPr="00F00002">
        <w:tab/>
        <w:t>(ii)</w:t>
      </w:r>
      <w:r w:rsidRPr="00F00002">
        <w:tab/>
        <w:t>the applicable factor set out in clause</w:t>
      </w:r>
      <w:r w:rsidR="00F00002">
        <w:t> </w:t>
      </w:r>
      <w:r w:rsidRPr="00F00002">
        <w:t xml:space="preserve">1 of </w:t>
      </w:r>
      <w:r w:rsidR="00D150ED" w:rsidRPr="00F00002">
        <w:t>Schedule</w:t>
      </w:r>
      <w:r w:rsidR="00F00002">
        <w:t> </w:t>
      </w:r>
      <w:r w:rsidRPr="00F00002">
        <w:t>1B; and</w:t>
      </w:r>
    </w:p>
    <w:p w:rsidR="00BB4501" w:rsidRPr="00F00002" w:rsidRDefault="00BB4501" w:rsidP="00D150ED">
      <w:pPr>
        <w:pStyle w:val="paragraph"/>
      </w:pPr>
      <w:r w:rsidRPr="00F00002">
        <w:tab/>
        <w:t>(b)</w:t>
      </w:r>
      <w:r w:rsidRPr="00F00002">
        <w:tab/>
        <w:t>the product of:</w:t>
      </w:r>
    </w:p>
    <w:p w:rsidR="00BB4501" w:rsidRPr="00F00002" w:rsidRDefault="00BB4501" w:rsidP="00D150ED">
      <w:pPr>
        <w:pStyle w:val="paragraphsub"/>
      </w:pPr>
      <w:r w:rsidRPr="00F00002">
        <w:rPr>
          <w:color w:val="000000"/>
        </w:rPr>
        <w:tab/>
        <w:t>(i)</w:t>
      </w:r>
      <w:r w:rsidRPr="00F00002">
        <w:rPr>
          <w:color w:val="000000"/>
        </w:rPr>
        <w:tab/>
        <w:t xml:space="preserve">the nominal value of the superannuation lump sum, if any, which is payable in respect of the interest at a time in the future, other than a future lump sum which is a commutation of the income stream included in </w:t>
      </w:r>
      <w:r w:rsidR="00F00002">
        <w:rPr>
          <w:color w:val="000000"/>
        </w:rPr>
        <w:t>subparagraph (</w:t>
      </w:r>
      <w:r w:rsidRPr="00F00002">
        <w:rPr>
          <w:color w:val="000000"/>
        </w:rPr>
        <w:t>a</w:t>
      </w:r>
      <w:r w:rsidR="00D150ED" w:rsidRPr="00F00002">
        <w:rPr>
          <w:color w:val="000000"/>
        </w:rPr>
        <w:t>)(</w:t>
      </w:r>
      <w:r w:rsidRPr="00F00002">
        <w:rPr>
          <w:color w:val="000000"/>
        </w:rPr>
        <w:t>i); and</w:t>
      </w:r>
    </w:p>
    <w:p w:rsidR="00BB4501" w:rsidRPr="00F00002" w:rsidRDefault="00BB4501" w:rsidP="00D150ED">
      <w:pPr>
        <w:pStyle w:val="paragraphsub"/>
      </w:pPr>
      <w:r w:rsidRPr="00F00002">
        <w:tab/>
        <w:t>(ii)</w:t>
      </w:r>
      <w:r w:rsidRPr="00F00002">
        <w:tab/>
        <w:t>the applicable factor set out in clause</w:t>
      </w:r>
      <w:r w:rsidR="00F00002">
        <w:t> </w:t>
      </w:r>
      <w:r w:rsidRPr="00F00002">
        <w:t xml:space="preserve">2 of </w:t>
      </w:r>
      <w:r w:rsidR="00D150ED" w:rsidRPr="00F00002">
        <w:t>Schedule</w:t>
      </w:r>
      <w:r w:rsidR="00F00002">
        <w:t> </w:t>
      </w:r>
      <w:r w:rsidRPr="00F00002">
        <w:t>1B.</w:t>
      </w:r>
    </w:p>
    <w:p w:rsidR="00BB4501" w:rsidRPr="00F00002" w:rsidRDefault="00BB4501" w:rsidP="00D150ED">
      <w:pPr>
        <w:pStyle w:val="ActHead5"/>
      </w:pPr>
      <w:bookmarkStart w:id="139" w:name="_Toc31109716"/>
      <w:r w:rsidRPr="00A26088">
        <w:rPr>
          <w:rStyle w:val="CharSectno"/>
        </w:rPr>
        <w:t>307</w:t>
      </w:r>
      <w:r w:rsidR="00F00002" w:rsidRPr="00A26088">
        <w:rPr>
          <w:rStyle w:val="CharSectno"/>
        </w:rPr>
        <w:noBreakHyphen/>
      </w:r>
      <w:r w:rsidRPr="00A26088">
        <w:rPr>
          <w:rStyle w:val="CharSectno"/>
        </w:rPr>
        <w:t>205.02A</w:t>
      </w:r>
      <w:r w:rsidR="00D150ED" w:rsidRPr="00F00002">
        <w:t xml:space="preserve">  </w:t>
      </w:r>
      <w:r w:rsidRPr="00F00002">
        <w:t>Superannuation income streams or superannuation annuities based on identifiable amounts</w:t>
      </w:r>
      <w:r w:rsidR="00D150ED" w:rsidRPr="00F00002">
        <w:t>—</w:t>
      </w:r>
      <w:r w:rsidRPr="00F00002">
        <w:t>value of an interest</w:t>
      </w:r>
      <w:bookmarkEnd w:id="139"/>
    </w:p>
    <w:p w:rsidR="00BB4501" w:rsidRPr="00F00002" w:rsidRDefault="00BB4501" w:rsidP="00D150ED">
      <w:pPr>
        <w:pStyle w:val="subsection"/>
      </w:pPr>
      <w:r w:rsidRPr="00F00002">
        <w:tab/>
      </w:r>
      <w:r w:rsidRPr="00F00002">
        <w:tab/>
        <w:t>For a superannuation income stream or a superannuation annuity mentioned in subparagraph</w:t>
      </w:r>
      <w:r w:rsidR="00F00002">
        <w:t> </w:t>
      </w:r>
      <w:r w:rsidRPr="00F00002">
        <w:t>307</w:t>
      </w:r>
      <w:r w:rsidR="00F00002">
        <w:noBreakHyphen/>
      </w:r>
      <w:r w:rsidRPr="00F00002">
        <w:t>205.02(1</w:t>
      </w:r>
      <w:r w:rsidR="00D150ED" w:rsidRPr="00F00002">
        <w:t>)(</w:t>
      </w:r>
      <w:r w:rsidRPr="00F00002">
        <w:t>a</w:t>
      </w:r>
      <w:r w:rsidR="00D150ED" w:rsidRPr="00F00002">
        <w:t>)(</w:t>
      </w:r>
      <w:r w:rsidRPr="00F00002">
        <w:t>ii)</w:t>
      </w:r>
      <w:r w:rsidR="002B0BDC" w:rsidRPr="00F00002">
        <w:t xml:space="preserve"> but not in subparagraph</w:t>
      </w:r>
      <w:r w:rsidR="00F00002">
        <w:t> </w:t>
      </w:r>
      <w:r w:rsidR="002B0BDC" w:rsidRPr="00F00002">
        <w:t>307</w:t>
      </w:r>
      <w:r w:rsidR="00F00002">
        <w:noBreakHyphen/>
      </w:r>
      <w:r w:rsidR="002B0BDC" w:rsidRPr="00F00002">
        <w:t>205.02(1)(a)(iv)</w:t>
      </w:r>
      <w:r w:rsidRPr="00F00002">
        <w:t>, the value of the superannuation interest that supports the income stream or annuity is:</w:t>
      </w:r>
    </w:p>
    <w:p w:rsidR="00BB4501" w:rsidRPr="00F00002" w:rsidRDefault="00BB4501" w:rsidP="00D150ED">
      <w:pPr>
        <w:pStyle w:val="paragraph"/>
      </w:pPr>
      <w:r w:rsidRPr="00F00002">
        <w:tab/>
        <w:t>(a)</w:t>
      </w:r>
      <w:r w:rsidRPr="00F00002">
        <w:tab/>
        <w:t>the identifiable lump sum amount; or</w:t>
      </w:r>
    </w:p>
    <w:p w:rsidR="00BB4501" w:rsidRPr="00F00002" w:rsidRDefault="00BB4501" w:rsidP="00D150ED">
      <w:pPr>
        <w:pStyle w:val="paragraph"/>
      </w:pPr>
      <w:r w:rsidRPr="00F00002">
        <w:tab/>
        <w:t>(b)</w:t>
      </w:r>
      <w:r w:rsidRPr="00F00002">
        <w:tab/>
        <w:t>the amount available in the member’s account.</w:t>
      </w:r>
    </w:p>
    <w:p w:rsidR="00BB4501" w:rsidRPr="00F00002" w:rsidRDefault="00BB4501" w:rsidP="00D150ED">
      <w:pPr>
        <w:pStyle w:val="ActHead5"/>
      </w:pPr>
      <w:bookmarkStart w:id="140" w:name="_Toc31109717"/>
      <w:r w:rsidRPr="00A26088">
        <w:rPr>
          <w:rStyle w:val="CharSectno"/>
        </w:rPr>
        <w:t>307</w:t>
      </w:r>
      <w:r w:rsidR="00F00002" w:rsidRPr="00A26088">
        <w:rPr>
          <w:rStyle w:val="CharSectno"/>
        </w:rPr>
        <w:noBreakHyphen/>
      </w:r>
      <w:r w:rsidRPr="00A26088">
        <w:rPr>
          <w:rStyle w:val="CharSectno"/>
        </w:rPr>
        <w:t>205.02B</w:t>
      </w:r>
      <w:r w:rsidR="00D150ED" w:rsidRPr="00F00002">
        <w:t xml:space="preserve">  </w:t>
      </w:r>
      <w:r w:rsidRPr="00F00002">
        <w:t>Public sector superannuation schemes</w:t>
      </w:r>
      <w:r w:rsidR="00D150ED" w:rsidRPr="00F00002">
        <w:t>—</w:t>
      </w:r>
      <w:r w:rsidRPr="00F00002">
        <w:t>value of an interest</w:t>
      </w:r>
      <w:bookmarkEnd w:id="140"/>
      <w:r w:rsidRPr="00F00002">
        <w:t xml:space="preserve"> </w:t>
      </w:r>
    </w:p>
    <w:p w:rsidR="00BB4501" w:rsidRPr="00F00002" w:rsidRDefault="00BB4501" w:rsidP="00D150ED">
      <w:pPr>
        <w:pStyle w:val="subsection"/>
      </w:pPr>
      <w:r w:rsidRPr="00F00002">
        <w:tab/>
      </w:r>
      <w:r w:rsidRPr="00F00002">
        <w:tab/>
        <w:t>A superannuation interest in a public sector superannuation scheme is to be valued:</w:t>
      </w:r>
    </w:p>
    <w:p w:rsidR="00BB4501" w:rsidRPr="00F00002" w:rsidRDefault="00BB4501" w:rsidP="00D150ED">
      <w:pPr>
        <w:pStyle w:val="paragraph"/>
      </w:pPr>
      <w:r w:rsidRPr="00F00002">
        <w:tab/>
        <w:t>(a)</w:t>
      </w:r>
      <w:r w:rsidRPr="00F00002">
        <w:tab/>
        <w:t>by using the practice for valuing a superannuation interest (other than an interest that supports a superannuation income stream mentioned in subparagraph</w:t>
      </w:r>
      <w:r w:rsidR="00F00002">
        <w:t> </w:t>
      </w:r>
      <w:r w:rsidRPr="00F00002">
        <w:t>307</w:t>
      </w:r>
      <w:r w:rsidR="00F00002">
        <w:noBreakHyphen/>
      </w:r>
      <w:r w:rsidRPr="00F00002">
        <w:t>205.02(1</w:t>
      </w:r>
      <w:r w:rsidR="00D150ED" w:rsidRPr="00F00002">
        <w:t>)(</w:t>
      </w:r>
      <w:r w:rsidRPr="00F00002">
        <w:t>a</w:t>
      </w:r>
      <w:r w:rsidR="00D150ED" w:rsidRPr="00F00002">
        <w:t>)(</w:t>
      </w:r>
      <w:r w:rsidRPr="00F00002">
        <w:t>i)) that was used by the scheme immediately before 28</w:t>
      </w:r>
      <w:r w:rsidR="00F00002">
        <w:t> </w:t>
      </w:r>
      <w:r w:rsidRPr="00F00002">
        <w:t>June 2007; or</w:t>
      </w:r>
    </w:p>
    <w:p w:rsidR="00BB4501" w:rsidRPr="00F00002" w:rsidRDefault="00BB4501" w:rsidP="00D150ED">
      <w:pPr>
        <w:pStyle w:val="paragraph"/>
      </w:pPr>
      <w:r w:rsidRPr="00F00002">
        <w:tab/>
        <w:t>(b)</w:t>
      </w:r>
      <w:r w:rsidRPr="00F00002">
        <w:tab/>
        <w:t>if there was not a practice for valuing an interest at that time</w:t>
      </w:r>
      <w:r w:rsidR="00D150ED" w:rsidRPr="00F00002">
        <w:t>—</w:t>
      </w:r>
      <w:r w:rsidRPr="00F00002">
        <w:t>by using the method in subregulation</w:t>
      </w:r>
      <w:r w:rsidR="00F00002">
        <w:t> </w:t>
      </w:r>
      <w:r w:rsidRPr="00F00002">
        <w:t>307</w:t>
      </w:r>
      <w:r w:rsidR="00F00002">
        <w:noBreakHyphen/>
      </w:r>
      <w:r w:rsidRPr="00F00002">
        <w:t>205.02(2).</w:t>
      </w:r>
    </w:p>
    <w:p w:rsidR="002B0BDC" w:rsidRPr="00F00002" w:rsidRDefault="002B0BDC" w:rsidP="002B0BDC">
      <w:pPr>
        <w:pStyle w:val="ActHead5"/>
        <w:rPr>
          <w:color w:val="000000" w:themeColor="text1"/>
        </w:rPr>
      </w:pPr>
      <w:bookmarkStart w:id="141" w:name="_Toc31109718"/>
      <w:r w:rsidRPr="00A26088">
        <w:rPr>
          <w:rStyle w:val="CharSectno"/>
        </w:rPr>
        <w:lastRenderedPageBreak/>
        <w:t>307</w:t>
      </w:r>
      <w:r w:rsidR="00F00002" w:rsidRPr="00A26088">
        <w:rPr>
          <w:rStyle w:val="CharSectno"/>
        </w:rPr>
        <w:noBreakHyphen/>
      </w:r>
      <w:r w:rsidRPr="00A26088">
        <w:rPr>
          <w:rStyle w:val="CharSectno"/>
        </w:rPr>
        <w:t>205.02C</w:t>
      </w:r>
      <w:r w:rsidRPr="00F00002">
        <w:rPr>
          <w:color w:val="000000" w:themeColor="text1"/>
        </w:rPr>
        <w:t xml:space="preserve">  Deferred superannuation income streams—value of an interest</w:t>
      </w:r>
      <w:bookmarkEnd w:id="141"/>
    </w:p>
    <w:p w:rsidR="002B0BDC" w:rsidRPr="00F00002" w:rsidRDefault="002B0BDC" w:rsidP="002B0BDC">
      <w:pPr>
        <w:pStyle w:val="subsection"/>
        <w:rPr>
          <w:color w:val="000000" w:themeColor="text1"/>
        </w:rPr>
      </w:pPr>
      <w:r w:rsidRPr="00F00002">
        <w:rPr>
          <w:color w:val="000000" w:themeColor="text1"/>
        </w:rPr>
        <w:tab/>
        <w:t>(1)</w:t>
      </w:r>
      <w:r w:rsidRPr="00F00002">
        <w:rPr>
          <w:color w:val="000000" w:themeColor="text1"/>
        </w:rPr>
        <w:tab/>
        <w:t>For the purposes of paragraph</w:t>
      </w:r>
      <w:r w:rsidR="00F00002">
        <w:rPr>
          <w:color w:val="000000" w:themeColor="text1"/>
        </w:rPr>
        <w:t> </w:t>
      </w:r>
      <w:r w:rsidRPr="00F00002">
        <w:rPr>
          <w:color w:val="000000" w:themeColor="text1"/>
        </w:rPr>
        <w:t>307</w:t>
      </w:r>
      <w:r w:rsidR="00F00002">
        <w:rPr>
          <w:color w:val="000000" w:themeColor="text1"/>
        </w:rPr>
        <w:noBreakHyphen/>
      </w:r>
      <w:r w:rsidRPr="00F00002">
        <w:rPr>
          <w:color w:val="000000" w:themeColor="text1"/>
        </w:rPr>
        <w:t>205(1)(a) of the Act, the value at a particular time of an individual’s superannuation interest that supports a deferred superannuation income stream referred to in subregulation (3) is the greater of:</w:t>
      </w:r>
    </w:p>
    <w:p w:rsidR="002B0BDC" w:rsidRPr="00F00002" w:rsidRDefault="002B0BDC" w:rsidP="002B0BDC">
      <w:pPr>
        <w:pStyle w:val="paragraph"/>
        <w:rPr>
          <w:color w:val="000000" w:themeColor="text1"/>
        </w:rPr>
      </w:pPr>
      <w:r w:rsidRPr="00F00002">
        <w:rPr>
          <w:color w:val="000000" w:themeColor="text1"/>
        </w:rPr>
        <w:tab/>
        <w:t>(a)</w:t>
      </w:r>
      <w:r w:rsidRPr="00F00002">
        <w:rPr>
          <w:color w:val="000000" w:themeColor="text1"/>
        </w:rPr>
        <w:tab/>
        <w:t xml:space="preserve">the sum of each amount </w:t>
      </w:r>
      <w:r w:rsidRPr="00F00002">
        <w:t>of consideration paid for the interest for the income stream, and that amount’s associated notional earnings, as worked out under subregulation (2) for the day that includes that time; and</w:t>
      </w:r>
    </w:p>
    <w:p w:rsidR="002B0BDC" w:rsidRPr="00F00002" w:rsidRDefault="002B0BDC" w:rsidP="002B0BDC">
      <w:pPr>
        <w:pStyle w:val="paragraph"/>
        <w:rPr>
          <w:color w:val="000000" w:themeColor="text1"/>
        </w:rPr>
      </w:pPr>
      <w:r w:rsidRPr="00F00002">
        <w:rPr>
          <w:color w:val="000000" w:themeColor="text1"/>
        </w:rPr>
        <w:tab/>
        <w:t>(b)</w:t>
      </w:r>
      <w:r w:rsidRPr="00F00002">
        <w:rPr>
          <w:color w:val="000000" w:themeColor="text1"/>
        </w:rPr>
        <w:tab/>
        <w:t>the total amount of the superannuation benefits that would become payable if the individual voluntarily caused the interest to cease at that time.</w:t>
      </w:r>
    </w:p>
    <w:p w:rsidR="002B0BDC" w:rsidRPr="00F00002" w:rsidRDefault="002B0BDC" w:rsidP="002B0BDC">
      <w:pPr>
        <w:pStyle w:val="notetext"/>
      </w:pPr>
      <w:r w:rsidRPr="00F00002">
        <w:t>Note:</w:t>
      </w:r>
      <w:r w:rsidRPr="00F00002">
        <w:tab/>
        <w:t xml:space="preserve">For </w:t>
      </w:r>
      <w:r w:rsidR="00F00002">
        <w:t>paragraph (</w:t>
      </w:r>
      <w:r w:rsidRPr="00F00002">
        <w:t>a), subregulation (2) works out a total amount made up of the amount of consideration and its associated notional earnings.</w:t>
      </w:r>
    </w:p>
    <w:p w:rsidR="002B0BDC" w:rsidRPr="00F00002" w:rsidRDefault="002B0BDC" w:rsidP="002B0BDC">
      <w:pPr>
        <w:pStyle w:val="subsection"/>
      </w:pPr>
      <w:r w:rsidRPr="00F00002">
        <w:tab/>
        <w:t>(2)</w:t>
      </w:r>
      <w:r w:rsidRPr="00F00002">
        <w:tab/>
        <w:t xml:space="preserve">An </w:t>
      </w:r>
      <w:r w:rsidRPr="00F00002">
        <w:rPr>
          <w:color w:val="000000" w:themeColor="text1"/>
        </w:rPr>
        <w:t xml:space="preserve">amount </w:t>
      </w:r>
      <w:r w:rsidRPr="00F00002">
        <w:t xml:space="preserve">of consideration paid for the interest for the income stream, and that amount’s associated notional earnings, for a particular day (the </w:t>
      </w:r>
      <w:r w:rsidRPr="00F00002">
        <w:rPr>
          <w:b/>
          <w:i/>
        </w:rPr>
        <w:t>valuing day</w:t>
      </w:r>
      <w:r w:rsidRPr="00F00002">
        <w:t>) is worked out by applying the following formula for each adjustment day (from the earliest to the latest):</w:t>
      </w:r>
    </w:p>
    <w:p w:rsidR="002B0BDC" w:rsidRPr="00F00002" w:rsidRDefault="008035BA" w:rsidP="002B0BDC">
      <w:pPr>
        <w:pStyle w:val="subsection2"/>
      </w:pPr>
      <w:r>
        <w:pict>
          <v:shape id="_x0000_i1027" type="#_x0000_t75" style="width:276pt;height:44.25pt">
            <v:imagedata r:id="rId26" o:title=""/>
          </v:shape>
        </w:pict>
      </w:r>
    </w:p>
    <w:p w:rsidR="002B0BDC" w:rsidRPr="00F00002" w:rsidRDefault="002B0BDC" w:rsidP="002B0BDC">
      <w:pPr>
        <w:pStyle w:val="subsection2"/>
      </w:pPr>
      <w:r w:rsidRPr="00F00002">
        <w:t>where:</w:t>
      </w:r>
    </w:p>
    <w:p w:rsidR="002B0BDC" w:rsidRPr="00F00002" w:rsidRDefault="002B0BDC" w:rsidP="002B0BDC">
      <w:pPr>
        <w:pStyle w:val="Definition"/>
      </w:pPr>
      <w:r w:rsidRPr="00F00002">
        <w:rPr>
          <w:b/>
          <w:i/>
        </w:rPr>
        <w:t>above threshold rate</w:t>
      </w:r>
      <w:r w:rsidRPr="00F00002">
        <w:t>, for a particular day, means the rate determined for that day under subsection</w:t>
      </w:r>
      <w:r w:rsidR="00F00002">
        <w:t> </w:t>
      </w:r>
      <w:r w:rsidRPr="00F00002">
        <w:t xml:space="preserve">1082(2) of the </w:t>
      </w:r>
      <w:r w:rsidRPr="00F00002">
        <w:rPr>
          <w:i/>
        </w:rPr>
        <w:t>Social Security Act 1991</w:t>
      </w:r>
      <w:r w:rsidRPr="00F00002">
        <w:t>.</w:t>
      </w:r>
    </w:p>
    <w:p w:rsidR="002B0BDC" w:rsidRPr="00F00002" w:rsidRDefault="002B0BDC" w:rsidP="002B0BDC">
      <w:pPr>
        <w:pStyle w:val="Definition"/>
      </w:pPr>
      <w:r w:rsidRPr="00F00002">
        <w:rPr>
          <w:b/>
          <w:i/>
        </w:rPr>
        <w:t>adjustment day</w:t>
      </w:r>
      <w:r w:rsidRPr="00F00002">
        <w:t xml:space="preserve"> means each of the following:</w:t>
      </w:r>
    </w:p>
    <w:p w:rsidR="002B0BDC" w:rsidRPr="00F00002" w:rsidRDefault="002B0BDC" w:rsidP="002B0BDC">
      <w:pPr>
        <w:pStyle w:val="paragraph"/>
      </w:pPr>
      <w:r w:rsidRPr="00F00002">
        <w:tab/>
        <w:t>(a)</w:t>
      </w:r>
      <w:r w:rsidRPr="00F00002">
        <w:tab/>
        <w:t>each 12</w:t>
      </w:r>
      <w:r w:rsidR="00F00002">
        <w:noBreakHyphen/>
      </w:r>
      <w:r w:rsidRPr="00F00002">
        <w:t>month anniversary of the consideration payment day that happens before the valuing day;</w:t>
      </w:r>
    </w:p>
    <w:p w:rsidR="002B0BDC" w:rsidRPr="00F00002" w:rsidRDefault="002B0BDC" w:rsidP="002B0BDC">
      <w:pPr>
        <w:pStyle w:val="paragraph"/>
      </w:pPr>
      <w:r w:rsidRPr="00F00002">
        <w:tab/>
        <w:t>(b)</w:t>
      </w:r>
      <w:r w:rsidRPr="00F00002">
        <w:tab/>
        <w:t>the valuing day.</w:t>
      </w:r>
    </w:p>
    <w:p w:rsidR="002B0BDC" w:rsidRPr="00F00002" w:rsidRDefault="002B0BDC" w:rsidP="002B0BDC">
      <w:pPr>
        <w:pStyle w:val="Definition"/>
      </w:pPr>
      <w:r w:rsidRPr="00F00002">
        <w:rPr>
          <w:b/>
          <w:i/>
        </w:rPr>
        <w:t>applicable above threshold rate</w:t>
      </w:r>
      <w:r w:rsidRPr="00F00002">
        <w:t>, for a particular day, means:</w:t>
      </w:r>
    </w:p>
    <w:p w:rsidR="002B0BDC" w:rsidRPr="00F00002" w:rsidRDefault="002B0BDC" w:rsidP="002B0BDC">
      <w:pPr>
        <w:pStyle w:val="paragraph"/>
      </w:pPr>
      <w:r w:rsidRPr="00F00002">
        <w:tab/>
        <w:t>(a)</w:t>
      </w:r>
      <w:r w:rsidRPr="00F00002">
        <w:tab/>
        <w:t>if that day is a 12</w:t>
      </w:r>
      <w:r w:rsidR="00F00002">
        <w:noBreakHyphen/>
      </w:r>
      <w:r w:rsidRPr="00F00002">
        <w:t>month anniversary of the consideration payment day—the above threshold rate for that day; or</w:t>
      </w:r>
    </w:p>
    <w:p w:rsidR="002B0BDC" w:rsidRPr="00F00002" w:rsidRDefault="002B0BDC" w:rsidP="002B0BDC">
      <w:pPr>
        <w:pStyle w:val="paragraph"/>
      </w:pPr>
      <w:r w:rsidRPr="00F00002">
        <w:tab/>
        <w:t>(b)</w:t>
      </w:r>
      <w:r w:rsidRPr="00F00002">
        <w:tab/>
        <w:t>if that day is the valuing day—the proportion of the above threshold rate for that day equal to the number of days that the valuing day is in the 12 months starting on the day after:</w:t>
      </w:r>
    </w:p>
    <w:p w:rsidR="002B0BDC" w:rsidRPr="00F00002" w:rsidRDefault="002B0BDC" w:rsidP="002B0BDC">
      <w:pPr>
        <w:pStyle w:val="paragraphsub"/>
      </w:pPr>
      <w:r w:rsidRPr="00F00002">
        <w:tab/>
        <w:t>(i)</w:t>
      </w:r>
      <w:r w:rsidRPr="00F00002">
        <w:tab/>
        <w:t>if the valuing day is at least 12 months after the consideration payment day—the most recent 12</w:t>
      </w:r>
      <w:r w:rsidR="00F00002">
        <w:noBreakHyphen/>
      </w:r>
      <w:r w:rsidRPr="00F00002">
        <w:t>month anniversary of the consideration payment day; or</w:t>
      </w:r>
    </w:p>
    <w:p w:rsidR="002B0BDC" w:rsidRPr="00F00002" w:rsidRDefault="002B0BDC" w:rsidP="002B0BDC">
      <w:pPr>
        <w:pStyle w:val="paragraphsub"/>
      </w:pPr>
      <w:r w:rsidRPr="00F00002">
        <w:tab/>
        <w:t>(ii)</w:t>
      </w:r>
      <w:r w:rsidRPr="00F00002">
        <w:tab/>
        <w:t>otherwise—the consideration payment day.</w:t>
      </w:r>
    </w:p>
    <w:p w:rsidR="002B0BDC" w:rsidRPr="00F00002" w:rsidRDefault="002B0BDC" w:rsidP="002B0BDC">
      <w:pPr>
        <w:pStyle w:val="Definition"/>
      </w:pPr>
      <w:r w:rsidRPr="00F00002">
        <w:rPr>
          <w:b/>
          <w:i/>
        </w:rPr>
        <w:t>compounded amount of consideration just before the adjustment day</w:t>
      </w:r>
      <w:r w:rsidRPr="00F00002">
        <w:t xml:space="preserve"> means:</w:t>
      </w:r>
    </w:p>
    <w:p w:rsidR="002B0BDC" w:rsidRPr="00F00002" w:rsidRDefault="002B0BDC" w:rsidP="002B0BDC">
      <w:pPr>
        <w:pStyle w:val="paragraph"/>
      </w:pPr>
      <w:r w:rsidRPr="00F00002">
        <w:tab/>
        <w:t>(a)</w:t>
      </w:r>
      <w:r w:rsidRPr="00F00002">
        <w:tab/>
        <w:t>for the earliest adjustment day—the amount of consideration; or</w:t>
      </w:r>
    </w:p>
    <w:p w:rsidR="002B0BDC" w:rsidRPr="00F00002" w:rsidRDefault="002B0BDC" w:rsidP="002B0BDC">
      <w:pPr>
        <w:pStyle w:val="paragraph"/>
      </w:pPr>
      <w:r w:rsidRPr="00F00002">
        <w:lastRenderedPageBreak/>
        <w:tab/>
        <w:t>(b)</w:t>
      </w:r>
      <w:r w:rsidRPr="00F00002">
        <w:tab/>
        <w:t>for each later adjustment day—the result of applying the formula for the most recent earlier adjustment day.</w:t>
      </w:r>
    </w:p>
    <w:p w:rsidR="002B0BDC" w:rsidRPr="00F00002" w:rsidRDefault="002B0BDC" w:rsidP="002B0BDC">
      <w:pPr>
        <w:pStyle w:val="Definition"/>
      </w:pPr>
      <w:r w:rsidRPr="00F00002">
        <w:rPr>
          <w:b/>
          <w:i/>
        </w:rPr>
        <w:t>consideration payment day</w:t>
      </w:r>
      <w:r w:rsidRPr="00F00002">
        <w:t xml:space="preserve"> means the day the amount of consideration was paid.</w:t>
      </w:r>
    </w:p>
    <w:p w:rsidR="002B0BDC" w:rsidRPr="00F00002" w:rsidRDefault="002B0BDC" w:rsidP="002B0BDC">
      <w:pPr>
        <w:pStyle w:val="subsection"/>
        <w:rPr>
          <w:color w:val="000000" w:themeColor="text1"/>
        </w:rPr>
      </w:pPr>
      <w:r w:rsidRPr="00F00002">
        <w:rPr>
          <w:color w:val="000000" w:themeColor="text1"/>
        </w:rPr>
        <w:tab/>
        <w:t>(3)</w:t>
      </w:r>
      <w:r w:rsidRPr="00F00002">
        <w:rPr>
          <w:color w:val="000000" w:themeColor="text1"/>
        </w:rPr>
        <w:tab/>
        <w:t>Subregulation (1) applies to a deferred superannuation income stream that:</w:t>
      </w:r>
    </w:p>
    <w:p w:rsidR="002B0BDC" w:rsidRPr="00F00002" w:rsidRDefault="002B0BDC" w:rsidP="002B0BDC">
      <w:pPr>
        <w:pStyle w:val="paragraph"/>
      </w:pPr>
      <w:r w:rsidRPr="00F00002">
        <w:tab/>
        <w:t>(a)</w:t>
      </w:r>
      <w:r w:rsidRPr="00F00002">
        <w:tab/>
        <w:t xml:space="preserve">is covered by </w:t>
      </w:r>
      <w:r w:rsidR="00F00002">
        <w:t>paragraph (</w:t>
      </w:r>
      <w:r w:rsidRPr="00F00002">
        <w:t xml:space="preserve">c) of the definition of </w:t>
      </w:r>
      <w:r w:rsidRPr="00F00002">
        <w:rPr>
          <w:b/>
          <w:i/>
        </w:rPr>
        <w:t>superannuation income stream</w:t>
      </w:r>
      <w:r w:rsidRPr="00F00002">
        <w:t xml:space="preserve"> in subregulation</w:t>
      </w:r>
      <w:r w:rsidR="00F00002">
        <w:t> </w:t>
      </w:r>
      <w:r w:rsidRPr="00F00002">
        <w:t>995</w:t>
      </w:r>
      <w:r w:rsidR="00F00002">
        <w:noBreakHyphen/>
      </w:r>
      <w:r w:rsidRPr="00F00002">
        <w:t>1.01(1); and</w:t>
      </w:r>
    </w:p>
    <w:p w:rsidR="002B0BDC" w:rsidRPr="00F00002" w:rsidRDefault="002B0BDC" w:rsidP="002B0BDC">
      <w:pPr>
        <w:pStyle w:val="paragraph"/>
      </w:pPr>
      <w:r w:rsidRPr="00F00002">
        <w:tab/>
        <w:t>(b)</w:t>
      </w:r>
      <w:r w:rsidRPr="00F00002">
        <w:tab/>
        <w:t xml:space="preserve">is neither a </w:t>
      </w:r>
      <w:r w:rsidRPr="00F00002">
        <w:rPr>
          <w:color w:val="000000" w:themeColor="text1"/>
        </w:rPr>
        <w:t>pooled investment pension nor a pooled investment annuity.</w:t>
      </w:r>
    </w:p>
    <w:p w:rsidR="002B0BDC" w:rsidRPr="00F00002" w:rsidRDefault="002B0BDC" w:rsidP="002B0BDC">
      <w:pPr>
        <w:pStyle w:val="ActHead5"/>
        <w:rPr>
          <w:color w:val="000000" w:themeColor="text1"/>
        </w:rPr>
      </w:pPr>
      <w:bookmarkStart w:id="142" w:name="_Toc31109719"/>
      <w:r w:rsidRPr="00A26088">
        <w:rPr>
          <w:rStyle w:val="CharSectno"/>
        </w:rPr>
        <w:t>307</w:t>
      </w:r>
      <w:r w:rsidR="00F00002" w:rsidRPr="00A26088">
        <w:rPr>
          <w:rStyle w:val="CharSectno"/>
        </w:rPr>
        <w:noBreakHyphen/>
      </w:r>
      <w:r w:rsidRPr="00A26088">
        <w:rPr>
          <w:rStyle w:val="CharSectno"/>
        </w:rPr>
        <w:t>205.02D</w:t>
      </w:r>
      <w:r w:rsidRPr="00F00002">
        <w:rPr>
          <w:color w:val="000000" w:themeColor="text1"/>
        </w:rPr>
        <w:t xml:space="preserve">  Pooled investment pensions—value of an interest</w:t>
      </w:r>
      <w:bookmarkEnd w:id="142"/>
    </w:p>
    <w:p w:rsidR="002B0BDC" w:rsidRPr="00F00002" w:rsidRDefault="002B0BDC" w:rsidP="002B0BDC">
      <w:pPr>
        <w:pStyle w:val="subsection"/>
        <w:rPr>
          <w:color w:val="000000" w:themeColor="text1"/>
        </w:rPr>
      </w:pPr>
      <w:r w:rsidRPr="00F00002">
        <w:rPr>
          <w:color w:val="000000" w:themeColor="text1"/>
        </w:rPr>
        <w:tab/>
        <w:t>(1)</w:t>
      </w:r>
      <w:r w:rsidRPr="00F00002">
        <w:rPr>
          <w:color w:val="000000" w:themeColor="text1"/>
        </w:rPr>
        <w:tab/>
        <w:t>For the purposes of paragraph</w:t>
      </w:r>
      <w:r w:rsidR="00F00002">
        <w:rPr>
          <w:color w:val="000000" w:themeColor="text1"/>
        </w:rPr>
        <w:t> </w:t>
      </w:r>
      <w:r w:rsidRPr="00F00002">
        <w:rPr>
          <w:color w:val="000000" w:themeColor="text1"/>
        </w:rPr>
        <w:t>307</w:t>
      </w:r>
      <w:r w:rsidR="00F00002">
        <w:rPr>
          <w:color w:val="000000" w:themeColor="text1"/>
        </w:rPr>
        <w:noBreakHyphen/>
      </w:r>
      <w:r w:rsidRPr="00F00002">
        <w:rPr>
          <w:color w:val="000000" w:themeColor="text1"/>
        </w:rPr>
        <w:t>205(1)(a) of the Act, the value at a particular time of an individual’s superannuation interest that supports a pooled investment pension is the value of so much of the collective pool of assets in the fund at that time as is:</w:t>
      </w:r>
    </w:p>
    <w:p w:rsidR="002B0BDC" w:rsidRPr="00F00002" w:rsidRDefault="002B0BDC" w:rsidP="002B0BDC">
      <w:pPr>
        <w:pStyle w:val="paragraph"/>
        <w:rPr>
          <w:color w:val="000000" w:themeColor="text1"/>
        </w:rPr>
      </w:pPr>
      <w:r w:rsidRPr="00F00002">
        <w:rPr>
          <w:color w:val="000000" w:themeColor="text1"/>
        </w:rPr>
        <w:tab/>
        <w:t>(a)</w:t>
      </w:r>
      <w:r w:rsidRPr="00F00002">
        <w:rPr>
          <w:color w:val="000000" w:themeColor="text1"/>
        </w:rPr>
        <w:tab/>
        <w:t>attributed to the individual under the rules of the fund; and</w:t>
      </w:r>
    </w:p>
    <w:p w:rsidR="002B0BDC" w:rsidRPr="00F00002" w:rsidRDefault="002B0BDC" w:rsidP="002B0BDC">
      <w:pPr>
        <w:pStyle w:val="paragraph"/>
        <w:rPr>
          <w:color w:val="000000" w:themeColor="text1"/>
        </w:rPr>
      </w:pPr>
      <w:r w:rsidRPr="00F00002">
        <w:rPr>
          <w:color w:val="000000" w:themeColor="text1"/>
        </w:rPr>
        <w:tab/>
        <w:t>(b)</w:t>
      </w:r>
      <w:r w:rsidRPr="00F00002">
        <w:rPr>
          <w:color w:val="000000" w:themeColor="text1"/>
        </w:rPr>
        <w:tab/>
        <w:t>specified in an actuary’s certificate.</w:t>
      </w:r>
    </w:p>
    <w:p w:rsidR="002B0BDC" w:rsidRPr="00F00002" w:rsidRDefault="002B0BDC" w:rsidP="002B0BDC">
      <w:pPr>
        <w:pStyle w:val="subsection"/>
        <w:rPr>
          <w:color w:val="000000" w:themeColor="text1"/>
        </w:rPr>
      </w:pPr>
      <w:r w:rsidRPr="00F00002">
        <w:rPr>
          <w:color w:val="000000" w:themeColor="text1"/>
        </w:rPr>
        <w:tab/>
        <w:t>(2)</w:t>
      </w:r>
      <w:r w:rsidRPr="00F00002">
        <w:rPr>
          <w:color w:val="000000" w:themeColor="text1"/>
        </w:rPr>
        <w:tab/>
        <w:t xml:space="preserve">A </w:t>
      </w:r>
      <w:r w:rsidRPr="00F00002">
        <w:rPr>
          <w:b/>
          <w:i/>
          <w:color w:val="000000" w:themeColor="text1"/>
        </w:rPr>
        <w:t>pooled investment pension</w:t>
      </w:r>
      <w:r w:rsidRPr="00F00002">
        <w:rPr>
          <w:color w:val="000000" w:themeColor="text1"/>
        </w:rPr>
        <w:t xml:space="preserve"> is a superannuation income stream supported by an individual’s superannuation interest if:</w:t>
      </w:r>
    </w:p>
    <w:p w:rsidR="002B0BDC" w:rsidRPr="00F00002" w:rsidRDefault="002B0BDC" w:rsidP="002B0BDC">
      <w:pPr>
        <w:pStyle w:val="paragraph"/>
      </w:pPr>
      <w:r w:rsidRPr="00F00002">
        <w:tab/>
        <w:t>(a)</w:t>
      </w:r>
      <w:r w:rsidRPr="00F00002">
        <w:tab/>
        <w:t>the interest is in a superannuation fund; and</w:t>
      </w:r>
    </w:p>
    <w:p w:rsidR="002B0BDC" w:rsidRPr="00F00002" w:rsidRDefault="002B0BDC" w:rsidP="002B0BDC">
      <w:pPr>
        <w:pStyle w:val="paragraph"/>
      </w:pPr>
      <w:r w:rsidRPr="00F00002">
        <w:tab/>
        <w:t>(b)</w:t>
      </w:r>
      <w:r w:rsidRPr="00F00002">
        <w:tab/>
        <w:t>the rules for the provision of the income stream ensure that, once payments of the income stream start, the income stream is to continue for the remainder of the individual’s life; and</w:t>
      </w:r>
    </w:p>
    <w:p w:rsidR="002B0BDC" w:rsidRPr="00F00002" w:rsidRDefault="002B0BDC" w:rsidP="002B0BDC">
      <w:pPr>
        <w:pStyle w:val="paragraph"/>
      </w:pPr>
      <w:r w:rsidRPr="00F00002">
        <w:tab/>
        <w:t>(c)</w:t>
      </w:r>
      <w:r w:rsidRPr="00F00002">
        <w:tab/>
        <w:t>the rules for the provision of the income stream ensure that the amounts of those payments are determined by having regard to:</w:t>
      </w:r>
    </w:p>
    <w:p w:rsidR="002B0BDC" w:rsidRPr="00F00002" w:rsidRDefault="002B0BDC" w:rsidP="002B0BDC">
      <w:pPr>
        <w:pStyle w:val="paragraphsub"/>
      </w:pPr>
      <w:r w:rsidRPr="00F00002">
        <w:tab/>
        <w:t>(i)</w:t>
      </w:r>
      <w:r w:rsidRPr="00F00002">
        <w:tab/>
        <w:t>the age, life expectancy or other factors relevant to the mortality of each individual who has that kind of superannuation interest in the fund; and</w:t>
      </w:r>
    </w:p>
    <w:p w:rsidR="002B0BDC" w:rsidRPr="00F00002" w:rsidRDefault="002B0BDC" w:rsidP="002B0BDC">
      <w:pPr>
        <w:pStyle w:val="paragraphsub"/>
      </w:pPr>
      <w:r w:rsidRPr="00F00002">
        <w:tab/>
        <w:t>(ii)</w:t>
      </w:r>
      <w:r w:rsidRPr="00F00002">
        <w:tab/>
        <w:t>the pool of assets in the fund held for the collective benefit of those individuals.</w:t>
      </w:r>
    </w:p>
    <w:p w:rsidR="002B0BDC" w:rsidRPr="00F00002" w:rsidRDefault="002B0BDC" w:rsidP="002B0BDC">
      <w:pPr>
        <w:pStyle w:val="ActHead5"/>
      </w:pPr>
      <w:bookmarkStart w:id="143" w:name="_Toc31109720"/>
      <w:r w:rsidRPr="00A26088">
        <w:rPr>
          <w:rStyle w:val="CharSectno"/>
        </w:rPr>
        <w:t>307</w:t>
      </w:r>
      <w:r w:rsidR="00F00002" w:rsidRPr="00A26088">
        <w:rPr>
          <w:rStyle w:val="CharSectno"/>
        </w:rPr>
        <w:noBreakHyphen/>
      </w:r>
      <w:r w:rsidRPr="00A26088">
        <w:rPr>
          <w:rStyle w:val="CharSectno"/>
        </w:rPr>
        <w:t>205.02E</w:t>
      </w:r>
      <w:r w:rsidRPr="00F00002">
        <w:t xml:space="preserve">  </w:t>
      </w:r>
      <w:r w:rsidRPr="00F00002">
        <w:rPr>
          <w:lang w:eastAsia="en-US"/>
        </w:rPr>
        <w:t>Pooled investment</w:t>
      </w:r>
      <w:r w:rsidRPr="00F00002">
        <w:t xml:space="preserve"> annuities—value of an interest</w:t>
      </w:r>
      <w:bookmarkEnd w:id="143"/>
    </w:p>
    <w:p w:rsidR="002B0BDC" w:rsidRPr="00F00002" w:rsidRDefault="002B0BDC" w:rsidP="002B0BDC">
      <w:pPr>
        <w:pStyle w:val="subsection"/>
        <w:rPr>
          <w:color w:val="000000" w:themeColor="text1"/>
        </w:rPr>
      </w:pPr>
      <w:r w:rsidRPr="00F00002">
        <w:rPr>
          <w:color w:val="000000" w:themeColor="text1"/>
        </w:rPr>
        <w:tab/>
        <w:t>(1)</w:t>
      </w:r>
      <w:r w:rsidRPr="00F00002">
        <w:rPr>
          <w:color w:val="000000" w:themeColor="text1"/>
        </w:rPr>
        <w:tab/>
        <w:t>For the purposes of paragraph</w:t>
      </w:r>
      <w:r w:rsidR="00F00002">
        <w:rPr>
          <w:color w:val="000000" w:themeColor="text1"/>
        </w:rPr>
        <w:t> </w:t>
      </w:r>
      <w:r w:rsidRPr="00F00002">
        <w:rPr>
          <w:color w:val="000000" w:themeColor="text1"/>
        </w:rPr>
        <w:t>307</w:t>
      </w:r>
      <w:r w:rsidR="00F00002">
        <w:rPr>
          <w:color w:val="000000" w:themeColor="text1"/>
        </w:rPr>
        <w:noBreakHyphen/>
      </w:r>
      <w:r w:rsidRPr="00F00002">
        <w:rPr>
          <w:color w:val="000000" w:themeColor="text1"/>
        </w:rPr>
        <w:t xml:space="preserve">205(1)(a) of the Act, the value at a particular time of an individual’s superannuation interest that supports a pooled investment annuity is the value of so much of the collective pool of assets </w:t>
      </w:r>
      <w:r w:rsidRPr="00F00002">
        <w:t xml:space="preserve">held by the life insurance company </w:t>
      </w:r>
      <w:r w:rsidRPr="00F00002">
        <w:rPr>
          <w:color w:val="000000" w:themeColor="text1"/>
        </w:rPr>
        <w:t>at that time as is:</w:t>
      </w:r>
    </w:p>
    <w:p w:rsidR="002B0BDC" w:rsidRPr="00F00002" w:rsidRDefault="002B0BDC" w:rsidP="002B0BDC">
      <w:pPr>
        <w:pStyle w:val="paragraph"/>
        <w:rPr>
          <w:color w:val="000000" w:themeColor="text1"/>
        </w:rPr>
      </w:pPr>
      <w:r w:rsidRPr="00F00002">
        <w:rPr>
          <w:color w:val="000000" w:themeColor="text1"/>
        </w:rPr>
        <w:tab/>
        <w:t>(a)</w:t>
      </w:r>
      <w:r w:rsidRPr="00F00002">
        <w:rPr>
          <w:color w:val="000000" w:themeColor="text1"/>
        </w:rPr>
        <w:tab/>
        <w:t xml:space="preserve">attributed to the individual under the </w:t>
      </w:r>
      <w:r w:rsidRPr="00F00002">
        <w:t xml:space="preserve">contract for the provision of the </w:t>
      </w:r>
      <w:r w:rsidRPr="00F00002">
        <w:rPr>
          <w:color w:val="000000" w:themeColor="text1"/>
        </w:rPr>
        <w:t>pooled investment annuity; and</w:t>
      </w:r>
    </w:p>
    <w:p w:rsidR="002B0BDC" w:rsidRPr="00F00002" w:rsidRDefault="002B0BDC" w:rsidP="002B0BDC">
      <w:pPr>
        <w:pStyle w:val="paragraph"/>
        <w:rPr>
          <w:color w:val="000000" w:themeColor="text1"/>
        </w:rPr>
      </w:pPr>
      <w:r w:rsidRPr="00F00002">
        <w:rPr>
          <w:color w:val="000000" w:themeColor="text1"/>
        </w:rPr>
        <w:tab/>
        <w:t>(b)</w:t>
      </w:r>
      <w:r w:rsidRPr="00F00002">
        <w:rPr>
          <w:color w:val="000000" w:themeColor="text1"/>
        </w:rPr>
        <w:tab/>
        <w:t>specified in an actuary’s certificate.</w:t>
      </w:r>
    </w:p>
    <w:p w:rsidR="002B0BDC" w:rsidRPr="00F00002" w:rsidRDefault="002B0BDC" w:rsidP="002B0BDC">
      <w:pPr>
        <w:pStyle w:val="subsection"/>
        <w:rPr>
          <w:color w:val="000000" w:themeColor="text1"/>
        </w:rPr>
      </w:pPr>
      <w:r w:rsidRPr="00F00002">
        <w:rPr>
          <w:color w:val="000000" w:themeColor="text1"/>
        </w:rPr>
        <w:tab/>
        <w:t>(2)</w:t>
      </w:r>
      <w:r w:rsidRPr="00F00002">
        <w:rPr>
          <w:color w:val="000000" w:themeColor="text1"/>
        </w:rPr>
        <w:tab/>
        <w:t xml:space="preserve">A </w:t>
      </w:r>
      <w:r w:rsidRPr="00F00002">
        <w:rPr>
          <w:b/>
          <w:i/>
          <w:color w:val="000000" w:themeColor="text1"/>
        </w:rPr>
        <w:t>pooled investment annuity</w:t>
      </w:r>
      <w:r w:rsidRPr="00F00002">
        <w:rPr>
          <w:color w:val="000000" w:themeColor="text1"/>
        </w:rPr>
        <w:t xml:space="preserve"> is a superannuation income stream supported by an individual’s superannuation interest if:</w:t>
      </w:r>
    </w:p>
    <w:p w:rsidR="002B0BDC" w:rsidRPr="00F00002" w:rsidRDefault="002B0BDC" w:rsidP="002B0BDC">
      <w:pPr>
        <w:pStyle w:val="paragraph"/>
      </w:pPr>
      <w:r w:rsidRPr="00F00002">
        <w:lastRenderedPageBreak/>
        <w:tab/>
        <w:t>(a)</w:t>
      </w:r>
      <w:r w:rsidRPr="00F00002">
        <w:tab/>
        <w:t>the superannuation income stream is a superannuation annuity provided by a life insurance company; and</w:t>
      </w:r>
    </w:p>
    <w:p w:rsidR="002B0BDC" w:rsidRPr="00F00002" w:rsidRDefault="002B0BDC" w:rsidP="002B0BDC">
      <w:pPr>
        <w:pStyle w:val="paragraph"/>
      </w:pPr>
      <w:r w:rsidRPr="00F00002">
        <w:tab/>
        <w:t>(b)</w:t>
      </w:r>
      <w:r w:rsidRPr="00F00002">
        <w:tab/>
        <w:t>the contract for the provision of the income stream ensures that, once payments of the income stream start, the income stream is to continue for the remainder of the individual’s life; and</w:t>
      </w:r>
    </w:p>
    <w:p w:rsidR="002B0BDC" w:rsidRPr="00F00002" w:rsidRDefault="002B0BDC" w:rsidP="002B0BDC">
      <w:pPr>
        <w:pStyle w:val="paragraph"/>
      </w:pPr>
      <w:r w:rsidRPr="00F00002">
        <w:tab/>
        <w:t>(c)</w:t>
      </w:r>
      <w:r w:rsidRPr="00F00002">
        <w:tab/>
        <w:t>the contract for the provision of the income stream ensures that the amounts of those payments are determined by having regard to:</w:t>
      </w:r>
    </w:p>
    <w:p w:rsidR="002B0BDC" w:rsidRPr="00F00002" w:rsidRDefault="002B0BDC" w:rsidP="002B0BDC">
      <w:pPr>
        <w:pStyle w:val="paragraphsub"/>
      </w:pPr>
      <w:r w:rsidRPr="00F00002">
        <w:tab/>
        <w:t>(i)</w:t>
      </w:r>
      <w:r w:rsidRPr="00F00002">
        <w:tab/>
        <w:t>the age, life expectancy or other factors relevant to the mortality of each individual who has that kind of superannuation interest with the life insurance company; and</w:t>
      </w:r>
    </w:p>
    <w:p w:rsidR="002B0BDC" w:rsidRPr="00F00002" w:rsidRDefault="002B0BDC" w:rsidP="002B0BDC">
      <w:pPr>
        <w:pStyle w:val="paragraphsub"/>
      </w:pPr>
      <w:r w:rsidRPr="00F00002">
        <w:tab/>
        <w:t>(ii)</w:t>
      </w:r>
      <w:r w:rsidRPr="00F00002">
        <w:tab/>
        <w:t>the pool of assets held by the life insurance company for the collective benefit of those individuals; and</w:t>
      </w:r>
    </w:p>
    <w:p w:rsidR="002B0BDC" w:rsidRPr="00F00002" w:rsidRDefault="002B0BDC" w:rsidP="002B0BDC">
      <w:pPr>
        <w:pStyle w:val="paragraph"/>
      </w:pPr>
      <w:r w:rsidRPr="00F00002">
        <w:tab/>
        <w:t>(d)</w:t>
      </w:r>
      <w:r w:rsidRPr="00F00002">
        <w:tab/>
        <w:t>at least 50 entities have superannuation interests (of any kind) with the life insurance company.</w:t>
      </w:r>
    </w:p>
    <w:p w:rsidR="004319E4" w:rsidRPr="00F00002" w:rsidRDefault="004319E4" w:rsidP="004179AC">
      <w:pPr>
        <w:pStyle w:val="ActHead2"/>
        <w:pageBreakBefore/>
      </w:pPr>
      <w:bookmarkStart w:id="144" w:name="_Toc31109721"/>
      <w:r w:rsidRPr="00A26088">
        <w:rPr>
          <w:rStyle w:val="CharPartNo"/>
        </w:rPr>
        <w:lastRenderedPageBreak/>
        <w:t>Part</w:t>
      </w:r>
      <w:r w:rsidR="00F00002" w:rsidRPr="00A26088">
        <w:rPr>
          <w:rStyle w:val="CharPartNo"/>
        </w:rPr>
        <w:t> </w:t>
      </w:r>
      <w:r w:rsidRPr="00A26088">
        <w:rPr>
          <w:rStyle w:val="CharPartNo"/>
        </w:rPr>
        <w:t>3A</w:t>
      </w:r>
      <w:r w:rsidRPr="00F00002">
        <w:t>—</w:t>
      </w:r>
      <w:r w:rsidRPr="00A26088">
        <w:rPr>
          <w:rStyle w:val="CharPartText"/>
        </w:rPr>
        <w:t>Rules for particular industries and occupations</w:t>
      </w:r>
      <w:bookmarkEnd w:id="144"/>
    </w:p>
    <w:p w:rsidR="004319E4" w:rsidRPr="00F00002" w:rsidRDefault="004319E4" w:rsidP="004319E4">
      <w:pPr>
        <w:pStyle w:val="ActHead3"/>
      </w:pPr>
      <w:bookmarkStart w:id="145" w:name="_Toc31109722"/>
      <w:r w:rsidRPr="00A26088">
        <w:rPr>
          <w:rStyle w:val="CharDivNo"/>
        </w:rPr>
        <w:t>Division</w:t>
      </w:r>
      <w:r w:rsidR="00F00002" w:rsidRPr="00A26088">
        <w:rPr>
          <w:rStyle w:val="CharDivNo"/>
        </w:rPr>
        <w:t> </w:t>
      </w:r>
      <w:r w:rsidRPr="00A26088">
        <w:rPr>
          <w:rStyle w:val="CharDivNo"/>
        </w:rPr>
        <w:t>393</w:t>
      </w:r>
      <w:r w:rsidRPr="00F00002">
        <w:t>—</w:t>
      </w:r>
      <w:r w:rsidRPr="00A26088">
        <w:rPr>
          <w:rStyle w:val="CharDivText"/>
        </w:rPr>
        <w:t>Farm management deposits</w:t>
      </w:r>
      <w:bookmarkEnd w:id="145"/>
    </w:p>
    <w:p w:rsidR="004319E4" w:rsidRPr="00F00002" w:rsidRDefault="004319E4" w:rsidP="004319E4">
      <w:pPr>
        <w:pStyle w:val="ActHead5"/>
      </w:pPr>
      <w:bookmarkStart w:id="146" w:name="_Toc31109723"/>
      <w:r w:rsidRPr="00A26088">
        <w:rPr>
          <w:rStyle w:val="CharSectno"/>
        </w:rPr>
        <w:t>393</w:t>
      </w:r>
      <w:r w:rsidR="00F00002" w:rsidRPr="00A26088">
        <w:rPr>
          <w:rStyle w:val="CharSectno"/>
        </w:rPr>
        <w:noBreakHyphen/>
      </w:r>
      <w:r w:rsidRPr="00A26088">
        <w:rPr>
          <w:rStyle w:val="CharSectno"/>
        </w:rPr>
        <w:t>1</w:t>
      </w:r>
      <w:r w:rsidRPr="00F00002">
        <w:t xml:space="preserve">  Simplified outline of the farm management deposits scheme</w:t>
      </w:r>
      <w:bookmarkEnd w:id="146"/>
    </w:p>
    <w:p w:rsidR="004319E4" w:rsidRPr="00F00002" w:rsidRDefault="004319E4" w:rsidP="004319E4">
      <w:pPr>
        <w:pStyle w:val="SOText"/>
      </w:pPr>
      <w:r w:rsidRPr="00F00002">
        <w:t>Division</w:t>
      </w:r>
      <w:r w:rsidR="00F00002">
        <w:t> </w:t>
      </w:r>
      <w:r w:rsidRPr="00F00002">
        <w:t>393 of the Act establishes the farm management deposits scheme, which are deposits made with FMD providers in the circumstances described in that Division.</w:t>
      </w:r>
    </w:p>
    <w:p w:rsidR="004319E4" w:rsidRPr="00F00002" w:rsidRDefault="004319E4" w:rsidP="004319E4">
      <w:pPr>
        <w:pStyle w:val="SOText"/>
      </w:pPr>
      <w:r w:rsidRPr="00F00002">
        <w:t>You can deduct a farm management deposit you make if:</w:t>
      </w:r>
    </w:p>
    <w:p w:rsidR="004319E4" w:rsidRPr="00F00002" w:rsidRDefault="004319E4" w:rsidP="004319E4">
      <w:pPr>
        <w:pStyle w:val="SOPara"/>
      </w:pPr>
      <w:r w:rsidRPr="00F00002">
        <w:tab/>
        <w:t>(a)</w:t>
      </w:r>
      <w:r w:rsidRPr="00F00002">
        <w:tab/>
        <w:t>you are an individual carrying on a primary production business (including a primary production business you carry on as a partner in a partnership or as a beneficiary of a trust); and</w:t>
      </w:r>
    </w:p>
    <w:p w:rsidR="004319E4" w:rsidRPr="00F00002" w:rsidRDefault="004319E4" w:rsidP="004319E4">
      <w:pPr>
        <w:pStyle w:val="SOPara"/>
      </w:pPr>
      <w:r w:rsidRPr="00F00002">
        <w:tab/>
        <w:t>(b)</w:t>
      </w:r>
      <w:r w:rsidRPr="00F00002">
        <w:tab/>
        <w:t>you hold the deposit for at least 12 months; and</w:t>
      </w:r>
    </w:p>
    <w:p w:rsidR="004319E4" w:rsidRPr="00F00002" w:rsidRDefault="004319E4" w:rsidP="004319E4">
      <w:pPr>
        <w:pStyle w:val="SOPara"/>
      </w:pPr>
      <w:r w:rsidRPr="00F00002">
        <w:tab/>
        <w:t>(c)</w:t>
      </w:r>
      <w:r w:rsidRPr="00F00002">
        <w:tab/>
        <w:t>you meet some other requirements.</w:t>
      </w:r>
    </w:p>
    <w:p w:rsidR="004319E4" w:rsidRPr="00F00002" w:rsidRDefault="004319E4" w:rsidP="004319E4">
      <w:pPr>
        <w:pStyle w:val="SOText"/>
      </w:pPr>
      <w:r w:rsidRPr="00F00002">
        <w:t>The amount of the deposit repaid is included in your assessable income in the income year in which it is repaid. Special rules apply if the deposit is repaid in the event of a severe drought or an applicable natural disaster.</w:t>
      </w:r>
    </w:p>
    <w:p w:rsidR="004319E4" w:rsidRPr="00F00002" w:rsidRDefault="004319E4" w:rsidP="004319E4">
      <w:pPr>
        <w:pStyle w:val="SOText"/>
      </w:pPr>
      <w:r w:rsidRPr="00F00002">
        <w:t>Farm management deposits allow you to carry over income from years of good cash flow and to draw down on that income in years when you need the cash. This enables you to defer the income tax on your taxable primary production income from the income year in which you make the deposit until the income year in which the deposit is repaid.</w:t>
      </w:r>
    </w:p>
    <w:p w:rsidR="004319E4" w:rsidRPr="00F00002" w:rsidRDefault="004319E4" w:rsidP="004319E4">
      <w:pPr>
        <w:pStyle w:val="ActHead5"/>
      </w:pPr>
      <w:bookmarkStart w:id="147" w:name="_Toc31109724"/>
      <w:r w:rsidRPr="00A26088">
        <w:rPr>
          <w:rStyle w:val="CharSectno"/>
        </w:rPr>
        <w:t>393</w:t>
      </w:r>
      <w:r w:rsidR="00F00002" w:rsidRPr="00A26088">
        <w:rPr>
          <w:rStyle w:val="CharSectno"/>
        </w:rPr>
        <w:noBreakHyphen/>
      </w:r>
      <w:r w:rsidRPr="00A26088">
        <w:rPr>
          <w:rStyle w:val="CharSectno"/>
        </w:rPr>
        <w:t>5</w:t>
      </w:r>
      <w:r w:rsidRPr="00F00002">
        <w:t xml:space="preserve">  Application form for a farm management deposit: information given by depositor</w:t>
      </w:r>
      <w:bookmarkEnd w:id="147"/>
    </w:p>
    <w:p w:rsidR="004319E4" w:rsidRPr="00F00002" w:rsidRDefault="004319E4" w:rsidP="004319E4">
      <w:pPr>
        <w:pStyle w:val="subsection"/>
      </w:pPr>
      <w:r w:rsidRPr="00F00002">
        <w:tab/>
      </w:r>
      <w:r w:rsidRPr="00F00002">
        <w:tab/>
        <w:t>For paragraph</w:t>
      </w:r>
      <w:r w:rsidR="00F00002">
        <w:t> </w:t>
      </w:r>
      <w:r w:rsidRPr="00F00002">
        <w:t>393</w:t>
      </w:r>
      <w:r w:rsidR="00F00002">
        <w:noBreakHyphen/>
      </w:r>
      <w:r w:rsidRPr="00F00002">
        <w:t>20(2)(b) of the Act, the following information is to be provided by a depositor to an FMD provider:</w:t>
      </w:r>
    </w:p>
    <w:p w:rsidR="004319E4" w:rsidRPr="00F00002" w:rsidRDefault="004319E4" w:rsidP="004319E4">
      <w:pPr>
        <w:pStyle w:val="paragraph"/>
      </w:pPr>
      <w:r w:rsidRPr="00F00002">
        <w:tab/>
        <w:t>(a)</w:t>
      </w:r>
      <w:r w:rsidRPr="00F00002">
        <w:tab/>
        <w:t>the depositor’s name, address, date of birth and telephone number;</w:t>
      </w:r>
    </w:p>
    <w:p w:rsidR="004319E4" w:rsidRPr="00F00002" w:rsidRDefault="004319E4" w:rsidP="004319E4">
      <w:pPr>
        <w:pStyle w:val="paragraph"/>
      </w:pPr>
      <w:r w:rsidRPr="00F00002">
        <w:tab/>
        <w:t>(b)</w:t>
      </w:r>
      <w:r w:rsidRPr="00F00002">
        <w:tab/>
        <w:t>the amount of the deposit;</w:t>
      </w:r>
    </w:p>
    <w:p w:rsidR="004319E4" w:rsidRPr="00F00002" w:rsidRDefault="004319E4" w:rsidP="004319E4">
      <w:pPr>
        <w:pStyle w:val="paragraph"/>
      </w:pPr>
      <w:r w:rsidRPr="00F00002">
        <w:tab/>
        <w:t>(c)</w:t>
      </w:r>
      <w:r w:rsidRPr="00F00002">
        <w:tab/>
        <w:t>a description of the major commodity or commodities produced in the year of the deposit;</w:t>
      </w:r>
    </w:p>
    <w:p w:rsidR="004319E4" w:rsidRPr="00F00002" w:rsidRDefault="004319E4" w:rsidP="004319E4">
      <w:pPr>
        <w:pStyle w:val="paragraph"/>
      </w:pPr>
      <w:r w:rsidRPr="00F00002">
        <w:tab/>
        <w:t>(d)</w:t>
      </w:r>
      <w:r w:rsidRPr="00F00002">
        <w:tab/>
        <w:t>if the depositor is not the owner of the deposit—the owner’s name, address and date of birth.</w:t>
      </w:r>
    </w:p>
    <w:p w:rsidR="004319E4" w:rsidRPr="00F00002" w:rsidRDefault="004319E4" w:rsidP="004319E4">
      <w:pPr>
        <w:pStyle w:val="notetext"/>
      </w:pPr>
      <w:r w:rsidRPr="00F00002">
        <w:t>Note:</w:t>
      </w:r>
      <w:r w:rsidRPr="00F00002">
        <w:tab/>
        <w:t>Subsection</w:t>
      </w:r>
      <w:r w:rsidR="00F00002">
        <w:t> </w:t>
      </w:r>
      <w:r w:rsidRPr="00F00002">
        <w:t>393</w:t>
      </w:r>
      <w:r w:rsidR="00F00002">
        <w:noBreakHyphen/>
      </w:r>
      <w:r w:rsidRPr="00F00002">
        <w:t>20(2) of the Act requires a depositor to apply to an FMD provider to make a farm management deposit with the FMD provider.</w:t>
      </w:r>
    </w:p>
    <w:p w:rsidR="004319E4" w:rsidRPr="00F00002" w:rsidRDefault="004319E4" w:rsidP="004319E4">
      <w:pPr>
        <w:pStyle w:val="notetext"/>
      </w:pPr>
      <w:r w:rsidRPr="00F00002">
        <w:tab/>
        <w:t>Under paragraph</w:t>
      </w:r>
      <w:r w:rsidR="00F00002">
        <w:t> </w:t>
      </w:r>
      <w:r w:rsidRPr="00F00002">
        <w:t>393</w:t>
      </w:r>
      <w:r w:rsidR="00F00002">
        <w:noBreakHyphen/>
      </w:r>
      <w:r w:rsidRPr="00F00002">
        <w:t>20(2)(b) of the Act, the application form must require the depositor to provide any information required by regulations.</w:t>
      </w:r>
    </w:p>
    <w:p w:rsidR="004319E4" w:rsidRPr="00F00002" w:rsidRDefault="004319E4" w:rsidP="004319E4">
      <w:pPr>
        <w:pStyle w:val="notetext"/>
      </w:pPr>
      <w:r w:rsidRPr="00F00002">
        <w:lastRenderedPageBreak/>
        <w:tab/>
        <w:t>Under paragraph</w:t>
      </w:r>
      <w:r w:rsidR="00F00002">
        <w:t> </w:t>
      </w:r>
      <w:r w:rsidRPr="00F00002">
        <w:t>393</w:t>
      </w:r>
      <w:r w:rsidR="00F00002">
        <w:noBreakHyphen/>
      </w:r>
      <w:r w:rsidRPr="00F00002">
        <w:t>20(2)(a) of the Act, the application form must also permit the depositor to state the owner’s tax file number in the form.</w:t>
      </w:r>
    </w:p>
    <w:p w:rsidR="004319E4" w:rsidRPr="00F00002" w:rsidRDefault="004319E4" w:rsidP="004319E4">
      <w:pPr>
        <w:pStyle w:val="ActHead5"/>
      </w:pPr>
      <w:bookmarkStart w:id="148" w:name="_Toc31109725"/>
      <w:r w:rsidRPr="00A26088">
        <w:rPr>
          <w:rStyle w:val="CharSectno"/>
        </w:rPr>
        <w:t>393</w:t>
      </w:r>
      <w:r w:rsidR="00F00002" w:rsidRPr="00A26088">
        <w:rPr>
          <w:rStyle w:val="CharSectno"/>
        </w:rPr>
        <w:noBreakHyphen/>
      </w:r>
      <w:r w:rsidRPr="00A26088">
        <w:rPr>
          <w:rStyle w:val="CharSectno"/>
        </w:rPr>
        <w:t>10</w:t>
      </w:r>
      <w:r w:rsidRPr="00F00002">
        <w:t xml:space="preserve">  Application form for a farm management deposit: information given to depositor</w:t>
      </w:r>
      <w:bookmarkEnd w:id="148"/>
    </w:p>
    <w:p w:rsidR="004319E4" w:rsidRPr="00F00002" w:rsidRDefault="004319E4" w:rsidP="004319E4">
      <w:pPr>
        <w:pStyle w:val="subsection"/>
      </w:pPr>
      <w:r w:rsidRPr="00F00002">
        <w:tab/>
      </w:r>
      <w:r w:rsidRPr="00F00002">
        <w:tab/>
        <w:t>For paragraph</w:t>
      </w:r>
      <w:r w:rsidR="00F00002">
        <w:t> </w:t>
      </w:r>
      <w:r w:rsidRPr="00F00002">
        <w:t>393</w:t>
      </w:r>
      <w:r w:rsidR="00F00002">
        <w:noBreakHyphen/>
      </w:r>
      <w:r w:rsidRPr="00F00002">
        <w:t>20(2)(c) of the Act, the form used to apply to an FMD provider to make a farm management deposit must contain:</w:t>
      </w:r>
    </w:p>
    <w:p w:rsidR="004319E4" w:rsidRPr="00F00002" w:rsidRDefault="004319E4" w:rsidP="004319E4">
      <w:pPr>
        <w:pStyle w:val="paragraph"/>
      </w:pPr>
      <w:r w:rsidRPr="00F00002">
        <w:tab/>
        <w:t>(a)</w:t>
      </w:r>
      <w:r w:rsidRPr="00F00002">
        <w:tab/>
        <w:t>either of the statements set out in Part</w:t>
      </w:r>
      <w:r w:rsidR="00F00002">
        <w:t> </w:t>
      </w:r>
      <w:r w:rsidRPr="00F00002">
        <w:t>1 of Schedule</w:t>
      </w:r>
      <w:r w:rsidR="00F00002">
        <w:t> </w:t>
      </w:r>
      <w:r w:rsidRPr="00F00002">
        <w:t>1C; and</w:t>
      </w:r>
    </w:p>
    <w:p w:rsidR="004319E4" w:rsidRPr="00F00002" w:rsidRDefault="004319E4" w:rsidP="004319E4">
      <w:pPr>
        <w:pStyle w:val="paragraph"/>
      </w:pPr>
      <w:r w:rsidRPr="00F00002">
        <w:tab/>
        <w:t>(b)</w:t>
      </w:r>
      <w:r w:rsidRPr="00F00002">
        <w:tab/>
        <w:t>the statements set out in Part</w:t>
      </w:r>
      <w:r w:rsidR="00F00002">
        <w:t> </w:t>
      </w:r>
      <w:r w:rsidRPr="00F00002">
        <w:t>2 of Schedule</w:t>
      </w:r>
      <w:r w:rsidR="00F00002">
        <w:t> </w:t>
      </w:r>
      <w:r w:rsidRPr="00F00002">
        <w:t>1C; and</w:t>
      </w:r>
    </w:p>
    <w:p w:rsidR="004319E4" w:rsidRPr="00F00002" w:rsidRDefault="004319E4" w:rsidP="004319E4">
      <w:pPr>
        <w:pStyle w:val="paragraph"/>
      </w:pPr>
      <w:r w:rsidRPr="00F00002">
        <w:tab/>
        <w:t>(c)</w:t>
      </w:r>
      <w:r w:rsidRPr="00F00002">
        <w:tab/>
        <w:t>the additional information required by Part</w:t>
      </w:r>
      <w:r w:rsidR="00F00002">
        <w:t> </w:t>
      </w:r>
      <w:r w:rsidRPr="00F00002">
        <w:t>3 of Schedule</w:t>
      </w:r>
      <w:r w:rsidR="00F00002">
        <w:t> </w:t>
      </w:r>
      <w:r w:rsidRPr="00F00002">
        <w:t>1C.</w:t>
      </w:r>
    </w:p>
    <w:p w:rsidR="004319E4" w:rsidRPr="00F00002" w:rsidRDefault="004319E4" w:rsidP="004319E4">
      <w:pPr>
        <w:pStyle w:val="notetext"/>
      </w:pPr>
      <w:r w:rsidRPr="00F00002">
        <w:t>Note:</w:t>
      </w:r>
      <w:r w:rsidRPr="00F00002">
        <w:tab/>
        <w:t>Subsection</w:t>
      </w:r>
      <w:r w:rsidR="00F00002">
        <w:t> </w:t>
      </w:r>
      <w:r w:rsidRPr="00F00002">
        <w:t>393</w:t>
      </w:r>
      <w:r w:rsidR="00F00002">
        <w:noBreakHyphen/>
      </w:r>
      <w:r w:rsidRPr="00F00002">
        <w:t>20(2) of the Act requires a depositor to apply to an FMD provider to make a farm management deposit with the FMD provider.</w:t>
      </w:r>
    </w:p>
    <w:p w:rsidR="004319E4" w:rsidRPr="00F00002" w:rsidRDefault="004319E4" w:rsidP="004319E4">
      <w:pPr>
        <w:pStyle w:val="notetext"/>
      </w:pPr>
      <w:r w:rsidRPr="00F00002">
        <w:tab/>
        <w:t>Under paragraph</w:t>
      </w:r>
      <w:r w:rsidR="00F00002">
        <w:t> </w:t>
      </w:r>
      <w:r w:rsidRPr="00F00002">
        <w:t>393</w:t>
      </w:r>
      <w:r w:rsidR="00F00002">
        <w:noBreakHyphen/>
      </w:r>
      <w:r w:rsidRPr="00F00002">
        <w:t>20(2)(c) of the Act, the application form must include any statements, required by regulations, that are to be read by the depositor when completing the form.</w:t>
      </w:r>
    </w:p>
    <w:p w:rsidR="004319E4" w:rsidRPr="00F00002" w:rsidRDefault="004319E4" w:rsidP="004319E4">
      <w:pPr>
        <w:pStyle w:val="ActHead5"/>
      </w:pPr>
      <w:bookmarkStart w:id="149" w:name="_Toc31109726"/>
      <w:r w:rsidRPr="00A26088">
        <w:rPr>
          <w:rStyle w:val="CharSectno"/>
        </w:rPr>
        <w:t>393</w:t>
      </w:r>
      <w:r w:rsidR="00F00002" w:rsidRPr="00A26088">
        <w:rPr>
          <w:rStyle w:val="CharSectno"/>
        </w:rPr>
        <w:noBreakHyphen/>
      </w:r>
      <w:r w:rsidRPr="00A26088">
        <w:rPr>
          <w:rStyle w:val="CharSectno"/>
        </w:rPr>
        <w:t>15</w:t>
      </w:r>
      <w:r w:rsidRPr="00F00002">
        <w:t xml:space="preserve">  Repayment of farm management deposit in the event of a natural disaster</w:t>
      </w:r>
      <w:bookmarkEnd w:id="149"/>
    </w:p>
    <w:p w:rsidR="004319E4" w:rsidRPr="00F00002" w:rsidRDefault="004319E4" w:rsidP="004319E4">
      <w:pPr>
        <w:pStyle w:val="subsection"/>
      </w:pPr>
      <w:r w:rsidRPr="00F00002">
        <w:tab/>
      </w:r>
      <w:r w:rsidR="00A0440A" w:rsidRPr="00F00002">
        <w:t>(1)</w:t>
      </w:r>
      <w:r w:rsidRPr="00F00002">
        <w:tab/>
      </w:r>
      <w:r w:rsidR="005D420E" w:rsidRPr="00F00002">
        <w:t>For paragraphs 393</w:t>
      </w:r>
      <w:r w:rsidR="00F00002">
        <w:noBreakHyphen/>
      </w:r>
      <w:r w:rsidR="005D420E" w:rsidRPr="00F00002">
        <w:t>40(3A)(a) and (b) of the Act</w:t>
      </w:r>
      <w:r w:rsidRPr="00F00002">
        <w:t>, the circumstances that are to be satisfied in relation to a repayment of the whole or a part of a farm management deposit are:</w:t>
      </w:r>
    </w:p>
    <w:p w:rsidR="00A0440A" w:rsidRPr="00F00002" w:rsidRDefault="00A0440A" w:rsidP="00A0440A">
      <w:pPr>
        <w:pStyle w:val="paragraph"/>
      </w:pPr>
      <w:r w:rsidRPr="00F00002">
        <w:tab/>
        <w:t>(a)</w:t>
      </w:r>
      <w:r w:rsidRPr="00F00002">
        <w:tab/>
        <w:t>recovery assistance has been provided as a Category C measure, in the form of a recovery grant for a primary producer, in accordance with a determination mentioned in subregulation (2); and</w:t>
      </w:r>
    </w:p>
    <w:p w:rsidR="004319E4" w:rsidRPr="00F00002" w:rsidRDefault="004319E4" w:rsidP="004319E4">
      <w:pPr>
        <w:pStyle w:val="paragraph"/>
      </w:pPr>
      <w:r w:rsidRPr="00F00002">
        <w:tab/>
        <w:t>(b)</w:t>
      </w:r>
      <w:r w:rsidRPr="00F00002">
        <w:tab/>
        <w:t>the recovery assistance was first provided during the 12 month period mentioned in subsection</w:t>
      </w:r>
      <w:r w:rsidR="00F00002">
        <w:t> </w:t>
      </w:r>
      <w:r w:rsidRPr="00F00002">
        <w:t>393</w:t>
      </w:r>
      <w:r w:rsidR="00F00002">
        <w:noBreakHyphen/>
      </w:r>
      <w:r w:rsidRPr="00F00002">
        <w:t>40(1) of the Act; and</w:t>
      </w:r>
    </w:p>
    <w:p w:rsidR="004319E4" w:rsidRPr="00F00002" w:rsidRDefault="004319E4" w:rsidP="004319E4">
      <w:pPr>
        <w:pStyle w:val="paragraph"/>
      </w:pPr>
      <w:r w:rsidRPr="00F00002">
        <w:tab/>
        <w:t>(c)</w:t>
      </w:r>
      <w:r w:rsidRPr="00F00002">
        <w:tab/>
        <w:t>the farm management deposit was repaid after the recovery assistance was first provided.</w:t>
      </w:r>
    </w:p>
    <w:p w:rsidR="004319E4" w:rsidRPr="00F00002" w:rsidRDefault="004319E4" w:rsidP="004319E4">
      <w:pPr>
        <w:pStyle w:val="notetext"/>
      </w:pPr>
      <w:r w:rsidRPr="00F00002">
        <w:t>Note:</w:t>
      </w:r>
      <w:r w:rsidRPr="00F00002">
        <w:tab/>
        <w:t>Paragraph 393</w:t>
      </w:r>
      <w:r w:rsidR="00F00002">
        <w:noBreakHyphen/>
      </w:r>
      <w:r w:rsidRPr="00F00002">
        <w:t>40(3A)(b) of the Act relates to a repayment if natural disaster relief and recovery arrangements made by or on behalf of the Commonwealth apply.</w:t>
      </w:r>
    </w:p>
    <w:p w:rsidR="00A0440A" w:rsidRPr="00F00002" w:rsidRDefault="00A0440A" w:rsidP="00A0440A">
      <w:pPr>
        <w:pStyle w:val="subsection"/>
      </w:pPr>
      <w:r w:rsidRPr="00F00002">
        <w:tab/>
        <w:t>(2)</w:t>
      </w:r>
      <w:r w:rsidRPr="00F00002">
        <w:tab/>
        <w:t xml:space="preserve">For the purposes of </w:t>
      </w:r>
      <w:r w:rsidR="00F00002">
        <w:t>paragraph (</w:t>
      </w:r>
      <w:r w:rsidRPr="00F00002">
        <w:t>1)(a), the determinations are the following:</w:t>
      </w:r>
    </w:p>
    <w:p w:rsidR="00A0440A" w:rsidRPr="00F00002" w:rsidRDefault="00A0440A" w:rsidP="00A0440A">
      <w:pPr>
        <w:pStyle w:val="paragraph"/>
      </w:pPr>
      <w:r w:rsidRPr="00F00002">
        <w:tab/>
        <w:t>(a)</w:t>
      </w:r>
      <w:r w:rsidRPr="00F00002">
        <w:tab/>
        <w:t>Natural Disaster Relief and Recovery Arrangements Determination</w:t>
      </w:r>
      <w:r w:rsidR="00F00002">
        <w:t> </w:t>
      </w:r>
      <w:r w:rsidRPr="00F00002">
        <w:t>2012 Version 2.0, determined by the Minister for Justice on 29</w:t>
      </w:r>
      <w:r w:rsidR="00F00002">
        <w:t> </w:t>
      </w:r>
      <w:r w:rsidRPr="00F00002">
        <w:t>October 2015;</w:t>
      </w:r>
    </w:p>
    <w:p w:rsidR="00A0440A" w:rsidRPr="00F00002" w:rsidRDefault="00A0440A" w:rsidP="0054702B">
      <w:pPr>
        <w:pStyle w:val="paragraph"/>
      </w:pPr>
      <w:r w:rsidRPr="00F00002">
        <w:tab/>
        <w:t>(b)</w:t>
      </w:r>
      <w:r w:rsidRPr="00F00002">
        <w:tab/>
        <w:t>Natural Disaster Relief and Recovery Arrangements Determination</w:t>
      </w:r>
      <w:r w:rsidR="00F00002">
        <w:t> </w:t>
      </w:r>
      <w:r w:rsidRPr="00F00002">
        <w:t>2017, determined by the Minister for Justice and Minister Assisting the Prime Minister for Counter</w:t>
      </w:r>
      <w:r w:rsidR="00F00002">
        <w:noBreakHyphen/>
      </w:r>
      <w:r w:rsidRPr="00F00002">
        <w:t>Terrorism on 1</w:t>
      </w:r>
      <w:r w:rsidR="00F00002">
        <w:t> </w:t>
      </w:r>
      <w:r w:rsidRPr="00F00002">
        <w:t>June 2017;</w:t>
      </w:r>
    </w:p>
    <w:p w:rsidR="00A0440A" w:rsidRPr="00F00002" w:rsidRDefault="00A0440A" w:rsidP="0054702B">
      <w:pPr>
        <w:pStyle w:val="paragraph"/>
      </w:pPr>
      <w:r w:rsidRPr="00F00002">
        <w:tab/>
        <w:t>(c)</w:t>
      </w:r>
      <w:r w:rsidRPr="00F00002">
        <w:tab/>
        <w:t>Disaster Recovery Funding Arrangements 2018, determined by the Minister for Law Enforcement and Cyber Security on 5</w:t>
      </w:r>
      <w:r w:rsidR="00F00002">
        <w:t> </w:t>
      </w:r>
      <w:r w:rsidRPr="00F00002">
        <w:t>June 2018.</w:t>
      </w:r>
    </w:p>
    <w:p w:rsidR="00BB4501" w:rsidRPr="00F00002" w:rsidRDefault="00BB4501" w:rsidP="00D150ED">
      <w:pPr>
        <w:pStyle w:val="ActHead2"/>
        <w:pageBreakBefore/>
      </w:pPr>
      <w:bookmarkStart w:id="150" w:name="_Toc31109727"/>
      <w:r w:rsidRPr="00A26088">
        <w:rPr>
          <w:rStyle w:val="CharPartNo"/>
        </w:rPr>
        <w:lastRenderedPageBreak/>
        <w:t>Part</w:t>
      </w:r>
      <w:r w:rsidR="00F00002" w:rsidRPr="00A26088">
        <w:rPr>
          <w:rStyle w:val="CharPartNo"/>
        </w:rPr>
        <w:t> </w:t>
      </w:r>
      <w:r w:rsidRPr="00A26088">
        <w:rPr>
          <w:rStyle w:val="CharPartNo"/>
        </w:rPr>
        <w:t>4</w:t>
      </w:r>
      <w:r w:rsidR="00D150ED" w:rsidRPr="00F00002">
        <w:t>—</w:t>
      </w:r>
      <w:r w:rsidRPr="00A26088">
        <w:rPr>
          <w:rStyle w:val="CharPartText"/>
        </w:rPr>
        <w:t>International aspects of income tax</w:t>
      </w:r>
      <w:bookmarkEnd w:id="150"/>
    </w:p>
    <w:p w:rsidR="00BB4501" w:rsidRPr="00A26088" w:rsidRDefault="00D150ED" w:rsidP="00BB4501">
      <w:pPr>
        <w:pStyle w:val="Header"/>
      </w:pPr>
      <w:r w:rsidRPr="00A26088">
        <w:rPr>
          <w:rStyle w:val="CharDivNo"/>
        </w:rPr>
        <w:t xml:space="preserve"> </w:t>
      </w:r>
      <w:r w:rsidRPr="00A26088">
        <w:rPr>
          <w:rStyle w:val="CharDivText"/>
        </w:rPr>
        <w:t xml:space="preserve"> </w:t>
      </w:r>
    </w:p>
    <w:p w:rsidR="00BB4501" w:rsidRPr="00F00002" w:rsidRDefault="00BB4501" w:rsidP="00D150ED">
      <w:pPr>
        <w:pStyle w:val="ActHead4"/>
      </w:pPr>
      <w:bookmarkStart w:id="151" w:name="_Toc31109728"/>
      <w:r w:rsidRPr="00A26088">
        <w:rPr>
          <w:rStyle w:val="CharSubdNo"/>
        </w:rPr>
        <w:t>Subdivision</w:t>
      </w:r>
      <w:r w:rsidR="00F00002" w:rsidRPr="00A26088">
        <w:rPr>
          <w:rStyle w:val="CharSubdNo"/>
        </w:rPr>
        <w:t> </w:t>
      </w:r>
      <w:r w:rsidRPr="00A26088">
        <w:rPr>
          <w:rStyle w:val="CharSubdNo"/>
        </w:rPr>
        <w:t>775</w:t>
      </w:r>
      <w:r w:rsidR="00F00002" w:rsidRPr="00A26088">
        <w:rPr>
          <w:rStyle w:val="CharSubdNo"/>
        </w:rPr>
        <w:noBreakHyphen/>
      </w:r>
      <w:r w:rsidRPr="00A26088">
        <w:rPr>
          <w:rStyle w:val="CharSubdNo"/>
        </w:rPr>
        <w:t>B</w:t>
      </w:r>
      <w:r w:rsidR="00D150ED" w:rsidRPr="00F00002">
        <w:t>—</w:t>
      </w:r>
      <w:r w:rsidRPr="00A26088">
        <w:rPr>
          <w:rStyle w:val="CharSubdText"/>
        </w:rPr>
        <w:t>Realisation of forex gains or losses</w:t>
      </w:r>
      <w:bookmarkEnd w:id="151"/>
    </w:p>
    <w:p w:rsidR="00BB4501" w:rsidRPr="00F00002" w:rsidRDefault="00BB4501" w:rsidP="00D150ED">
      <w:pPr>
        <w:pStyle w:val="ActHead5"/>
      </w:pPr>
      <w:bookmarkStart w:id="152" w:name="_Toc31109729"/>
      <w:r w:rsidRPr="00A26088">
        <w:rPr>
          <w:rStyle w:val="CharSectno"/>
        </w:rPr>
        <w:t>775</w:t>
      </w:r>
      <w:r w:rsidR="00F00002" w:rsidRPr="00A26088">
        <w:rPr>
          <w:rStyle w:val="CharSectno"/>
        </w:rPr>
        <w:noBreakHyphen/>
      </w:r>
      <w:r w:rsidRPr="00A26088">
        <w:rPr>
          <w:rStyle w:val="CharSectno"/>
        </w:rPr>
        <w:t>145.01</w:t>
      </w:r>
      <w:r w:rsidR="00D150ED" w:rsidRPr="00F00002">
        <w:t xml:space="preserve">  </w:t>
      </w:r>
      <w:r w:rsidRPr="00F00002">
        <w:t>Application of forex events to currency and fungible rights and obligations</w:t>
      </w:r>
      <w:bookmarkEnd w:id="152"/>
    </w:p>
    <w:p w:rsidR="00BB4501" w:rsidRPr="00F00002" w:rsidRDefault="00BB4501" w:rsidP="00D150ED">
      <w:pPr>
        <w:pStyle w:val="subsection"/>
      </w:pPr>
      <w:r w:rsidRPr="00F00002">
        <w:tab/>
        <w:t>(1)</w:t>
      </w:r>
      <w:r w:rsidRPr="00F00002">
        <w:tab/>
        <w:t>For subsection</w:t>
      </w:r>
      <w:r w:rsidR="00F00002">
        <w:t> </w:t>
      </w:r>
      <w:r w:rsidRPr="00F00002">
        <w:t>775</w:t>
      </w:r>
      <w:r w:rsidR="00F00002">
        <w:noBreakHyphen/>
      </w:r>
      <w:r w:rsidRPr="00F00002">
        <w:t>145(2) of the Act, forex realisation event 1 applies to foreign currency, on a weighted average basis, in the circumstances that an election to use a weighted average basis:</w:t>
      </w:r>
    </w:p>
    <w:p w:rsidR="00BB4501" w:rsidRPr="00F00002" w:rsidRDefault="00BB4501" w:rsidP="00D150ED">
      <w:pPr>
        <w:pStyle w:val="paragraph"/>
      </w:pPr>
      <w:r w:rsidRPr="00F00002">
        <w:rPr>
          <w:color w:val="000000"/>
        </w:rPr>
        <w:tab/>
        <w:t>(a)</w:t>
      </w:r>
      <w:r w:rsidRPr="00F00002">
        <w:rPr>
          <w:color w:val="000000"/>
        </w:rPr>
        <w:tab/>
        <w:t>has been made in writing; and</w:t>
      </w:r>
    </w:p>
    <w:p w:rsidR="00BB4501" w:rsidRPr="00F00002" w:rsidRDefault="00BB4501" w:rsidP="00D150ED">
      <w:pPr>
        <w:pStyle w:val="paragraph"/>
      </w:pPr>
      <w:r w:rsidRPr="00F00002">
        <w:tab/>
        <w:t>(b)</w:t>
      </w:r>
      <w:r w:rsidRPr="00F00002">
        <w:tab/>
        <w:t>complies with subregulation</w:t>
      </w:r>
      <w:r w:rsidR="00135C25" w:rsidRPr="00F00002">
        <w:t> </w:t>
      </w:r>
      <w:r w:rsidRPr="00F00002">
        <w:t>(4); and</w:t>
      </w:r>
    </w:p>
    <w:p w:rsidR="00BB4501" w:rsidRPr="00F00002" w:rsidRDefault="00BB4501" w:rsidP="00D150ED">
      <w:pPr>
        <w:pStyle w:val="paragraph"/>
      </w:pPr>
      <w:r w:rsidRPr="00F00002">
        <w:tab/>
        <w:t>(c)</w:t>
      </w:r>
      <w:r w:rsidRPr="00F00002">
        <w:tab/>
        <w:t>has not been withdrawn in accordance with subregulation</w:t>
      </w:r>
      <w:r w:rsidR="00135C25" w:rsidRPr="00F00002">
        <w:t> </w:t>
      </w:r>
      <w:r w:rsidRPr="00F00002">
        <w:t>(6).</w:t>
      </w:r>
    </w:p>
    <w:p w:rsidR="00BB4501" w:rsidRPr="00F00002" w:rsidRDefault="00BB4501" w:rsidP="00D150ED">
      <w:pPr>
        <w:pStyle w:val="subsection"/>
      </w:pPr>
      <w:r w:rsidRPr="00F00002">
        <w:tab/>
        <w:t>(2)</w:t>
      </w:r>
      <w:r w:rsidRPr="00F00002">
        <w:tab/>
        <w:t>For subsection</w:t>
      </w:r>
      <w:r w:rsidR="00F00002">
        <w:t> </w:t>
      </w:r>
      <w:r w:rsidRPr="00F00002">
        <w:t>775</w:t>
      </w:r>
      <w:r w:rsidR="00F00002">
        <w:noBreakHyphen/>
      </w:r>
      <w:r w:rsidRPr="00F00002">
        <w:t>145(2) of the Act, both of forex realisation events 1 and 2 apply to a fungible right, or a part of a fungible right, to receive foreign currency, on a weighted average basis, in the circumstances that an election to use a weighted average basis:</w:t>
      </w:r>
    </w:p>
    <w:p w:rsidR="00BB4501" w:rsidRPr="00F00002" w:rsidRDefault="00BB4501" w:rsidP="00D150ED">
      <w:pPr>
        <w:pStyle w:val="paragraph"/>
      </w:pPr>
      <w:r w:rsidRPr="00F00002">
        <w:rPr>
          <w:color w:val="000000"/>
        </w:rPr>
        <w:tab/>
        <w:t>(a)</w:t>
      </w:r>
      <w:r w:rsidRPr="00F00002">
        <w:rPr>
          <w:color w:val="000000"/>
        </w:rPr>
        <w:tab/>
        <w:t>has been made in writing; and</w:t>
      </w:r>
    </w:p>
    <w:p w:rsidR="00BB4501" w:rsidRPr="00F00002" w:rsidRDefault="00BB4501" w:rsidP="00D150ED">
      <w:pPr>
        <w:pStyle w:val="paragraph"/>
      </w:pPr>
      <w:r w:rsidRPr="00F00002">
        <w:tab/>
        <w:t>(b)</w:t>
      </w:r>
      <w:r w:rsidRPr="00F00002">
        <w:tab/>
        <w:t>complies with subregulation</w:t>
      </w:r>
      <w:r w:rsidR="00135C25" w:rsidRPr="00F00002">
        <w:t> </w:t>
      </w:r>
      <w:r w:rsidRPr="00F00002">
        <w:t>(4); and</w:t>
      </w:r>
    </w:p>
    <w:p w:rsidR="00BB4501" w:rsidRPr="00F00002" w:rsidRDefault="00BB4501" w:rsidP="00D150ED">
      <w:pPr>
        <w:pStyle w:val="paragraph"/>
      </w:pPr>
      <w:r w:rsidRPr="00F00002">
        <w:tab/>
        <w:t>(c)</w:t>
      </w:r>
      <w:r w:rsidRPr="00F00002">
        <w:tab/>
        <w:t>has not been withdrawn in accordance with subregulation</w:t>
      </w:r>
      <w:r w:rsidR="00135C25" w:rsidRPr="00F00002">
        <w:t> </w:t>
      </w:r>
      <w:r w:rsidRPr="00F00002">
        <w:t>(6).</w:t>
      </w:r>
    </w:p>
    <w:p w:rsidR="00BB4501" w:rsidRPr="00F00002" w:rsidRDefault="00BB4501" w:rsidP="00D150ED">
      <w:pPr>
        <w:pStyle w:val="subsection"/>
      </w:pPr>
      <w:r w:rsidRPr="00F00002">
        <w:tab/>
        <w:t>(3)</w:t>
      </w:r>
      <w:r w:rsidRPr="00F00002">
        <w:tab/>
        <w:t>For subsection</w:t>
      </w:r>
      <w:r w:rsidR="00F00002">
        <w:t> </w:t>
      </w:r>
      <w:r w:rsidRPr="00F00002">
        <w:t>775</w:t>
      </w:r>
      <w:r w:rsidR="00F00002">
        <w:noBreakHyphen/>
      </w:r>
      <w:r w:rsidRPr="00F00002">
        <w:t>145(2) of the Act, forex realisation event 4 applies to a fungible obligation, or a part of a fungible obligation, to pay foreign currency, on a weighted average basis, in the circumstances that an election to use a weighted average basis:</w:t>
      </w:r>
    </w:p>
    <w:p w:rsidR="00BB4501" w:rsidRPr="00F00002" w:rsidRDefault="00BB4501" w:rsidP="00D150ED">
      <w:pPr>
        <w:pStyle w:val="paragraph"/>
      </w:pPr>
      <w:r w:rsidRPr="00F00002">
        <w:rPr>
          <w:color w:val="000000"/>
        </w:rPr>
        <w:tab/>
        <w:t>(a)</w:t>
      </w:r>
      <w:r w:rsidRPr="00F00002">
        <w:rPr>
          <w:color w:val="000000"/>
        </w:rPr>
        <w:tab/>
        <w:t>has been made in writing; and</w:t>
      </w:r>
    </w:p>
    <w:p w:rsidR="00BB4501" w:rsidRPr="00F00002" w:rsidRDefault="00BB4501" w:rsidP="00D150ED">
      <w:pPr>
        <w:pStyle w:val="paragraph"/>
      </w:pPr>
      <w:r w:rsidRPr="00F00002">
        <w:tab/>
        <w:t>(b)</w:t>
      </w:r>
      <w:r w:rsidRPr="00F00002">
        <w:tab/>
        <w:t>complies with subregulation</w:t>
      </w:r>
      <w:r w:rsidR="00135C25" w:rsidRPr="00F00002">
        <w:t> </w:t>
      </w:r>
      <w:r w:rsidRPr="00F00002">
        <w:t>(4); and</w:t>
      </w:r>
    </w:p>
    <w:p w:rsidR="00BB4501" w:rsidRPr="00F00002" w:rsidRDefault="00BB4501" w:rsidP="00D150ED">
      <w:pPr>
        <w:pStyle w:val="paragraph"/>
      </w:pPr>
      <w:r w:rsidRPr="00F00002">
        <w:tab/>
        <w:t>(c)</w:t>
      </w:r>
      <w:r w:rsidRPr="00F00002">
        <w:tab/>
        <w:t>has not been withdrawn in accordance with subregulation</w:t>
      </w:r>
      <w:r w:rsidR="00135C25" w:rsidRPr="00F00002">
        <w:t> </w:t>
      </w:r>
      <w:r w:rsidRPr="00F00002">
        <w:t>(6).</w:t>
      </w:r>
    </w:p>
    <w:p w:rsidR="00BB4501" w:rsidRPr="00F00002" w:rsidRDefault="00BB4501" w:rsidP="00D150ED">
      <w:pPr>
        <w:pStyle w:val="subsection"/>
      </w:pPr>
      <w:r w:rsidRPr="00F00002">
        <w:tab/>
        <w:t>(4)</w:t>
      </w:r>
      <w:r w:rsidRPr="00F00002">
        <w:tab/>
        <w:t>An election complies with this subregulation</w:t>
      </w:r>
      <w:r w:rsidR="00135C25" w:rsidRPr="00F00002">
        <w:t> </w:t>
      </w:r>
      <w:r w:rsidRPr="00F00002">
        <w:t>if it includes:</w:t>
      </w:r>
    </w:p>
    <w:p w:rsidR="00BB4501" w:rsidRPr="00F00002" w:rsidRDefault="00BB4501" w:rsidP="00D150ED">
      <w:pPr>
        <w:pStyle w:val="paragraph"/>
      </w:pPr>
      <w:r w:rsidRPr="00F00002">
        <w:tab/>
        <w:t>(a)</w:t>
      </w:r>
      <w:r w:rsidRPr="00F00002">
        <w:tab/>
        <w:t>a commencement date of:</w:t>
      </w:r>
    </w:p>
    <w:p w:rsidR="00BB4501" w:rsidRPr="00F00002" w:rsidRDefault="00BB4501" w:rsidP="00D150ED">
      <w:pPr>
        <w:pStyle w:val="paragraphsub"/>
      </w:pPr>
      <w:r w:rsidRPr="00F00002">
        <w:rPr>
          <w:color w:val="000000"/>
        </w:rPr>
        <w:tab/>
        <w:t>(i)</w:t>
      </w:r>
      <w:r w:rsidRPr="00F00002">
        <w:rPr>
          <w:color w:val="000000"/>
        </w:rPr>
        <w:tab/>
        <w:t>the date on which it is made; or</w:t>
      </w:r>
    </w:p>
    <w:p w:rsidR="00BB4501" w:rsidRPr="00F00002" w:rsidRDefault="00BB4501" w:rsidP="00D150ED">
      <w:pPr>
        <w:pStyle w:val="paragraphsub"/>
      </w:pPr>
      <w:r w:rsidRPr="00F00002">
        <w:tab/>
        <w:t>(ii)</w:t>
      </w:r>
      <w:r w:rsidRPr="00F00002">
        <w:tab/>
        <w:t xml:space="preserve">if the election is made not later than 90 days after the day on which the </w:t>
      </w:r>
      <w:r w:rsidRPr="00F00002">
        <w:rPr>
          <w:i/>
        </w:rPr>
        <w:t>Income Tax Assessment Amendment Regulations</w:t>
      </w:r>
      <w:r w:rsidR="00F00002">
        <w:rPr>
          <w:i/>
        </w:rPr>
        <w:t> </w:t>
      </w:r>
      <w:r w:rsidRPr="00F00002">
        <w:rPr>
          <w:i/>
        </w:rPr>
        <w:t>2005 (No.</w:t>
      </w:r>
      <w:r w:rsidR="00F00002">
        <w:rPr>
          <w:i/>
        </w:rPr>
        <w:t> </w:t>
      </w:r>
      <w:r w:rsidRPr="00F00002">
        <w:rPr>
          <w:i/>
        </w:rPr>
        <w:t>2)</w:t>
      </w:r>
      <w:r w:rsidRPr="00F00002">
        <w:t xml:space="preserve"> are registered in accordance with the </w:t>
      </w:r>
      <w:r w:rsidRPr="00F00002">
        <w:rPr>
          <w:i/>
        </w:rPr>
        <w:t>Legislative Instruments Act 2003</w:t>
      </w:r>
      <w:r w:rsidR="00D150ED" w:rsidRPr="00F00002">
        <w:t>—</w:t>
      </w:r>
      <w:r w:rsidRPr="00F00002">
        <w:t>the applicable commencement date mentioned in section</w:t>
      </w:r>
      <w:r w:rsidR="00F00002">
        <w:t> </w:t>
      </w:r>
      <w:r w:rsidRPr="00F00002">
        <w:t>775</w:t>
      </w:r>
      <w:r w:rsidR="00F00002">
        <w:noBreakHyphen/>
      </w:r>
      <w:r w:rsidRPr="00F00002">
        <w:t>155 of the Act; or</w:t>
      </w:r>
    </w:p>
    <w:p w:rsidR="00BB4501" w:rsidRPr="00F00002" w:rsidRDefault="00BB4501" w:rsidP="00D150ED">
      <w:pPr>
        <w:pStyle w:val="paragraphsub"/>
      </w:pPr>
      <w:r w:rsidRPr="00F00002">
        <w:tab/>
        <w:t>(iii)</w:t>
      </w:r>
      <w:r w:rsidRPr="00F00002">
        <w:tab/>
        <w:t>1</w:t>
      </w:r>
      <w:r w:rsidR="00F00002">
        <w:t> </w:t>
      </w:r>
      <w:r w:rsidRPr="00F00002">
        <w:t>July 2004; and</w:t>
      </w:r>
    </w:p>
    <w:p w:rsidR="00BB4501" w:rsidRPr="00F00002" w:rsidRDefault="00BB4501" w:rsidP="00D150ED">
      <w:pPr>
        <w:pStyle w:val="paragraph"/>
      </w:pPr>
      <w:r w:rsidRPr="00F00002">
        <w:tab/>
        <w:t>(b)</w:t>
      </w:r>
      <w:r w:rsidRPr="00F00002">
        <w:tab/>
        <w:t>a statement that the election is for all of the forex realisation events that are applicable to the fungible thing to which the election relates to apply, on a weighted average basis, to:</w:t>
      </w:r>
    </w:p>
    <w:p w:rsidR="00BB4501" w:rsidRPr="00F00002" w:rsidRDefault="00BB4501" w:rsidP="00D150ED">
      <w:pPr>
        <w:pStyle w:val="paragraphsub"/>
      </w:pPr>
      <w:r w:rsidRPr="00F00002">
        <w:rPr>
          <w:color w:val="000000"/>
        </w:rPr>
        <w:lastRenderedPageBreak/>
        <w:tab/>
        <w:t>(i)</w:t>
      </w:r>
      <w:r w:rsidRPr="00F00002">
        <w:rPr>
          <w:color w:val="000000"/>
        </w:rPr>
        <w:tab/>
        <w:t xml:space="preserve">all fungible things (other than a fungible thing in relation to which a choice under </w:t>
      </w:r>
      <w:r w:rsidR="00D150ED" w:rsidRPr="00F00002">
        <w:rPr>
          <w:color w:val="000000"/>
        </w:rPr>
        <w:t>Subdivision</w:t>
      </w:r>
      <w:r w:rsidR="00F00002">
        <w:rPr>
          <w:color w:val="000000"/>
        </w:rPr>
        <w:t> </w:t>
      </w:r>
      <w:r w:rsidRPr="00F00002">
        <w:rPr>
          <w:color w:val="000000"/>
        </w:rPr>
        <w:t>775</w:t>
      </w:r>
      <w:r w:rsidR="00F00002">
        <w:rPr>
          <w:color w:val="000000"/>
        </w:rPr>
        <w:noBreakHyphen/>
      </w:r>
      <w:r w:rsidRPr="00F00002">
        <w:rPr>
          <w:color w:val="000000"/>
        </w:rPr>
        <w:t>E of the Act is in effect); or</w:t>
      </w:r>
    </w:p>
    <w:p w:rsidR="00BB4501" w:rsidRPr="00F00002" w:rsidRDefault="00BB4501" w:rsidP="00D150ED">
      <w:pPr>
        <w:pStyle w:val="paragraphsub"/>
      </w:pPr>
      <w:r w:rsidRPr="00F00002">
        <w:tab/>
        <w:t>(ii)</w:t>
      </w:r>
      <w:r w:rsidRPr="00F00002">
        <w:tab/>
        <w:t xml:space="preserve">1 or more specified classes of fungible things, other than a fungible thing in relation to which a choice under </w:t>
      </w:r>
      <w:r w:rsidR="00D150ED" w:rsidRPr="00F00002">
        <w:t>Subdivision</w:t>
      </w:r>
      <w:r w:rsidR="00F00002">
        <w:t> </w:t>
      </w:r>
      <w:r w:rsidRPr="00F00002">
        <w:t>775</w:t>
      </w:r>
      <w:r w:rsidR="00F00002">
        <w:noBreakHyphen/>
      </w:r>
      <w:r w:rsidRPr="00F00002">
        <w:t>E of the Act is in effect, in circumstances (explained in the statement) in which the effect of the election would reasonably be expected to be the reduction of the costs of compliance with the income tax law; or</w:t>
      </w:r>
    </w:p>
    <w:p w:rsidR="00BB4501" w:rsidRPr="00F00002" w:rsidRDefault="00BB4501" w:rsidP="00D150ED">
      <w:pPr>
        <w:pStyle w:val="paragraphsub"/>
      </w:pPr>
      <w:r w:rsidRPr="00F00002">
        <w:tab/>
        <w:t>(iii)</w:t>
      </w:r>
      <w:r w:rsidRPr="00F00002">
        <w:tab/>
        <w:t>1 or more specified fungible things in circumstances (explained in the statement) in which the effect of the election would be consistent with the treatment of those fungible things in the accounting records of the entity making the election, if those records were prepared in accordance with generally accepted accounting principles.</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 xml:space="preserve">The </w:t>
      </w:r>
      <w:r w:rsidR="00BB4501" w:rsidRPr="00F00002">
        <w:rPr>
          <w:b/>
          <w:i/>
          <w:color w:val="000000"/>
        </w:rPr>
        <w:t>applicable commencement date</w:t>
      </w:r>
      <w:r w:rsidR="00BB4501" w:rsidRPr="00F00002">
        <w:rPr>
          <w:i/>
          <w:color w:val="000000"/>
        </w:rPr>
        <w:t xml:space="preserve"> </w:t>
      </w:r>
      <w:r w:rsidR="00BB4501" w:rsidRPr="00F00002">
        <w:rPr>
          <w:color w:val="000000"/>
        </w:rPr>
        <w:t>is explained in section</w:t>
      </w:r>
      <w:r w:rsidR="00F00002">
        <w:rPr>
          <w:color w:val="000000"/>
        </w:rPr>
        <w:t> </w:t>
      </w:r>
      <w:r w:rsidR="00BB4501" w:rsidRPr="00F00002">
        <w:rPr>
          <w:color w:val="000000"/>
        </w:rPr>
        <w:t>775</w:t>
      </w:r>
      <w:r w:rsidR="00F00002">
        <w:rPr>
          <w:color w:val="000000"/>
        </w:rPr>
        <w:noBreakHyphen/>
      </w:r>
      <w:r w:rsidR="00BB4501" w:rsidRPr="00F00002">
        <w:rPr>
          <w:color w:val="000000"/>
        </w:rPr>
        <w:t>155 of the Act.</w:t>
      </w:r>
    </w:p>
    <w:p w:rsidR="00BB4501" w:rsidRPr="00F00002" w:rsidRDefault="00BB4501" w:rsidP="00D150ED">
      <w:pPr>
        <w:pStyle w:val="subsection"/>
      </w:pPr>
      <w:r w:rsidRPr="00F00002">
        <w:rPr>
          <w:color w:val="000000"/>
        </w:rPr>
        <w:tab/>
        <w:t>(5)</w:t>
      </w:r>
      <w:r w:rsidRPr="00F00002">
        <w:rPr>
          <w:color w:val="000000"/>
        </w:rPr>
        <w:tab/>
        <w:t>An election that complies with subregulation</w:t>
      </w:r>
      <w:r w:rsidR="00135C25" w:rsidRPr="00F00002">
        <w:rPr>
          <w:color w:val="000000"/>
        </w:rPr>
        <w:t> </w:t>
      </w:r>
      <w:r w:rsidRPr="00F00002">
        <w:rPr>
          <w:color w:val="000000"/>
        </w:rPr>
        <w:t>(4) takes effect in accordance with subregulation</w:t>
      </w:r>
      <w:r w:rsidR="00135C25" w:rsidRPr="00F00002">
        <w:rPr>
          <w:color w:val="000000"/>
        </w:rPr>
        <w:t> </w:t>
      </w:r>
      <w:r w:rsidRPr="00F00002">
        <w:rPr>
          <w:color w:val="000000"/>
        </w:rPr>
        <w:t>(4).</w:t>
      </w:r>
    </w:p>
    <w:p w:rsidR="00BB4501" w:rsidRPr="00F00002" w:rsidRDefault="00BB4501" w:rsidP="00D150ED">
      <w:pPr>
        <w:pStyle w:val="subsection"/>
      </w:pPr>
      <w:r w:rsidRPr="00F00002">
        <w:tab/>
        <w:t>(6)</w:t>
      </w:r>
      <w:r w:rsidRPr="00F00002">
        <w:tab/>
        <w:t>An entity may withdraw an election only if:</w:t>
      </w:r>
    </w:p>
    <w:p w:rsidR="00BB4501" w:rsidRPr="00F00002" w:rsidRDefault="00BB4501" w:rsidP="00D150ED">
      <w:pPr>
        <w:pStyle w:val="paragraph"/>
      </w:pPr>
      <w:r w:rsidRPr="00F00002">
        <w:rPr>
          <w:color w:val="000000"/>
        </w:rPr>
        <w:tab/>
        <w:t>(a)</w:t>
      </w:r>
      <w:r w:rsidRPr="00F00002">
        <w:rPr>
          <w:color w:val="000000"/>
        </w:rPr>
        <w:tab/>
        <w:t>it does not appear on reasonable grounds that the election is being withdrawn for a principal purpose of obtaining a tax benefit; and</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A tax benefit may be an incidental consequence of the withdrawal of an election.</w:t>
      </w:r>
    </w:p>
    <w:p w:rsidR="00BB4501" w:rsidRPr="00F00002" w:rsidRDefault="00BB4501" w:rsidP="00D150ED">
      <w:pPr>
        <w:pStyle w:val="paragraph"/>
      </w:pPr>
      <w:r w:rsidRPr="00F00002">
        <w:tab/>
        <w:t>(b)</w:t>
      </w:r>
      <w:r w:rsidRPr="00F00002">
        <w:tab/>
        <w:t>either:</w:t>
      </w:r>
    </w:p>
    <w:p w:rsidR="00BB4501" w:rsidRPr="00F00002" w:rsidRDefault="00BB4501" w:rsidP="00D150ED">
      <w:pPr>
        <w:pStyle w:val="paragraphsub"/>
      </w:pPr>
      <w:r w:rsidRPr="00F00002">
        <w:rPr>
          <w:color w:val="000000"/>
        </w:rPr>
        <w:tab/>
        <w:t>(i)</w:t>
      </w:r>
      <w:r w:rsidRPr="00F00002">
        <w:rPr>
          <w:color w:val="000000"/>
        </w:rPr>
        <w:tab/>
        <w:t>if accounting records in relation to the treatment of fungible things to which the election applies are being kept by the entity and prepared in accordance with generally accepted accounting principles</w:t>
      </w:r>
      <w:r w:rsidR="00D150ED" w:rsidRPr="00F00002">
        <w:rPr>
          <w:color w:val="000000"/>
        </w:rPr>
        <w:t>—</w:t>
      </w:r>
      <w:r w:rsidRPr="00F00002">
        <w:rPr>
          <w:color w:val="000000"/>
        </w:rPr>
        <w:t>the election is being withdrawn because there has been a change to the entity’s accounting practices; or</w:t>
      </w:r>
    </w:p>
    <w:p w:rsidR="00BB4501" w:rsidRPr="00F00002" w:rsidRDefault="00BB4501" w:rsidP="00D150ED">
      <w:pPr>
        <w:pStyle w:val="paragraphsub"/>
      </w:pPr>
      <w:r w:rsidRPr="00F00002">
        <w:tab/>
        <w:t>(ii)</w:t>
      </w:r>
      <w:r w:rsidRPr="00F00002">
        <w:tab/>
        <w:t>if:</w:t>
      </w:r>
    </w:p>
    <w:p w:rsidR="00BB4501" w:rsidRPr="00F00002" w:rsidRDefault="00BB4501" w:rsidP="00D150ED">
      <w:pPr>
        <w:pStyle w:val="paragraphsub-sub"/>
      </w:pPr>
      <w:r w:rsidRPr="00F00002">
        <w:rPr>
          <w:color w:val="000000"/>
        </w:rPr>
        <w:tab/>
        <w:t>(A)</w:t>
      </w:r>
      <w:r w:rsidRPr="00F00002">
        <w:rPr>
          <w:color w:val="000000"/>
        </w:rPr>
        <w:tab/>
        <w:t>accounting records in relation to the treatment of fungible things to which the election applies by the entity are not being kept by the entity and prepared in accordance with generally accepted accounting principles; and</w:t>
      </w:r>
    </w:p>
    <w:p w:rsidR="00BB4501" w:rsidRPr="00F00002" w:rsidRDefault="00BB4501" w:rsidP="00D150ED">
      <w:pPr>
        <w:pStyle w:val="paragraphsub-sub"/>
      </w:pPr>
      <w:r w:rsidRPr="00F00002">
        <w:tab/>
        <w:t>(B)</w:t>
      </w:r>
      <w:r w:rsidRPr="00F00002">
        <w:tab/>
        <w:t xml:space="preserve">the election includes the statement mentioned in </w:t>
      </w:r>
      <w:r w:rsidR="00F00002">
        <w:t>subparagraph (</w:t>
      </w:r>
      <w:r w:rsidRPr="00F00002">
        <w:t>4</w:t>
      </w:r>
      <w:r w:rsidR="00D150ED" w:rsidRPr="00F00002">
        <w:t>)(</w:t>
      </w:r>
      <w:r w:rsidRPr="00F00002">
        <w:t>b</w:t>
      </w:r>
      <w:r w:rsidR="00D150ED" w:rsidRPr="00F00002">
        <w:t>)(</w:t>
      </w:r>
      <w:r w:rsidRPr="00F00002">
        <w:t>ii);</w:t>
      </w:r>
    </w:p>
    <w:p w:rsidR="00BB4501" w:rsidRPr="00F00002" w:rsidRDefault="00BB4501" w:rsidP="00D150ED">
      <w:pPr>
        <w:pStyle w:val="paragraphsub"/>
      </w:pPr>
      <w:r w:rsidRPr="00F00002">
        <w:rPr>
          <w:color w:val="000000"/>
        </w:rPr>
        <w:tab/>
      </w:r>
      <w:r w:rsidRPr="00F00002">
        <w:rPr>
          <w:color w:val="000000"/>
        </w:rPr>
        <w:tab/>
        <w:t xml:space="preserve">there has been a change in the entity’s circumstances that makes the statement mentioned in </w:t>
      </w:r>
      <w:r w:rsidR="00F00002">
        <w:rPr>
          <w:color w:val="000000"/>
        </w:rPr>
        <w:t>subparagraph (</w:t>
      </w:r>
      <w:r w:rsidRPr="00F00002">
        <w:rPr>
          <w:color w:val="000000"/>
        </w:rPr>
        <w:t>4</w:t>
      </w:r>
      <w:r w:rsidR="00D150ED" w:rsidRPr="00F00002">
        <w:rPr>
          <w:color w:val="000000"/>
        </w:rPr>
        <w:t>)(</w:t>
      </w:r>
      <w:r w:rsidRPr="00F00002">
        <w:rPr>
          <w:color w:val="000000"/>
        </w:rPr>
        <w:t>b</w:t>
      </w:r>
      <w:r w:rsidR="00D150ED" w:rsidRPr="00F00002">
        <w:rPr>
          <w:color w:val="000000"/>
        </w:rPr>
        <w:t>)(</w:t>
      </w:r>
      <w:r w:rsidRPr="00F00002">
        <w:rPr>
          <w:color w:val="000000"/>
        </w:rPr>
        <w:t>ii) incorrect.</w:t>
      </w:r>
    </w:p>
    <w:p w:rsidR="00BB4501" w:rsidRPr="00F00002" w:rsidRDefault="00D150ED" w:rsidP="00D150ED">
      <w:pPr>
        <w:pStyle w:val="notetext"/>
      </w:pPr>
      <w:r w:rsidRPr="00F00002">
        <w:t>Note:</w:t>
      </w:r>
      <w:r w:rsidRPr="00F00002">
        <w:tab/>
      </w:r>
      <w:r w:rsidR="00BB4501" w:rsidRPr="00F00002">
        <w:t xml:space="preserve">A </w:t>
      </w:r>
      <w:r w:rsidR="00BB4501" w:rsidRPr="00F00002">
        <w:rPr>
          <w:b/>
          <w:i/>
        </w:rPr>
        <w:t>weighted average basis</w:t>
      </w:r>
      <w:r w:rsidR="00BB4501" w:rsidRPr="00F00002">
        <w:t>, which is mentioned in section</w:t>
      </w:r>
      <w:r w:rsidR="00F00002">
        <w:t> </w:t>
      </w:r>
      <w:r w:rsidR="00BB4501" w:rsidRPr="00F00002">
        <w:t>775</w:t>
      </w:r>
      <w:r w:rsidR="00F00002">
        <w:noBreakHyphen/>
      </w:r>
      <w:r w:rsidR="00BB4501" w:rsidRPr="00F00002">
        <w:t>145 of the Act, is used to allow:</w:t>
      </w:r>
    </w:p>
    <w:p w:rsidR="00BB4501" w:rsidRPr="00F00002" w:rsidRDefault="00BB4501" w:rsidP="00030698">
      <w:pPr>
        <w:pStyle w:val="notepara"/>
        <w:numPr>
          <w:ilvl w:val="0"/>
          <w:numId w:val="26"/>
        </w:numPr>
        <w:ind w:left="2324"/>
      </w:pPr>
      <w:bookmarkStart w:id="153" w:name="BK_S3P72L35C3"/>
      <w:bookmarkEnd w:id="153"/>
      <w:r w:rsidRPr="00F00002">
        <w:t xml:space="preserve">the cost of a fungible amount; or </w:t>
      </w:r>
    </w:p>
    <w:p w:rsidR="00BB4501" w:rsidRPr="00F00002" w:rsidRDefault="00BB4501" w:rsidP="00030698">
      <w:pPr>
        <w:pStyle w:val="notepara"/>
        <w:numPr>
          <w:ilvl w:val="0"/>
          <w:numId w:val="26"/>
        </w:numPr>
        <w:ind w:left="2324"/>
      </w:pPr>
      <w:r w:rsidRPr="00F00002">
        <w:t>the cost of a part of a fungible amount; or</w:t>
      </w:r>
    </w:p>
    <w:p w:rsidR="00BB4501" w:rsidRPr="00F00002" w:rsidRDefault="00BB4501" w:rsidP="00030698">
      <w:pPr>
        <w:pStyle w:val="notepara"/>
        <w:numPr>
          <w:ilvl w:val="0"/>
          <w:numId w:val="26"/>
        </w:numPr>
        <w:ind w:left="2324"/>
      </w:pPr>
      <w:bookmarkStart w:id="154" w:name="BK_S3P72L37C3"/>
      <w:bookmarkEnd w:id="154"/>
      <w:r w:rsidRPr="00F00002">
        <w:t>in the case of a fungible obligation, or a part of a fungible obligation</w:t>
      </w:r>
      <w:r w:rsidR="00D150ED" w:rsidRPr="00F00002">
        <w:t>—</w:t>
      </w:r>
      <w:r w:rsidRPr="00F00002">
        <w:t>the proceeds of assuming the obligation or the part of the fungible obligation;</w:t>
      </w:r>
    </w:p>
    <w:p w:rsidR="00BB4501" w:rsidRPr="00F00002" w:rsidRDefault="002F4898" w:rsidP="007C6A16">
      <w:pPr>
        <w:pStyle w:val="notetext"/>
        <w:spacing w:before="40"/>
      </w:pPr>
      <w:r w:rsidRPr="00F00002">
        <w:rPr>
          <w:color w:val="000000"/>
        </w:rPr>
        <w:tab/>
      </w:r>
      <w:r w:rsidR="00BB4501" w:rsidRPr="00F00002">
        <w:rPr>
          <w:color w:val="000000"/>
        </w:rPr>
        <w:t>at a particular time to be determined by the weighted average cost of the amounts that were previously added to the fungible amount.</w:t>
      </w:r>
    </w:p>
    <w:p w:rsidR="00BB4501" w:rsidRPr="00F00002" w:rsidRDefault="002F4898" w:rsidP="00030698">
      <w:pPr>
        <w:pStyle w:val="notetext"/>
        <w:spacing w:before="240"/>
      </w:pPr>
      <w:r w:rsidRPr="00F00002">
        <w:lastRenderedPageBreak/>
        <w:tab/>
      </w:r>
      <w:r w:rsidR="00BB4501" w:rsidRPr="00F00002">
        <w:t>Example demonstrating the use of the weighted average basis to a foreign currency bank account</w:t>
      </w:r>
    </w:p>
    <w:p w:rsidR="00BB4501" w:rsidRPr="00F00002" w:rsidRDefault="002F4898" w:rsidP="00030698">
      <w:pPr>
        <w:pStyle w:val="notetext"/>
        <w:spacing w:before="60"/>
      </w:pPr>
      <w:r w:rsidRPr="00F00002">
        <w:tab/>
      </w:r>
      <w:r w:rsidR="00BB4501" w:rsidRPr="00F00002">
        <w:t>John deposits amounts of US dollars (</w:t>
      </w:r>
      <w:r w:rsidR="00BB4501" w:rsidRPr="00F00002">
        <w:rPr>
          <w:b/>
          <w:i/>
        </w:rPr>
        <w:t>US$</w:t>
      </w:r>
      <w:r w:rsidR="00BB4501" w:rsidRPr="00F00002">
        <w:t>) into his bank account at times T</w:t>
      </w:r>
      <w:r w:rsidR="00BB4501" w:rsidRPr="00F00002">
        <w:rPr>
          <w:vertAlign w:val="subscript"/>
        </w:rPr>
        <w:t>1</w:t>
      </w:r>
      <w:r w:rsidR="00BB4501" w:rsidRPr="00F00002">
        <w:t>, T</w:t>
      </w:r>
      <w:r w:rsidR="00BB4501" w:rsidRPr="00F00002">
        <w:rPr>
          <w:vertAlign w:val="subscript"/>
        </w:rPr>
        <w:t>2</w:t>
      </w:r>
      <w:r w:rsidR="00BB4501" w:rsidRPr="00F00002">
        <w:t>, T</w:t>
      </w:r>
      <w:r w:rsidR="00BB4501" w:rsidRPr="00F00002">
        <w:rPr>
          <w:vertAlign w:val="subscript"/>
        </w:rPr>
        <w:t>3</w:t>
      </w:r>
      <w:r w:rsidR="00BB4501" w:rsidRPr="00F00002">
        <w:t xml:space="preserve"> and T</w:t>
      </w:r>
      <w:r w:rsidR="00BB4501" w:rsidRPr="00F00002">
        <w:rPr>
          <w:vertAlign w:val="subscript"/>
        </w:rPr>
        <w:t>7</w:t>
      </w:r>
      <w:r w:rsidR="00BB4501" w:rsidRPr="00F00002">
        <w:t>. At times T</w:t>
      </w:r>
      <w:r w:rsidR="00BB4501" w:rsidRPr="00F00002">
        <w:rPr>
          <w:vertAlign w:val="subscript"/>
        </w:rPr>
        <w:t>4</w:t>
      </w:r>
      <w:r w:rsidR="00BB4501" w:rsidRPr="00F00002">
        <w:t>, T</w:t>
      </w:r>
      <w:r w:rsidR="00BB4501" w:rsidRPr="00F00002">
        <w:rPr>
          <w:vertAlign w:val="subscript"/>
        </w:rPr>
        <w:t>5</w:t>
      </w:r>
      <w:r w:rsidR="00BB4501" w:rsidRPr="00F00002">
        <w:t xml:space="preserve"> and T</w:t>
      </w:r>
      <w:r w:rsidR="00BB4501" w:rsidRPr="00F00002">
        <w:rPr>
          <w:vertAlign w:val="subscript"/>
        </w:rPr>
        <w:t>6</w:t>
      </w:r>
      <w:r w:rsidR="00BB4501" w:rsidRPr="00F00002">
        <w:t>, John either withdraws some of the US dollars or draws on the account’s credit facility.</w:t>
      </w:r>
    </w:p>
    <w:p w:rsidR="00BB4501" w:rsidRPr="00F00002" w:rsidRDefault="002F4898" w:rsidP="00030698">
      <w:pPr>
        <w:pStyle w:val="notetext"/>
        <w:spacing w:before="60"/>
      </w:pPr>
      <w:r w:rsidRPr="00F00002">
        <w:tab/>
      </w:r>
      <w:r w:rsidR="00BB4501" w:rsidRPr="00F00002">
        <w:t>In this example, a weighted average calculation is made at the time of each transaction, where applicable. An alternative method would be to make 1</w:t>
      </w:r>
      <w:r w:rsidR="00672E95" w:rsidRPr="00F00002">
        <w:t xml:space="preserve"> </w:t>
      </w:r>
      <w:r w:rsidR="00BB4501" w:rsidRPr="00F00002">
        <w:t>calculation for the entire income year (although this alternative method is not appropriate in this example because the account balance changes from credit to debit). Generally, either method is suitable as long as it is used consistently.</w:t>
      </w:r>
    </w:p>
    <w:p w:rsidR="00BB4501" w:rsidRPr="00F00002" w:rsidRDefault="002F4898" w:rsidP="00030698">
      <w:pPr>
        <w:pStyle w:val="notetext"/>
        <w:spacing w:before="60"/>
      </w:pPr>
      <w:r w:rsidRPr="00F00002">
        <w:tab/>
      </w:r>
      <w:r w:rsidR="00BB4501" w:rsidRPr="00F00002">
        <w:t>The weighted average cost (</w:t>
      </w:r>
      <w:r w:rsidR="00BB4501" w:rsidRPr="00F00002">
        <w:rPr>
          <w:b/>
          <w:i/>
        </w:rPr>
        <w:t>WAC</w:t>
      </w:r>
      <w:r w:rsidR="00BB4501" w:rsidRPr="00F00002">
        <w:t>) of the US$ which John holds from times T</w:t>
      </w:r>
      <w:r w:rsidR="00BB4501" w:rsidRPr="00F00002">
        <w:rPr>
          <w:vertAlign w:val="subscript"/>
        </w:rPr>
        <w:t>1</w:t>
      </w:r>
      <w:r w:rsidR="00BB4501" w:rsidRPr="00F00002">
        <w:t xml:space="preserve"> to T</w:t>
      </w:r>
      <w:r w:rsidR="00BB4501" w:rsidRPr="00F00002">
        <w:rPr>
          <w:vertAlign w:val="subscript"/>
        </w:rPr>
        <w:t>7</w:t>
      </w:r>
      <w:r w:rsidR="00BB4501" w:rsidRPr="00F00002">
        <w:t xml:space="preserve"> is shown in the 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2"/>
        <w:gridCol w:w="1322"/>
        <w:gridCol w:w="1163"/>
        <w:gridCol w:w="1163"/>
        <w:gridCol w:w="1046"/>
        <w:gridCol w:w="969"/>
        <w:gridCol w:w="1225"/>
        <w:gridCol w:w="819"/>
      </w:tblGrid>
      <w:tr w:rsidR="00BB4501" w:rsidRPr="00F00002" w:rsidTr="000505B9">
        <w:tc>
          <w:tcPr>
            <w:tcW w:w="482"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Time</w:t>
            </w:r>
          </w:p>
        </w:tc>
        <w:tc>
          <w:tcPr>
            <w:tcW w:w="775"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US$ deposit or withdrawal</w:t>
            </w:r>
          </w:p>
        </w:tc>
        <w:tc>
          <w:tcPr>
            <w:tcW w:w="682"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Exchange rate</w:t>
            </w:r>
            <w:r w:rsidRPr="00F00002">
              <w:rPr>
                <w:sz w:val="19"/>
                <w:szCs w:val="19"/>
              </w:rPr>
              <w:br/>
              <w:t>US$ : A$</w:t>
            </w:r>
          </w:p>
        </w:tc>
        <w:tc>
          <w:tcPr>
            <w:tcW w:w="682"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Exchange rate</w:t>
            </w:r>
            <w:r w:rsidRPr="00F00002">
              <w:rPr>
                <w:sz w:val="19"/>
                <w:szCs w:val="19"/>
              </w:rPr>
              <w:br/>
              <w:t>A$ : US$</w:t>
            </w:r>
          </w:p>
        </w:tc>
        <w:tc>
          <w:tcPr>
            <w:tcW w:w="613"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A$ amount</w:t>
            </w:r>
          </w:p>
        </w:tc>
        <w:tc>
          <w:tcPr>
            <w:tcW w:w="568"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US$ balance</w:t>
            </w:r>
          </w:p>
        </w:tc>
        <w:tc>
          <w:tcPr>
            <w:tcW w:w="718"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A$</w:t>
            </w:r>
            <w:r w:rsidR="000C1E49" w:rsidRPr="00F00002">
              <w:rPr>
                <w:sz w:val="19"/>
                <w:szCs w:val="19"/>
              </w:rPr>
              <w:t xml:space="preserve"> </w:t>
            </w:r>
            <w:r w:rsidRPr="00F00002">
              <w:rPr>
                <w:sz w:val="19"/>
                <w:szCs w:val="19"/>
              </w:rPr>
              <w:t>equivalent balance</w:t>
            </w:r>
            <w:r w:rsidR="000C1E49" w:rsidRPr="00F00002">
              <w:rPr>
                <w:sz w:val="19"/>
                <w:szCs w:val="19"/>
              </w:rPr>
              <w:t xml:space="preserve"> </w:t>
            </w:r>
            <w:r w:rsidRPr="00F00002">
              <w:rPr>
                <w:sz w:val="19"/>
                <w:szCs w:val="19"/>
              </w:rPr>
              <w:t>(WAC)</w:t>
            </w:r>
          </w:p>
        </w:tc>
        <w:tc>
          <w:tcPr>
            <w:tcW w:w="480" w:type="pct"/>
            <w:tcBorders>
              <w:top w:val="single" w:sz="12" w:space="0" w:color="auto"/>
              <w:bottom w:val="single" w:sz="12" w:space="0" w:color="auto"/>
            </w:tcBorders>
            <w:shd w:val="clear" w:color="auto" w:fill="auto"/>
          </w:tcPr>
          <w:p w:rsidR="00BB4501" w:rsidRPr="00F00002" w:rsidRDefault="00BB4501" w:rsidP="000C1E49">
            <w:pPr>
              <w:pStyle w:val="TableHeading"/>
              <w:rPr>
                <w:sz w:val="19"/>
                <w:szCs w:val="19"/>
              </w:rPr>
            </w:pPr>
            <w:r w:rsidRPr="00F00002">
              <w:rPr>
                <w:sz w:val="19"/>
                <w:szCs w:val="19"/>
              </w:rPr>
              <w:t>WAC per US$</w:t>
            </w:r>
          </w:p>
        </w:tc>
      </w:tr>
      <w:tr w:rsidR="00BB4501" w:rsidRPr="00F00002" w:rsidTr="000505B9">
        <w:tc>
          <w:tcPr>
            <w:tcW w:w="482"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1</w:t>
            </w:r>
          </w:p>
        </w:tc>
        <w:tc>
          <w:tcPr>
            <w:tcW w:w="775"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000</w:t>
            </w:r>
          </w:p>
        </w:tc>
        <w:tc>
          <w:tcPr>
            <w:tcW w:w="682"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1.3889</w:t>
            </w:r>
          </w:p>
        </w:tc>
        <w:tc>
          <w:tcPr>
            <w:tcW w:w="682"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0.7200</w:t>
            </w:r>
          </w:p>
        </w:tc>
        <w:tc>
          <w:tcPr>
            <w:tcW w:w="613"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388.89</w:t>
            </w:r>
          </w:p>
        </w:tc>
        <w:tc>
          <w:tcPr>
            <w:tcW w:w="568"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000</w:t>
            </w:r>
          </w:p>
        </w:tc>
        <w:tc>
          <w:tcPr>
            <w:tcW w:w="718"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388.89</w:t>
            </w:r>
          </w:p>
        </w:tc>
        <w:tc>
          <w:tcPr>
            <w:tcW w:w="480" w:type="pct"/>
            <w:tcBorders>
              <w:top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1.3889</w:t>
            </w:r>
          </w:p>
        </w:tc>
      </w:tr>
      <w:tr w:rsidR="00BB4501" w:rsidRPr="00F00002" w:rsidTr="000505B9">
        <w:tc>
          <w:tcPr>
            <w:tcW w:w="482" w:type="pct"/>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2</w:t>
            </w:r>
          </w:p>
        </w:tc>
        <w:tc>
          <w:tcPr>
            <w:tcW w:w="775" w:type="pct"/>
            <w:shd w:val="clear" w:color="auto" w:fill="auto"/>
          </w:tcPr>
          <w:p w:rsidR="00BB4501" w:rsidRPr="00F00002" w:rsidRDefault="00BB4501" w:rsidP="00D150ED">
            <w:pPr>
              <w:pStyle w:val="Tabletext"/>
              <w:rPr>
                <w:sz w:val="18"/>
                <w:szCs w:val="18"/>
              </w:rPr>
            </w:pPr>
            <w:r w:rsidRPr="00F00002">
              <w:rPr>
                <w:sz w:val="18"/>
                <w:szCs w:val="18"/>
              </w:rPr>
              <w:t>2</w:t>
            </w:r>
            <w:r w:rsidR="00F00002">
              <w:rPr>
                <w:sz w:val="18"/>
                <w:szCs w:val="18"/>
              </w:rPr>
              <w:t> </w:t>
            </w:r>
            <w:r w:rsidRPr="00F00002">
              <w:rPr>
                <w:sz w:val="18"/>
                <w:szCs w:val="18"/>
              </w:rPr>
              <w:t>500</w:t>
            </w:r>
          </w:p>
        </w:tc>
        <w:tc>
          <w:tcPr>
            <w:tcW w:w="682" w:type="pct"/>
            <w:shd w:val="clear" w:color="auto" w:fill="auto"/>
          </w:tcPr>
          <w:p w:rsidR="00BB4501" w:rsidRPr="00F00002" w:rsidRDefault="00BB4501" w:rsidP="00D150ED">
            <w:pPr>
              <w:pStyle w:val="Tabletext"/>
              <w:rPr>
                <w:sz w:val="18"/>
                <w:szCs w:val="18"/>
              </w:rPr>
            </w:pPr>
            <w:r w:rsidRPr="00F00002">
              <w:rPr>
                <w:sz w:val="18"/>
                <w:szCs w:val="18"/>
              </w:rPr>
              <w:t>1.4286</w:t>
            </w:r>
          </w:p>
        </w:tc>
        <w:tc>
          <w:tcPr>
            <w:tcW w:w="682" w:type="pct"/>
            <w:shd w:val="clear" w:color="auto" w:fill="auto"/>
          </w:tcPr>
          <w:p w:rsidR="00BB4501" w:rsidRPr="00F00002" w:rsidRDefault="00BB4501" w:rsidP="00D150ED">
            <w:pPr>
              <w:pStyle w:val="Tabletext"/>
              <w:rPr>
                <w:sz w:val="18"/>
                <w:szCs w:val="18"/>
              </w:rPr>
            </w:pPr>
            <w:r w:rsidRPr="00F00002">
              <w:rPr>
                <w:sz w:val="18"/>
                <w:szCs w:val="18"/>
              </w:rPr>
              <w:t>0.7000</w:t>
            </w:r>
          </w:p>
        </w:tc>
        <w:tc>
          <w:tcPr>
            <w:tcW w:w="613" w:type="pct"/>
            <w:shd w:val="clear" w:color="auto" w:fill="auto"/>
          </w:tcPr>
          <w:p w:rsidR="00BB4501" w:rsidRPr="00F00002" w:rsidRDefault="00BB4501" w:rsidP="00D150ED">
            <w:pPr>
              <w:pStyle w:val="Tabletext"/>
              <w:rPr>
                <w:sz w:val="18"/>
                <w:szCs w:val="18"/>
              </w:rPr>
            </w:pPr>
            <w:r w:rsidRPr="00F00002">
              <w:rPr>
                <w:sz w:val="18"/>
                <w:szCs w:val="18"/>
              </w:rPr>
              <w:t>3</w:t>
            </w:r>
            <w:r w:rsidR="00F00002">
              <w:rPr>
                <w:sz w:val="18"/>
                <w:szCs w:val="18"/>
              </w:rPr>
              <w:t> </w:t>
            </w:r>
            <w:r w:rsidRPr="00F00002">
              <w:rPr>
                <w:sz w:val="18"/>
                <w:szCs w:val="18"/>
              </w:rPr>
              <w:t>571.43</w:t>
            </w:r>
          </w:p>
        </w:tc>
        <w:tc>
          <w:tcPr>
            <w:tcW w:w="568" w:type="pct"/>
            <w:shd w:val="clear" w:color="auto" w:fill="auto"/>
          </w:tcPr>
          <w:p w:rsidR="00BB4501" w:rsidRPr="00F00002" w:rsidRDefault="00BB4501" w:rsidP="00D150ED">
            <w:pPr>
              <w:pStyle w:val="Tabletext"/>
              <w:rPr>
                <w:sz w:val="18"/>
                <w:szCs w:val="18"/>
              </w:rPr>
            </w:pPr>
            <w:r w:rsidRPr="00F00002">
              <w:rPr>
                <w:sz w:val="18"/>
                <w:szCs w:val="18"/>
              </w:rPr>
              <w:t>3</w:t>
            </w:r>
            <w:r w:rsidR="00F00002">
              <w:rPr>
                <w:sz w:val="18"/>
                <w:szCs w:val="18"/>
              </w:rPr>
              <w:t> </w:t>
            </w:r>
            <w:r w:rsidRPr="00F00002">
              <w:rPr>
                <w:sz w:val="18"/>
                <w:szCs w:val="18"/>
              </w:rPr>
              <w:t>500</w:t>
            </w:r>
          </w:p>
        </w:tc>
        <w:tc>
          <w:tcPr>
            <w:tcW w:w="718" w:type="pct"/>
            <w:shd w:val="clear" w:color="auto" w:fill="auto"/>
          </w:tcPr>
          <w:p w:rsidR="00BB4501" w:rsidRPr="00F00002" w:rsidRDefault="00BB4501" w:rsidP="00D150ED">
            <w:pPr>
              <w:pStyle w:val="Tabletext"/>
              <w:rPr>
                <w:sz w:val="18"/>
                <w:szCs w:val="18"/>
              </w:rPr>
            </w:pPr>
            <w:r w:rsidRPr="00F00002">
              <w:rPr>
                <w:sz w:val="18"/>
                <w:szCs w:val="18"/>
              </w:rPr>
              <w:t>4</w:t>
            </w:r>
            <w:r w:rsidR="00F00002">
              <w:rPr>
                <w:sz w:val="18"/>
                <w:szCs w:val="18"/>
              </w:rPr>
              <w:t> </w:t>
            </w:r>
            <w:r w:rsidRPr="00F00002">
              <w:rPr>
                <w:sz w:val="18"/>
                <w:szCs w:val="18"/>
              </w:rPr>
              <w:t>960.32</w:t>
            </w:r>
          </w:p>
        </w:tc>
        <w:tc>
          <w:tcPr>
            <w:tcW w:w="480" w:type="pct"/>
            <w:shd w:val="clear" w:color="auto" w:fill="auto"/>
          </w:tcPr>
          <w:p w:rsidR="00BB4501" w:rsidRPr="00F00002" w:rsidRDefault="00BB4501" w:rsidP="00D150ED">
            <w:pPr>
              <w:pStyle w:val="Tabletext"/>
              <w:rPr>
                <w:sz w:val="18"/>
                <w:szCs w:val="18"/>
              </w:rPr>
            </w:pPr>
            <w:r w:rsidRPr="00F00002">
              <w:rPr>
                <w:sz w:val="18"/>
                <w:szCs w:val="18"/>
              </w:rPr>
              <w:t>1.4172</w:t>
            </w:r>
          </w:p>
        </w:tc>
      </w:tr>
      <w:tr w:rsidR="00BB4501" w:rsidRPr="00F00002" w:rsidTr="000505B9">
        <w:trPr>
          <w:trHeight w:val="109"/>
        </w:trPr>
        <w:tc>
          <w:tcPr>
            <w:tcW w:w="482" w:type="pct"/>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3</w:t>
            </w:r>
          </w:p>
        </w:tc>
        <w:tc>
          <w:tcPr>
            <w:tcW w:w="775" w:type="pct"/>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750</w:t>
            </w:r>
          </w:p>
        </w:tc>
        <w:tc>
          <w:tcPr>
            <w:tcW w:w="682" w:type="pct"/>
            <w:shd w:val="clear" w:color="auto" w:fill="auto"/>
          </w:tcPr>
          <w:p w:rsidR="00BB4501" w:rsidRPr="00F00002" w:rsidRDefault="00BB4501" w:rsidP="00D150ED">
            <w:pPr>
              <w:pStyle w:val="Tabletext"/>
              <w:rPr>
                <w:sz w:val="18"/>
                <w:szCs w:val="18"/>
              </w:rPr>
            </w:pPr>
            <w:r w:rsidRPr="00F00002">
              <w:rPr>
                <w:sz w:val="18"/>
                <w:szCs w:val="18"/>
              </w:rPr>
              <w:t>1.3699</w:t>
            </w:r>
          </w:p>
        </w:tc>
        <w:tc>
          <w:tcPr>
            <w:tcW w:w="682" w:type="pct"/>
            <w:shd w:val="clear" w:color="auto" w:fill="auto"/>
          </w:tcPr>
          <w:p w:rsidR="00BB4501" w:rsidRPr="00F00002" w:rsidRDefault="00BB4501" w:rsidP="00D150ED">
            <w:pPr>
              <w:pStyle w:val="Tabletext"/>
              <w:rPr>
                <w:sz w:val="18"/>
                <w:szCs w:val="18"/>
              </w:rPr>
            </w:pPr>
            <w:r w:rsidRPr="00F00002">
              <w:rPr>
                <w:sz w:val="18"/>
                <w:szCs w:val="18"/>
              </w:rPr>
              <w:t>0.7300</w:t>
            </w:r>
          </w:p>
        </w:tc>
        <w:tc>
          <w:tcPr>
            <w:tcW w:w="613" w:type="pct"/>
            <w:shd w:val="clear" w:color="auto" w:fill="auto"/>
          </w:tcPr>
          <w:p w:rsidR="00BB4501" w:rsidRPr="00F00002" w:rsidRDefault="00BB4501" w:rsidP="00D150ED">
            <w:pPr>
              <w:pStyle w:val="Tabletext"/>
              <w:rPr>
                <w:sz w:val="18"/>
                <w:szCs w:val="18"/>
              </w:rPr>
            </w:pPr>
            <w:r w:rsidRPr="00F00002">
              <w:rPr>
                <w:sz w:val="18"/>
                <w:szCs w:val="18"/>
              </w:rPr>
              <w:t>2</w:t>
            </w:r>
            <w:r w:rsidR="00F00002">
              <w:rPr>
                <w:sz w:val="18"/>
                <w:szCs w:val="18"/>
              </w:rPr>
              <w:t> </w:t>
            </w:r>
            <w:r w:rsidRPr="00F00002">
              <w:rPr>
                <w:sz w:val="18"/>
                <w:szCs w:val="18"/>
              </w:rPr>
              <w:t>397.26</w:t>
            </w:r>
          </w:p>
        </w:tc>
        <w:tc>
          <w:tcPr>
            <w:tcW w:w="568" w:type="pct"/>
            <w:shd w:val="clear" w:color="auto" w:fill="auto"/>
          </w:tcPr>
          <w:p w:rsidR="00BB4501" w:rsidRPr="00F00002" w:rsidRDefault="00BB4501" w:rsidP="00D150ED">
            <w:pPr>
              <w:pStyle w:val="Tabletext"/>
              <w:rPr>
                <w:sz w:val="18"/>
                <w:szCs w:val="18"/>
              </w:rPr>
            </w:pPr>
            <w:r w:rsidRPr="00F00002">
              <w:rPr>
                <w:sz w:val="18"/>
                <w:szCs w:val="18"/>
              </w:rPr>
              <w:t>5</w:t>
            </w:r>
            <w:r w:rsidR="00F00002">
              <w:rPr>
                <w:sz w:val="18"/>
                <w:szCs w:val="18"/>
              </w:rPr>
              <w:t> </w:t>
            </w:r>
            <w:r w:rsidRPr="00F00002">
              <w:rPr>
                <w:sz w:val="18"/>
                <w:szCs w:val="18"/>
              </w:rPr>
              <w:t>250</w:t>
            </w:r>
          </w:p>
        </w:tc>
        <w:tc>
          <w:tcPr>
            <w:tcW w:w="718" w:type="pct"/>
            <w:shd w:val="clear" w:color="auto" w:fill="auto"/>
          </w:tcPr>
          <w:p w:rsidR="00BB4501" w:rsidRPr="00F00002" w:rsidRDefault="00BB4501" w:rsidP="00D150ED">
            <w:pPr>
              <w:pStyle w:val="Tabletext"/>
              <w:rPr>
                <w:sz w:val="18"/>
                <w:szCs w:val="18"/>
              </w:rPr>
            </w:pPr>
            <w:r w:rsidRPr="00F00002">
              <w:rPr>
                <w:sz w:val="18"/>
                <w:szCs w:val="18"/>
              </w:rPr>
              <w:t>7</w:t>
            </w:r>
            <w:r w:rsidR="00F00002">
              <w:rPr>
                <w:sz w:val="18"/>
                <w:szCs w:val="18"/>
              </w:rPr>
              <w:t> </w:t>
            </w:r>
            <w:r w:rsidRPr="00F00002">
              <w:rPr>
                <w:sz w:val="18"/>
                <w:szCs w:val="18"/>
              </w:rPr>
              <w:t>357.58</w:t>
            </w:r>
          </w:p>
        </w:tc>
        <w:tc>
          <w:tcPr>
            <w:tcW w:w="480" w:type="pct"/>
            <w:shd w:val="clear" w:color="auto" w:fill="auto"/>
          </w:tcPr>
          <w:p w:rsidR="00BB4501" w:rsidRPr="00F00002" w:rsidRDefault="00BB4501" w:rsidP="00D150ED">
            <w:pPr>
              <w:pStyle w:val="Tabletext"/>
              <w:rPr>
                <w:sz w:val="18"/>
                <w:szCs w:val="18"/>
              </w:rPr>
            </w:pPr>
            <w:r w:rsidRPr="00F00002">
              <w:rPr>
                <w:sz w:val="18"/>
                <w:szCs w:val="18"/>
              </w:rPr>
              <w:t>1.4014</w:t>
            </w:r>
          </w:p>
        </w:tc>
      </w:tr>
      <w:tr w:rsidR="00BB4501" w:rsidRPr="00F00002" w:rsidTr="000505B9">
        <w:tc>
          <w:tcPr>
            <w:tcW w:w="482" w:type="pct"/>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4</w:t>
            </w:r>
          </w:p>
        </w:tc>
        <w:tc>
          <w:tcPr>
            <w:tcW w:w="775" w:type="pct"/>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2</w:t>
            </w:r>
            <w:r>
              <w:rPr>
                <w:sz w:val="18"/>
                <w:szCs w:val="18"/>
              </w:rPr>
              <w:t> </w:t>
            </w:r>
            <w:r w:rsidR="00BB4501" w:rsidRPr="00F00002">
              <w:rPr>
                <w:sz w:val="18"/>
                <w:szCs w:val="18"/>
              </w:rPr>
              <w:t>800</w:t>
            </w:r>
          </w:p>
        </w:tc>
        <w:tc>
          <w:tcPr>
            <w:tcW w:w="682" w:type="pct"/>
            <w:shd w:val="clear" w:color="auto" w:fill="auto"/>
          </w:tcPr>
          <w:p w:rsidR="00BB4501" w:rsidRPr="00F00002" w:rsidRDefault="00BB4501" w:rsidP="00D150ED">
            <w:pPr>
              <w:pStyle w:val="Tabletext"/>
              <w:rPr>
                <w:sz w:val="18"/>
                <w:szCs w:val="18"/>
              </w:rPr>
            </w:pPr>
            <w:r w:rsidRPr="00F00002">
              <w:rPr>
                <w:sz w:val="18"/>
                <w:szCs w:val="18"/>
              </w:rPr>
              <w:t>1.3333</w:t>
            </w:r>
          </w:p>
        </w:tc>
        <w:tc>
          <w:tcPr>
            <w:tcW w:w="682" w:type="pct"/>
            <w:shd w:val="clear" w:color="auto" w:fill="auto"/>
          </w:tcPr>
          <w:p w:rsidR="00BB4501" w:rsidRPr="00F00002" w:rsidRDefault="00BB4501" w:rsidP="00D150ED">
            <w:pPr>
              <w:pStyle w:val="Tabletext"/>
              <w:rPr>
                <w:sz w:val="18"/>
                <w:szCs w:val="18"/>
              </w:rPr>
            </w:pPr>
            <w:r w:rsidRPr="00F00002">
              <w:rPr>
                <w:sz w:val="18"/>
                <w:szCs w:val="18"/>
              </w:rPr>
              <w:t>0.7500</w:t>
            </w:r>
          </w:p>
        </w:tc>
        <w:tc>
          <w:tcPr>
            <w:tcW w:w="613" w:type="pct"/>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3</w:t>
            </w:r>
            <w:r>
              <w:rPr>
                <w:sz w:val="18"/>
                <w:szCs w:val="18"/>
              </w:rPr>
              <w:t> </w:t>
            </w:r>
            <w:r w:rsidR="00BB4501" w:rsidRPr="00F00002">
              <w:rPr>
                <w:sz w:val="18"/>
                <w:szCs w:val="18"/>
              </w:rPr>
              <w:t>733.33</w:t>
            </w:r>
          </w:p>
        </w:tc>
        <w:tc>
          <w:tcPr>
            <w:tcW w:w="568" w:type="pct"/>
            <w:shd w:val="clear" w:color="auto" w:fill="auto"/>
          </w:tcPr>
          <w:p w:rsidR="00BB4501" w:rsidRPr="00F00002" w:rsidRDefault="00BB4501" w:rsidP="00D150ED">
            <w:pPr>
              <w:pStyle w:val="Tabletext"/>
              <w:rPr>
                <w:sz w:val="18"/>
                <w:szCs w:val="18"/>
              </w:rPr>
            </w:pPr>
            <w:r w:rsidRPr="00F00002">
              <w:rPr>
                <w:sz w:val="18"/>
                <w:szCs w:val="18"/>
              </w:rPr>
              <w:t>2</w:t>
            </w:r>
            <w:r w:rsidR="00F00002">
              <w:rPr>
                <w:sz w:val="18"/>
                <w:szCs w:val="18"/>
              </w:rPr>
              <w:t> </w:t>
            </w:r>
            <w:r w:rsidRPr="00F00002">
              <w:rPr>
                <w:sz w:val="18"/>
                <w:szCs w:val="18"/>
              </w:rPr>
              <w:t>450</w:t>
            </w:r>
          </w:p>
        </w:tc>
        <w:tc>
          <w:tcPr>
            <w:tcW w:w="718" w:type="pct"/>
            <w:shd w:val="clear" w:color="auto" w:fill="auto"/>
          </w:tcPr>
          <w:p w:rsidR="00BB4501" w:rsidRPr="00F00002" w:rsidRDefault="00BB4501" w:rsidP="00D150ED">
            <w:pPr>
              <w:pStyle w:val="Tabletext"/>
              <w:rPr>
                <w:sz w:val="18"/>
                <w:szCs w:val="18"/>
              </w:rPr>
            </w:pPr>
            <w:r w:rsidRPr="00F00002">
              <w:rPr>
                <w:sz w:val="18"/>
                <w:szCs w:val="18"/>
              </w:rPr>
              <w:t>3</w:t>
            </w:r>
            <w:r w:rsidR="00F00002">
              <w:rPr>
                <w:sz w:val="18"/>
                <w:szCs w:val="18"/>
              </w:rPr>
              <w:t> </w:t>
            </w:r>
            <w:r w:rsidRPr="00F00002">
              <w:rPr>
                <w:sz w:val="18"/>
                <w:szCs w:val="18"/>
              </w:rPr>
              <w:t>433.54</w:t>
            </w:r>
          </w:p>
        </w:tc>
        <w:tc>
          <w:tcPr>
            <w:tcW w:w="480" w:type="pct"/>
            <w:shd w:val="clear" w:color="auto" w:fill="auto"/>
          </w:tcPr>
          <w:p w:rsidR="00BB4501" w:rsidRPr="00F00002" w:rsidRDefault="00BB4501" w:rsidP="00D150ED">
            <w:pPr>
              <w:pStyle w:val="Tabletext"/>
              <w:rPr>
                <w:sz w:val="18"/>
                <w:szCs w:val="18"/>
              </w:rPr>
            </w:pPr>
            <w:r w:rsidRPr="00F00002">
              <w:rPr>
                <w:sz w:val="18"/>
                <w:szCs w:val="18"/>
              </w:rPr>
              <w:t>1.4014</w:t>
            </w:r>
          </w:p>
        </w:tc>
      </w:tr>
      <w:tr w:rsidR="00BB4501" w:rsidRPr="00F00002" w:rsidTr="000505B9">
        <w:tc>
          <w:tcPr>
            <w:tcW w:w="482" w:type="pct"/>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5</w:t>
            </w:r>
          </w:p>
        </w:tc>
        <w:tc>
          <w:tcPr>
            <w:tcW w:w="775" w:type="pct"/>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4</w:t>
            </w:r>
            <w:r>
              <w:rPr>
                <w:sz w:val="18"/>
                <w:szCs w:val="18"/>
              </w:rPr>
              <w:t> </w:t>
            </w:r>
            <w:r w:rsidR="00BB4501" w:rsidRPr="00F00002">
              <w:rPr>
                <w:sz w:val="18"/>
                <w:szCs w:val="18"/>
              </w:rPr>
              <w:t>000</w:t>
            </w:r>
          </w:p>
        </w:tc>
        <w:tc>
          <w:tcPr>
            <w:tcW w:w="682" w:type="pct"/>
            <w:shd w:val="clear" w:color="auto" w:fill="auto"/>
          </w:tcPr>
          <w:p w:rsidR="00BB4501" w:rsidRPr="00F00002" w:rsidRDefault="00BB4501" w:rsidP="00D150ED">
            <w:pPr>
              <w:pStyle w:val="Tabletext"/>
              <w:rPr>
                <w:sz w:val="18"/>
                <w:szCs w:val="18"/>
              </w:rPr>
            </w:pPr>
            <w:r w:rsidRPr="00F00002">
              <w:rPr>
                <w:sz w:val="18"/>
                <w:szCs w:val="18"/>
              </w:rPr>
              <w:t>1.2821</w:t>
            </w:r>
          </w:p>
        </w:tc>
        <w:tc>
          <w:tcPr>
            <w:tcW w:w="682" w:type="pct"/>
            <w:shd w:val="clear" w:color="auto" w:fill="auto"/>
          </w:tcPr>
          <w:p w:rsidR="00BB4501" w:rsidRPr="00F00002" w:rsidRDefault="00BB4501" w:rsidP="00D150ED">
            <w:pPr>
              <w:pStyle w:val="Tabletext"/>
              <w:rPr>
                <w:sz w:val="18"/>
                <w:szCs w:val="18"/>
              </w:rPr>
            </w:pPr>
            <w:r w:rsidRPr="00F00002">
              <w:rPr>
                <w:sz w:val="18"/>
                <w:szCs w:val="18"/>
              </w:rPr>
              <w:t>0.7800</w:t>
            </w:r>
          </w:p>
        </w:tc>
        <w:tc>
          <w:tcPr>
            <w:tcW w:w="613" w:type="pct"/>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5</w:t>
            </w:r>
            <w:r>
              <w:rPr>
                <w:sz w:val="18"/>
                <w:szCs w:val="18"/>
              </w:rPr>
              <w:t> </w:t>
            </w:r>
            <w:r w:rsidR="00BB4501" w:rsidRPr="00F00002">
              <w:rPr>
                <w:sz w:val="18"/>
                <w:szCs w:val="18"/>
              </w:rPr>
              <w:t>128.21</w:t>
            </w:r>
          </w:p>
        </w:tc>
        <w:tc>
          <w:tcPr>
            <w:tcW w:w="568" w:type="pct"/>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1</w:t>
            </w:r>
            <w:r>
              <w:rPr>
                <w:sz w:val="18"/>
                <w:szCs w:val="18"/>
              </w:rPr>
              <w:t> </w:t>
            </w:r>
            <w:r w:rsidR="00BB4501" w:rsidRPr="00F00002">
              <w:rPr>
                <w:sz w:val="18"/>
                <w:szCs w:val="18"/>
              </w:rPr>
              <w:t>550</w:t>
            </w:r>
          </w:p>
        </w:tc>
        <w:tc>
          <w:tcPr>
            <w:tcW w:w="718" w:type="pct"/>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1</w:t>
            </w:r>
            <w:r>
              <w:rPr>
                <w:sz w:val="18"/>
                <w:szCs w:val="18"/>
              </w:rPr>
              <w:t> </w:t>
            </w:r>
            <w:r w:rsidR="00BB4501" w:rsidRPr="00F00002">
              <w:rPr>
                <w:sz w:val="18"/>
                <w:szCs w:val="18"/>
              </w:rPr>
              <w:t>987.18</w:t>
            </w:r>
          </w:p>
        </w:tc>
        <w:tc>
          <w:tcPr>
            <w:tcW w:w="480" w:type="pct"/>
            <w:shd w:val="clear" w:color="auto" w:fill="auto"/>
          </w:tcPr>
          <w:p w:rsidR="00BB4501" w:rsidRPr="00F00002" w:rsidRDefault="00BB4501" w:rsidP="00D150ED">
            <w:pPr>
              <w:pStyle w:val="Tabletext"/>
              <w:rPr>
                <w:sz w:val="18"/>
                <w:szCs w:val="18"/>
              </w:rPr>
            </w:pPr>
            <w:r w:rsidRPr="00F00002">
              <w:rPr>
                <w:sz w:val="18"/>
                <w:szCs w:val="18"/>
              </w:rPr>
              <w:t>1.2821</w:t>
            </w:r>
          </w:p>
        </w:tc>
      </w:tr>
      <w:tr w:rsidR="00BB4501" w:rsidRPr="00F00002" w:rsidTr="000505B9">
        <w:tc>
          <w:tcPr>
            <w:tcW w:w="482" w:type="pct"/>
            <w:tcBorders>
              <w:bottom w:val="single" w:sz="4" w:space="0" w:color="auto"/>
            </w:tcBorders>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6</w:t>
            </w:r>
          </w:p>
        </w:tc>
        <w:tc>
          <w:tcPr>
            <w:tcW w:w="775" w:type="pct"/>
            <w:tcBorders>
              <w:bottom w:val="single" w:sz="4" w:space="0" w:color="auto"/>
            </w:tcBorders>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1</w:t>
            </w:r>
            <w:r>
              <w:rPr>
                <w:sz w:val="18"/>
                <w:szCs w:val="18"/>
              </w:rPr>
              <w:t> </w:t>
            </w:r>
            <w:r w:rsidR="00BB4501" w:rsidRPr="00F00002">
              <w:rPr>
                <w:sz w:val="18"/>
                <w:szCs w:val="18"/>
              </w:rPr>
              <w:t>000</w:t>
            </w:r>
          </w:p>
        </w:tc>
        <w:tc>
          <w:tcPr>
            <w:tcW w:w="682" w:type="pct"/>
            <w:tcBorders>
              <w:bottom w:val="single" w:sz="4" w:space="0" w:color="auto"/>
            </w:tcBorders>
            <w:shd w:val="clear" w:color="auto" w:fill="auto"/>
          </w:tcPr>
          <w:p w:rsidR="00BB4501" w:rsidRPr="00F00002" w:rsidRDefault="00BB4501" w:rsidP="00D150ED">
            <w:pPr>
              <w:pStyle w:val="Tabletext"/>
              <w:rPr>
                <w:sz w:val="18"/>
                <w:szCs w:val="18"/>
              </w:rPr>
            </w:pPr>
            <w:r w:rsidRPr="00F00002">
              <w:rPr>
                <w:sz w:val="18"/>
                <w:szCs w:val="18"/>
              </w:rPr>
              <w:t>1.3158</w:t>
            </w:r>
          </w:p>
        </w:tc>
        <w:tc>
          <w:tcPr>
            <w:tcW w:w="682" w:type="pct"/>
            <w:tcBorders>
              <w:bottom w:val="single" w:sz="4" w:space="0" w:color="auto"/>
            </w:tcBorders>
            <w:shd w:val="clear" w:color="auto" w:fill="auto"/>
          </w:tcPr>
          <w:p w:rsidR="00BB4501" w:rsidRPr="00F00002" w:rsidRDefault="00BB4501" w:rsidP="00D150ED">
            <w:pPr>
              <w:pStyle w:val="Tabletext"/>
              <w:rPr>
                <w:sz w:val="18"/>
                <w:szCs w:val="18"/>
              </w:rPr>
            </w:pPr>
            <w:r w:rsidRPr="00F00002">
              <w:rPr>
                <w:sz w:val="18"/>
                <w:szCs w:val="18"/>
              </w:rPr>
              <w:t>0.7600</w:t>
            </w:r>
          </w:p>
        </w:tc>
        <w:tc>
          <w:tcPr>
            <w:tcW w:w="613" w:type="pct"/>
            <w:tcBorders>
              <w:bottom w:val="single" w:sz="4" w:space="0" w:color="auto"/>
            </w:tcBorders>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1</w:t>
            </w:r>
            <w:r>
              <w:rPr>
                <w:sz w:val="18"/>
                <w:szCs w:val="18"/>
              </w:rPr>
              <w:t> </w:t>
            </w:r>
            <w:r w:rsidR="00BB4501" w:rsidRPr="00F00002">
              <w:rPr>
                <w:sz w:val="18"/>
                <w:szCs w:val="18"/>
              </w:rPr>
              <w:t>315.79</w:t>
            </w:r>
          </w:p>
        </w:tc>
        <w:tc>
          <w:tcPr>
            <w:tcW w:w="568" w:type="pct"/>
            <w:tcBorders>
              <w:bottom w:val="single" w:sz="4" w:space="0" w:color="auto"/>
            </w:tcBorders>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2</w:t>
            </w:r>
            <w:r>
              <w:rPr>
                <w:sz w:val="18"/>
                <w:szCs w:val="18"/>
              </w:rPr>
              <w:t> </w:t>
            </w:r>
            <w:r w:rsidR="00BB4501" w:rsidRPr="00F00002">
              <w:rPr>
                <w:sz w:val="18"/>
                <w:szCs w:val="18"/>
              </w:rPr>
              <w:t>550</w:t>
            </w:r>
          </w:p>
        </w:tc>
        <w:tc>
          <w:tcPr>
            <w:tcW w:w="718" w:type="pct"/>
            <w:tcBorders>
              <w:bottom w:val="single" w:sz="4" w:space="0" w:color="auto"/>
            </w:tcBorders>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3</w:t>
            </w:r>
            <w:r>
              <w:rPr>
                <w:sz w:val="18"/>
                <w:szCs w:val="18"/>
              </w:rPr>
              <w:t> </w:t>
            </w:r>
            <w:r w:rsidR="00BB4501" w:rsidRPr="00F00002">
              <w:rPr>
                <w:sz w:val="18"/>
                <w:szCs w:val="18"/>
              </w:rPr>
              <w:t>302.97</w:t>
            </w:r>
          </w:p>
        </w:tc>
        <w:tc>
          <w:tcPr>
            <w:tcW w:w="480" w:type="pct"/>
            <w:tcBorders>
              <w:bottom w:val="single" w:sz="4" w:space="0" w:color="auto"/>
            </w:tcBorders>
            <w:shd w:val="clear" w:color="auto" w:fill="auto"/>
          </w:tcPr>
          <w:p w:rsidR="00BB4501" w:rsidRPr="00F00002" w:rsidRDefault="00BB4501" w:rsidP="00D150ED">
            <w:pPr>
              <w:pStyle w:val="Tabletext"/>
              <w:rPr>
                <w:sz w:val="18"/>
                <w:szCs w:val="18"/>
              </w:rPr>
            </w:pPr>
            <w:r w:rsidRPr="00F00002">
              <w:rPr>
                <w:sz w:val="18"/>
                <w:szCs w:val="18"/>
              </w:rPr>
              <w:t>1.2953</w:t>
            </w:r>
          </w:p>
        </w:tc>
      </w:tr>
      <w:tr w:rsidR="00BB4501" w:rsidRPr="00F00002" w:rsidTr="000505B9">
        <w:tc>
          <w:tcPr>
            <w:tcW w:w="482" w:type="pct"/>
            <w:tcBorders>
              <w:bottom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T</w:t>
            </w:r>
            <w:r w:rsidRPr="00F00002">
              <w:rPr>
                <w:sz w:val="18"/>
                <w:szCs w:val="18"/>
                <w:vertAlign w:val="subscript"/>
              </w:rPr>
              <w:t>7</w:t>
            </w:r>
          </w:p>
        </w:tc>
        <w:tc>
          <w:tcPr>
            <w:tcW w:w="775" w:type="pct"/>
            <w:tcBorders>
              <w:bottom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200</w:t>
            </w:r>
          </w:p>
        </w:tc>
        <w:tc>
          <w:tcPr>
            <w:tcW w:w="682" w:type="pct"/>
            <w:tcBorders>
              <w:bottom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1.3699</w:t>
            </w:r>
          </w:p>
        </w:tc>
        <w:tc>
          <w:tcPr>
            <w:tcW w:w="682" w:type="pct"/>
            <w:tcBorders>
              <w:bottom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0.7300</w:t>
            </w:r>
          </w:p>
        </w:tc>
        <w:tc>
          <w:tcPr>
            <w:tcW w:w="613" w:type="pct"/>
            <w:tcBorders>
              <w:bottom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w:t>
            </w:r>
            <w:r w:rsidR="00F00002">
              <w:rPr>
                <w:sz w:val="18"/>
                <w:szCs w:val="18"/>
              </w:rPr>
              <w:t> </w:t>
            </w:r>
            <w:r w:rsidRPr="00F00002">
              <w:rPr>
                <w:sz w:val="18"/>
                <w:szCs w:val="18"/>
              </w:rPr>
              <w:t>643.84</w:t>
            </w:r>
          </w:p>
        </w:tc>
        <w:tc>
          <w:tcPr>
            <w:tcW w:w="568" w:type="pct"/>
            <w:tcBorders>
              <w:bottom w:val="single" w:sz="12" w:space="0" w:color="auto"/>
            </w:tcBorders>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1</w:t>
            </w:r>
            <w:r>
              <w:rPr>
                <w:sz w:val="18"/>
                <w:szCs w:val="18"/>
              </w:rPr>
              <w:t> </w:t>
            </w:r>
            <w:r w:rsidR="00BB4501" w:rsidRPr="00F00002">
              <w:rPr>
                <w:sz w:val="18"/>
                <w:szCs w:val="18"/>
              </w:rPr>
              <w:t>350</w:t>
            </w:r>
          </w:p>
        </w:tc>
        <w:tc>
          <w:tcPr>
            <w:tcW w:w="718" w:type="pct"/>
            <w:tcBorders>
              <w:bottom w:val="single" w:sz="12" w:space="0" w:color="auto"/>
            </w:tcBorders>
            <w:shd w:val="clear" w:color="auto" w:fill="auto"/>
          </w:tcPr>
          <w:p w:rsidR="00BB4501" w:rsidRPr="00F00002" w:rsidRDefault="00F00002" w:rsidP="00D150ED">
            <w:pPr>
              <w:pStyle w:val="Tabletext"/>
              <w:rPr>
                <w:sz w:val="18"/>
                <w:szCs w:val="18"/>
              </w:rPr>
            </w:pPr>
            <w:r>
              <w:rPr>
                <w:sz w:val="18"/>
                <w:szCs w:val="18"/>
              </w:rPr>
              <w:noBreakHyphen/>
            </w:r>
            <w:r w:rsidR="00BB4501" w:rsidRPr="00F00002">
              <w:rPr>
                <w:sz w:val="18"/>
                <w:szCs w:val="18"/>
              </w:rPr>
              <w:t>1</w:t>
            </w:r>
            <w:r>
              <w:rPr>
                <w:sz w:val="18"/>
                <w:szCs w:val="18"/>
              </w:rPr>
              <w:t> </w:t>
            </w:r>
            <w:r w:rsidR="00BB4501" w:rsidRPr="00F00002">
              <w:rPr>
                <w:sz w:val="18"/>
                <w:szCs w:val="18"/>
              </w:rPr>
              <w:t>748.63</w:t>
            </w:r>
          </w:p>
        </w:tc>
        <w:tc>
          <w:tcPr>
            <w:tcW w:w="480" w:type="pct"/>
            <w:tcBorders>
              <w:bottom w:val="single" w:sz="12" w:space="0" w:color="auto"/>
            </w:tcBorders>
            <w:shd w:val="clear" w:color="auto" w:fill="auto"/>
          </w:tcPr>
          <w:p w:rsidR="00BB4501" w:rsidRPr="00F00002" w:rsidRDefault="00BB4501" w:rsidP="00D150ED">
            <w:pPr>
              <w:pStyle w:val="Tabletext"/>
              <w:rPr>
                <w:sz w:val="18"/>
                <w:szCs w:val="18"/>
              </w:rPr>
            </w:pPr>
            <w:r w:rsidRPr="00F00002">
              <w:rPr>
                <w:sz w:val="18"/>
                <w:szCs w:val="18"/>
              </w:rPr>
              <w:t>1.2953</w:t>
            </w:r>
          </w:p>
        </w:tc>
      </w:tr>
    </w:tbl>
    <w:p w:rsidR="00BB4501" w:rsidRPr="00F00002" w:rsidRDefault="00D150ED" w:rsidP="000C1E49">
      <w:pPr>
        <w:pStyle w:val="notemargin"/>
      </w:pPr>
      <w:r w:rsidRPr="00F00002">
        <w:t>Note:</w:t>
      </w:r>
      <w:r w:rsidRPr="00F00002">
        <w:tab/>
      </w:r>
      <w:r w:rsidR="00BB4501" w:rsidRPr="00F00002">
        <w:t>The WAC per US$ does not change upon a withdrawal while (and to the extent that) the account balance remains in credit. Also, when a deposit is made, the WAC per $US does not change while (and to the extent that) the account remains in debit.</w:t>
      </w:r>
    </w:p>
    <w:p w:rsidR="00BB4501" w:rsidRPr="00F00002" w:rsidRDefault="00D150ED" w:rsidP="00D150ED">
      <w:pPr>
        <w:pStyle w:val="ActHead4"/>
      </w:pPr>
      <w:bookmarkStart w:id="155" w:name="_Toc31109730"/>
      <w:r w:rsidRPr="00A26088">
        <w:rPr>
          <w:rStyle w:val="CharSubdNo"/>
        </w:rPr>
        <w:t>Subdivision</w:t>
      </w:r>
      <w:r w:rsidR="00F00002" w:rsidRPr="00A26088">
        <w:rPr>
          <w:rStyle w:val="CharSubdNo"/>
        </w:rPr>
        <w:t> </w:t>
      </w:r>
      <w:r w:rsidR="00BB4501" w:rsidRPr="00A26088">
        <w:rPr>
          <w:rStyle w:val="CharSubdNo"/>
        </w:rPr>
        <w:t>830</w:t>
      </w:r>
      <w:r w:rsidR="00F00002" w:rsidRPr="00A26088">
        <w:rPr>
          <w:rStyle w:val="CharSubdNo"/>
        </w:rPr>
        <w:noBreakHyphen/>
      </w:r>
      <w:r w:rsidR="00BB4501" w:rsidRPr="00A26088">
        <w:rPr>
          <w:rStyle w:val="CharSubdNo"/>
        </w:rPr>
        <w:t>A</w:t>
      </w:r>
      <w:r w:rsidRPr="00F00002">
        <w:t>—</w:t>
      </w:r>
      <w:r w:rsidR="00BB4501" w:rsidRPr="00A26088">
        <w:rPr>
          <w:rStyle w:val="CharSubdText"/>
        </w:rPr>
        <w:t>Meaning of foreign hybrid</w:t>
      </w:r>
      <w:bookmarkEnd w:id="155"/>
    </w:p>
    <w:p w:rsidR="00BB4501" w:rsidRPr="00F00002" w:rsidRDefault="00BB4501" w:rsidP="00D150ED">
      <w:pPr>
        <w:pStyle w:val="ActHead5"/>
      </w:pPr>
      <w:bookmarkStart w:id="156" w:name="_Toc31109731"/>
      <w:r w:rsidRPr="00A26088">
        <w:rPr>
          <w:rStyle w:val="CharSectno"/>
        </w:rPr>
        <w:t>830</w:t>
      </w:r>
      <w:r w:rsidR="00F00002" w:rsidRPr="00A26088">
        <w:rPr>
          <w:rStyle w:val="CharSectno"/>
        </w:rPr>
        <w:noBreakHyphen/>
      </w:r>
      <w:r w:rsidRPr="00A26088">
        <w:rPr>
          <w:rStyle w:val="CharSectno"/>
        </w:rPr>
        <w:t>15.01</w:t>
      </w:r>
      <w:r w:rsidR="00D150ED" w:rsidRPr="00F00002">
        <w:t xml:space="preserve">  </w:t>
      </w:r>
      <w:r w:rsidRPr="00F00002">
        <w:t>Foreign hybrid company</w:t>
      </w:r>
      <w:bookmarkEnd w:id="156"/>
    </w:p>
    <w:p w:rsidR="00BB4501" w:rsidRPr="00F00002" w:rsidRDefault="00BB4501" w:rsidP="00D150ED">
      <w:pPr>
        <w:pStyle w:val="subsection"/>
      </w:pPr>
      <w:r w:rsidRPr="00F00002">
        <w:tab/>
      </w:r>
      <w:r w:rsidRPr="00F00002">
        <w:tab/>
        <w:t>For paragraph</w:t>
      </w:r>
      <w:r w:rsidR="00F00002">
        <w:t> </w:t>
      </w:r>
      <w:r w:rsidRPr="00F00002">
        <w:t>830</w:t>
      </w:r>
      <w:r w:rsidR="00F00002">
        <w:noBreakHyphen/>
      </w:r>
      <w:r w:rsidRPr="00F00002">
        <w:t>15(3</w:t>
      </w:r>
      <w:r w:rsidR="00D150ED" w:rsidRPr="00F00002">
        <w:t>)(</w:t>
      </w:r>
      <w:r w:rsidRPr="00F00002">
        <w:t>c) of the Act, it is a requirement for a company in relation to an income year, that the company be a limited liability partnership for the purposes of the Limited Liability Partnerships Act 2000 (UK)</w:t>
      </w:r>
      <w:r w:rsidRPr="00F00002">
        <w:rPr>
          <w:color w:val="0000FF"/>
        </w:rPr>
        <w:t>.</w:t>
      </w:r>
    </w:p>
    <w:p w:rsidR="001101EB" w:rsidRPr="00F00002" w:rsidRDefault="001101EB" w:rsidP="008019A9">
      <w:pPr>
        <w:pStyle w:val="ActHead2"/>
        <w:pageBreakBefore/>
      </w:pPr>
      <w:bookmarkStart w:id="157" w:name="_Toc31109732"/>
      <w:r w:rsidRPr="00A26088">
        <w:rPr>
          <w:rStyle w:val="CharPartNo"/>
        </w:rPr>
        <w:lastRenderedPageBreak/>
        <w:t>Part</w:t>
      </w:r>
      <w:r w:rsidR="00F00002" w:rsidRPr="00A26088">
        <w:rPr>
          <w:rStyle w:val="CharPartNo"/>
        </w:rPr>
        <w:t> </w:t>
      </w:r>
      <w:r w:rsidRPr="00A26088">
        <w:rPr>
          <w:rStyle w:val="CharPartNo"/>
        </w:rPr>
        <w:t>5</w:t>
      </w:r>
      <w:r w:rsidRPr="00F00002">
        <w:t>—</w:t>
      </w:r>
      <w:r w:rsidRPr="00A26088">
        <w:rPr>
          <w:rStyle w:val="CharPartText"/>
        </w:rPr>
        <w:t>Administration</w:t>
      </w:r>
      <w:bookmarkEnd w:id="157"/>
    </w:p>
    <w:p w:rsidR="001101EB" w:rsidRPr="00F00002" w:rsidRDefault="001101EB" w:rsidP="001101EB">
      <w:pPr>
        <w:pStyle w:val="ActHead3"/>
      </w:pPr>
      <w:bookmarkStart w:id="158" w:name="_Toc31109733"/>
      <w:r w:rsidRPr="00A26088">
        <w:rPr>
          <w:rStyle w:val="CharDivNo"/>
        </w:rPr>
        <w:t>Division</w:t>
      </w:r>
      <w:r w:rsidR="00F00002" w:rsidRPr="00A26088">
        <w:rPr>
          <w:rStyle w:val="CharDivNo"/>
        </w:rPr>
        <w:t> </w:t>
      </w:r>
      <w:r w:rsidRPr="00A26088">
        <w:rPr>
          <w:rStyle w:val="CharDivNo"/>
        </w:rPr>
        <w:t>910</w:t>
      </w:r>
      <w:r w:rsidRPr="00F00002">
        <w:t>—</w:t>
      </w:r>
      <w:r w:rsidRPr="00A26088">
        <w:rPr>
          <w:rStyle w:val="CharDivText"/>
        </w:rPr>
        <w:t>Transitional and application arrangements</w:t>
      </w:r>
      <w:bookmarkEnd w:id="158"/>
    </w:p>
    <w:p w:rsidR="005612E4" w:rsidRPr="00F00002" w:rsidRDefault="005612E4" w:rsidP="005612E4">
      <w:pPr>
        <w:pStyle w:val="ActHead5"/>
        <w:rPr>
          <w:i/>
        </w:rPr>
      </w:pPr>
      <w:bookmarkStart w:id="159" w:name="_Toc31109734"/>
      <w:r w:rsidRPr="00A26088">
        <w:rPr>
          <w:rStyle w:val="CharSectno"/>
        </w:rPr>
        <w:t>910</w:t>
      </w:r>
      <w:r w:rsidR="00F00002" w:rsidRPr="00A26088">
        <w:rPr>
          <w:rStyle w:val="CharSectno"/>
        </w:rPr>
        <w:noBreakHyphen/>
      </w:r>
      <w:r w:rsidRPr="00A26088">
        <w:rPr>
          <w:rStyle w:val="CharSectno"/>
        </w:rPr>
        <w:t>1.01</w:t>
      </w:r>
      <w:r w:rsidRPr="00F00002">
        <w:t xml:space="preserve">  Transitional arrangements arising out of the </w:t>
      </w:r>
      <w:r w:rsidRPr="00F00002">
        <w:rPr>
          <w:i/>
        </w:rPr>
        <w:t>Income Tax Assessment Amendment (Superannuation Measures No.</w:t>
      </w:r>
      <w:r w:rsidR="00F00002">
        <w:rPr>
          <w:i/>
        </w:rPr>
        <w:t> </w:t>
      </w:r>
      <w:r w:rsidRPr="00F00002">
        <w:rPr>
          <w:i/>
        </w:rPr>
        <w:t>1) Regulation</w:t>
      </w:r>
      <w:r w:rsidR="00F00002">
        <w:rPr>
          <w:i/>
        </w:rPr>
        <w:t> </w:t>
      </w:r>
      <w:r w:rsidRPr="00F00002">
        <w:rPr>
          <w:i/>
        </w:rPr>
        <w:t>2013</w:t>
      </w:r>
      <w:bookmarkEnd w:id="159"/>
    </w:p>
    <w:p w:rsidR="001101EB" w:rsidRPr="00F00002" w:rsidRDefault="001101EB" w:rsidP="001101EB">
      <w:pPr>
        <w:pStyle w:val="subsection"/>
      </w:pPr>
      <w:r w:rsidRPr="00F00002">
        <w:tab/>
        <w:t>(1)</w:t>
      </w:r>
      <w:r w:rsidRPr="00F00002">
        <w:tab/>
        <w:t>The amendments made by items</w:t>
      </w:r>
      <w:r w:rsidR="00F00002">
        <w:t> </w:t>
      </w:r>
      <w:r w:rsidRPr="00F00002">
        <w:t>1 and 3 to 6 of Schedule</w:t>
      </w:r>
      <w:r w:rsidR="00F00002">
        <w:t> </w:t>
      </w:r>
      <w:r w:rsidRPr="00F00002">
        <w:t xml:space="preserve">1 to the </w:t>
      </w:r>
      <w:r w:rsidRPr="00F00002">
        <w:rPr>
          <w:i/>
        </w:rPr>
        <w:t>Income Tax Assessment Amendment (Superannuation Measures No.</w:t>
      </w:r>
      <w:r w:rsidR="00F00002">
        <w:rPr>
          <w:i/>
        </w:rPr>
        <w:t> </w:t>
      </w:r>
      <w:r w:rsidRPr="00F00002">
        <w:rPr>
          <w:i/>
        </w:rPr>
        <w:t>1) Regulation</w:t>
      </w:r>
      <w:r w:rsidR="00F00002">
        <w:rPr>
          <w:i/>
        </w:rPr>
        <w:t> </w:t>
      </w:r>
      <w:r w:rsidRPr="00F00002">
        <w:rPr>
          <w:i/>
        </w:rPr>
        <w:t>2013</w:t>
      </w:r>
      <w:r w:rsidRPr="00F00002">
        <w:t xml:space="preserve"> apply in relation to the 2012—13 income year and later income years.</w:t>
      </w:r>
    </w:p>
    <w:p w:rsidR="001101EB" w:rsidRPr="00F00002" w:rsidRDefault="001101EB" w:rsidP="001101EB">
      <w:pPr>
        <w:pStyle w:val="subsection"/>
      </w:pPr>
      <w:r w:rsidRPr="00F00002">
        <w:tab/>
        <w:t>(2)</w:t>
      </w:r>
      <w:r w:rsidRPr="00F00002">
        <w:tab/>
        <w:t>The amendment made by item</w:t>
      </w:r>
      <w:r w:rsidR="00F00002">
        <w:t> </w:t>
      </w:r>
      <w:r w:rsidRPr="00F00002">
        <w:t>2 of Schedule</w:t>
      </w:r>
      <w:r w:rsidR="00F00002">
        <w:t> </w:t>
      </w:r>
      <w:r w:rsidRPr="00F00002">
        <w:t xml:space="preserve">1 to the </w:t>
      </w:r>
      <w:r w:rsidRPr="00F00002">
        <w:rPr>
          <w:i/>
        </w:rPr>
        <w:t>Income Tax Assessment Amendment (Superannuation Measures No.</w:t>
      </w:r>
      <w:r w:rsidR="00F00002">
        <w:rPr>
          <w:i/>
        </w:rPr>
        <w:t> </w:t>
      </w:r>
      <w:r w:rsidRPr="00F00002">
        <w:rPr>
          <w:i/>
        </w:rPr>
        <w:t>1) Regulation</w:t>
      </w:r>
      <w:r w:rsidR="00F00002">
        <w:rPr>
          <w:i/>
        </w:rPr>
        <w:t> </w:t>
      </w:r>
      <w:r w:rsidRPr="00F00002">
        <w:rPr>
          <w:i/>
        </w:rPr>
        <w:t xml:space="preserve">2013 </w:t>
      </w:r>
      <w:r w:rsidRPr="00F00002">
        <w:t>applies to a superannuation benefit to which subregulation</w:t>
      </w:r>
      <w:r w:rsidR="00F00002">
        <w:t> </w:t>
      </w:r>
      <w:r w:rsidRPr="00F00002">
        <w:t>307</w:t>
      </w:r>
      <w:r w:rsidR="00F00002">
        <w:noBreakHyphen/>
      </w:r>
      <w:r w:rsidRPr="00F00002">
        <w:t>125.02(2) applies that is paid on or after the commencement of that regulation.</w:t>
      </w:r>
    </w:p>
    <w:p w:rsidR="00781824" w:rsidRPr="00F00002" w:rsidRDefault="00781824" w:rsidP="00781824">
      <w:pPr>
        <w:pStyle w:val="ActHead5"/>
      </w:pPr>
      <w:bookmarkStart w:id="160" w:name="_Toc31109735"/>
      <w:r w:rsidRPr="00A26088">
        <w:rPr>
          <w:rStyle w:val="CharSectno"/>
        </w:rPr>
        <w:t>910</w:t>
      </w:r>
      <w:r w:rsidR="00F00002" w:rsidRPr="00A26088">
        <w:rPr>
          <w:rStyle w:val="CharSectno"/>
        </w:rPr>
        <w:noBreakHyphen/>
      </w:r>
      <w:r w:rsidRPr="00A26088">
        <w:rPr>
          <w:rStyle w:val="CharSectno"/>
        </w:rPr>
        <w:t>1.02</w:t>
      </w:r>
      <w:r w:rsidRPr="00F00002">
        <w:t xml:space="preserve">  Transitional arrangements arising out of the </w:t>
      </w:r>
      <w:r w:rsidRPr="00F00002">
        <w:rPr>
          <w:i/>
        </w:rPr>
        <w:t>Tax Laws Amendment (2013 Measures No.</w:t>
      </w:r>
      <w:r w:rsidR="00F00002">
        <w:rPr>
          <w:i/>
        </w:rPr>
        <w:t> </w:t>
      </w:r>
      <w:r w:rsidRPr="00F00002">
        <w:rPr>
          <w:i/>
        </w:rPr>
        <w:t>1) Regulation</w:t>
      </w:r>
      <w:r w:rsidR="00F00002">
        <w:rPr>
          <w:i/>
        </w:rPr>
        <w:t> </w:t>
      </w:r>
      <w:r w:rsidRPr="00F00002">
        <w:rPr>
          <w:i/>
        </w:rPr>
        <w:t>2013</w:t>
      </w:r>
      <w:bookmarkEnd w:id="160"/>
    </w:p>
    <w:p w:rsidR="00781824" w:rsidRPr="00F00002" w:rsidRDefault="00781824" w:rsidP="00781824">
      <w:pPr>
        <w:pStyle w:val="subsection"/>
      </w:pPr>
      <w:r w:rsidRPr="00F00002">
        <w:tab/>
      </w:r>
      <w:r w:rsidRPr="00F00002">
        <w:tab/>
        <w:t>The amendment of these Regulations made by item</w:t>
      </w:r>
      <w:r w:rsidR="00F00002">
        <w:t> </w:t>
      </w:r>
      <w:r w:rsidRPr="00F00002">
        <w:t>17 of Schedule</w:t>
      </w:r>
      <w:r w:rsidR="00F00002">
        <w:t> </w:t>
      </w:r>
      <w:r w:rsidRPr="00F00002">
        <w:t xml:space="preserve">1 to the </w:t>
      </w:r>
      <w:r w:rsidRPr="00F00002">
        <w:rPr>
          <w:i/>
        </w:rPr>
        <w:t>Tax Laws Amendment (2013 Measures No.</w:t>
      </w:r>
      <w:r w:rsidR="00F00002">
        <w:rPr>
          <w:i/>
        </w:rPr>
        <w:t> </w:t>
      </w:r>
      <w:r w:rsidRPr="00F00002">
        <w:rPr>
          <w:i/>
        </w:rPr>
        <w:t>1) Regulation</w:t>
      </w:r>
      <w:r w:rsidR="00F00002">
        <w:rPr>
          <w:i/>
        </w:rPr>
        <w:t> </w:t>
      </w:r>
      <w:r w:rsidRPr="00F00002">
        <w:rPr>
          <w:i/>
        </w:rPr>
        <w:t>2013</w:t>
      </w:r>
      <w:r w:rsidRPr="00F00002">
        <w:t xml:space="preserve"> applies on and after 17</w:t>
      </w:r>
      <w:r w:rsidR="00F00002">
        <w:t> </w:t>
      </w:r>
      <w:r w:rsidRPr="00F00002">
        <w:t>February 2001.</w:t>
      </w:r>
    </w:p>
    <w:p w:rsidR="00F71647" w:rsidRPr="00F00002" w:rsidRDefault="00F71647" w:rsidP="00F71647">
      <w:pPr>
        <w:pStyle w:val="ActHead5"/>
      </w:pPr>
      <w:bookmarkStart w:id="161" w:name="_Toc31109736"/>
      <w:r w:rsidRPr="00A26088">
        <w:rPr>
          <w:rStyle w:val="CharSectno"/>
        </w:rPr>
        <w:t>910</w:t>
      </w:r>
      <w:r w:rsidR="00F00002" w:rsidRPr="00A26088">
        <w:rPr>
          <w:rStyle w:val="CharSectno"/>
        </w:rPr>
        <w:noBreakHyphen/>
      </w:r>
      <w:r w:rsidRPr="00A26088">
        <w:rPr>
          <w:rStyle w:val="CharSectno"/>
        </w:rPr>
        <w:t>1.03</w:t>
      </w:r>
      <w:r w:rsidRPr="00F00002">
        <w:t xml:space="preserve">  Transitional arrangements arising out of the </w:t>
      </w:r>
      <w:r w:rsidRPr="00F00002">
        <w:rPr>
          <w:i/>
        </w:rPr>
        <w:t>Tax Laws Amendment (2013 Measures No.</w:t>
      </w:r>
      <w:r w:rsidR="00F00002">
        <w:rPr>
          <w:i/>
        </w:rPr>
        <w:t> </w:t>
      </w:r>
      <w:r w:rsidRPr="00F00002">
        <w:rPr>
          <w:i/>
        </w:rPr>
        <w:t>1) Regulation</w:t>
      </w:r>
      <w:r w:rsidR="00F00002">
        <w:rPr>
          <w:i/>
        </w:rPr>
        <w:t> </w:t>
      </w:r>
      <w:r w:rsidRPr="00F00002">
        <w:rPr>
          <w:i/>
        </w:rPr>
        <w:t>2013</w:t>
      </w:r>
      <w:bookmarkEnd w:id="161"/>
    </w:p>
    <w:p w:rsidR="00F71647" w:rsidRPr="00F00002" w:rsidRDefault="00F71647" w:rsidP="00F71647">
      <w:pPr>
        <w:pStyle w:val="subsection"/>
      </w:pPr>
      <w:r w:rsidRPr="00F00002">
        <w:tab/>
      </w:r>
      <w:r w:rsidRPr="00F00002">
        <w:tab/>
        <w:t>The amendments of these Regulations made by items</w:t>
      </w:r>
      <w:r w:rsidR="00F00002">
        <w:t> </w:t>
      </w:r>
      <w:r w:rsidRPr="00F00002">
        <w:t>19 and 20 of Schedule</w:t>
      </w:r>
      <w:r w:rsidR="00F00002">
        <w:t> </w:t>
      </w:r>
      <w:r w:rsidRPr="00F00002">
        <w:t xml:space="preserve">1 to the </w:t>
      </w:r>
      <w:r w:rsidRPr="00F00002">
        <w:rPr>
          <w:i/>
        </w:rPr>
        <w:t>Tax Laws Amendment (2013 Measures No.</w:t>
      </w:r>
      <w:r w:rsidR="00F00002">
        <w:rPr>
          <w:i/>
        </w:rPr>
        <w:t> </w:t>
      </w:r>
      <w:r w:rsidRPr="00F00002">
        <w:rPr>
          <w:i/>
        </w:rPr>
        <w:t>1) Regulation</w:t>
      </w:r>
      <w:r w:rsidR="00F00002">
        <w:rPr>
          <w:i/>
        </w:rPr>
        <w:t> </w:t>
      </w:r>
      <w:r w:rsidRPr="00F00002">
        <w:rPr>
          <w:i/>
        </w:rPr>
        <w:t xml:space="preserve">2013 </w:t>
      </w:r>
      <w:r w:rsidRPr="00F00002">
        <w:t>apply on and after 1</w:t>
      </w:r>
      <w:r w:rsidR="00F00002">
        <w:t> </w:t>
      </w:r>
      <w:r w:rsidRPr="00F00002">
        <w:t>July 2012.</w:t>
      </w:r>
    </w:p>
    <w:p w:rsidR="00F15AEE" w:rsidRPr="00F00002" w:rsidRDefault="00F15AEE" w:rsidP="00F15AEE">
      <w:pPr>
        <w:pStyle w:val="ActHead5"/>
      </w:pPr>
      <w:bookmarkStart w:id="162" w:name="_Toc31109737"/>
      <w:r w:rsidRPr="00A26088">
        <w:rPr>
          <w:rStyle w:val="CharSectno"/>
        </w:rPr>
        <w:t>910</w:t>
      </w:r>
      <w:r w:rsidR="00F00002" w:rsidRPr="00A26088">
        <w:rPr>
          <w:rStyle w:val="CharSectno"/>
        </w:rPr>
        <w:noBreakHyphen/>
      </w:r>
      <w:r w:rsidRPr="00A26088">
        <w:rPr>
          <w:rStyle w:val="CharSectno"/>
        </w:rPr>
        <w:t>1.04</w:t>
      </w:r>
      <w:r w:rsidRPr="00F00002">
        <w:t xml:space="preserve">  Transitional arrangements arising out of the </w:t>
      </w:r>
      <w:r w:rsidRPr="00F00002">
        <w:rPr>
          <w:i/>
          <w:noProof/>
        </w:rPr>
        <w:t>Tax and Superannuation Laws Amendment (2014 Measures No.</w:t>
      </w:r>
      <w:r w:rsidR="00F00002">
        <w:rPr>
          <w:i/>
          <w:noProof/>
        </w:rPr>
        <w:t> </w:t>
      </w:r>
      <w:r w:rsidRPr="00F00002">
        <w:rPr>
          <w:i/>
          <w:noProof/>
        </w:rPr>
        <w:t>1) Regulation</w:t>
      </w:r>
      <w:r w:rsidR="00F00002">
        <w:rPr>
          <w:i/>
          <w:noProof/>
        </w:rPr>
        <w:t> </w:t>
      </w:r>
      <w:r w:rsidRPr="00F00002">
        <w:rPr>
          <w:i/>
          <w:noProof/>
        </w:rPr>
        <w:t>2014</w:t>
      </w:r>
      <w:bookmarkEnd w:id="162"/>
    </w:p>
    <w:p w:rsidR="00F15AEE" w:rsidRPr="00F00002" w:rsidRDefault="00F15AEE" w:rsidP="00F15AEE">
      <w:pPr>
        <w:pStyle w:val="subsection"/>
      </w:pPr>
      <w:r w:rsidRPr="00F00002">
        <w:tab/>
      </w:r>
      <w:r w:rsidRPr="00F00002">
        <w:tab/>
        <w:t>The amendment of these Regulations made by item</w:t>
      </w:r>
      <w:r w:rsidR="00F00002">
        <w:t> </w:t>
      </w:r>
      <w:r w:rsidRPr="00F00002">
        <w:t>1 of Schedule</w:t>
      </w:r>
      <w:r w:rsidR="00F00002">
        <w:t> </w:t>
      </w:r>
      <w:r w:rsidRPr="00F00002">
        <w:t xml:space="preserve">1 to the </w:t>
      </w:r>
      <w:r w:rsidRPr="00F00002">
        <w:rPr>
          <w:i/>
          <w:noProof/>
        </w:rPr>
        <w:t>Tax and Superannuation Laws Amendment (2014 Measures No.</w:t>
      </w:r>
      <w:r w:rsidR="00F00002">
        <w:rPr>
          <w:i/>
          <w:noProof/>
        </w:rPr>
        <w:t> </w:t>
      </w:r>
      <w:r w:rsidRPr="00F00002">
        <w:rPr>
          <w:i/>
          <w:noProof/>
        </w:rPr>
        <w:t>1) Regulation</w:t>
      </w:r>
      <w:r w:rsidR="00F00002">
        <w:rPr>
          <w:i/>
          <w:noProof/>
        </w:rPr>
        <w:t> </w:t>
      </w:r>
      <w:r w:rsidRPr="00F00002">
        <w:rPr>
          <w:i/>
          <w:noProof/>
        </w:rPr>
        <w:t>2014</w:t>
      </w:r>
      <w:r w:rsidRPr="00F00002">
        <w:rPr>
          <w:i/>
        </w:rPr>
        <w:t xml:space="preserve"> </w:t>
      </w:r>
      <w:r w:rsidRPr="00F00002">
        <w:t>applies on and after 1</w:t>
      </w:r>
      <w:r w:rsidR="00F00002">
        <w:t> </w:t>
      </w:r>
      <w:r w:rsidRPr="00F00002">
        <w:t>July 2012.</w:t>
      </w:r>
    </w:p>
    <w:p w:rsidR="00206CD7" w:rsidRPr="00F00002" w:rsidRDefault="00206CD7" w:rsidP="00206CD7">
      <w:pPr>
        <w:pStyle w:val="ActHead5"/>
      </w:pPr>
      <w:bookmarkStart w:id="163" w:name="_Toc31109738"/>
      <w:r w:rsidRPr="00A26088">
        <w:rPr>
          <w:rStyle w:val="CharSectno"/>
        </w:rPr>
        <w:t>910</w:t>
      </w:r>
      <w:r w:rsidR="00F00002" w:rsidRPr="00A26088">
        <w:rPr>
          <w:rStyle w:val="CharSectno"/>
        </w:rPr>
        <w:noBreakHyphen/>
      </w:r>
      <w:r w:rsidRPr="00A26088">
        <w:rPr>
          <w:rStyle w:val="CharSectno"/>
        </w:rPr>
        <w:t>1.05</w:t>
      </w:r>
      <w:r w:rsidRPr="00F00002">
        <w:t xml:space="preserve">  Transitional arrangements arising out of the </w:t>
      </w:r>
      <w:r w:rsidRPr="00F00002">
        <w:rPr>
          <w:i/>
        </w:rPr>
        <w:t>Tax and Superannuation Laws Amendment (2014 Measures No.</w:t>
      </w:r>
      <w:r w:rsidR="00F00002">
        <w:rPr>
          <w:i/>
        </w:rPr>
        <w:t> </w:t>
      </w:r>
      <w:r w:rsidRPr="00F00002">
        <w:rPr>
          <w:i/>
        </w:rPr>
        <w:t>2) Regulation</w:t>
      </w:r>
      <w:r w:rsidR="00F00002">
        <w:rPr>
          <w:i/>
        </w:rPr>
        <w:t> </w:t>
      </w:r>
      <w:r w:rsidRPr="00F00002">
        <w:rPr>
          <w:i/>
        </w:rPr>
        <w:t>2014</w:t>
      </w:r>
      <w:bookmarkEnd w:id="163"/>
    </w:p>
    <w:p w:rsidR="00206CD7" w:rsidRPr="00F00002" w:rsidRDefault="00206CD7" w:rsidP="00206CD7">
      <w:pPr>
        <w:pStyle w:val="subsection"/>
      </w:pPr>
      <w:r w:rsidRPr="00F00002">
        <w:tab/>
      </w:r>
      <w:r w:rsidRPr="00F00002">
        <w:tab/>
        <w:t>The amendment of these Regulations made by item</w:t>
      </w:r>
      <w:r w:rsidR="00F00002">
        <w:t> </w:t>
      </w:r>
      <w:r w:rsidRPr="00F00002">
        <w:t>1 of Schedule</w:t>
      </w:r>
      <w:r w:rsidR="00F00002">
        <w:t> </w:t>
      </w:r>
      <w:r w:rsidRPr="00F00002">
        <w:t xml:space="preserve">3 to the </w:t>
      </w:r>
      <w:r w:rsidRPr="00F00002">
        <w:rPr>
          <w:i/>
        </w:rPr>
        <w:t>Tax and Superannuation Laws Amendment (2014 Measures No.</w:t>
      </w:r>
      <w:r w:rsidR="00F00002">
        <w:rPr>
          <w:i/>
        </w:rPr>
        <w:t> </w:t>
      </w:r>
      <w:r w:rsidRPr="00F00002">
        <w:rPr>
          <w:i/>
        </w:rPr>
        <w:t>2) Regulation</w:t>
      </w:r>
      <w:r w:rsidR="00F00002">
        <w:rPr>
          <w:i/>
        </w:rPr>
        <w:t> </w:t>
      </w:r>
      <w:r w:rsidRPr="00F00002">
        <w:rPr>
          <w:i/>
        </w:rPr>
        <w:t>2014</w:t>
      </w:r>
      <w:r w:rsidRPr="00F00002">
        <w:t xml:space="preserve"> applies in relation to the 2013</w:t>
      </w:r>
      <w:r w:rsidR="00F00002">
        <w:noBreakHyphen/>
      </w:r>
      <w:r w:rsidRPr="00F00002">
        <w:t>14 financial year and later financial years.</w:t>
      </w:r>
    </w:p>
    <w:p w:rsidR="00BE443C" w:rsidRPr="00F00002" w:rsidRDefault="00BE443C" w:rsidP="00BE443C">
      <w:pPr>
        <w:pStyle w:val="ActHead5"/>
        <w:rPr>
          <w:i/>
        </w:rPr>
      </w:pPr>
      <w:bookmarkStart w:id="164" w:name="_Toc31109739"/>
      <w:r w:rsidRPr="00A26088">
        <w:rPr>
          <w:rStyle w:val="CharSectno"/>
        </w:rPr>
        <w:lastRenderedPageBreak/>
        <w:t>910</w:t>
      </w:r>
      <w:r w:rsidR="00F00002" w:rsidRPr="00A26088">
        <w:rPr>
          <w:rStyle w:val="CharSectno"/>
        </w:rPr>
        <w:noBreakHyphen/>
      </w:r>
      <w:r w:rsidRPr="00A26088">
        <w:rPr>
          <w:rStyle w:val="CharSectno"/>
        </w:rPr>
        <w:t>1.07</w:t>
      </w:r>
      <w:r w:rsidRPr="00F00002">
        <w:t xml:space="preserve">  Transitional arrangements arising out of the </w:t>
      </w:r>
      <w:r w:rsidRPr="00F00002">
        <w:rPr>
          <w:i/>
        </w:rPr>
        <w:t>Income Tax Assessment Amendment (Governor</w:t>
      </w:r>
      <w:r w:rsidR="00F00002">
        <w:rPr>
          <w:i/>
        </w:rPr>
        <w:noBreakHyphen/>
      </w:r>
      <w:r w:rsidRPr="00F00002">
        <w:rPr>
          <w:i/>
        </w:rPr>
        <w:t>General Pension Scheme) Regulation</w:t>
      </w:r>
      <w:r w:rsidR="00F00002">
        <w:rPr>
          <w:i/>
        </w:rPr>
        <w:t> </w:t>
      </w:r>
      <w:r w:rsidRPr="00F00002">
        <w:rPr>
          <w:i/>
        </w:rPr>
        <w:t>2015</w:t>
      </w:r>
      <w:bookmarkEnd w:id="164"/>
    </w:p>
    <w:p w:rsidR="00BE443C" w:rsidRPr="00F00002" w:rsidRDefault="00BE443C" w:rsidP="00BE443C">
      <w:pPr>
        <w:pStyle w:val="subsection"/>
      </w:pPr>
      <w:r w:rsidRPr="00F00002">
        <w:tab/>
      </w:r>
      <w:r w:rsidRPr="00F00002">
        <w:tab/>
        <w:t>The amendments of these Regulations made by Schedule</w:t>
      </w:r>
      <w:r w:rsidR="00F00002">
        <w:t> </w:t>
      </w:r>
      <w:r w:rsidRPr="00F00002">
        <w:t xml:space="preserve">1 to the </w:t>
      </w:r>
      <w:r w:rsidRPr="00F00002">
        <w:rPr>
          <w:i/>
        </w:rPr>
        <w:t>Income Tax Assessment Amendment (Governor</w:t>
      </w:r>
      <w:r w:rsidR="00F00002">
        <w:rPr>
          <w:i/>
        </w:rPr>
        <w:noBreakHyphen/>
      </w:r>
      <w:r w:rsidRPr="00F00002">
        <w:rPr>
          <w:i/>
        </w:rPr>
        <w:t>General Pension Scheme) Regulation</w:t>
      </w:r>
      <w:r w:rsidR="00F00002">
        <w:rPr>
          <w:i/>
        </w:rPr>
        <w:t> </w:t>
      </w:r>
      <w:r w:rsidRPr="00F00002">
        <w:rPr>
          <w:i/>
        </w:rPr>
        <w:t>2015</w:t>
      </w:r>
      <w:r w:rsidRPr="00F00002">
        <w:t xml:space="preserve"> apply in relation to the 2013</w:t>
      </w:r>
      <w:r w:rsidR="00F00002">
        <w:noBreakHyphen/>
      </w:r>
      <w:r w:rsidRPr="00F00002">
        <w:t>14 financial year and later financial years.</w:t>
      </w:r>
    </w:p>
    <w:p w:rsidR="001A561E" w:rsidRPr="00F00002" w:rsidRDefault="001A561E" w:rsidP="001A561E">
      <w:pPr>
        <w:pStyle w:val="ActHead5"/>
      </w:pPr>
      <w:bookmarkStart w:id="165" w:name="_Toc31109740"/>
      <w:r w:rsidRPr="00A26088">
        <w:rPr>
          <w:rStyle w:val="CharSectno"/>
        </w:rPr>
        <w:t>910</w:t>
      </w:r>
      <w:r w:rsidR="00F00002" w:rsidRPr="00A26088">
        <w:rPr>
          <w:rStyle w:val="CharSectno"/>
        </w:rPr>
        <w:noBreakHyphen/>
      </w:r>
      <w:r w:rsidRPr="00A26088">
        <w:rPr>
          <w:rStyle w:val="CharSectno"/>
        </w:rPr>
        <w:t>1.08</w:t>
      </w:r>
      <w:r w:rsidRPr="00F00002">
        <w:t xml:space="preserve">  Transitional arrangements arising out of the </w:t>
      </w:r>
      <w:r w:rsidRPr="00F00002">
        <w:rPr>
          <w:i/>
        </w:rPr>
        <w:t>Treasury Laws Amendment (2016 Measures No.</w:t>
      </w:r>
      <w:r w:rsidR="00F00002">
        <w:rPr>
          <w:i/>
        </w:rPr>
        <w:t> </w:t>
      </w:r>
      <w:r w:rsidRPr="00F00002">
        <w:rPr>
          <w:i/>
        </w:rPr>
        <w:t>1) Regulation</w:t>
      </w:r>
      <w:r w:rsidR="00F00002">
        <w:rPr>
          <w:i/>
        </w:rPr>
        <w:t> </w:t>
      </w:r>
      <w:r w:rsidRPr="00F00002">
        <w:rPr>
          <w:i/>
        </w:rPr>
        <w:t>2016</w:t>
      </w:r>
      <w:bookmarkEnd w:id="165"/>
    </w:p>
    <w:p w:rsidR="001A561E" w:rsidRPr="00F00002" w:rsidRDefault="001A561E" w:rsidP="001A561E">
      <w:pPr>
        <w:pStyle w:val="subsection"/>
      </w:pPr>
      <w:r w:rsidRPr="00F00002">
        <w:tab/>
      </w:r>
      <w:r w:rsidRPr="00F00002">
        <w:tab/>
        <w:t>The amendments of these Regulations made by Schedule</w:t>
      </w:r>
      <w:r w:rsidR="00F00002">
        <w:t> </w:t>
      </w:r>
      <w:r w:rsidRPr="00F00002">
        <w:t xml:space="preserve">1 to the </w:t>
      </w:r>
      <w:r w:rsidRPr="00F00002">
        <w:rPr>
          <w:i/>
        </w:rPr>
        <w:t>Treasury Laws Amendment (2016 Measures No.</w:t>
      </w:r>
      <w:r w:rsidR="00F00002">
        <w:rPr>
          <w:i/>
        </w:rPr>
        <w:t> </w:t>
      </w:r>
      <w:r w:rsidRPr="00F00002">
        <w:rPr>
          <w:i/>
        </w:rPr>
        <w:t>1) Regulation</w:t>
      </w:r>
      <w:r w:rsidR="00F00002">
        <w:rPr>
          <w:i/>
        </w:rPr>
        <w:t> </w:t>
      </w:r>
      <w:r w:rsidRPr="00F00002">
        <w:rPr>
          <w:i/>
        </w:rPr>
        <w:t>2016</w:t>
      </w:r>
      <w:r w:rsidRPr="00F00002">
        <w:t xml:space="preserve"> apply in relation to the 2015</w:t>
      </w:r>
      <w:r w:rsidR="00F00002">
        <w:noBreakHyphen/>
      </w:r>
      <w:r w:rsidRPr="00F00002">
        <w:t>16 income year and later income years.</w:t>
      </w:r>
    </w:p>
    <w:p w:rsidR="00465211" w:rsidRPr="00F00002" w:rsidRDefault="00465211" w:rsidP="00465211">
      <w:pPr>
        <w:pStyle w:val="ActHead5"/>
      </w:pPr>
      <w:bookmarkStart w:id="166" w:name="_Toc31109741"/>
      <w:r w:rsidRPr="00A26088">
        <w:rPr>
          <w:rStyle w:val="CharSectno"/>
        </w:rPr>
        <w:t>910</w:t>
      </w:r>
      <w:r w:rsidR="00F00002" w:rsidRPr="00A26088">
        <w:rPr>
          <w:rStyle w:val="CharSectno"/>
        </w:rPr>
        <w:noBreakHyphen/>
      </w:r>
      <w:r w:rsidRPr="00A26088">
        <w:rPr>
          <w:rStyle w:val="CharSectno"/>
        </w:rPr>
        <w:t>1.09</w:t>
      </w:r>
      <w:r w:rsidRPr="00F00002">
        <w:t xml:space="preserve">  Transitional arrangements arising out of the </w:t>
      </w:r>
      <w:r w:rsidRPr="00F00002">
        <w:rPr>
          <w:i/>
        </w:rPr>
        <w:t>Treasury Laws Amendment (Fair and Sustainable Superannuation) Regulations</w:t>
      </w:r>
      <w:r w:rsidR="00F00002">
        <w:rPr>
          <w:i/>
        </w:rPr>
        <w:t> </w:t>
      </w:r>
      <w:r w:rsidRPr="00F00002">
        <w:rPr>
          <w:i/>
        </w:rPr>
        <w:t>2017</w:t>
      </w:r>
      <w:bookmarkEnd w:id="166"/>
    </w:p>
    <w:p w:rsidR="00465211" w:rsidRPr="00F00002" w:rsidRDefault="00465211" w:rsidP="00465211">
      <w:pPr>
        <w:pStyle w:val="subsection"/>
      </w:pPr>
      <w:r w:rsidRPr="00F00002">
        <w:tab/>
        <w:t>(1)</w:t>
      </w:r>
      <w:r w:rsidRPr="00F00002">
        <w:tab/>
        <w:t>The amendments made by items</w:t>
      </w:r>
      <w:r w:rsidR="00F00002">
        <w:t> </w:t>
      </w:r>
      <w:r w:rsidRPr="00F00002">
        <w:t>2 and 3 of Schedule</w:t>
      </w:r>
      <w:r w:rsidR="00F00002">
        <w:t> </w:t>
      </w:r>
      <w:r w:rsidRPr="00F00002">
        <w:t xml:space="preserve">1 to the </w:t>
      </w:r>
      <w:r w:rsidRPr="00F00002">
        <w:rPr>
          <w:i/>
        </w:rPr>
        <w:t>Treasury Laws Amendment (Fair and Sustainable Superannuation) Regulations</w:t>
      </w:r>
      <w:r w:rsidR="00F00002">
        <w:rPr>
          <w:i/>
        </w:rPr>
        <w:t> </w:t>
      </w:r>
      <w:r w:rsidRPr="00F00002">
        <w:rPr>
          <w:i/>
        </w:rPr>
        <w:t>2017</w:t>
      </w:r>
      <w:r w:rsidRPr="00F00002">
        <w:t xml:space="preserve"> apply in relation to the 2017</w:t>
      </w:r>
      <w:r w:rsidR="00F00002">
        <w:noBreakHyphen/>
      </w:r>
      <w:r w:rsidRPr="00F00002">
        <w:t>18 income year and later income years.</w:t>
      </w:r>
    </w:p>
    <w:p w:rsidR="00465211" w:rsidRPr="00F00002" w:rsidRDefault="00465211" w:rsidP="00465211">
      <w:pPr>
        <w:pStyle w:val="subsection"/>
      </w:pPr>
      <w:r w:rsidRPr="00F00002">
        <w:tab/>
        <w:t>(2)</w:t>
      </w:r>
      <w:r w:rsidRPr="00F00002">
        <w:tab/>
        <w:t>The amendment made by item</w:t>
      </w:r>
      <w:r w:rsidR="00F00002">
        <w:t> </w:t>
      </w:r>
      <w:r w:rsidRPr="00F00002">
        <w:t>4 of Schedule</w:t>
      </w:r>
      <w:r w:rsidR="00F00002">
        <w:t> </w:t>
      </w:r>
      <w:r w:rsidRPr="00F00002">
        <w:t xml:space="preserve">1 to the </w:t>
      </w:r>
      <w:r w:rsidRPr="00F00002">
        <w:rPr>
          <w:i/>
        </w:rPr>
        <w:t>Treasury Laws Amendment (Fair and Sustainable Superannuation) Regulations</w:t>
      </w:r>
      <w:r w:rsidR="00F00002">
        <w:rPr>
          <w:i/>
        </w:rPr>
        <w:t> </w:t>
      </w:r>
      <w:r w:rsidRPr="00F00002">
        <w:rPr>
          <w:i/>
        </w:rPr>
        <w:t>2017</w:t>
      </w:r>
      <w:r w:rsidRPr="00F00002">
        <w:t xml:space="preserve"> applies in relation to superannuation benefits paid on or after 1</w:t>
      </w:r>
      <w:r w:rsidR="00F00002">
        <w:t> </w:t>
      </w:r>
      <w:r w:rsidRPr="00F00002">
        <w:t>July 2017.</w:t>
      </w:r>
    </w:p>
    <w:p w:rsidR="00465211" w:rsidRPr="00F00002" w:rsidRDefault="00465211" w:rsidP="00465211">
      <w:pPr>
        <w:pStyle w:val="subsection"/>
      </w:pPr>
      <w:r w:rsidRPr="00F00002">
        <w:tab/>
        <w:t>(3)</w:t>
      </w:r>
      <w:r w:rsidRPr="00F00002">
        <w:tab/>
        <w:t>The amendments made by items</w:t>
      </w:r>
      <w:r w:rsidR="00F00002">
        <w:t> </w:t>
      </w:r>
      <w:r w:rsidRPr="00F00002">
        <w:t>8 and 9 of Schedule</w:t>
      </w:r>
      <w:r w:rsidR="00F00002">
        <w:t> </w:t>
      </w:r>
      <w:r w:rsidRPr="00F00002">
        <w:t xml:space="preserve">2 to the </w:t>
      </w:r>
      <w:r w:rsidRPr="00F00002">
        <w:rPr>
          <w:i/>
        </w:rPr>
        <w:t>Treasury Laws Amendment (Fair and Sustainable Superannuation) Regulations</w:t>
      </w:r>
      <w:r w:rsidR="00F00002">
        <w:rPr>
          <w:i/>
        </w:rPr>
        <w:t> </w:t>
      </w:r>
      <w:r w:rsidRPr="00F00002">
        <w:rPr>
          <w:i/>
        </w:rPr>
        <w:t>2017</w:t>
      </w:r>
      <w:r w:rsidRPr="00F00002">
        <w:t xml:space="preserve"> apply in relation to 2017</w:t>
      </w:r>
      <w:r w:rsidR="00F00002">
        <w:noBreakHyphen/>
      </w:r>
      <w:r w:rsidRPr="00F00002">
        <w:t>2018 financial year and later financial years.</w:t>
      </w:r>
    </w:p>
    <w:p w:rsidR="00465211" w:rsidRPr="00F00002" w:rsidRDefault="00465211" w:rsidP="00465211">
      <w:pPr>
        <w:pStyle w:val="subsection"/>
      </w:pPr>
      <w:r w:rsidRPr="00F00002">
        <w:tab/>
        <w:t>(4)</w:t>
      </w:r>
      <w:r w:rsidRPr="00F00002">
        <w:tab/>
        <w:t>The amendments made by Schedule</w:t>
      </w:r>
      <w:r w:rsidR="00F00002">
        <w:t> </w:t>
      </w:r>
      <w:r w:rsidRPr="00F00002">
        <w:t xml:space="preserve">5 to the </w:t>
      </w:r>
      <w:r w:rsidRPr="00F00002">
        <w:rPr>
          <w:i/>
        </w:rPr>
        <w:t>Treasury Laws Amendment (Fair and Sustainable Superannuation) Regulations</w:t>
      </w:r>
      <w:r w:rsidR="00F00002">
        <w:rPr>
          <w:i/>
        </w:rPr>
        <w:t> </w:t>
      </w:r>
      <w:r w:rsidRPr="00F00002">
        <w:rPr>
          <w:i/>
        </w:rPr>
        <w:t>2017</w:t>
      </w:r>
      <w:r w:rsidRPr="00F00002">
        <w:t xml:space="preserve"> apply in relation to contributions made in the 2017</w:t>
      </w:r>
      <w:r w:rsidR="00F00002">
        <w:noBreakHyphen/>
      </w:r>
      <w:r w:rsidRPr="00F00002">
        <w:t>18 income year and later income years.</w:t>
      </w:r>
    </w:p>
    <w:p w:rsidR="00465211" w:rsidRPr="00F00002" w:rsidRDefault="00465211" w:rsidP="00465211">
      <w:pPr>
        <w:pStyle w:val="subsection"/>
      </w:pPr>
      <w:r w:rsidRPr="00F00002">
        <w:tab/>
        <w:t>(5)</w:t>
      </w:r>
      <w:r w:rsidRPr="00F00002">
        <w:tab/>
        <w:t>The amendments made by Schedule</w:t>
      </w:r>
      <w:r w:rsidR="00F00002">
        <w:t> </w:t>
      </w:r>
      <w:r w:rsidRPr="00F00002">
        <w:t xml:space="preserve">6 to the </w:t>
      </w:r>
      <w:r w:rsidRPr="00F00002">
        <w:rPr>
          <w:i/>
        </w:rPr>
        <w:t>Treasury Laws Amendment (Fair and Sustainable Superannuation) Regulations</w:t>
      </w:r>
      <w:r w:rsidR="00F00002">
        <w:rPr>
          <w:i/>
        </w:rPr>
        <w:t> </w:t>
      </w:r>
      <w:r w:rsidRPr="00F00002">
        <w:rPr>
          <w:i/>
        </w:rPr>
        <w:t>2017</w:t>
      </w:r>
      <w:r w:rsidRPr="00F00002">
        <w:t xml:space="preserve"> apply to payments from an interest that supports a superannuation income stream made on or after 1</w:t>
      </w:r>
      <w:r w:rsidR="00F00002">
        <w:t> </w:t>
      </w:r>
      <w:r w:rsidRPr="00F00002">
        <w:t>July 2017.</w:t>
      </w:r>
    </w:p>
    <w:p w:rsidR="00465211" w:rsidRPr="00F00002" w:rsidRDefault="00465211" w:rsidP="00465211">
      <w:pPr>
        <w:pStyle w:val="subsection"/>
      </w:pPr>
      <w:r w:rsidRPr="00F00002">
        <w:tab/>
        <w:t>(6)</w:t>
      </w:r>
      <w:r w:rsidRPr="00F00002">
        <w:tab/>
        <w:t>The amendments made by items</w:t>
      </w:r>
      <w:r w:rsidR="00F00002">
        <w:t> </w:t>
      </w:r>
      <w:r w:rsidRPr="00F00002">
        <w:t>1 to 3 of Schedule</w:t>
      </w:r>
      <w:r w:rsidR="00F00002">
        <w:t> </w:t>
      </w:r>
      <w:r w:rsidRPr="00F00002">
        <w:t xml:space="preserve">7 to the </w:t>
      </w:r>
      <w:r w:rsidRPr="00F00002">
        <w:rPr>
          <w:i/>
        </w:rPr>
        <w:t>Treasury Laws Amendment (Fair and Sustainable Superannuation) Regulations</w:t>
      </w:r>
      <w:r w:rsidR="00F00002">
        <w:rPr>
          <w:i/>
        </w:rPr>
        <w:t> </w:t>
      </w:r>
      <w:r w:rsidRPr="00F00002">
        <w:rPr>
          <w:i/>
        </w:rPr>
        <w:t>2017</w:t>
      </w:r>
      <w:r w:rsidRPr="00F00002">
        <w:t xml:space="preserve"> apply in relation to a superannuation benefit that is:</w:t>
      </w:r>
    </w:p>
    <w:p w:rsidR="00465211" w:rsidRPr="00F00002" w:rsidRDefault="00465211" w:rsidP="00465211">
      <w:pPr>
        <w:pStyle w:val="paragraph"/>
      </w:pPr>
      <w:r w:rsidRPr="00F00002">
        <w:tab/>
        <w:t>(a)</w:t>
      </w:r>
      <w:r w:rsidRPr="00F00002">
        <w:tab/>
        <w:t>paid because of the death of a person that occurred on or after 1</w:t>
      </w:r>
      <w:r w:rsidR="00F00002">
        <w:t> </w:t>
      </w:r>
      <w:r w:rsidRPr="00F00002">
        <w:t>July 2017; or</w:t>
      </w:r>
    </w:p>
    <w:p w:rsidR="00465211" w:rsidRPr="00F00002" w:rsidRDefault="00465211" w:rsidP="00465211">
      <w:pPr>
        <w:pStyle w:val="paragraph"/>
      </w:pPr>
      <w:r w:rsidRPr="00F00002">
        <w:tab/>
        <w:t>(b)</w:t>
      </w:r>
      <w:r w:rsidRPr="00F00002">
        <w:tab/>
        <w:t>paid on or after 1</w:t>
      </w:r>
      <w:r w:rsidR="00F00002">
        <w:t> </w:t>
      </w:r>
      <w:r w:rsidRPr="00F00002">
        <w:t>July 2019.</w:t>
      </w:r>
    </w:p>
    <w:p w:rsidR="00465211" w:rsidRPr="00F00002" w:rsidRDefault="00465211" w:rsidP="00BC42EF">
      <w:pPr>
        <w:pStyle w:val="noteToPara"/>
      </w:pPr>
      <w:r w:rsidRPr="00F00002">
        <w:t>Note:</w:t>
      </w:r>
      <w:r w:rsidRPr="00F00002">
        <w:tab/>
        <w:t xml:space="preserve">For </w:t>
      </w:r>
      <w:r w:rsidR="00F00002">
        <w:t>paragraph (</w:t>
      </w:r>
      <w:r w:rsidRPr="00F00002">
        <w:t>b), it doesn’t matter when the person, in relation to whom the benefit is payable, died.</w:t>
      </w:r>
    </w:p>
    <w:p w:rsidR="00B71232" w:rsidRPr="00F00002" w:rsidRDefault="00B71232" w:rsidP="00B71232">
      <w:pPr>
        <w:pStyle w:val="ActHead5"/>
      </w:pPr>
      <w:bookmarkStart w:id="167" w:name="_Toc31109742"/>
      <w:r w:rsidRPr="00A26088">
        <w:rPr>
          <w:rStyle w:val="CharSectno"/>
        </w:rPr>
        <w:lastRenderedPageBreak/>
        <w:t>910</w:t>
      </w:r>
      <w:r w:rsidR="00F00002" w:rsidRPr="00A26088">
        <w:rPr>
          <w:rStyle w:val="CharSectno"/>
        </w:rPr>
        <w:noBreakHyphen/>
      </w:r>
      <w:r w:rsidRPr="00A26088">
        <w:rPr>
          <w:rStyle w:val="CharSectno"/>
        </w:rPr>
        <w:t>1.10</w:t>
      </w:r>
      <w:r w:rsidRPr="00F00002">
        <w:t xml:space="preserve">  Transitional arrangements arising out of the </w:t>
      </w:r>
      <w:r w:rsidRPr="00F00002">
        <w:rPr>
          <w:i/>
        </w:rPr>
        <w:t>Treasury Laws Amendment (Miscellaneous Amendments) Regulations</w:t>
      </w:r>
      <w:r w:rsidR="00F00002">
        <w:rPr>
          <w:i/>
        </w:rPr>
        <w:t> </w:t>
      </w:r>
      <w:r w:rsidRPr="00F00002">
        <w:rPr>
          <w:i/>
        </w:rPr>
        <w:t>2018</w:t>
      </w:r>
      <w:bookmarkEnd w:id="167"/>
    </w:p>
    <w:p w:rsidR="00B71232" w:rsidRPr="00F00002" w:rsidRDefault="00B71232" w:rsidP="00B71232">
      <w:pPr>
        <w:pStyle w:val="subsection"/>
      </w:pPr>
      <w:r w:rsidRPr="00F00002">
        <w:tab/>
        <w:t>(1)</w:t>
      </w:r>
      <w:r w:rsidRPr="00F00002">
        <w:tab/>
        <w:t>The amendment made by item</w:t>
      </w:r>
      <w:r w:rsidR="00F00002">
        <w:t> </w:t>
      </w:r>
      <w:r w:rsidRPr="00F00002">
        <w:t>5 of Schedule</w:t>
      </w:r>
      <w:r w:rsidR="00F00002">
        <w:t> </w:t>
      </w:r>
      <w:r w:rsidRPr="00F00002">
        <w:t xml:space="preserve">1 to the </w:t>
      </w:r>
      <w:r w:rsidRPr="00F00002">
        <w:rPr>
          <w:i/>
        </w:rPr>
        <w:t>Treasury Laws Amendment (Miscellaneous Amendments) Regulations</w:t>
      </w:r>
      <w:r w:rsidR="00F00002">
        <w:rPr>
          <w:i/>
        </w:rPr>
        <w:t> </w:t>
      </w:r>
      <w:r w:rsidRPr="00F00002">
        <w:rPr>
          <w:i/>
        </w:rPr>
        <w:t>2018</w:t>
      </w:r>
      <w:r w:rsidRPr="00F00002">
        <w:t xml:space="preserve"> applies on and after 1</w:t>
      </w:r>
      <w:r w:rsidR="00F00002">
        <w:t> </w:t>
      </w:r>
      <w:r w:rsidRPr="00F00002">
        <w:t>July 2007.</w:t>
      </w:r>
    </w:p>
    <w:p w:rsidR="00B71232" w:rsidRPr="00F00002" w:rsidRDefault="00B71232" w:rsidP="00B71232">
      <w:pPr>
        <w:pStyle w:val="subsection"/>
      </w:pPr>
      <w:r w:rsidRPr="00F00002">
        <w:tab/>
        <w:t>(2)</w:t>
      </w:r>
      <w:r w:rsidRPr="00F00002">
        <w:tab/>
        <w:t>The amendments made by items</w:t>
      </w:r>
      <w:r w:rsidR="00F00002">
        <w:t> </w:t>
      </w:r>
      <w:r w:rsidRPr="00F00002">
        <w:t>7 and 8 of Schedule</w:t>
      </w:r>
      <w:r w:rsidR="00F00002">
        <w:t> </w:t>
      </w:r>
      <w:r w:rsidRPr="00F00002">
        <w:t xml:space="preserve">1 to the </w:t>
      </w:r>
      <w:r w:rsidRPr="00F00002">
        <w:rPr>
          <w:i/>
        </w:rPr>
        <w:t>Treasury Laws Amendment (Miscellaneous Amendments) Regulations</w:t>
      </w:r>
      <w:r w:rsidR="00F00002">
        <w:rPr>
          <w:i/>
        </w:rPr>
        <w:t> </w:t>
      </w:r>
      <w:r w:rsidRPr="00F00002">
        <w:rPr>
          <w:i/>
        </w:rPr>
        <w:t>2018</w:t>
      </w:r>
      <w:r w:rsidRPr="00F00002">
        <w:t xml:space="preserve"> apply in relation to the 2012</w:t>
      </w:r>
      <w:r w:rsidR="00F00002">
        <w:noBreakHyphen/>
      </w:r>
      <w:r w:rsidRPr="00F00002">
        <w:t>13 income year and later income years.</w:t>
      </w:r>
    </w:p>
    <w:p w:rsidR="0018264C" w:rsidRPr="00F00002" w:rsidRDefault="0018264C" w:rsidP="0018264C">
      <w:pPr>
        <w:pStyle w:val="ActHead5"/>
      </w:pPr>
      <w:bookmarkStart w:id="168" w:name="_Toc31109743"/>
      <w:r w:rsidRPr="00A26088">
        <w:rPr>
          <w:rStyle w:val="CharSectno"/>
        </w:rPr>
        <w:t>910</w:t>
      </w:r>
      <w:r w:rsidR="00F00002" w:rsidRPr="00A26088">
        <w:rPr>
          <w:rStyle w:val="CharSectno"/>
        </w:rPr>
        <w:noBreakHyphen/>
      </w:r>
      <w:r w:rsidRPr="00A26088">
        <w:rPr>
          <w:rStyle w:val="CharSectno"/>
        </w:rPr>
        <w:t>1.11</w:t>
      </w:r>
      <w:r w:rsidRPr="00F00002">
        <w:t xml:space="preserve">  Transitional arrangements arising out of the </w:t>
      </w:r>
      <w:r w:rsidRPr="00F00002">
        <w:rPr>
          <w:i/>
          <w:noProof/>
        </w:rPr>
        <w:t>Treasury Laws Amendment (Mutual Equity Interests) Regulations</w:t>
      </w:r>
      <w:r w:rsidR="00F00002">
        <w:rPr>
          <w:i/>
          <w:noProof/>
        </w:rPr>
        <w:t> </w:t>
      </w:r>
      <w:r w:rsidRPr="00F00002">
        <w:rPr>
          <w:i/>
          <w:noProof/>
        </w:rPr>
        <w:t>2019</w:t>
      </w:r>
      <w:bookmarkEnd w:id="168"/>
    </w:p>
    <w:p w:rsidR="0018264C" w:rsidRPr="00F00002" w:rsidRDefault="0018264C" w:rsidP="0018264C">
      <w:pPr>
        <w:pStyle w:val="subsection"/>
      </w:pPr>
      <w:r w:rsidRPr="00F00002">
        <w:tab/>
      </w:r>
      <w:r w:rsidRPr="00F00002">
        <w:tab/>
        <w:t>The amendment of these Regulations made by Schedule</w:t>
      </w:r>
      <w:r w:rsidR="00F00002">
        <w:t> </w:t>
      </w:r>
      <w:r w:rsidRPr="00F00002">
        <w:t xml:space="preserve">1 to the </w:t>
      </w:r>
      <w:r w:rsidRPr="00F00002">
        <w:rPr>
          <w:i/>
          <w:noProof/>
        </w:rPr>
        <w:t>Treasury Laws Amendment (Mutual Equity Interests) Regulations</w:t>
      </w:r>
      <w:r w:rsidR="00F00002">
        <w:rPr>
          <w:i/>
          <w:noProof/>
        </w:rPr>
        <w:t> </w:t>
      </w:r>
      <w:r w:rsidRPr="00F00002">
        <w:rPr>
          <w:i/>
          <w:noProof/>
        </w:rPr>
        <w:t>2019</w:t>
      </w:r>
      <w:r w:rsidRPr="00F00002">
        <w:rPr>
          <w:noProof/>
        </w:rPr>
        <w:t xml:space="preserve"> applies </w:t>
      </w:r>
      <w:r w:rsidRPr="00F00002">
        <w:t xml:space="preserve">in relation to a relevant term subordinated note that is issued on or after the commencement of the </w:t>
      </w:r>
      <w:r w:rsidRPr="00F00002">
        <w:rPr>
          <w:i/>
          <w:noProof/>
        </w:rPr>
        <w:t>Treasury Laws Amendment (Mutual Equity Interests) Regulations</w:t>
      </w:r>
      <w:r w:rsidR="00F00002">
        <w:rPr>
          <w:i/>
          <w:noProof/>
        </w:rPr>
        <w:t> </w:t>
      </w:r>
      <w:r w:rsidRPr="00F00002">
        <w:rPr>
          <w:i/>
          <w:noProof/>
        </w:rPr>
        <w:t>2019</w:t>
      </w:r>
      <w:r w:rsidRPr="00F00002">
        <w:t>.</w:t>
      </w:r>
    </w:p>
    <w:p w:rsidR="000764F3" w:rsidRPr="00F00002" w:rsidRDefault="000764F3" w:rsidP="000764F3">
      <w:pPr>
        <w:pStyle w:val="ActHead5"/>
      </w:pPr>
      <w:bookmarkStart w:id="169" w:name="_Toc31109744"/>
      <w:r w:rsidRPr="00A26088">
        <w:rPr>
          <w:rStyle w:val="CharSectno"/>
        </w:rPr>
        <w:t>910</w:t>
      </w:r>
      <w:r w:rsidR="00F00002" w:rsidRPr="00A26088">
        <w:rPr>
          <w:rStyle w:val="CharSectno"/>
        </w:rPr>
        <w:noBreakHyphen/>
      </w:r>
      <w:r w:rsidRPr="00A26088">
        <w:rPr>
          <w:rStyle w:val="CharSectno"/>
        </w:rPr>
        <w:t>1.12</w:t>
      </w:r>
      <w:r w:rsidRPr="00F00002">
        <w:t xml:space="preserve">  Transitional arrangements arising out of the </w:t>
      </w:r>
      <w:r w:rsidRPr="00F00002">
        <w:rPr>
          <w:i/>
        </w:rPr>
        <w:t>Treasury Laws Amendment (Miscellaneous Amendments) Regulations</w:t>
      </w:r>
      <w:r w:rsidR="00F00002">
        <w:rPr>
          <w:i/>
        </w:rPr>
        <w:t> </w:t>
      </w:r>
      <w:r w:rsidRPr="00F00002">
        <w:rPr>
          <w:i/>
        </w:rPr>
        <w:t>2019</w:t>
      </w:r>
      <w:bookmarkEnd w:id="169"/>
    </w:p>
    <w:p w:rsidR="000764F3" w:rsidRPr="00F00002" w:rsidRDefault="000764F3" w:rsidP="000764F3">
      <w:pPr>
        <w:pStyle w:val="subsection"/>
      </w:pPr>
      <w:r w:rsidRPr="00F00002">
        <w:tab/>
        <w:t>(1)</w:t>
      </w:r>
      <w:r w:rsidRPr="00F00002">
        <w:tab/>
        <w:t>Subject to subregulation (2), the amendments made by Parts</w:t>
      </w:r>
      <w:r w:rsidR="00F00002">
        <w:t> </w:t>
      </w:r>
      <w:r w:rsidRPr="00F00002">
        <w:t>1 and 3 of Schedule</w:t>
      </w:r>
      <w:r w:rsidR="00F00002">
        <w:t> </w:t>
      </w:r>
      <w:r w:rsidRPr="00F00002">
        <w:t xml:space="preserve">5 to the </w:t>
      </w:r>
      <w:r w:rsidRPr="00F00002">
        <w:rPr>
          <w:i/>
        </w:rPr>
        <w:t>Treasury Laws Amendment (Miscellaneous Amendments) Regulations</w:t>
      </w:r>
      <w:r w:rsidR="00F00002">
        <w:rPr>
          <w:i/>
        </w:rPr>
        <w:t> </w:t>
      </w:r>
      <w:r w:rsidRPr="00F00002">
        <w:rPr>
          <w:i/>
        </w:rPr>
        <w:t>2019</w:t>
      </w:r>
      <w:r w:rsidRPr="00F00002">
        <w:t xml:space="preserve"> apply on and after 1</w:t>
      </w:r>
      <w:r w:rsidR="00F00002">
        <w:t> </w:t>
      </w:r>
      <w:r w:rsidRPr="00F00002">
        <w:t>July 2017.</w:t>
      </w:r>
    </w:p>
    <w:p w:rsidR="000764F3" w:rsidRPr="00F00002" w:rsidRDefault="000764F3" w:rsidP="000764F3">
      <w:pPr>
        <w:pStyle w:val="subsection"/>
      </w:pPr>
      <w:r w:rsidRPr="00F00002">
        <w:tab/>
        <w:t>(2)</w:t>
      </w:r>
      <w:r w:rsidRPr="00F00002">
        <w:tab/>
        <w:t>Regulation</w:t>
      </w:r>
      <w:r w:rsidR="00F00002">
        <w:t> </w:t>
      </w:r>
      <w:r w:rsidRPr="00F00002">
        <w:t>294</w:t>
      </w:r>
      <w:r w:rsidR="00F00002">
        <w:noBreakHyphen/>
      </w:r>
      <w:r w:rsidRPr="00F00002">
        <w:t>25.01, as inserted by item</w:t>
      </w:r>
      <w:r w:rsidR="00F00002">
        <w:t> </w:t>
      </w:r>
      <w:r w:rsidRPr="00F00002">
        <w:t>1 of Schedule</w:t>
      </w:r>
      <w:r w:rsidR="00F00002">
        <w:t> </w:t>
      </w:r>
      <w:r w:rsidRPr="00F00002">
        <w:t xml:space="preserve">5 to the </w:t>
      </w:r>
      <w:r w:rsidRPr="00F00002">
        <w:rPr>
          <w:i/>
        </w:rPr>
        <w:t>Treasury Laws Amendment (Miscellaneous Amendments) Regulations</w:t>
      </w:r>
      <w:r w:rsidR="00F00002">
        <w:rPr>
          <w:i/>
        </w:rPr>
        <w:t> </w:t>
      </w:r>
      <w:r w:rsidRPr="00F00002">
        <w:rPr>
          <w:i/>
        </w:rPr>
        <w:t>2019</w:t>
      </w:r>
      <w:r w:rsidRPr="00F00002">
        <w:t>, applies on and after the commencement of that item.</w:t>
      </w:r>
    </w:p>
    <w:p w:rsidR="000764F3" w:rsidRPr="00F00002" w:rsidRDefault="000764F3" w:rsidP="000764F3">
      <w:pPr>
        <w:pStyle w:val="subsection"/>
      </w:pPr>
      <w:r w:rsidRPr="00F00002">
        <w:tab/>
        <w:t>(3)</w:t>
      </w:r>
      <w:r w:rsidRPr="00F00002">
        <w:tab/>
        <w:t>The amendment made by Part</w:t>
      </w:r>
      <w:r w:rsidR="00F00002">
        <w:t> </w:t>
      </w:r>
      <w:r w:rsidRPr="00F00002">
        <w:t>2 of Schedule</w:t>
      </w:r>
      <w:r w:rsidR="00F00002">
        <w:t> </w:t>
      </w:r>
      <w:r w:rsidRPr="00F00002">
        <w:t xml:space="preserve">5 to the </w:t>
      </w:r>
      <w:r w:rsidRPr="00F00002">
        <w:rPr>
          <w:i/>
        </w:rPr>
        <w:t>Treasury Laws Amendment (Miscellaneous Amendments) Regulations</w:t>
      </w:r>
      <w:r w:rsidR="00F00002">
        <w:rPr>
          <w:i/>
        </w:rPr>
        <w:t> </w:t>
      </w:r>
      <w:r w:rsidRPr="00F00002">
        <w:rPr>
          <w:i/>
        </w:rPr>
        <w:t>2019</w:t>
      </w:r>
      <w:r w:rsidRPr="00F00002">
        <w:t xml:space="preserve"> applies on and after the commencement of that Part.</w:t>
      </w:r>
    </w:p>
    <w:p w:rsidR="00BB4501" w:rsidRPr="00F00002" w:rsidRDefault="00D150ED" w:rsidP="00174F85">
      <w:pPr>
        <w:pStyle w:val="ActHead2"/>
        <w:pageBreakBefore/>
        <w:spacing w:before="120"/>
      </w:pPr>
      <w:bookmarkStart w:id="170" w:name="_Toc31109745"/>
      <w:r w:rsidRPr="00A26088">
        <w:rPr>
          <w:rStyle w:val="CharPartNo"/>
        </w:rPr>
        <w:lastRenderedPageBreak/>
        <w:t>Part</w:t>
      </w:r>
      <w:r w:rsidR="00F00002" w:rsidRPr="00A26088">
        <w:rPr>
          <w:rStyle w:val="CharPartNo"/>
        </w:rPr>
        <w:t> </w:t>
      </w:r>
      <w:r w:rsidR="00BB4501" w:rsidRPr="00A26088">
        <w:rPr>
          <w:rStyle w:val="CharPartNo"/>
        </w:rPr>
        <w:t>6</w:t>
      </w:r>
      <w:r w:rsidRPr="00F00002">
        <w:t>—</w:t>
      </w:r>
      <w:r w:rsidR="00BB4501" w:rsidRPr="00A26088">
        <w:rPr>
          <w:rStyle w:val="CharPartText"/>
        </w:rPr>
        <w:t>The Dictionary</w:t>
      </w:r>
      <w:bookmarkEnd w:id="170"/>
    </w:p>
    <w:p w:rsidR="00BB4501" w:rsidRPr="00F00002" w:rsidRDefault="00D150ED" w:rsidP="00985A7D">
      <w:pPr>
        <w:pStyle w:val="ActHead3"/>
      </w:pPr>
      <w:bookmarkStart w:id="171" w:name="_Toc31109746"/>
      <w:r w:rsidRPr="00A26088">
        <w:rPr>
          <w:rStyle w:val="CharDivNo"/>
        </w:rPr>
        <w:t>Division</w:t>
      </w:r>
      <w:r w:rsidR="00F00002" w:rsidRPr="00A26088">
        <w:rPr>
          <w:rStyle w:val="CharDivNo"/>
        </w:rPr>
        <w:t> </w:t>
      </w:r>
      <w:r w:rsidR="00BB4501" w:rsidRPr="00A26088">
        <w:rPr>
          <w:rStyle w:val="CharDivNo"/>
        </w:rPr>
        <w:t>960</w:t>
      </w:r>
      <w:r w:rsidRPr="00F00002">
        <w:t>—</w:t>
      </w:r>
      <w:r w:rsidR="00BB4501" w:rsidRPr="00A26088">
        <w:rPr>
          <w:rStyle w:val="CharDivText"/>
        </w:rPr>
        <w:t>General</w:t>
      </w:r>
      <w:bookmarkEnd w:id="171"/>
    </w:p>
    <w:p w:rsidR="00BB4501" w:rsidRPr="00F00002" w:rsidRDefault="00D150ED" w:rsidP="00985A7D">
      <w:pPr>
        <w:pStyle w:val="ActHead4"/>
      </w:pPr>
      <w:bookmarkStart w:id="172" w:name="_Toc31109747"/>
      <w:r w:rsidRPr="00A26088">
        <w:rPr>
          <w:rStyle w:val="CharSubdNo"/>
        </w:rPr>
        <w:t>Subdivision</w:t>
      </w:r>
      <w:r w:rsidR="00F00002" w:rsidRPr="00A26088">
        <w:rPr>
          <w:rStyle w:val="CharSubdNo"/>
        </w:rPr>
        <w:t> </w:t>
      </w:r>
      <w:r w:rsidR="00BB4501" w:rsidRPr="00A26088">
        <w:rPr>
          <w:rStyle w:val="CharSubdNo"/>
        </w:rPr>
        <w:t>960</w:t>
      </w:r>
      <w:r w:rsidR="00F00002" w:rsidRPr="00A26088">
        <w:rPr>
          <w:rStyle w:val="CharSubdNo"/>
        </w:rPr>
        <w:noBreakHyphen/>
      </w:r>
      <w:r w:rsidR="00BB4501" w:rsidRPr="00A26088">
        <w:rPr>
          <w:rStyle w:val="CharSubdNo"/>
        </w:rPr>
        <w:t>C</w:t>
      </w:r>
      <w:r w:rsidRPr="00F00002">
        <w:t>—</w:t>
      </w:r>
      <w:r w:rsidR="00BB4501" w:rsidRPr="00A26088">
        <w:rPr>
          <w:rStyle w:val="CharSubdText"/>
        </w:rPr>
        <w:t>Foreign currency</w:t>
      </w:r>
      <w:bookmarkEnd w:id="172"/>
      <w:r w:rsidR="00672E95" w:rsidRPr="00A26088">
        <w:rPr>
          <w:rStyle w:val="CharSubdText"/>
        </w:rPr>
        <w:t xml:space="preserve"> </w:t>
      </w:r>
    </w:p>
    <w:p w:rsidR="00BB4501" w:rsidRPr="00F00002" w:rsidRDefault="00BB4501" w:rsidP="00D150ED">
      <w:pPr>
        <w:pStyle w:val="ActHead5"/>
      </w:pPr>
      <w:bookmarkStart w:id="173" w:name="_Toc31109748"/>
      <w:r w:rsidRPr="00A26088">
        <w:rPr>
          <w:rStyle w:val="CharSectno"/>
        </w:rPr>
        <w:t>960</w:t>
      </w:r>
      <w:r w:rsidR="00F00002" w:rsidRPr="00A26088">
        <w:rPr>
          <w:rStyle w:val="CharSectno"/>
        </w:rPr>
        <w:noBreakHyphen/>
      </w:r>
      <w:r w:rsidRPr="00A26088">
        <w:rPr>
          <w:rStyle w:val="CharSectno"/>
        </w:rPr>
        <w:t>50.01</w:t>
      </w:r>
      <w:r w:rsidR="00D150ED" w:rsidRPr="00F00002">
        <w:t xml:space="preserve">  </w:t>
      </w:r>
      <w:r w:rsidRPr="00F00002">
        <w:t>Translation of foreign currency amounts into Australian currency</w:t>
      </w:r>
      <w:r w:rsidR="00D150ED" w:rsidRPr="00F00002">
        <w:t>—</w:t>
      </w:r>
      <w:r w:rsidRPr="00F00002">
        <w:t>modification of special translation rules</w:t>
      </w:r>
      <w:bookmarkEnd w:id="173"/>
    </w:p>
    <w:p w:rsidR="00BB4501" w:rsidRPr="00F00002" w:rsidRDefault="00BB4501" w:rsidP="00985A7D">
      <w:pPr>
        <w:pStyle w:val="subsection"/>
        <w:spacing w:after="60"/>
      </w:pPr>
      <w:r w:rsidRPr="00F00002">
        <w:tab/>
        <w:t>(1)</w:t>
      </w:r>
      <w:r w:rsidRPr="00F00002">
        <w:tab/>
        <w:t>The table in subsection</w:t>
      </w:r>
      <w:r w:rsidR="00F00002">
        <w:t> </w:t>
      </w:r>
      <w:r w:rsidRPr="00F00002">
        <w:t>960</w:t>
      </w:r>
      <w:r w:rsidR="00F00002">
        <w:noBreakHyphen/>
      </w:r>
      <w:r w:rsidRPr="00F00002">
        <w:t>50(6) of the Act is modified by adding after item</w:t>
      </w:r>
      <w:r w:rsidR="00F00002">
        <w:t> </w:t>
      </w:r>
      <w:r w:rsidRPr="00F00002">
        <w:t>11 the following items: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2811"/>
        <w:gridCol w:w="5000"/>
      </w:tblGrid>
      <w:tr w:rsidR="00BB4501" w:rsidRPr="00F00002" w:rsidTr="000505B9">
        <w:tc>
          <w:tcPr>
            <w:tcW w:w="421" w:type="pct"/>
            <w:tcBorders>
              <w:top w:val="single" w:sz="12" w:space="0" w:color="auto"/>
              <w:bottom w:val="single" w:sz="4" w:space="0" w:color="auto"/>
            </w:tcBorders>
            <w:shd w:val="clear" w:color="auto" w:fill="auto"/>
          </w:tcPr>
          <w:p w:rsidR="00BB4501" w:rsidRPr="00F00002" w:rsidRDefault="00BB4501" w:rsidP="00D150ED">
            <w:pPr>
              <w:pStyle w:val="Tabletext"/>
            </w:pPr>
            <w:r w:rsidRPr="00F00002">
              <w:t>11A</w:t>
            </w:r>
          </w:p>
        </w:tc>
        <w:tc>
          <w:tcPr>
            <w:tcW w:w="1648" w:type="pct"/>
            <w:tcBorders>
              <w:top w:val="single" w:sz="12" w:space="0" w:color="auto"/>
              <w:bottom w:val="single" w:sz="4" w:space="0" w:color="auto"/>
            </w:tcBorders>
            <w:shd w:val="clear" w:color="auto" w:fill="auto"/>
          </w:tcPr>
          <w:p w:rsidR="00BB4501" w:rsidRPr="00F00002" w:rsidRDefault="00BB4501" w:rsidP="00D150ED">
            <w:pPr>
              <w:pStyle w:val="Tabletext"/>
            </w:pPr>
            <w:r w:rsidRPr="00F00002">
              <w:t>an amount (other than an amount of a receipt or a payment) to which none of the above items applies</w:t>
            </w:r>
          </w:p>
        </w:tc>
        <w:tc>
          <w:tcPr>
            <w:tcW w:w="2931" w:type="pct"/>
            <w:tcBorders>
              <w:top w:val="single" w:sz="12" w:space="0" w:color="auto"/>
              <w:bottom w:val="single" w:sz="4" w:space="0" w:color="auto"/>
            </w:tcBorders>
            <w:shd w:val="clear" w:color="auto" w:fill="auto"/>
          </w:tcPr>
          <w:p w:rsidR="00BB4501" w:rsidRPr="00F00002" w:rsidRDefault="00BB4501" w:rsidP="00D150ED">
            <w:pPr>
              <w:pStyle w:val="Tabletext"/>
            </w:pPr>
            <w:r w:rsidRPr="00F00002">
              <w:t>the amount is to be translated into Australian currency at an exchange rate that is reasonable having regard to the circumstances.</w:t>
            </w:r>
          </w:p>
        </w:tc>
      </w:tr>
      <w:tr w:rsidR="00BB4501" w:rsidRPr="00F00002" w:rsidTr="000505B9">
        <w:tc>
          <w:tcPr>
            <w:tcW w:w="421" w:type="pct"/>
            <w:tcBorders>
              <w:top w:val="single" w:sz="4" w:space="0" w:color="auto"/>
              <w:bottom w:val="single" w:sz="12" w:space="0" w:color="auto"/>
            </w:tcBorders>
            <w:shd w:val="clear" w:color="auto" w:fill="auto"/>
          </w:tcPr>
          <w:p w:rsidR="00BB4501" w:rsidRPr="00F00002" w:rsidRDefault="00BB4501" w:rsidP="00D150ED">
            <w:pPr>
              <w:pStyle w:val="Tabletext"/>
            </w:pPr>
            <w:r w:rsidRPr="00F00002">
              <w:t>12</w:t>
            </w:r>
          </w:p>
        </w:tc>
        <w:tc>
          <w:tcPr>
            <w:tcW w:w="1648" w:type="pct"/>
            <w:tcBorders>
              <w:top w:val="single" w:sz="4" w:space="0" w:color="auto"/>
              <w:bottom w:val="single" w:sz="12" w:space="0" w:color="auto"/>
            </w:tcBorders>
            <w:shd w:val="clear" w:color="auto" w:fill="auto"/>
          </w:tcPr>
          <w:p w:rsidR="00BB4501" w:rsidRPr="00F00002" w:rsidRDefault="00BB4501" w:rsidP="00D150ED">
            <w:pPr>
              <w:pStyle w:val="Tabletext"/>
            </w:pPr>
            <w:r w:rsidRPr="00F00002">
              <w:t>an amount to which any of items</w:t>
            </w:r>
            <w:r w:rsidR="00F00002">
              <w:t> </w:t>
            </w:r>
            <w:r w:rsidRPr="00F00002">
              <w:t>1 to 11A (inclusive) applies</w:t>
            </w:r>
          </w:p>
        </w:tc>
        <w:tc>
          <w:tcPr>
            <w:tcW w:w="2931" w:type="pct"/>
            <w:tcBorders>
              <w:top w:val="single" w:sz="4" w:space="0" w:color="auto"/>
              <w:bottom w:val="single" w:sz="12" w:space="0" w:color="auto"/>
            </w:tcBorders>
            <w:shd w:val="clear" w:color="auto" w:fill="auto"/>
          </w:tcPr>
          <w:p w:rsidR="00BB4501" w:rsidRPr="00F00002" w:rsidRDefault="00BB4501" w:rsidP="00D150ED">
            <w:pPr>
              <w:pStyle w:val="Tabletext"/>
            </w:pPr>
            <w:r w:rsidRPr="00F00002">
              <w:t xml:space="preserve">as an alternative to the result mentioned in the item, the amount may be translated into Australian currency using any of the rules set out in </w:t>
            </w:r>
            <w:r w:rsidR="00D150ED" w:rsidRPr="00F00002">
              <w:t>Schedule</w:t>
            </w:r>
            <w:r w:rsidR="00F00002">
              <w:t> </w:t>
            </w:r>
            <w:r w:rsidRPr="00F00002">
              <w:t xml:space="preserve">2 to the </w:t>
            </w:r>
            <w:r w:rsidRPr="00F00002">
              <w:rPr>
                <w:i/>
              </w:rPr>
              <w:t>Income Tax Assessment Regulations</w:t>
            </w:r>
            <w:r w:rsidR="00F00002">
              <w:rPr>
                <w:i/>
              </w:rPr>
              <w:t> </w:t>
            </w:r>
            <w:r w:rsidRPr="00F00002">
              <w:rPr>
                <w:i/>
              </w:rPr>
              <w:t>1997</w:t>
            </w:r>
            <w:r w:rsidRPr="00F00002">
              <w:t>.</w:t>
            </w:r>
          </w:p>
        </w:tc>
      </w:tr>
    </w:tbl>
    <w:p w:rsidR="00BB4501" w:rsidRPr="00F00002" w:rsidRDefault="00BB4501" w:rsidP="00D150ED">
      <w:pPr>
        <w:pStyle w:val="subsection"/>
      </w:pPr>
      <w:r w:rsidRPr="00F00002">
        <w:rPr>
          <w:color w:val="000000"/>
        </w:rPr>
        <w:tab/>
        <w:t>(2)</w:t>
      </w:r>
      <w:r w:rsidRPr="00F00002">
        <w:rPr>
          <w:color w:val="000000"/>
        </w:rPr>
        <w:tab/>
        <w:t>For subsection</w:t>
      </w:r>
      <w:r w:rsidR="00F00002">
        <w:rPr>
          <w:color w:val="000000"/>
        </w:rPr>
        <w:t> </w:t>
      </w:r>
      <w:r w:rsidRPr="00F00002">
        <w:rPr>
          <w:color w:val="000000"/>
        </w:rPr>
        <w:t>960</w:t>
      </w:r>
      <w:r w:rsidR="00F00002">
        <w:rPr>
          <w:color w:val="000000"/>
        </w:rPr>
        <w:noBreakHyphen/>
      </w:r>
      <w:r w:rsidRPr="00F00002">
        <w:rPr>
          <w:color w:val="000000"/>
        </w:rPr>
        <w:t xml:space="preserve">50(8) of the Act, </w:t>
      </w:r>
      <w:r w:rsidR="00D150ED" w:rsidRPr="00F00002">
        <w:rPr>
          <w:color w:val="000000"/>
        </w:rPr>
        <w:t>Schedule</w:t>
      </w:r>
      <w:r w:rsidR="00F00002">
        <w:rPr>
          <w:color w:val="000000"/>
        </w:rPr>
        <w:t> </w:t>
      </w:r>
      <w:r w:rsidRPr="00F00002">
        <w:rPr>
          <w:color w:val="000000"/>
        </w:rPr>
        <w:t>2 sets out requirements in relation to the translation of amounts into Australian currency.</w:t>
      </w:r>
    </w:p>
    <w:p w:rsidR="00BB4501" w:rsidRPr="00F00002" w:rsidRDefault="00BB4501" w:rsidP="00985A7D">
      <w:pPr>
        <w:pStyle w:val="subsection"/>
        <w:spacing w:after="60"/>
      </w:pPr>
      <w:r w:rsidRPr="00F00002">
        <w:tab/>
        <w:t>(3)</w:t>
      </w:r>
      <w:r w:rsidRPr="00F00002">
        <w:tab/>
        <w:t>For subsection</w:t>
      </w:r>
      <w:r w:rsidR="00F00002">
        <w:t> </w:t>
      </w:r>
      <w:r w:rsidRPr="00F00002">
        <w:t>960</w:t>
      </w:r>
      <w:r w:rsidR="00F00002">
        <w:noBreakHyphen/>
      </w:r>
      <w:r w:rsidRPr="00F00002">
        <w:t>50(7) of the Act, the table in subsection</w:t>
      </w:r>
      <w:r w:rsidR="00F00002">
        <w:t> </w:t>
      </w:r>
      <w:r w:rsidRPr="00F00002">
        <w:t>960</w:t>
      </w:r>
      <w:r w:rsidR="00F00002">
        <w:noBreakHyphen/>
      </w:r>
      <w:r w:rsidRPr="00F00002">
        <w:t>50(6) of the Act is modified by omitting item</w:t>
      </w:r>
      <w:r w:rsidR="00F00002">
        <w:t> </w:t>
      </w:r>
      <w:r w:rsidRPr="00F00002">
        <w:t>8 and substituting the following items:</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527"/>
        <w:gridCol w:w="2724"/>
        <w:gridCol w:w="5278"/>
      </w:tblGrid>
      <w:tr w:rsidR="00174F85" w:rsidRPr="00F00002" w:rsidTr="000505B9">
        <w:trPr>
          <w:trHeight w:val="1760"/>
        </w:trPr>
        <w:tc>
          <w:tcPr>
            <w:tcW w:w="309" w:type="pct"/>
            <w:tcBorders>
              <w:top w:val="single" w:sz="12" w:space="0" w:color="auto"/>
            </w:tcBorders>
            <w:shd w:val="clear" w:color="auto" w:fill="auto"/>
          </w:tcPr>
          <w:p w:rsidR="00174F85" w:rsidRPr="00F00002" w:rsidRDefault="00174F85" w:rsidP="00985A7D">
            <w:pPr>
              <w:pStyle w:val="Tabletext"/>
              <w:ind w:left="-52"/>
            </w:pPr>
            <w:r w:rsidRPr="00F00002">
              <w:t>8</w:t>
            </w:r>
          </w:p>
        </w:tc>
        <w:tc>
          <w:tcPr>
            <w:tcW w:w="1597" w:type="pct"/>
            <w:tcBorders>
              <w:top w:val="single" w:sz="12" w:space="0" w:color="auto"/>
            </w:tcBorders>
            <w:shd w:val="clear" w:color="auto" w:fill="auto"/>
          </w:tcPr>
          <w:p w:rsidR="00174F85" w:rsidRPr="00F00002" w:rsidRDefault="00174F85" w:rsidP="00D150ED">
            <w:pPr>
              <w:pStyle w:val="Tabletext"/>
            </w:pPr>
            <w:r w:rsidRPr="00F00002">
              <w:t>an amount that you deduct (other than under section</w:t>
            </w:r>
            <w:r w:rsidR="00F00002">
              <w:t> </w:t>
            </w:r>
            <w:r w:rsidRPr="00F00002">
              <w:t>25</w:t>
            </w:r>
            <w:r w:rsidR="00F00002">
              <w:noBreakHyphen/>
            </w:r>
            <w:r w:rsidRPr="00F00002">
              <w:t>35 or Division</w:t>
            </w:r>
            <w:r w:rsidR="00F00002">
              <w:t> </w:t>
            </w:r>
            <w:r w:rsidRPr="00F00002">
              <w:t>40)</w:t>
            </w:r>
          </w:p>
        </w:tc>
        <w:tc>
          <w:tcPr>
            <w:tcW w:w="3094" w:type="pct"/>
            <w:tcBorders>
              <w:top w:val="single" w:sz="12" w:space="0" w:color="auto"/>
            </w:tcBorders>
            <w:shd w:val="clear" w:color="auto" w:fill="auto"/>
          </w:tcPr>
          <w:p w:rsidR="00174F85" w:rsidRPr="00F00002" w:rsidRDefault="00174F85" w:rsidP="00D150ED">
            <w:pPr>
              <w:pStyle w:val="Tablea"/>
            </w:pPr>
            <w:r w:rsidRPr="00F00002">
              <w:t>(a) if the amount is paid at or before the time when it became deductible—the amount is to be translated to Australian currency at the exchange rate applicable at the time of payment; or</w:t>
            </w:r>
          </w:p>
          <w:p w:rsidR="00174F85" w:rsidRPr="00F00002" w:rsidRDefault="00174F85" w:rsidP="00D150ED">
            <w:pPr>
              <w:pStyle w:val="Tablea"/>
            </w:pPr>
            <w:r w:rsidRPr="00F00002">
              <w:t>(b) in any other case—the amount is to be translated to Australian currency at the exchange rate applicable at the time when it became deductible.</w:t>
            </w:r>
          </w:p>
        </w:tc>
      </w:tr>
      <w:tr w:rsidR="00BB4501" w:rsidRPr="00F00002" w:rsidTr="000505B9">
        <w:trPr>
          <w:trHeight w:val="840"/>
        </w:trPr>
        <w:tc>
          <w:tcPr>
            <w:tcW w:w="309" w:type="pct"/>
            <w:tcBorders>
              <w:top w:val="single" w:sz="4" w:space="0" w:color="auto"/>
              <w:bottom w:val="nil"/>
            </w:tcBorders>
            <w:shd w:val="clear" w:color="auto" w:fill="auto"/>
          </w:tcPr>
          <w:p w:rsidR="00BB4501" w:rsidRPr="00F00002" w:rsidRDefault="00731DB0" w:rsidP="00174F85">
            <w:pPr>
              <w:pStyle w:val="Tabletext"/>
              <w:ind w:left="-52"/>
            </w:pPr>
            <w:r w:rsidRPr="00F00002">
              <w:t>8A</w:t>
            </w:r>
          </w:p>
        </w:tc>
        <w:tc>
          <w:tcPr>
            <w:tcW w:w="1597" w:type="pct"/>
            <w:tcBorders>
              <w:top w:val="single" w:sz="4" w:space="0" w:color="auto"/>
              <w:bottom w:val="nil"/>
            </w:tcBorders>
            <w:shd w:val="clear" w:color="auto" w:fill="auto"/>
          </w:tcPr>
          <w:p w:rsidR="00BB4501" w:rsidRPr="00F00002" w:rsidRDefault="00BB4501" w:rsidP="00174F85">
            <w:pPr>
              <w:pStyle w:val="Tabletext"/>
            </w:pPr>
            <w:r w:rsidRPr="00F00002">
              <w:t>an amount that you deduct under section</w:t>
            </w:r>
            <w:r w:rsidR="00F00002">
              <w:t> </w:t>
            </w:r>
            <w:r w:rsidRPr="00F00002">
              <w:t>25</w:t>
            </w:r>
            <w:r w:rsidR="00F00002">
              <w:noBreakHyphen/>
            </w:r>
            <w:r w:rsidRPr="00F00002">
              <w:t>35</w:t>
            </w:r>
          </w:p>
        </w:tc>
        <w:tc>
          <w:tcPr>
            <w:tcW w:w="3094" w:type="pct"/>
            <w:tcBorders>
              <w:top w:val="single" w:sz="4" w:space="0" w:color="auto"/>
              <w:bottom w:val="nil"/>
            </w:tcBorders>
            <w:shd w:val="clear" w:color="auto" w:fill="auto"/>
          </w:tcPr>
          <w:p w:rsidR="00BB4501" w:rsidRPr="00F00002" w:rsidRDefault="00BB4501" w:rsidP="00174F85">
            <w:pPr>
              <w:pStyle w:val="Tablea"/>
              <w:ind w:right="-108"/>
            </w:pPr>
            <w:r w:rsidRPr="00F00002">
              <w:t>(a</w:t>
            </w:r>
            <w:r w:rsidR="00D150ED" w:rsidRPr="00F00002">
              <w:t xml:space="preserve">) </w:t>
            </w:r>
            <w:r w:rsidRPr="00F00002">
              <w:t>if the debt was included in your assessable income</w:t>
            </w:r>
            <w:r w:rsidR="00D150ED" w:rsidRPr="00F00002">
              <w:t>—</w:t>
            </w:r>
            <w:r w:rsidRPr="00F00002">
              <w:t>the amount is to be translated to Australian currency at the exchange rate applicable at the time of translating the income; or</w:t>
            </w:r>
          </w:p>
        </w:tc>
      </w:tr>
      <w:tr w:rsidR="00174F85" w:rsidRPr="00F00002" w:rsidTr="000505B9">
        <w:trPr>
          <w:trHeight w:val="1843"/>
        </w:trPr>
        <w:tc>
          <w:tcPr>
            <w:tcW w:w="309" w:type="pct"/>
            <w:tcBorders>
              <w:top w:val="nil"/>
            </w:tcBorders>
            <w:shd w:val="clear" w:color="auto" w:fill="auto"/>
          </w:tcPr>
          <w:p w:rsidR="00174F85" w:rsidRPr="00F00002" w:rsidRDefault="00174F85" w:rsidP="00174F85">
            <w:pPr>
              <w:pStyle w:val="Tabletext"/>
              <w:keepNext/>
              <w:keepLines/>
              <w:ind w:left="-52"/>
            </w:pPr>
          </w:p>
        </w:tc>
        <w:tc>
          <w:tcPr>
            <w:tcW w:w="1597" w:type="pct"/>
            <w:tcBorders>
              <w:top w:val="nil"/>
            </w:tcBorders>
            <w:shd w:val="clear" w:color="auto" w:fill="auto"/>
          </w:tcPr>
          <w:p w:rsidR="00174F85" w:rsidRPr="00F00002" w:rsidRDefault="00174F85" w:rsidP="00174F85">
            <w:pPr>
              <w:pStyle w:val="Tabletext"/>
              <w:keepNext/>
              <w:keepLines/>
            </w:pPr>
          </w:p>
        </w:tc>
        <w:tc>
          <w:tcPr>
            <w:tcW w:w="3094" w:type="pct"/>
            <w:tcBorders>
              <w:top w:val="nil"/>
            </w:tcBorders>
            <w:shd w:val="clear" w:color="auto" w:fill="auto"/>
          </w:tcPr>
          <w:p w:rsidR="00174F85" w:rsidRPr="00F00002" w:rsidRDefault="00174F85" w:rsidP="00174F85">
            <w:pPr>
              <w:pStyle w:val="Tablea"/>
              <w:keepNext/>
              <w:keepLines/>
            </w:pPr>
            <w:r w:rsidRPr="00F00002">
              <w:t>(b) if the debt was in respect of money that you lent—the amount is to be translated to Australian currency at the exchange rate applicable at the time of translating the money that was lent; or</w:t>
            </w:r>
          </w:p>
          <w:p w:rsidR="00174F85" w:rsidRPr="00F00002" w:rsidRDefault="00174F85" w:rsidP="00174F85">
            <w:pPr>
              <w:pStyle w:val="Tablea"/>
              <w:keepNext/>
              <w:keepLines/>
            </w:pPr>
            <w:r w:rsidRPr="00F00002">
              <w:t>(c) if you bought the debt—the amount is to be translated to Australian currency at the exchange rate applicable at the time of translating the debt that you bought.</w:t>
            </w:r>
          </w:p>
        </w:tc>
      </w:tr>
      <w:tr w:rsidR="00BB4501" w:rsidRPr="00F00002" w:rsidTr="000505B9">
        <w:tc>
          <w:tcPr>
            <w:tcW w:w="309" w:type="pct"/>
            <w:tcBorders>
              <w:bottom w:val="single" w:sz="4" w:space="0" w:color="auto"/>
            </w:tcBorders>
            <w:shd w:val="clear" w:color="auto" w:fill="auto"/>
          </w:tcPr>
          <w:p w:rsidR="00BB4501" w:rsidRPr="00F00002" w:rsidRDefault="00BB4501" w:rsidP="00985A7D">
            <w:pPr>
              <w:pStyle w:val="Tabletext"/>
              <w:ind w:left="-52"/>
            </w:pPr>
            <w:r w:rsidRPr="00F00002">
              <w:t>8B</w:t>
            </w:r>
          </w:p>
        </w:tc>
        <w:tc>
          <w:tcPr>
            <w:tcW w:w="1597" w:type="pct"/>
            <w:tcBorders>
              <w:bottom w:val="single" w:sz="4" w:space="0" w:color="auto"/>
            </w:tcBorders>
            <w:shd w:val="clear" w:color="auto" w:fill="auto"/>
          </w:tcPr>
          <w:p w:rsidR="00BB4501" w:rsidRPr="00F00002" w:rsidRDefault="00BB4501" w:rsidP="00D150ED">
            <w:pPr>
              <w:pStyle w:val="Tabletext"/>
            </w:pPr>
            <w:r w:rsidRPr="00F00002">
              <w:t xml:space="preserve">the value of an amount to </w:t>
            </w:r>
            <w:r w:rsidRPr="00F00002">
              <w:lastRenderedPageBreak/>
              <w:t xml:space="preserve">which a contract (a </w:t>
            </w:r>
            <w:r w:rsidRPr="00F00002">
              <w:rPr>
                <w:b/>
                <w:i/>
              </w:rPr>
              <w:t>spot foreign exchange contract</w:t>
            </w:r>
            <w:r w:rsidRPr="00F00002">
              <w:t>) for the exchange of amounts in different currencies relates if:</w:t>
            </w:r>
          </w:p>
          <w:p w:rsidR="00BB4501" w:rsidRPr="00F00002" w:rsidRDefault="00D150ED" w:rsidP="00D150ED">
            <w:pPr>
              <w:pStyle w:val="Tablea"/>
            </w:pPr>
            <w:r w:rsidRPr="00F00002">
              <w:t>(</w:t>
            </w:r>
            <w:r w:rsidR="00BB4501" w:rsidRPr="00F00002">
              <w:t>a</w:t>
            </w:r>
            <w:r w:rsidRPr="00F00002">
              <w:t xml:space="preserve">) </w:t>
            </w:r>
            <w:r w:rsidR="00BB4501" w:rsidRPr="00F00002">
              <w:t>the spot foreign exchange contract includes a requirement that consideration be provided within 2</w:t>
            </w:r>
            <w:r w:rsidR="00985A7D" w:rsidRPr="00F00002">
              <w:t> </w:t>
            </w:r>
            <w:r w:rsidR="00BB4501" w:rsidRPr="00F00002">
              <w:t>business days after the contract is entered into; and</w:t>
            </w:r>
          </w:p>
          <w:p w:rsidR="00BB4501" w:rsidRPr="00F00002" w:rsidRDefault="00D150ED" w:rsidP="00D150ED">
            <w:pPr>
              <w:pStyle w:val="Tablea"/>
            </w:pPr>
            <w:r w:rsidRPr="00F00002">
              <w:t>(</w:t>
            </w:r>
            <w:r w:rsidR="00BB4501" w:rsidRPr="00F00002">
              <w:t>b</w:t>
            </w:r>
            <w:r w:rsidRPr="00F00002">
              <w:t xml:space="preserve">) </w:t>
            </w:r>
            <w:r w:rsidR="00BB4501" w:rsidRPr="00F00002">
              <w:t>that requirement is satisfied</w:t>
            </w:r>
          </w:p>
        </w:tc>
        <w:tc>
          <w:tcPr>
            <w:tcW w:w="3094" w:type="pct"/>
            <w:tcBorders>
              <w:bottom w:val="single" w:sz="4" w:space="0" w:color="auto"/>
            </w:tcBorders>
            <w:shd w:val="clear" w:color="auto" w:fill="auto"/>
          </w:tcPr>
          <w:p w:rsidR="00BB4501" w:rsidRPr="00F00002" w:rsidRDefault="00BB4501" w:rsidP="00D150ED">
            <w:pPr>
              <w:pStyle w:val="Tabletext"/>
            </w:pPr>
            <w:r w:rsidRPr="00F00002">
              <w:lastRenderedPageBreak/>
              <w:t xml:space="preserve">the value of the amount to which the contract relates is to be </w:t>
            </w:r>
            <w:r w:rsidRPr="00F00002">
              <w:lastRenderedPageBreak/>
              <w:t xml:space="preserve">translated to Australian currency at the exchange rate applicable at the tax recognition time (within the meaning of </w:t>
            </w:r>
            <w:r w:rsidR="00D150ED" w:rsidRPr="00F00002">
              <w:t>Division</w:t>
            </w:r>
            <w:r w:rsidR="00F00002">
              <w:t> </w:t>
            </w:r>
            <w:r w:rsidRPr="00F00002">
              <w:t>775) referred to in the forex realisation event that happens on payment or receipt of that amount, unless the entity’s usual business practice is not to translate the amount at the exchange rate applicable at the tax recognition time for the purpose of recording the transaction in the entity’s accounting records.</w:t>
            </w:r>
          </w:p>
          <w:p w:rsidR="00BB4501" w:rsidRPr="00F00002" w:rsidRDefault="00D150ED" w:rsidP="00985A7D">
            <w:pPr>
              <w:pStyle w:val="notetext"/>
              <w:spacing w:before="60"/>
              <w:ind w:left="466" w:hanging="466"/>
              <w:rPr>
                <w:sz w:val="16"/>
                <w:szCs w:val="16"/>
              </w:rPr>
            </w:pPr>
            <w:r w:rsidRPr="00F00002">
              <w:rPr>
                <w:sz w:val="16"/>
                <w:szCs w:val="16"/>
              </w:rPr>
              <w:t>Note:</w:t>
            </w:r>
            <w:r w:rsidRPr="00F00002">
              <w:rPr>
                <w:sz w:val="16"/>
                <w:szCs w:val="16"/>
              </w:rPr>
              <w:tab/>
            </w:r>
            <w:r w:rsidR="00BB4501" w:rsidRPr="00F00002">
              <w:rPr>
                <w:sz w:val="16"/>
                <w:szCs w:val="16"/>
              </w:rPr>
              <w:t>An entity’s usual business practice may be to translate amounts into Australian currency at a different exchange rate because the entity recognises gains and losses under spot foreign exchange contracts in the entity’s accounting records.</w:t>
            </w:r>
          </w:p>
        </w:tc>
      </w:tr>
      <w:tr w:rsidR="00BB4501" w:rsidRPr="00F00002" w:rsidTr="000505B9">
        <w:tc>
          <w:tcPr>
            <w:tcW w:w="309" w:type="pct"/>
            <w:tcBorders>
              <w:bottom w:val="single" w:sz="12" w:space="0" w:color="auto"/>
            </w:tcBorders>
            <w:shd w:val="clear" w:color="auto" w:fill="auto"/>
          </w:tcPr>
          <w:p w:rsidR="00BB4501" w:rsidRPr="00F00002" w:rsidRDefault="00BB4501" w:rsidP="00985A7D">
            <w:pPr>
              <w:pStyle w:val="Tabletext"/>
              <w:ind w:left="-52"/>
            </w:pPr>
            <w:bookmarkStart w:id="174" w:name="CU_5141046"/>
            <w:bookmarkStart w:id="175" w:name="CU_5138000"/>
            <w:bookmarkEnd w:id="174"/>
            <w:bookmarkEnd w:id="175"/>
            <w:r w:rsidRPr="00F00002">
              <w:lastRenderedPageBreak/>
              <w:t>8C</w:t>
            </w:r>
          </w:p>
        </w:tc>
        <w:tc>
          <w:tcPr>
            <w:tcW w:w="1597" w:type="pct"/>
            <w:tcBorders>
              <w:bottom w:val="single" w:sz="12" w:space="0" w:color="auto"/>
            </w:tcBorders>
            <w:shd w:val="clear" w:color="auto" w:fill="auto"/>
          </w:tcPr>
          <w:p w:rsidR="00BB4501" w:rsidRPr="00F00002" w:rsidRDefault="00BB4501" w:rsidP="00D150ED">
            <w:pPr>
              <w:pStyle w:val="Tabletext"/>
            </w:pPr>
            <w:r w:rsidRPr="00F00002">
              <w:t xml:space="preserve">the value of an amount to which a contract (a </w:t>
            </w:r>
            <w:r w:rsidRPr="00F00002">
              <w:rPr>
                <w:b/>
                <w:i/>
              </w:rPr>
              <w:t>spot contract</w:t>
            </w:r>
            <w:r w:rsidRPr="00F00002">
              <w:t>) for the exchange of an amount in a foreign currency and a security relates if:</w:t>
            </w:r>
          </w:p>
          <w:p w:rsidR="00BB4501" w:rsidRPr="00F00002" w:rsidRDefault="00D150ED" w:rsidP="00D150ED">
            <w:pPr>
              <w:pStyle w:val="Tablea"/>
            </w:pPr>
            <w:r w:rsidRPr="00F00002">
              <w:t>(</w:t>
            </w:r>
            <w:r w:rsidR="00BB4501" w:rsidRPr="00F00002">
              <w:t>a</w:t>
            </w:r>
            <w:r w:rsidRPr="00F00002">
              <w:t xml:space="preserve">) </w:t>
            </w:r>
            <w:r w:rsidR="00BB4501" w:rsidRPr="00F00002">
              <w:t>the spot contract includes a requirement that consideration be provided within 2</w:t>
            </w:r>
            <w:r w:rsidR="00985A7D" w:rsidRPr="00F00002">
              <w:t> </w:t>
            </w:r>
            <w:r w:rsidR="00BB4501" w:rsidRPr="00F00002">
              <w:t>business days after the contract is entered into; and</w:t>
            </w:r>
          </w:p>
          <w:p w:rsidR="00BB4501" w:rsidRPr="00F00002" w:rsidRDefault="00D150ED" w:rsidP="00D150ED">
            <w:pPr>
              <w:pStyle w:val="Tablea"/>
            </w:pPr>
            <w:r w:rsidRPr="00F00002">
              <w:t>(</w:t>
            </w:r>
            <w:r w:rsidR="00BB4501" w:rsidRPr="00F00002">
              <w:t>b</w:t>
            </w:r>
            <w:r w:rsidRPr="00F00002">
              <w:t xml:space="preserve">) </w:t>
            </w:r>
            <w:r w:rsidR="00BB4501" w:rsidRPr="00F00002">
              <w:t>that requirement is satisfied</w:t>
            </w:r>
          </w:p>
        </w:tc>
        <w:tc>
          <w:tcPr>
            <w:tcW w:w="3094" w:type="pct"/>
            <w:tcBorders>
              <w:bottom w:val="single" w:sz="12" w:space="0" w:color="auto"/>
            </w:tcBorders>
            <w:shd w:val="clear" w:color="auto" w:fill="auto"/>
          </w:tcPr>
          <w:p w:rsidR="00BB4501" w:rsidRPr="00F00002" w:rsidRDefault="00BB4501" w:rsidP="00D150ED">
            <w:pPr>
              <w:pStyle w:val="Tabletext"/>
            </w:pPr>
            <w:r w:rsidRPr="00F00002">
              <w:t xml:space="preserve">the value of the amount to which the contract relates is to be translated to Australian currency at the exchange rate applicable at the tax recognition time (within the meaning of </w:t>
            </w:r>
            <w:r w:rsidR="00D150ED" w:rsidRPr="00F00002">
              <w:t>Division</w:t>
            </w:r>
            <w:r w:rsidR="00F00002">
              <w:t> </w:t>
            </w:r>
            <w:r w:rsidRPr="00F00002">
              <w:t>775) referred to in the forex realisation event that happens on payment or receipt of that amount, unless the entity’s usual business practice is not to translate the amount at the exchange rate applicable at the tax recognition time for the purpose of recording the transaction in the entity’s accounting records.</w:t>
            </w:r>
          </w:p>
          <w:p w:rsidR="00BB4501" w:rsidRPr="00F00002" w:rsidRDefault="00D150ED" w:rsidP="00985A7D">
            <w:pPr>
              <w:pStyle w:val="notetext"/>
              <w:spacing w:before="60"/>
              <w:ind w:left="480" w:hanging="480"/>
              <w:rPr>
                <w:sz w:val="16"/>
                <w:szCs w:val="16"/>
              </w:rPr>
            </w:pPr>
            <w:r w:rsidRPr="00F00002">
              <w:rPr>
                <w:sz w:val="16"/>
                <w:szCs w:val="16"/>
              </w:rPr>
              <w:t>Note:</w:t>
            </w:r>
            <w:r w:rsidRPr="00F00002">
              <w:rPr>
                <w:sz w:val="16"/>
                <w:szCs w:val="16"/>
              </w:rPr>
              <w:tab/>
            </w:r>
            <w:r w:rsidR="00BB4501" w:rsidRPr="00F00002">
              <w:rPr>
                <w:sz w:val="16"/>
                <w:szCs w:val="16"/>
              </w:rPr>
              <w:t>An entity’s usual business practice may be to translate amounts into Australian currency at a different exchange rate because the entity recognises gains and losses under spot contracts in the entity’s accounting records.</w:t>
            </w:r>
          </w:p>
        </w:tc>
      </w:tr>
    </w:tbl>
    <w:p w:rsidR="00BB4501" w:rsidRPr="00F00002" w:rsidRDefault="00D150ED" w:rsidP="00D150ED">
      <w:pPr>
        <w:pStyle w:val="ActHead4"/>
      </w:pPr>
      <w:bookmarkStart w:id="176" w:name="_Toc31109749"/>
      <w:r w:rsidRPr="00A26088">
        <w:rPr>
          <w:rStyle w:val="CharSubdNo"/>
        </w:rPr>
        <w:t>Subdivision</w:t>
      </w:r>
      <w:r w:rsidR="00F00002" w:rsidRPr="00A26088">
        <w:rPr>
          <w:rStyle w:val="CharSubdNo"/>
        </w:rPr>
        <w:t> </w:t>
      </w:r>
      <w:r w:rsidR="00BB4501" w:rsidRPr="00A26088">
        <w:rPr>
          <w:rStyle w:val="CharSubdNo"/>
        </w:rPr>
        <w:t>960</w:t>
      </w:r>
      <w:r w:rsidR="00F00002" w:rsidRPr="00A26088">
        <w:rPr>
          <w:rStyle w:val="CharSubdNo"/>
        </w:rPr>
        <w:noBreakHyphen/>
      </w:r>
      <w:r w:rsidR="00BB4501" w:rsidRPr="00A26088">
        <w:rPr>
          <w:rStyle w:val="CharSubdNo"/>
        </w:rPr>
        <w:t>D</w:t>
      </w:r>
      <w:r w:rsidRPr="00F00002">
        <w:t>—</w:t>
      </w:r>
      <w:r w:rsidR="00BB4501" w:rsidRPr="00A26088">
        <w:rPr>
          <w:rStyle w:val="CharSubdText"/>
        </w:rPr>
        <w:t>Functional currency</w:t>
      </w:r>
      <w:bookmarkEnd w:id="176"/>
      <w:r w:rsidR="00672E95" w:rsidRPr="00A26088">
        <w:rPr>
          <w:rStyle w:val="CharSubdText"/>
        </w:rPr>
        <w:t xml:space="preserve"> </w:t>
      </w:r>
    </w:p>
    <w:p w:rsidR="00BB4501" w:rsidRPr="00F00002" w:rsidRDefault="00BB4501" w:rsidP="00D150ED">
      <w:pPr>
        <w:pStyle w:val="ActHead5"/>
      </w:pPr>
      <w:bookmarkStart w:id="177" w:name="_Toc31109750"/>
      <w:r w:rsidRPr="00A26088">
        <w:rPr>
          <w:rStyle w:val="CharSectno"/>
        </w:rPr>
        <w:t>960</w:t>
      </w:r>
      <w:r w:rsidR="00F00002" w:rsidRPr="00A26088">
        <w:rPr>
          <w:rStyle w:val="CharSectno"/>
        </w:rPr>
        <w:noBreakHyphen/>
      </w:r>
      <w:r w:rsidRPr="00A26088">
        <w:rPr>
          <w:rStyle w:val="CharSectno"/>
        </w:rPr>
        <w:t>80.01</w:t>
      </w:r>
      <w:r w:rsidR="00D150ED" w:rsidRPr="00F00002">
        <w:t xml:space="preserve">  </w:t>
      </w:r>
      <w:r w:rsidRPr="00F00002">
        <w:t>Translation rules</w:t>
      </w:r>
      <w:r w:rsidR="00D150ED" w:rsidRPr="00F00002">
        <w:t>—</w:t>
      </w:r>
      <w:r w:rsidRPr="00F00002">
        <w:t>translation into applicable functional currency</w:t>
      </w:r>
      <w:bookmarkEnd w:id="177"/>
    </w:p>
    <w:p w:rsidR="00BB4501" w:rsidRPr="00F00002" w:rsidRDefault="00BB4501" w:rsidP="00D150ED">
      <w:pPr>
        <w:pStyle w:val="subsection"/>
      </w:pPr>
      <w:r w:rsidRPr="00F00002">
        <w:tab/>
      </w:r>
      <w:r w:rsidRPr="00F00002">
        <w:tab/>
        <w:t>For subsection</w:t>
      </w:r>
      <w:r w:rsidR="00F00002">
        <w:t> </w:t>
      </w:r>
      <w:r w:rsidRPr="00F00002">
        <w:t>960</w:t>
      </w:r>
      <w:r w:rsidR="00F00002">
        <w:noBreakHyphen/>
      </w:r>
      <w:r w:rsidRPr="00F00002">
        <w:t xml:space="preserve">80(7) of the Act, the requirements set out in </w:t>
      </w:r>
      <w:r w:rsidR="00D150ED" w:rsidRPr="00F00002">
        <w:t>Schedule</w:t>
      </w:r>
      <w:r w:rsidR="00F00002">
        <w:t> </w:t>
      </w:r>
      <w:r w:rsidRPr="00F00002">
        <w:t>2 in relation to the translation of amounts into Australian currency have effect in relation to the translation of amounts into the applicable functional currency as if:</w:t>
      </w:r>
    </w:p>
    <w:p w:rsidR="00BB4501" w:rsidRPr="00F00002" w:rsidRDefault="00BB4501" w:rsidP="00D150ED">
      <w:pPr>
        <w:pStyle w:val="paragraph"/>
      </w:pPr>
      <w:r w:rsidRPr="00F00002">
        <w:rPr>
          <w:color w:val="000000"/>
        </w:rPr>
        <w:tab/>
        <w:t>(a)</w:t>
      </w:r>
      <w:r w:rsidRPr="00F00002">
        <w:rPr>
          <w:color w:val="000000"/>
        </w:rPr>
        <w:tab/>
        <w:t xml:space="preserve">each reference in that </w:t>
      </w:r>
      <w:r w:rsidR="00D150ED" w:rsidRPr="00F00002">
        <w:rPr>
          <w:color w:val="000000"/>
        </w:rPr>
        <w:t>Schedule</w:t>
      </w:r>
      <w:r w:rsidR="00672E95" w:rsidRPr="00F00002">
        <w:rPr>
          <w:color w:val="000000"/>
        </w:rPr>
        <w:t xml:space="preserve"> </w:t>
      </w:r>
      <w:r w:rsidRPr="00F00002">
        <w:rPr>
          <w:color w:val="000000"/>
        </w:rPr>
        <w:t>to Australian currency were a reference to the applicable functional currency; and</w:t>
      </w:r>
    </w:p>
    <w:p w:rsidR="00BB4501" w:rsidRPr="00F00002" w:rsidRDefault="00BB4501" w:rsidP="00D150ED">
      <w:pPr>
        <w:pStyle w:val="paragraph"/>
      </w:pPr>
      <w:r w:rsidRPr="00F00002">
        <w:tab/>
        <w:t>(b)</w:t>
      </w:r>
      <w:r w:rsidRPr="00F00002">
        <w:tab/>
        <w:t>the modifications set out in the following table were made:</w:t>
      </w:r>
    </w:p>
    <w:p w:rsidR="00D150ED" w:rsidRPr="00F00002" w:rsidRDefault="00D150ED" w:rsidP="00D150ED">
      <w:pPr>
        <w:pStyle w:val="Tabletext"/>
      </w:pPr>
    </w:p>
    <w:tbl>
      <w:tblPr>
        <w:tblW w:w="5000" w:type="pct"/>
        <w:tblLook w:val="0000" w:firstRow="0" w:lastRow="0" w:firstColumn="0" w:lastColumn="0" w:noHBand="0" w:noVBand="0"/>
      </w:tblPr>
      <w:tblGrid>
        <w:gridCol w:w="730"/>
        <w:gridCol w:w="2045"/>
        <w:gridCol w:w="1160"/>
        <w:gridCol w:w="4594"/>
      </w:tblGrid>
      <w:tr w:rsidR="00BB4501" w:rsidRPr="00F00002" w:rsidTr="000505B9">
        <w:trPr>
          <w:tblHeader/>
        </w:trPr>
        <w:tc>
          <w:tcPr>
            <w:tcW w:w="428" w:type="pct"/>
            <w:tcBorders>
              <w:top w:val="single" w:sz="12" w:space="0" w:color="auto"/>
              <w:bottom w:val="single" w:sz="12" w:space="0" w:color="auto"/>
            </w:tcBorders>
            <w:shd w:val="clear" w:color="auto" w:fill="auto"/>
          </w:tcPr>
          <w:p w:rsidR="00BB4501" w:rsidRPr="00F00002" w:rsidRDefault="00BB4501" w:rsidP="00731DB0">
            <w:pPr>
              <w:pStyle w:val="TableHeading"/>
            </w:pPr>
            <w:r w:rsidRPr="00F00002">
              <w:t>Item</w:t>
            </w:r>
          </w:p>
        </w:tc>
        <w:tc>
          <w:tcPr>
            <w:tcW w:w="1199" w:type="pct"/>
            <w:tcBorders>
              <w:top w:val="single" w:sz="12" w:space="0" w:color="auto"/>
              <w:bottom w:val="single" w:sz="12" w:space="0" w:color="auto"/>
            </w:tcBorders>
            <w:shd w:val="clear" w:color="auto" w:fill="auto"/>
          </w:tcPr>
          <w:p w:rsidR="00BB4501" w:rsidRPr="00F00002" w:rsidRDefault="00BB4501" w:rsidP="00731DB0">
            <w:pPr>
              <w:pStyle w:val="TableHeading"/>
            </w:pPr>
            <w:r w:rsidRPr="00F00002">
              <w:t>Provision</w:t>
            </w:r>
          </w:p>
        </w:tc>
        <w:tc>
          <w:tcPr>
            <w:tcW w:w="680" w:type="pct"/>
            <w:tcBorders>
              <w:top w:val="single" w:sz="12" w:space="0" w:color="auto"/>
              <w:bottom w:val="single" w:sz="12" w:space="0" w:color="auto"/>
            </w:tcBorders>
            <w:shd w:val="clear" w:color="auto" w:fill="auto"/>
          </w:tcPr>
          <w:p w:rsidR="00BB4501" w:rsidRPr="00F00002" w:rsidRDefault="00BB4501" w:rsidP="00731DB0">
            <w:pPr>
              <w:pStyle w:val="TableHeading"/>
            </w:pPr>
            <w:r w:rsidRPr="00F00002">
              <w:t>After</w:t>
            </w:r>
          </w:p>
        </w:tc>
        <w:tc>
          <w:tcPr>
            <w:tcW w:w="2693" w:type="pct"/>
            <w:tcBorders>
              <w:top w:val="single" w:sz="12" w:space="0" w:color="auto"/>
              <w:bottom w:val="single" w:sz="12" w:space="0" w:color="auto"/>
            </w:tcBorders>
            <w:shd w:val="clear" w:color="auto" w:fill="auto"/>
          </w:tcPr>
          <w:p w:rsidR="00BB4501" w:rsidRPr="00F00002" w:rsidRDefault="00BB4501" w:rsidP="00731DB0">
            <w:pPr>
              <w:pStyle w:val="TableHeading"/>
            </w:pPr>
            <w:r w:rsidRPr="00F00002">
              <w:t>Insert</w:t>
            </w:r>
          </w:p>
        </w:tc>
      </w:tr>
      <w:tr w:rsidR="00BB4501" w:rsidRPr="00F00002" w:rsidTr="000505B9">
        <w:tc>
          <w:tcPr>
            <w:tcW w:w="428" w:type="pct"/>
            <w:tcBorders>
              <w:top w:val="single" w:sz="12" w:space="0" w:color="auto"/>
              <w:bottom w:val="single" w:sz="4" w:space="0" w:color="auto"/>
            </w:tcBorders>
            <w:shd w:val="clear" w:color="auto" w:fill="auto"/>
          </w:tcPr>
          <w:p w:rsidR="00BB4501" w:rsidRPr="00F00002" w:rsidRDefault="00BB4501" w:rsidP="00D150ED">
            <w:pPr>
              <w:pStyle w:val="Tabletext"/>
            </w:pPr>
            <w:r w:rsidRPr="00F00002">
              <w:t>1</w:t>
            </w:r>
          </w:p>
        </w:tc>
        <w:tc>
          <w:tcPr>
            <w:tcW w:w="1199" w:type="pct"/>
            <w:tcBorders>
              <w:top w:val="single" w:sz="12" w:space="0" w:color="auto"/>
              <w:bottom w:val="single" w:sz="4" w:space="0" w:color="auto"/>
            </w:tcBorders>
            <w:shd w:val="clear" w:color="auto" w:fill="auto"/>
          </w:tcPr>
          <w:p w:rsidR="00BB4501" w:rsidRPr="00F00002" w:rsidRDefault="00BB4501" w:rsidP="00FB01A9">
            <w:pPr>
              <w:pStyle w:val="Tabletext"/>
            </w:pPr>
            <w:r w:rsidRPr="00F00002">
              <w:t>Subclause</w:t>
            </w:r>
            <w:r w:rsidR="00F00002">
              <w:t> </w:t>
            </w:r>
            <w:r w:rsidRPr="00F00002">
              <w:t>1.2(2)</w:t>
            </w:r>
          </w:p>
        </w:tc>
        <w:tc>
          <w:tcPr>
            <w:tcW w:w="680" w:type="pct"/>
            <w:tcBorders>
              <w:top w:val="single" w:sz="12" w:space="0" w:color="auto"/>
              <w:bottom w:val="single" w:sz="4" w:space="0" w:color="auto"/>
            </w:tcBorders>
            <w:shd w:val="clear" w:color="auto" w:fill="auto"/>
          </w:tcPr>
          <w:p w:rsidR="00BB4501" w:rsidRPr="00F00002" w:rsidRDefault="00BB4501" w:rsidP="00D150ED">
            <w:pPr>
              <w:pStyle w:val="Tabletext"/>
            </w:pPr>
            <w:r w:rsidRPr="00F00002">
              <w:t>year</w:t>
            </w:r>
          </w:p>
        </w:tc>
        <w:tc>
          <w:tcPr>
            <w:tcW w:w="2693" w:type="pct"/>
            <w:tcBorders>
              <w:top w:val="single" w:sz="12" w:space="0" w:color="auto"/>
              <w:bottom w:val="single" w:sz="4" w:space="0" w:color="auto"/>
            </w:tcBorders>
            <w:shd w:val="clear" w:color="auto" w:fill="auto"/>
          </w:tcPr>
          <w:p w:rsidR="00BB4501" w:rsidRPr="00F00002" w:rsidRDefault="00BB4501" w:rsidP="00D150ED">
            <w:pPr>
              <w:pStyle w:val="Tabletext"/>
            </w:pPr>
            <w:r w:rsidRPr="00F00002">
              <w:t xml:space="preserve">(or, if the entity is an attributable taxpayer in relation to a CFC (within the meaning of </w:t>
            </w:r>
            <w:r w:rsidR="00D150ED" w:rsidRPr="00F00002">
              <w:t>Part</w:t>
            </w:r>
            <w:r w:rsidR="00672E95" w:rsidRPr="00F00002">
              <w:t> </w:t>
            </w:r>
            <w:r w:rsidRPr="00F00002">
              <w:t xml:space="preserve">X of the </w:t>
            </w:r>
            <w:r w:rsidRPr="00F00002">
              <w:rPr>
                <w:i/>
              </w:rPr>
              <w:t>Income Tax Assessment Act 1936</w:t>
            </w:r>
            <w:r w:rsidRPr="00F00002">
              <w:t>)</w:t>
            </w:r>
            <w:r w:rsidR="00D150ED" w:rsidRPr="00F00002">
              <w:t>—</w:t>
            </w:r>
            <w:r w:rsidRPr="00F00002">
              <w:t>each subsequent day in the CFC’s statutory accounting period (within the meaning of that Part))</w:t>
            </w:r>
          </w:p>
        </w:tc>
      </w:tr>
      <w:tr w:rsidR="00BB4501" w:rsidRPr="00F00002" w:rsidTr="000505B9">
        <w:tc>
          <w:tcPr>
            <w:tcW w:w="428" w:type="pct"/>
            <w:tcBorders>
              <w:top w:val="single" w:sz="4" w:space="0" w:color="auto"/>
              <w:bottom w:val="single" w:sz="12" w:space="0" w:color="auto"/>
            </w:tcBorders>
            <w:shd w:val="clear" w:color="auto" w:fill="auto"/>
          </w:tcPr>
          <w:p w:rsidR="00BB4501" w:rsidRPr="00F00002" w:rsidRDefault="00BB4501" w:rsidP="00D150ED">
            <w:pPr>
              <w:pStyle w:val="Tabletext"/>
            </w:pPr>
            <w:r w:rsidRPr="00F00002">
              <w:lastRenderedPageBreak/>
              <w:t>2</w:t>
            </w:r>
          </w:p>
        </w:tc>
        <w:tc>
          <w:tcPr>
            <w:tcW w:w="1199" w:type="pct"/>
            <w:tcBorders>
              <w:top w:val="single" w:sz="4" w:space="0" w:color="auto"/>
              <w:bottom w:val="single" w:sz="12" w:space="0" w:color="auto"/>
            </w:tcBorders>
            <w:shd w:val="clear" w:color="auto" w:fill="auto"/>
          </w:tcPr>
          <w:p w:rsidR="00BB4501" w:rsidRPr="00F00002" w:rsidRDefault="00BB4501" w:rsidP="007F5615">
            <w:pPr>
              <w:pStyle w:val="Tabletext"/>
            </w:pPr>
            <w:r w:rsidRPr="00F00002">
              <w:t>Paragraph 1.2(3</w:t>
            </w:r>
            <w:r w:rsidR="00D150ED" w:rsidRPr="00F00002">
              <w:t>)(</w:t>
            </w:r>
            <w:r w:rsidRPr="00F00002">
              <w:t>a)</w:t>
            </w:r>
          </w:p>
        </w:tc>
        <w:tc>
          <w:tcPr>
            <w:tcW w:w="680" w:type="pct"/>
            <w:tcBorders>
              <w:top w:val="single" w:sz="4" w:space="0" w:color="auto"/>
              <w:bottom w:val="single" w:sz="12" w:space="0" w:color="auto"/>
            </w:tcBorders>
            <w:shd w:val="clear" w:color="auto" w:fill="auto"/>
          </w:tcPr>
          <w:p w:rsidR="00BB4501" w:rsidRPr="00F00002" w:rsidRDefault="00BB4501" w:rsidP="00D150ED">
            <w:pPr>
              <w:pStyle w:val="Tabletext"/>
            </w:pPr>
            <w:r w:rsidRPr="00F00002">
              <w:t>activities</w:t>
            </w:r>
          </w:p>
        </w:tc>
        <w:tc>
          <w:tcPr>
            <w:tcW w:w="2693" w:type="pct"/>
            <w:tcBorders>
              <w:top w:val="single" w:sz="4" w:space="0" w:color="auto"/>
              <w:bottom w:val="single" w:sz="12" w:space="0" w:color="auto"/>
            </w:tcBorders>
            <w:shd w:val="clear" w:color="auto" w:fill="auto"/>
          </w:tcPr>
          <w:p w:rsidR="00BB4501" w:rsidRPr="00F00002" w:rsidRDefault="00BB4501" w:rsidP="00D150ED">
            <w:pPr>
              <w:pStyle w:val="Tabletext"/>
            </w:pPr>
            <w:r w:rsidRPr="00F00002">
              <w:t xml:space="preserve">(or, if the entity is an attributable taxpayer in relation to a CFC (within the meaning of </w:t>
            </w:r>
            <w:r w:rsidR="00D150ED" w:rsidRPr="00F00002">
              <w:t>Part</w:t>
            </w:r>
            <w:r w:rsidR="00672E95" w:rsidRPr="00F00002">
              <w:t> </w:t>
            </w:r>
            <w:r w:rsidRPr="00F00002">
              <w:t xml:space="preserve">X of the </w:t>
            </w:r>
            <w:r w:rsidRPr="00F00002">
              <w:rPr>
                <w:i/>
              </w:rPr>
              <w:t>Income Tax Assessment Act 1936</w:t>
            </w:r>
            <w:r w:rsidRPr="00F00002">
              <w:t>), the use of the rate would not be appropriate having regard to the CFC’s business or activities)</w:t>
            </w:r>
          </w:p>
        </w:tc>
      </w:tr>
    </w:tbl>
    <w:p w:rsidR="00BB4501" w:rsidRPr="00F00002" w:rsidRDefault="00BB4501" w:rsidP="00D150ED">
      <w:pPr>
        <w:pStyle w:val="ActHead5"/>
      </w:pPr>
      <w:bookmarkStart w:id="178" w:name="_Toc31109751"/>
      <w:r w:rsidRPr="00A26088">
        <w:rPr>
          <w:rStyle w:val="CharSectno"/>
        </w:rPr>
        <w:t>960</w:t>
      </w:r>
      <w:r w:rsidR="00F00002" w:rsidRPr="00A26088">
        <w:rPr>
          <w:rStyle w:val="CharSectno"/>
        </w:rPr>
        <w:noBreakHyphen/>
      </w:r>
      <w:r w:rsidRPr="00A26088">
        <w:rPr>
          <w:rStyle w:val="CharSectno"/>
        </w:rPr>
        <w:t>80.02</w:t>
      </w:r>
      <w:r w:rsidR="00D150ED" w:rsidRPr="00F00002">
        <w:t xml:space="preserve">  </w:t>
      </w:r>
      <w:r w:rsidRPr="00F00002">
        <w:t>Translation rules for an attributable taxpayer of a CFC</w:t>
      </w:r>
      <w:r w:rsidR="00D150ED" w:rsidRPr="00F00002">
        <w:t>—</w:t>
      </w:r>
      <w:r w:rsidRPr="00F00002">
        <w:t>translation into applicable functional currency</w:t>
      </w:r>
      <w:bookmarkEnd w:id="178"/>
    </w:p>
    <w:p w:rsidR="00BB4501" w:rsidRPr="00F00002" w:rsidRDefault="00BB4501" w:rsidP="00D150ED">
      <w:pPr>
        <w:pStyle w:val="subsection"/>
      </w:pPr>
      <w:r w:rsidRPr="00F00002">
        <w:tab/>
        <w:t>(1)</w:t>
      </w:r>
      <w:r w:rsidRPr="00F00002">
        <w:tab/>
        <w:t>For subsection</w:t>
      </w:r>
      <w:r w:rsidR="00F00002">
        <w:t> </w:t>
      </w:r>
      <w:r w:rsidRPr="00F00002">
        <w:t>960</w:t>
      </w:r>
      <w:r w:rsidR="00F00002">
        <w:noBreakHyphen/>
      </w:r>
      <w:r w:rsidRPr="00F00002">
        <w:t>80(7) of the Act, if:</w:t>
      </w:r>
    </w:p>
    <w:p w:rsidR="00BB4501" w:rsidRPr="00F00002" w:rsidRDefault="00BB4501" w:rsidP="00D150ED">
      <w:pPr>
        <w:pStyle w:val="paragraph"/>
      </w:pPr>
      <w:r w:rsidRPr="00F00002">
        <w:rPr>
          <w:color w:val="000000"/>
        </w:rPr>
        <w:tab/>
        <w:t>(a)</w:t>
      </w:r>
      <w:r w:rsidRPr="00F00002">
        <w:rPr>
          <w:color w:val="000000"/>
        </w:rPr>
        <w:tab/>
        <w:t>an entity is an attributable taxpayer in relation to a CFC; and</w:t>
      </w:r>
    </w:p>
    <w:p w:rsidR="00BB4501" w:rsidRPr="00F00002" w:rsidRDefault="00BB4501" w:rsidP="00D150ED">
      <w:pPr>
        <w:pStyle w:val="paragraph"/>
      </w:pPr>
      <w:r w:rsidRPr="00F00002">
        <w:tab/>
        <w:t>(b)</w:t>
      </w:r>
      <w:r w:rsidRPr="00F00002">
        <w:tab/>
        <w:t>the CFC has prepared financial accounts in accordance with standards to which subsection</w:t>
      </w:r>
      <w:r w:rsidR="00F00002">
        <w:t> </w:t>
      </w:r>
      <w:r w:rsidRPr="00F00002">
        <w:t>820</w:t>
      </w:r>
      <w:r w:rsidR="00F00002">
        <w:noBreakHyphen/>
      </w:r>
      <w:r w:rsidRPr="00F00002">
        <w:t>960(1C) or (1D) of the Act relates; and</w:t>
      </w:r>
    </w:p>
    <w:p w:rsidR="00BB4501" w:rsidRPr="00F00002" w:rsidRDefault="00BB4501" w:rsidP="00D150ED">
      <w:pPr>
        <w:pStyle w:val="paragraph"/>
      </w:pPr>
      <w:r w:rsidRPr="00F00002">
        <w:tab/>
        <w:t>(c)</w:t>
      </w:r>
      <w:r w:rsidRPr="00F00002">
        <w:tab/>
        <w:t>those financial accounts translate amounts into the applicable functional currency using particular exchange rates; and</w:t>
      </w:r>
    </w:p>
    <w:p w:rsidR="00BB4501" w:rsidRPr="00F00002" w:rsidRDefault="00BB4501" w:rsidP="00D150ED">
      <w:pPr>
        <w:pStyle w:val="paragraph"/>
      </w:pPr>
      <w:r w:rsidRPr="00F00002">
        <w:tab/>
        <w:t>(d)</w:t>
      </w:r>
      <w:r w:rsidRPr="00F00002">
        <w:tab/>
        <w:t>the entity wishes to translate an amount into the applicable functional currency, using the exchange rate used to translate a corresponding amount in the financial accounts;</w:t>
      </w:r>
    </w:p>
    <w:p w:rsidR="00BB4501" w:rsidRPr="00F00002" w:rsidRDefault="00BB4501" w:rsidP="00D150ED">
      <w:pPr>
        <w:pStyle w:val="subsection2"/>
      </w:pPr>
      <w:r w:rsidRPr="00F00002">
        <w:rPr>
          <w:color w:val="000000"/>
        </w:rPr>
        <w:t>the entity must translate all amounts into the applicable functional currency using the exchange rates that were used in the financial accounts to translate corresponding amounts.</w:t>
      </w:r>
    </w:p>
    <w:p w:rsidR="00BB4501" w:rsidRPr="00F00002" w:rsidRDefault="00BB4501" w:rsidP="00D150ED">
      <w:pPr>
        <w:pStyle w:val="subsection"/>
      </w:pPr>
      <w:r w:rsidRPr="00F00002">
        <w:tab/>
        <w:t>(2)</w:t>
      </w:r>
      <w:r w:rsidRPr="00F00002">
        <w:tab/>
        <w:t>In this regulation:</w:t>
      </w:r>
    </w:p>
    <w:p w:rsidR="00BB4501" w:rsidRPr="00F00002" w:rsidRDefault="00BB4501" w:rsidP="00D150ED">
      <w:pPr>
        <w:pStyle w:val="Definition"/>
      </w:pPr>
      <w:r w:rsidRPr="00F00002">
        <w:rPr>
          <w:b/>
          <w:i/>
          <w:color w:val="000000"/>
        </w:rPr>
        <w:t>CFC</w:t>
      </w:r>
      <w:r w:rsidRPr="00F00002">
        <w:rPr>
          <w:i/>
          <w:color w:val="000000"/>
        </w:rPr>
        <w:t xml:space="preserve"> </w:t>
      </w:r>
      <w:r w:rsidRPr="00F00002">
        <w:rPr>
          <w:color w:val="000000"/>
        </w:rPr>
        <w:t xml:space="preserve">has the meaning given by </w:t>
      </w:r>
      <w:r w:rsidR="00D150ED" w:rsidRPr="00F00002">
        <w:rPr>
          <w:color w:val="000000"/>
        </w:rPr>
        <w:t>Part</w:t>
      </w:r>
      <w:r w:rsidR="00672E95" w:rsidRPr="00F00002">
        <w:rPr>
          <w:color w:val="000000"/>
        </w:rPr>
        <w:t> </w:t>
      </w:r>
      <w:r w:rsidRPr="00F00002">
        <w:rPr>
          <w:color w:val="000000"/>
        </w:rPr>
        <w:t xml:space="preserve">X of the </w:t>
      </w:r>
      <w:r w:rsidRPr="00F00002">
        <w:rPr>
          <w:i/>
          <w:color w:val="000000"/>
        </w:rPr>
        <w:t>Income Tax Assessment Act 1936</w:t>
      </w:r>
      <w:r w:rsidRPr="00F00002">
        <w:rPr>
          <w:color w:val="000000"/>
        </w:rPr>
        <w:t>.</w:t>
      </w:r>
    </w:p>
    <w:p w:rsidR="00BB4501" w:rsidRPr="00F00002" w:rsidRDefault="00BB4501" w:rsidP="00D150ED">
      <w:pPr>
        <w:pStyle w:val="ActHead5"/>
      </w:pPr>
      <w:bookmarkStart w:id="179" w:name="_Toc31109752"/>
      <w:r w:rsidRPr="00A26088">
        <w:rPr>
          <w:rStyle w:val="CharSectno"/>
        </w:rPr>
        <w:t>960</w:t>
      </w:r>
      <w:r w:rsidR="00F00002" w:rsidRPr="00A26088">
        <w:rPr>
          <w:rStyle w:val="CharSectno"/>
        </w:rPr>
        <w:noBreakHyphen/>
      </w:r>
      <w:r w:rsidRPr="00A26088">
        <w:rPr>
          <w:rStyle w:val="CharSectno"/>
        </w:rPr>
        <w:t>80.03</w:t>
      </w:r>
      <w:r w:rsidR="00D150ED" w:rsidRPr="00F00002">
        <w:t xml:space="preserve">  </w:t>
      </w:r>
      <w:r w:rsidRPr="00F00002">
        <w:t>Translation rules</w:t>
      </w:r>
      <w:r w:rsidR="00D150ED" w:rsidRPr="00F00002">
        <w:t>—</w:t>
      </w:r>
      <w:r w:rsidRPr="00F00002">
        <w:t>translation from applicable functional currency into Australian currency</w:t>
      </w:r>
      <w:bookmarkEnd w:id="179"/>
    </w:p>
    <w:p w:rsidR="00BB4501" w:rsidRPr="00F00002" w:rsidRDefault="00BB4501" w:rsidP="00D150ED">
      <w:pPr>
        <w:pStyle w:val="subsection"/>
      </w:pPr>
      <w:r w:rsidRPr="00F00002">
        <w:tab/>
        <w:t>(1)</w:t>
      </w:r>
      <w:r w:rsidRPr="00F00002">
        <w:tab/>
        <w:t>For subsection</w:t>
      </w:r>
      <w:r w:rsidR="00F00002">
        <w:t> </w:t>
      </w:r>
      <w:r w:rsidRPr="00F00002">
        <w:t>960</w:t>
      </w:r>
      <w:r w:rsidR="00F00002">
        <w:noBreakHyphen/>
      </w:r>
      <w:r w:rsidRPr="00F00002">
        <w:t xml:space="preserve">80(7) of the Act, if, before the day on which the </w:t>
      </w:r>
      <w:r w:rsidRPr="00F00002">
        <w:rPr>
          <w:i/>
        </w:rPr>
        <w:t>Income Tax Assessment Amendment Regulations</w:t>
      </w:r>
      <w:r w:rsidR="00F00002">
        <w:rPr>
          <w:i/>
        </w:rPr>
        <w:t> </w:t>
      </w:r>
      <w:r w:rsidRPr="00F00002">
        <w:rPr>
          <w:i/>
        </w:rPr>
        <w:t>2005(No.</w:t>
      </w:r>
      <w:r w:rsidR="00F00002">
        <w:rPr>
          <w:i/>
        </w:rPr>
        <w:t> </w:t>
      </w:r>
      <w:r w:rsidRPr="00F00002">
        <w:rPr>
          <w:i/>
        </w:rPr>
        <w:t>2)</w:t>
      </w:r>
      <w:r w:rsidRPr="00F00002">
        <w:t xml:space="preserve"> are registered, an entity translates an amount that is not the attributable income of a CFC from the applicable functional currency into Australian currency on a day in accordance with an item of the table in subsection</w:t>
      </w:r>
      <w:r w:rsidR="00F00002">
        <w:t> </w:t>
      </w:r>
      <w:r w:rsidRPr="00F00002">
        <w:t>960</w:t>
      </w:r>
      <w:r w:rsidR="00F00002">
        <w:noBreakHyphen/>
      </w:r>
      <w:r w:rsidRPr="00F00002">
        <w:t>80(1) of the Act, the entity may translate the amount using:</w:t>
      </w:r>
    </w:p>
    <w:p w:rsidR="00BB4501" w:rsidRPr="00F00002" w:rsidRDefault="00BB4501" w:rsidP="00D150ED">
      <w:pPr>
        <w:pStyle w:val="paragraph"/>
      </w:pPr>
      <w:r w:rsidRPr="00F00002">
        <w:rPr>
          <w:color w:val="000000"/>
        </w:rPr>
        <w:tab/>
        <w:t>(a)</w:t>
      </w:r>
      <w:r w:rsidRPr="00F00002">
        <w:rPr>
          <w:color w:val="000000"/>
        </w:rPr>
        <w:tab/>
        <w:t>an exchange rate that is an average of all of the exchange rates during the period, not exceeding 12 months, in which the entity carries on the relevant business or other activity; or</w:t>
      </w:r>
    </w:p>
    <w:p w:rsidR="00BB4501" w:rsidRPr="00F00002" w:rsidRDefault="00BB4501" w:rsidP="00D150ED">
      <w:pPr>
        <w:pStyle w:val="paragraph"/>
      </w:pPr>
      <w:r w:rsidRPr="00F00002">
        <w:tab/>
        <w:t>(b)</w:t>
      </w:r>
      <w:r w:rsidRPr="00F00002">
        <w:tab/>
        <w:t>the exchange rate applicable on the last day of the entity’s income year.</w:t>
      </w:r>
    </w:p>
    <w:p w:rsidR="00BB4501" w:rsidRPr="00F00002" w:rsidRDefault="00BB4501" w:rsidP="00D150ED">
      <w:pPr>
        <w:pStyle w:val="subsection"/>
      </w:pPr>
      <w:r w:rsidRPr="00F00002">
        <w:tab/>
        <w:t>(2)</w:t>
      </w:r>
      <w:r w:rsidRPr="00F00002">
        <w:tab/>
        <w:t>For subsection</w:t>
      </w:r>
      <w:r w:rsidR="00F00002">
        <w:t> </w:t>
      </w:r>
      <w:r w:rsidRPr="00F00002">
        <w:t>960</w:t>
      </w:r>
      <w:r w:rsidR="00F00002">
        <w:noBreakHyphen/>
      </w:r>
      <w:r w:rsidRPr="00F00002">
        <w:t xml:space="preserve">80(7) of the Act, if, before the day on which the </w:t>
      </w:r>
      <w:r w:rsidRPr="00F00002">
        <w:rPr>
          <w:i/>
        </w:rPr>
        <w:t>Income Tax Assessment Amendment Regulations</w:t>
      </w:r>
      <w:r w:rsidR="00F00002">
        <w:rPr>
          <w:i/>
        </w:rPr>
        <w:t> </w:t>
      </w:r>
      <w:r w:rsidRPr="00F00002">
        <w:rPr>
          <w:i/>
        </w:rPr>
        <w:t>2005 (No.</w:t>
      </w:r>
      <w:r w:rsidR="00F00002">
        <w:rPr>
          <w:i/>
        </w:rPr>
        <w:t> </w:t>
      </w:r>
      <w:r w:rsidRPr="00F00002">
        <w:rPr>
          <w:i/>
        </w:rPr>
        <w:t>2)</w:t>
      </w:r>
      <w:r w:rsidRPr="00F00002">
        <w:t xml:space="preserve"> are registered, an entity that is an attributable taxpayer in relation to a CFC translates an amount that is the attributable income of a CFC from the applicable functional currency into </w:t>
      </w:r>
      <w:r w:rsidRPr="00F00002">
        <w:lastRenderedPageBreak/>
        <w:t>Australian currency on a day in accordance with an item of the table in subsection</w:t>
      </w:r>
      <w:r w:rsidR="00F00002">
        <w:t> </w:t>
      </w:r>
      <w:r w:rsidRPr="00F00002">
        <w:t>960</w:t>
      </w:r>
      <w:r w:rsidR="00F00002">
        <w:noBreakHyphen/>
      </w:r>
      <w:r w:rsidRPr="00F00002">
        <w:t>80(1) of the Act, the entity may translate the amount using:</w:t>
      </w:r>
    </w:p>
    <w:p w:rsidR="00BB4501" w:rsidRPr="00F00002" w:rsidRDefault="00BB4501" w:rsidP="00D150ED">
      <w:pPr>
        <w:pStyle w:val="paragraph"/>
      </w:pPr>
      <w:r w:rsidRPr="00F00002">
        <w:rPr>
          <w:color w:val="000000"/>
        </w:rPr>
        <w:tab/>
        <w:t>(a)</w:t>
      </w:r>
      <w:r w:rsidRPr="00F00002">
        <w:rPr>
          <w:color w:val="000000"/>
        </w:rPr>
        <w:tab/>
        <w:t>an exchange rate that is an average of all of the exchange rates during the period, not exceeding 12 months, in which the CFC carries on the relevant business or other activity; or</w:t>
      </w:r>
    </w:p>
    <w:p w:rsidR="00BB4501" w:rsidRPr="00F00002" w:rsidRDefault="00BB4501" w:rsidP="00D150ED">
      <w:pPr>
        <w:pStyle w:val="paragraph"/>
      </w:pPr>
      <w:r w:rsidRPr="00F00002">
        <w:tab/>
        <w:t>(b)</w:t>
      </w:r>
      <w:r w:rsidRPr="00F00002">
        <w:tab/>
        <w:t>the exchange rate applicable on the last day of the CFC’s statutory accounting period.</w:t>
      </w:r>
    </w:p>
    <w:p w:rsidR="00BB4501" w:rsidRPr="00F00002" w:rsidRDefault="00BB4501" w:rsidP="00D150ED">
      <w:pPr>
        <w:pStyle w:val="subsection"/>
      </w:pPr>
      <w:r w:rsidRPr="00F00002">
        <w:tab/>
        <w:t>(3)</w:t>
      </w:r>
      <w:r w:rsidRPr="00F00002">
        <w:tab/>
        <w:t>For subsection</w:t>
      </w:r>
      <w:r w:rsidR="00F00002">
        <w:t> </w:t>
      </w:r>
      <w:r w:rsidRPr="00F00002">
        <w:t>960</w:t>
      </w:r>
      <w:r w:rsidR="00F00002">
        <w:noBreakHyphen/>
      </w:r>
      <w:r w:rsidRPr="00F00002">
        <w:t xml:space="preserve">80(7) of the Act, if, on or after the day on which the </w:t>
      </w:r>
      <w:r w:rsidRPr="00F00002">
        <w:rPr>
          <w:i/>
        </w:rPr>
        <w:t>Income Tax Assessment Amendment Regulations</w:t>
      </w:r>
      <w:r w:rsidR="00F00002">
        <w:rPr>
          <w:i/>
        </w:rPr>
        <w:t> </w:t>
      </w:r>
      <w:r w:rsidRPr="00F00002">
        <w:rPr>
          <w:i/>
        </w:rPr>
        <w:t>2005 (No.</w:t>
      </w:r>
      <w:r w:rsidR="00F00002">
        <w:rPr>
          <w:i/>
        </w:rPr>
        <w:t> </w:t>
      </w:r>
      <w:r w:rsidRPr="00F00002">
        <w:rPr>
          <w:i/>
        </w:rPr>
        <w:t>2)</w:t>
      </w:r>
      <w:r w:rsidRPr="00F00002">
        <w:t xml:space="preserve"> are registered, an entity translates an amount that is not the attributable income of a CFC from the applicable functional currency into Australian currency on a day in accordance with an item of the table in subsection</w:t>
      </w:r>
      <w:r w:rsidR="00F00002">
        <w:t> </w:t>
      </w:r>
      <w:r w:rsidRPr="00F00002">
        <w:t>960</w:t>
      </w:r>
      <w:r w:rsidR="00F00002">
        <w:noBreakHyphen/>
      </w:r>
      <w:r w:rsidRPr="00F00002">
        <w:t>80(1) of the Act, the entity must translate the amount using:</w:t>
      </w:r>
    </w:p>
    <w:p w:rsidR="00BB4501" w:rsidRPr="00F00002" w:rsidRDefault="00BB4501" w:rsidP="00D150ED">
      <w:pPr>
        <w:pStyle w:val="paragraph"/>
      </w:pPr>
      <w:r w:rsidRPr="00F00002">
        <w:rPr>
          <w:color w:val="000000"/>
        </w:rPr>
        <w:tab/>
        <w:t>(a)</w:t>
      </w:r>
      <w:r w:rsidRPr="00F00002">
        <w:rPr>
          <w:color w:val="000000"/>
        </w:rPr>
        <w:tab/>
        <w:t>an exchange rate that is an average of all of the exchange rates during the period, not exceeding 12 months, in which the entity carries on the relevant business or other activity; or</w:t>
      </w:r>
    </w:p>
    <w:p w:rsidR="00BB4501" w:rsidRPr="00F00002" w:rsidRDefault="00BB4501" w:rsidP="00D150ED">
      <w:pPr>
        <w:pStyle w:val="paragraph"/>
      </w:pPr>
      <w:r w:rsidRPr="00F00002">
        <w:tab/>
        <w:t>(b)</w:t>
      </w:r>
      <w:r w:rsidRPr="00F00002">
        <w:tab/>
        <w:t>if the entity makes an election in writing to use the exchange rate applicable on the last day of the entity’s income year</w:t>
      </w:r>
      <w:r w:rsidR="00D150ED" w:rsidRPr="00F00002">
        <w:t>—</w:t>
      </w:r>
      <w:r w:rsidRPr="00F00002">
        <w:t>that exchange rate.</w:t>
      </w:r>
    </w:p>
    <w:p w:rsidR="00BB4501" w:rsidRPr="00F00002" w:rsidRDefault="00BB4501" w:rsidP="00D150ED">
      <w:pPr>
        <w:pStyle w:val="subsection"/>
      </w:pPr>
      <w:r w:rsidRPr="00F00002">
        <w:tab/>
        <w:t>(4)</w:t>
      </w:r>
      <w:r w:rsidRPr="00F00002">
        <w:tab/>
        <w:t>For subsection</w:t>
      </w:r>
      <w:r w:rsidR="00F00002">
        <w:t> </w:t>
      </w:r>
      <w:r w:rsidRPr="00F00002">
        <w:t>960</w:t>
      </w:r>
      <w:r w:rsidR="00F00002">
        <w:noBreakHyphen/>
      </w:r>
      <w:r w:rsidRPr="00F00002">
        <w:t xml:space="preserve">80(7) of the Act, if, on or after the day on which the </w:t>
      </w:r>
      <w:r w:rsidRPr="00F00002">
        <w:rPr>
          <w:i/>
        </w:rPr>
        <w:t>Income Tax Assessment Amendment Regulations</w:t>
      </w:r>
      <w:r w:rsidR="00F00002">
        <w:rPr>
          <w:i/>
        </w:rPr>
        <w:t> </w:t>
      </w:r>
      <w:r w:rsidRPr="00F00002">
        <w:rPr>
          <w:i/>
        </w:rPr>
        <w:t>2005 (No.</w:t>
      </w:r>
      <w:r w:rsidR="00F00002">
        <w:rPr>
          <w:i/>
        </w:rPr>
        <w:t> </w:t>
      </w:r>
      <w:r w:rsidRPr="00F00002">
        <w:rPr>
          <w:i/>
        </w:rPr>
        <w:t>2)</w:t>
      </w:r>
      <w:r w:rsidRPr="00F00002">
        <w:t xml:space="preserve"> are registered, an entity that is an attributable taxpayer in relation to a CFC translates an amount that is the attributable income of a CFC from the applicable functional currency into Australian currency on a day in accordance with an item of the table in subsection</w:t>
      </w:r>
      <w:r w:rsidR="00F00002">
        <w:t> </w:t>
      </w:r>
      <w:r w:rsidRPr="00F00002">
        <w:t>960</w:t>
      </w:r>
      <w:r w:rsidR="00F00002">
        <w:noBreakHyphen/>
      </w:r>
      <w:r w:rsidRPr="00F00002">
        <w:t>80(1) of the Act, the entity must translate the amount using:</w:t>
      </w:r>
    </w:p>
    <w:p w:rsidR="00BB4501" w:rsidRPr="00F00002" w:rsidRDefault="00BB4501" w:rsidP="00D150ED">
      <w:pPr>
        <w:pStyle w:val="paragraph"/>
      </w:pPr>
      <w:r w:rsidRPr="00F00002">
        <w:rPr>
          <w:color w:val="000000"/>
        </w:rPr>
        <w:tab/>
        <w:t>(a)</w:t>
      </w:r>
      <w:r w:rsidRPr="00F00002">
        <w:rPr>
          <w:color w:val="000000"/>
        </w:rPr>
        <w:tab/>
        <w:t>an exchange rate that is an average of all of the exchange rates during the period, not exceeding 12 months, in which the CFC carries on the relevant business or other activity; or</w:t>
      </w:r>
    </w:p>
    <w:p w:rsidR="00BB4501" w:rsidRPr="00F00002" w:rsidRDefault="00BB4501" w:rsidP="00D150ED">
      <w:pPr>
        <w:pStyle w:val="paragraph"/>
      </w:pPr>
      <w:r w:rsidRPr="00F00002">
        <w:tab/>
        <w:t>(b)</w:t>
      </w:r>
      <w:r w:rsidRPr="00F00002">
        <w:tab/>
        <w:t>if the entity makes an election in writing to use the exchange rate applicable on the last day of the CFC’s statutory accounting period</w:t>
      </w:r>
      <w:r w:rsidR="00D150ED" w:rsidRPr="00F00002">
        <w:t>—</w:t>
      </w:r>
      <w:r w:rsidRPr="00F00002">
        <w:t>that exchange rate.</w:t>
      </w:r>
    </w:p>
    <w:p w:rsidR="00BB4501" w:rsidRPr="00F00002" w:rsidRDefault="00BB4501" w:rsidP="00D150ED">
      <w:pPr>
        <w:pStyle w:val="subsection"/>
      </w:pPr>
      <w:r w:rsidRPr="00F00002">
        <w:rPr>
          <w:color w:val="000000"/>
        </w:rPr>
        <w:tab/>
        <w:t>(5)</w:t>
      </w:r>
      <w:r w:rsidRPr="00F00002">
        <w:rPr>
          <w:color w:val="000000"/>
        </w:rPr>
        <w:tab/>
        <w:t xml:space="preserve">An election under </w:t>
      </w:r>
      <w:r w:rsidR="00F00002">
        <w:rPr>
          <w:color w:val="000000"/>
        </w:rPr>
        <w:t>paragraph (</w:t>
      </w:r>
      <w:r w:rsidRPr="00F00002">
        <w:rPr>
          <w:color w:val="000000"/>
        </w:rPr>
        <w:t>3</w:t>
      </w:r>
      <w:r w:rsidR="00D150ED" w:rsidRPr="00F00002">
        <w:rPr>
          <w:color w:val="000000"/>
        </w:rPr>
        <w:t>)(</w:t>
      </w:r>
      <w:r w:rsidRPr="00F00002">
        <w:rPr>
          <w:color w:val="000000"/>
        </w:rPr>
        <w:t>b) or (4</w:t>
      </w:r>
      <w:r w:rsidR="00D150ED" w:rsidRPr="00F00002">
        <w:rPr>
          <w:color w:val="000000"/>
        </w:rPr>
        <w:t>)(</w:t>
      </w:r>
      <w:r w:rsidRPr="00F00002">
        <w:rPr>
          <w:color w:val="000000"/>
        </w:rPr>
        <w:t>b) is irrevocable.</w:t>
      </w:r>
    </w:p>
    <w:p w:rsidR="00BB4501" w:rsidRPr="00F00002" w:rsidRDefault="00BB4501" w:rsidP="00D150ED">
      <w:pPr>
        <w:pStyle w:val="subsection"/>
      </w:pPr>
      <w:r w:rsidRPr="00F00002">
        <w:tab/>
        <w:t>(6)</w:t>
      </w:r>
      <w:r w:rsidRPr="00F00002">
        <w:tab/>
        <w:t>In this regulation:</w:t>
      </w:r>
    </w:p>
    <w:p w:rsidR="00BB4501" w:rsidRPr="00F00002" w:rsidRDefault="00BB4501" w:rsidP="00D150ED">
      <w:pPr>
        <w:pStyle w:val="Definition"/>
      </w:pPr>
      <w:r w:rsidRPr="00F00002">
        <w:rPr>
          <w:b/>
          <w:i/>
          <w:color w:val="000000"/>
        </w:rPr>
        <w:t>CFC</w:t>
      </w:r>
      <w:r w:rsidRPr="00F00002">
        <w:rPr>
          <w:color w:val="000000"/>
        </w:rPr>
        <w:t xml:space="preserve"> has the meaning given by </w:t>
      </w:r>
      <w:r w:rsidR="00D150ED" w:rsidRPr="00F00002">
        <w:rPr>
          <w:color w:val="000000"/>
        </w:rPr>
        <w:t>Part</w:t>
      </w:r>
      <w:r w:rsidR="00672E95" w:rsidRPr="00F00002">
        <w:rPr>
          <w:color w:val="000000"/>
        </w:rPr>
        <w:t> </w:t>
      </w:r>
      <w:r w:rsidRPr="00F00002">
        <w:rPr>
          <w:color w:val="000000"/>
        </w:rPr>
        <w:t xml:space="preserve">X of the </w:t>
      </w:r>
      <w:r w:rsidRPr="00F00002">
        <w:rPr>
          <w:i/>
          <w:color w:val="000000"/>
        </w:rPr>
        <w:t>Income Tax Assessment Act 1936</w:t>
      </w:r>
      <w:r w:rsidRPr="00F00002">
        <w:rPr>
          <w:color w:val="000000"/>
        </w:rPr>
        <w:t>.</w:t>
      </w:r>
    </w:p>
    <w:p w:rsidR="00BB4501" w:rsidRPr="00F00002" w:rsidRDefault="00BB4501" w:rsidP="00D150ED">
      <w:pPr>
        <w:pStyle w:val="Definition"/>
      </w:pPr>
      <w:r w:rsidRPr="00F00002">
        <w:rPr>
          <w:b/>
          <w:i/>
        </w:rPr>
        <w:t xml:space="preserve">registered </w:t>
      </w:r>
      <w:r w:rsidRPr="00F00002">
        <w:t xml:space="preserve">means registered in accordance with the </w:t>
      </w:r>
      <w:r w:rsidR="007D6B7B" w:rsidRPr="00F00002">
        <w:rPr>
          <w:i/>
        </w:rPr>
        <w:t>Legislation Act 2003</w:t>
      </w:r>
      <w:r w:rsidRPr="00F00002">
        <w:t>.</w:t>
      </w:r>
    </w:p>
    <w:p w:rsidR="00BB4501" w:rsidRPr="00F00002" w:rsidRDefault="00BB4501" w:rsidP="00D150ED">
      <w:pPr>
        <w:pStyle w:val="Definition"/>
      </w:pPr>
      <w:r w:rsidRPr="00F00002">
        <w:rPr>
          <w:b/>
          <w:i/>
        </w:rPr>
        <w:t>statutory accounting period</w:t>
      </w:r>
      <w:r w:rsidRPr="00F00002">
        <w:t xml:space="preserve"> has the meaning given by </w:t>
      </w:r>
      <w:r w:rsidR="00D150ED" w:rsidRPr="00F00002">
        <w:t>Part</w:t>
      </w:r>
      <w:r w:rsidR="00672E95" w:rsidRPr="00F00002">
        <w:t> </w:t>
      </w:r>
      <w:r w:rsidRPr="00F00002">
        <w:t xml:space="preserve">X of the </w:t>
      </w:r>
      <w:r w:rsidRPr="00F00002">
        <w:rPr>
          <w:i/>
        </w:rPr>
        <w:t>Income Tax Assessment Act 1936</w:t>
      </w:r>
      <w:r w:rsidRPr="00F00002">
        <w:t>.</w:t>
      </w:r>
    </w:p>
    <w:p w:rsidR="00BB4501" w:rsidRPr="00F00002" w:rsidRDefault="00D150ED" w:rsidP="00D150ED">
      <w:pPr>
        <w:pStyle w:val="ActHead3"/>
        <w:pageBreakBefore/>
      </w:pPr>
      <w:bookmarkStart w:id="180" w:name="_Toc31109753"/>
      <w:r w:rsidRPr="00A26088">
        <w:rPr>
          <w:rStyle w:val="CharDivNo"/>
        </w:rPr>
        <w:lastRenderedPageBreak/>
        <w:t>Division</w:t>
      </w:r>
      <w:r w:rsidR="00F00002" w:rsidRPr="00A26088">
        <w:rPr>
          <w:rStyle w:val="CharDivNo"/>
        </w:rPr>
        <w:t> </w:t>
      </w:r>
      <w:r w:rsidR="00BB4501" w:rsidRPr="00A26088">
        <w:rPr>
          <w:rStyle w:val="CharDivNo"/>
        </w:rPr>
        <w:t>974</w:t>
      </w:r>
      <w:r w:rsidRPr="00F00002">
        <w:t>—</w:t>
      </w:r>
      <w:r w:rsidR="00BB4501" w:rsidRPr="00A26088">
        <w:rPr>
          <w:rStyle w:val="CharDivText"/>
        </w:rPr>
        <w:t>Debt and equity interests</w:t>
      </w:r>
      <w:bookmarkEnd w:id="180"/>
    </w:p>
    <w:p w:rsidR="00BB4501" w:rsidRPr="00F00002" w:rsidRDefault="00D150ED" w:rsidP="00D150ED">
      <w:pPr>
        <w:pStyle w:val="ActHead4"/>
      </w:pPr>
      <w:bookmarkStart w:id="181" w:name="_Toc31109754"/>
      <w:r w:rsidRPr="00A26088">
        <w:rPr>
          <w:rStyle w:val="CharSubdNo"/>
        </w:rPr>
        <w:t>Subdivision</w:t>
      </w:r>
      <w:r w:rsidR="00F00002" w:rsidRPr="00A26088">
        <w:rPr>
          <w:rStyle w:val="CharSubdNo"/>
        </w:rPr>
        <w:t> </w:t>
      </w:r>
      <w:r w:rsidR="00BB4501" w:rsidRPr="00A26088">
        <w:rPr>
          <w:rStyle w:val="CharSubdNo"/>
        </w:rPr>
        <w:t>974</w:t>
      </w:r>
      <w:r w:rsidR="00F00002" w:rsidRPr="00A26088">
        <w:rPr>
          <w:rStyle w:val="CharSubdNo"/>
        </w:rPr>
        <w:noBreakHyphen/>
      </w:r>
      <w:r w:rsidR="00BB4501" w:rsidRPr="00A26088">
        <w:rPr>
          <w:rStyle w:val="CharSubdNo"/>
        </w:rPr>
        <w:t>F</w:t>
      </w:r>
      <w:r w:rsidRPr="00F00002">
        <w:t>—</w:t>
      </w:r>
      <w:r w:rsidR="00BB4501" w:rsidRPr="00A26088">
        <w:rPr>
          <w:rStyle w:val="CharSubdText"/>
        </w:rPr>
        <w:t>Related concepts</w:t>
      </w:r>
      <w:bookmarkEnd w:id="181"/>
    </w:p>
    <w:p w:rsidR="00BB4501" w:rsidRPr="00F00002" w:rsidRDefault="00BB4501" w:rsidP="00D150ED">
      <w:pPr>
        <w:pStyle w:val="ActHead5"/>
      </w:pPr>
      <w:bookmarkStart w:id="182" w:name="_Toc31109755"/>
      <w:r w:rsidRPr="00A26088">
        <w:rPr>
          <w:rStyle w:val="CharSectno"/>
        </w:rPr>
        <w:t>974</w:t>
      </w:r>
      <w:r w:rsidR="00F00002" w:rsidRPr="00A26088">
        <w:rPr>
          <w:rStyle w:val="CharSectno"/>
        </w:rPr>
        <w:noBreakHyphen/>
      </w:r>
      <w:r w:rsidRPr="00A26088">
        <w:rPr>
          <w:rStyle w:val="CharSectno"/>
        </w:rPr>
        <w:t>135A</w:t>
      </w:r>
      <w:r w:rsidR="00D150ED" w:rsidRPr="00F00002">
        <w:t xml:space="preserve">  </w:t>
      </w:r>
      <w:r w:rsidRPr="00F00002">
        <w:t>Non</w:t>
      </w:r>
      <w:r w:rsidR="00F00002">
        <w:noBreakHyphen/>
      </w:r>
      <w:r w:rsidRPr="00F00002">
        <w:t>cumulative redeemable preference shares issued by credit union</w:t>
      </w:r>
      <w:bookmarkEnd w:id="182"/>
    </w:p>
    <w:p w:rsidR="00BB4501" w:rsidRPr="00F00002" w:rsidRDefault="00BB4501" w:rsidP="00D150ED">
      <w:pPr>
        <w:pStyle w:val="subsection"/>
      </w:pPr>
      <w:r w:rsidRPr="00F00002">
        <w:tab/>
      </w:r>
      <w:r w:rsidRPr="00F00002">
        <w:tab/>
        <w:t>For paragraph</w:t>
      </w:r>
      <w:r w:rsidR="00F00002">
        <w:t> </w:t>
      </w:r>
      <w:r w:rsidRPr="00F00002">
        <w:t>974</w:t>
      </w:r>
      <w:r w:rsidR="00F00002">
        <w:noBreakHyphen/>
      </w:r>
      <w:r w:rsidRPr="00F00002">
        <w:t>135(8</w:t>
      </w:r>
      <w:r w:rsidR="00D150ED" w:rsidRPr="00F00002">
        <w:t>)(</w:t>
      </w:r>
      <w:r w:rsidRPr="00F00002">
        <w:t>d) of the Act, the obligation in respect of the return of investment on the redemption of a non</w:t>
      </w:r>
      <w:r w:rsidR="00F00002">
        <w:noBreakHyphen/>
      </w:r>
      <w:r w:rsidRPr="00F00002">
        <w:t>cumulative redeemable preference share issued by a credit union is not an effectively non</w:t>
      </w:r>
      <w:r w:rsidR="00F00002">
        <w:noBreakHyphen/>
      </w:r>
      <w:r w:rsidRPr="00F00002">
        <w:t>contingent obligation if:</w:t>
      </w:r>
    </w:p>
    <w:p w:rsidR="00BB4501" w:rsidRPr="00F00002" w:rsidRDefault="00BB4501" w:rsidP="00D150ED">
      <w:pPr>
        <w:pStyle w:val="paragraph"/>
      </w:pPr>
      <w:r w:rsidRPr="00F00002">
        <w:tab/>
        <w:t>(a)</w:t>
      </w:r>
      <w:r w:rsidRPr="00F00002">
        <w:tab/>
        <w:t>the share is issued on or after 4</w:t>
      </w:r>
      <w:r w:rsidR="00F00002">
        <w:t> </w:t>
      </w:r>
      <w:r w:rsidRPr="00F00002">
        <w:t>March 2003; and</w:t>
      </w:r>
    </w:p>
    <w:p w:rsidR="00BB4501" w:rsidRPr="00F00002" w:rsidRDefault="00BB4501" w:rsidP="00D150ED">
      <w:pPr>
        <w:pStyle w:val="paragraph"/>
      </w:pPr>
      <w:r w:rsidRPr="00F00002">
        <w:tab/>
        <w:t>(b)</w:t>
      </w:r>
      <w:r w:rsidRPr="00F00002">
        <w:tab/>
        <w:t>the share satisfies, at the time it is issued, the criteria set out in section</w:t>
      </w:r>
      <w:r w:rsidR="00F00002">
        <w:t> </w:t>
      </w:r>
      <w:r w:rsidRPr="00F00002">
        <w:t xml:space="preserve">7 of Guidance Note </w:t>
      </w:r>
      <w:r w:rsidRPr="00F00002">
        <w:rPr>
          <w:i/>
        </w:rPr>
        <w:t>AGN</w:t>
      </w:r>
      <w:r w:rsidR="00672E95" w:rsidRPr="00F00002">
        <w:rPr>
          <w:i/>
        </w:rPr>
        <w:t xml:space="preserve"> </w:t>
      </w:r>
      <w:r w:rsidRPr="00F00002">
        <w:rPr>
          <w:i/>
        </w:rPr>
        <w:t>111.2</w:t>
      </w:r>
      <w:r w:rsidR="00D150ED" w:rsidRPr="00F00002">
        <w:rPr>
          <w:i/>
        </w:rPr>
        <w:t>—</w:t>
      </w:r>
      <w:r w:rsidRPr="00F00002">
        <w:rPr>
          <w:i/>
        </w:rPr>
        <w:t>Tier 2 Capital</w:t>
      </w:r>
      <w:r w:rsidRPr="00F00002">
        <w:t>, published by APRA in September 2000; and</w:t>
      </w:r>
    </w:p>
    <w:p w:rsidR="00BB4501" w:rsidRPr="00F00002" w:rsidRDefault="00BB4501" w:rsidP="00D150ED">
      <w:pPr>
        <w:pStyle w:val="paragraph"/>
      </w:pPr>
      <w:r w:rsidRPr="00F00002">
        <w:tab/>
        <w:t>(c)</w:t>
      </w:r>
      <w:r w:rsidRPr="00F00002">
        <w:tab/>
        <w:t>the share is issued subject to the following terms and conditions:</w:t>
      </w:r>
    </w:p>
    <w:p w:rsidR="00BB4501" w:rsidRPr="00F00002" w:rsidRDefault="00BB4501" w:rsidP="00D150ED">
      <w:pPr>
        <w:pStyle w:val="paragraphsub"/>
      </w:pPr>
      <w:r w:rsidRPr="00F00002">
        <w:tab/>
        <w:t>(i)</w:t>
      </w:r>
      <w:r w:rsidRPr="00F00002">
        <w:tab/>
        <w:t xml:space="preserve">the share has a minimum term of 5 years; </w:t>
      </w:r>
    </w:p>
    <w:p w:rsidR="00BB4501" w:rsidRPr="00F00002" w:rsidRDefault="00BB4501" w:rsidP="00D150ED">
      <w:pPr>
        <w:pStyle w:val="paragraphsub"/>
      </w:pPr>
      <w:r w:rsidRPr="00F00002">
        <w:tab/>
        <w:t>(ii)</w:t>
      </w:r>
      <w:r w:rsidRPr="00F00002">
        <w:tab/>
        <w:t>dividend payments for the share are to be paid only:</w:t>
      </w:r>
    </w:p>
    <w:p w:rsidR="00BB4501" w:rsidRPr="00F00002" w:rsidRDefault="00BB4501" w:rsidP="00D150ED">
      <w:pPr>
        <w:pStyle w:val="paragraphsub-sub"/>
      </w:pPr>
      <w:r w:rsidRPr="00F00002">
        <w:tab/>
        <w:t>(A)</w:t>
      </w:r>
      <w:r w:rsidRPr="00F00002">
        <w:tab/>
        <w:t xml:space="preserve">out of operating profits from the current year or the immediately previous year; and </w:t>
      </w:r>
    </w:p>
    <w:p w:rsidR="00BB4501" w:rsidRPr="00F00002" w:rsidRDefault="00BB4501" w:rsidP="00D150ED">
      <w:pPr>
        <w:pStyle w:val="paragraphsub-sub"/>
      </w:pPr>
      <w:r w:rsidRPr="00F00002">
        <w:tab/>
        <w:t>(B)</w:t>
      </w:r>
      <w:r w:rsidRPr="00F00002">
        <w:tab/>
        <w:t xml:space="preserve">to the extent that payment is permitted by law and by relevant regulatory authorities; </w:t>
      </w:r>
    </w:p>
    <w:p w:rsidR="00BB4501" w:rsidRPr="00F00002" w:rsidRDefault="00BB4501" w:rsidP="00D150ED">
      <w:pPr>
        <w:pStyle w:val="paragraphsub"/>
      </w:pPr>
      <w:r w:rsidRPr="00F00002">
        <w:tab/>
        <w:t>(iii)</w:t>
      </w:r>
      <w:r w:rsidRPr="00F00002">
        <w:tab/>
        <w:t xml:space="preserve">dividend payments for the share are not cumulative; </w:t>
      </w:r>
    </w:p>
    <w:p w:rsidR="00BB4501" w:rsidRPr="00F00002" w:rsidRDefault="00BB4501" w:rsidP="00D150ED">
      <w:pPr>
        <w:pStyle w:val="paragraphsub"/>
      </w:pPr>
      <w:r w:rsidRPr="00F00002">
        <w:tab/>
        <w:t>(iv)</w:t>
      </w:r>
      <w:r w:rsidRPr="00F00002">
        <w:tab/>
        <w:t xml:space="preserve">any payments made in relation to the share out of net profits or net assets have preferential rights over payments made in relation to ordinary shares (if any) from the same sources; </w:t>
      </w:r>
    </w:p>
    <w:p w:rsidR="00BB4501" w:rsidRPr="00F00002" w:rsidRDefault="00BB4501" w:rsidP="00D150ED">
      <w:pPr>
        <w:pStyle w:val="paragraphsub"/>
      </w:pPr>
      <w:r w:rsidRPr="00F00002">
        <w:tab/>
        <w:t>(v)</w:t>
      </w:r>
      <w:r w:rsidRPr="00F00002">
        <w:tab/>
        <w:t>if the share is to be redeemed</w:t>
      </w:r>
      <w:r w:rsidR="00D150ED" w:rsidRPr="00F00002">
        <w:t>—</w:t>
      </w:r>
      <w:r w:rsidRPr="00F00002">
        <w:t xml:space="preserve">the redemption cannot be carried out without the approval of the board of the credit union; </w:t>
      </w:r>
    </w:p>
    <w:p w:rsidR="00BB4501" w:rsidRPr="00F00002" w:rsidRDefault="00BB4501" w:rsidP="00D150ED">
      <w:pPr>
        <w:pStyle w:val="paragraphsub"/>
      </w:pPr>
      <w:r w:rsidRPr="00F00002">
        <w:tab/>
        <w:t>(vi)</w:t>
      </w:r>
      <w:r w:rsidRPr="00F00002">
        <w:tab/>
        <w:t xml:space="preserve">if the share is to be redeemed, but the redemption of the share would place the credit union in breach of a prudential standard made under the </w:t>
      </w:r>
      <w:r w:rsidRPr="00F00002">
        <w:rPr>
          <w:i/>
        </w:rPr>
        <w:t>Banking Act 1959</w:t>
      </w:r>
      <w:r w:rsidR="00D150ED" w:rsidRPr="00F00002">
        <w:t>—</w:t>
      </w:r>
      <w:r w:rsidRPr="00F00002">
        <w:t>the redemption cannot be carried out without the approval of APRA; and</w:t>
      </w:r>
    </w:p>
    <w:p w:rsidR="00BB4501" w:rsidRPr="00F00002" w:rsidRDefault="00BB4501" w:rsidP="00D150ED">
      <w:pPr>
        <w:pStyle w:val="paragraph"/>
      </w:pPr>
      <w:r w:rsidRPr="00F00002">
        <w:tab/>
        <w:t>(d)</w:t>
      </w:r>
      <w:r w:rsidRPr="00F00002">
        <w:tab/>
        <w:t>the redemption is carried out on or after 4</w:t>
      </w:r>
      <w:r w:rsidR="00F00002">
        <w:t> </w:t>
      </w:r>
      <w:r w:rsidRPr="00F00002">
        <w:t>March 2003; and</w:t>
      </w:r>
    </w:p>
    <w:p w:rsidR="00BB4501" w:rsidRPr="00F00002" w:rsidRDefault="00BB4501" w:rsidP="00D150ED">
      <w:pPr>
        <w:pStyle w:val="paragraph"/>
      </w:pPr>
      <w:r w:rsidRPr="00F00002">
        <w:tab/>
        <w:t>(e)</w:t>
      </w:r>
      <w:r w:rsidRPr="00F00002">
        <w:tab/>
        <w:t>the share is issued only to a member of the credit union; and</w:t>
      </w:r>
    </w:p>
    <w:p w:rsidR="00BB4501" w:rsidRPr="00F00002" w:rsidRDefault="00BB4501" w:rsidP="00D150ED">
      <w:pPr>
        <w:pStyle w:val="paragraph"/>
      </w:pPr>
      <w:r w:rsidRPr="00F00002">
        <w:tab/>
        <w:t>(f)</w:t>
      </w:r>
      <w:r w:rsidRPr="00F00002">
        <w:tab/>
        <w:t>a member of the credit union and its connected entities (within the meaning of subsection</w:t>
      </w:r>
      <w:r w:rsidR="00F00002">
        <w:t> </w:t>
      </w:r>
      <w:r w:rsidRPr="00F00002">
        <w:t>995</w:t>
      </w:r>
      <w:r w:rsidR="00F00002">
        <w:noBreakHyphen/>
      </w:r>
      <w:r w:rsidRPr="00F00002">
        <w:t>1(1) of the Act) can together hold not more than 10% by value of the shares of that kind issued by the credit union.</w:t>
      </w:r>
    </w:p>
    <w:p w:rsidR="00BB4501" w:rsidRPr="00F00002" w:rsidRDefault="00BB4501" w:rsidP="00D150ED">
      <w:pPr>
        <w:pStyle w:val="ActHead5"/>
      </w:pPr>
      <w:bookmarkStart w:id="183" w:name="_Toc31109756"/>
      <w:r w:rsidRPr="00A26088">
        <w:rPr>
          <w:rStyle w:val="CharSectno"/>
        </w:rPr>
        <w:t>974</w:t>
      </w:r>
      <w:r w:rsidR="00F00002" w:rsidRPr="00A26088">
        <w:rPr>
          <w:rStyle w:val="CharSectno"/>
        </w:rPr>
        <w:noBreakHyphen/>
      </w:r>
      <w:r w:rsidRPr="00A26088">
        <w:rPr>
          <w:rStyle w:val="CharSectno"/>
        </w:rPr>
        <w:t>135B</w:t>
      </w:r>
      <w:r w:rsidR="00D150ED" w:rsidRPr="00F00002">
        <w:t xml:space="preserve">  </w:t>
      </w:r>
      <w:r w:rsidRPr="00F00002">
        <w:t>Non</w:t>
      </w:r>
      <w:r w:rsidR="00F00002">
        <w:noBreakHyphen/>
      </w:r>
      <w:r w:rsidRPr="00F00002">
        <w:t>cumulative redeemable preference shares issued by mutual building society</w:t>
      </w:r>
      <w:bookmarkEnd w:id="183"/>
    </w:p>
    <w:p w:rsidR="00BB4501" w:rsidRPr="00F00002" w:rsidRDefault="00BB4501" w:rsidP="00D150ED">
      <w:pPr>
        <w:pStyle w:val="subsection"/>
      </w:pPr>
      <w:r w:rsidRPr="00F00002">
        <w:tab/>
      </w:r>
      <w:r w:rsidRPr="00F00002">
        <w:tab/>
        <w:t>For paragraph</w:t>
      </w:r>
      <w:r w:rsidR="00F00002">
        <w:t> </w:t>
      </w:r>
      <w:r w:rsidRPr="00F00002">
        <w:t>974</w:t>
      </w:r>
      <w:r w:rsidR="00F00002">
        <w:noBreakHyphen/>
      </w:r>
      <w:r w:rsidRPr="00F00002">
        <w:t>135(8</w:t>
      </w:r>
      <w:r w:rsidR="00D150ED" w:rsidRPr="00F00002">
        <w:t>)(</w:t>
      </w:r>
      <w:r w:rsidRPr="00F00002">
        <w:t>d) of the Act, the obligation in respect of the return of investment on the redemption of a non</w:t>
      </w:r>
      <w:r w:rsidR="00F00002">
        <w:noBreakHyphen/>
      </w:r>
      <w:r w:rsidRPr="00F00002">
        <w:t xml:space="preserve">cumulative redeemable preference share </w:t>
      </w:r>
      <w:r w:rsidRPr="00F00002">
        <w:lastRenderedPageBreak/>
        <w:t>issued by a mutual building society is not an effectively non</w:t>
      </w:r>
      <w:r w:rsidR="00F00002">
        <w:noBreakHyphen/>
      </w:r>
      <w:r w:rsidRPr="00F00002">
        <w:t>contingent obligation if:</w:t>
      </w:r>
    </w:p>
    <w:p w:rsidR="00BB4501" w:rsidRPr="00F00002" w:rsidRDefault="00BB4501" w:rsidP="00D150ED">
      <w:pPr>
        <w:pStyle w:val="paragraph"/>
      </w:pPr>
      <w:r w:rsidRPr="00F00002">
        <w:tab/>
        <w:t>(a)</w:t>
      </w:r>
      <w:r w:rsidRPr="00F00002">
        <w:tab/>
        <w:t xml:space="preserve">the mutual building society is an ADI; and </w:t>
      </w:r>
    </w:p>
    <w:p w:rsidR="00BB4501" w:rsidRPr="00F00002" w:rsidRDefault="00BB4501" w:rsidP="00D150ED">
      <w:pPr>
        <w:pStyle w:val="paragraph"/>
      </w:pPr>
      <w:r w:rsidRPr="00F00002">
        <w:tab/>
        <w:t>(b)</w:t>
      </w:r>
      <w:r w:rsidRPr="00F00002">
        <w:tab/>
        <w:t>the share is issued on or after 4</w:t>
      </w:r>
      <w:r w:rsidR="00F00002">
        <w:t> </w:t>
      </w:r>
      <w:r w:rsidRPr="00F00002">
        <w:t>March 2003; and</w:t>
      </w:r>
    </w:p>
    <w:p w:rsidR="00BB4501" w:rsidRPr="00F00002" w:rsidRDefault="00BB4501" w:rsidP="00D150ED">
      <w:pPr>
        <w:pStyle w:val="paragraph"/>
      </w:pPr>
      <w:r w:rsidRPr="00F00002">
        <w:tab/>
        <w:t>(c)</w:t>
      </w:r>
      <w:r w:rsidRPr="00F00002">
        <w:tab/>
        <w:t>the share satisfies, at the time it is issued, the criteria set out in section</w:t>
      </w:r>
      <w:r w:rsidR="00F00002">
        <w:t> </w:t>
      </w:r>
      <w:r w:rsidRPr="00F00002">
        <w:t xml:space="preserve">7 of Guidance Note </w:t>
      </w:r>
      <w:r w:rsidRPr="00F00002">
        <w:rPr>
          <w:i/>
        </w:rPr>
        <w:t>AGN</w:t>
      </w:r>
      <w:r w:rsidR="00672E95" w:rsidRPr="00F00002">
        <w:rPr>
          <w:i/>
        </w:rPr>
        <w:t xml:space="preserve"> </w:t>
      </w:r>
      <w:r w:rsidRPr="00F00002">
        <w:rPr>
          <w:i/>
        </w:rPr>
        <w:t>111.2</w:t>
      </w:r>
      <w:r w:rsidR="00D150ED" w:rsidRPr="00F00002">
        <w:rPr>
          <w:i/>
        </w:rPr>
        <w:t>—</w:t>
      </w:r>
      <w:r w:rsidRPr="00F00002">
        <w:rPr>
          <w:i/>
        </w:rPr>
        <w:t>Tier 2 Capital</w:t>
      </w:r>
      <w:r w:rsidRPr="00F00002">
        <w:t>, published by APRA in September 2000; and</w:t>
      </w:r>
    </w:p>
    <w:p w:rsidR="00BB4501" w:rsidRPr="00F00002" w:rsidRDefault="00BB4501" w:rsidP="00D150ED">
      <w:pPr>
        <w:pStyle w:val="paragraph"/>
      </w:pPr>
      <w:r w:rsidRPr="00F00002">
        <w:tab/>
        <w:t>(d)</w:t>
      </w:r>
      <w:r w:rsidRPr="00F00002">
        <w:tab/>
        <w:t>the share is issued subject to the following terms and conditions:</w:t>
      </w:r>
    </w:p>
    <w:p w:rsidR="00BB4501" w:rsidRPr="00F00002" w:rsidRDefault="00BB4501" w:rsidP="00D150ED">
      <w:pPr>
        <w:pStyle w:val="paragraphsub"/>
      </w:pPr>
      <w:r w:rsidRPr="00F00002">
        <w:tab/>
        <w:t>(i)</w:t>
      </w:r>
      <w:r w:rsidRPr="00F00002">
        <w:tab/>
        <w:t xml:space="preserve">the share has a minimum term of 5 years; </w:t>
      </w:r>
    </w:p>
    <w:p w:rsidR="00BB4501" w:rsidRPr="00F00002" w:rsidRDefault="00BB4501" w:rsidP="00D150ED">
      <w:pPr>
        <w:pStyle w:val="paragraphsub"/>
      </w:pPr>
      <w:r w:rsidRPr="00F00002">
        <w:tab/>
        <w:t>(ii)</w:t>
      </w:r>
      <w:r w:rsidRPr="00F00002">
        <w:tab/>
        <w:t>dividend payments for the share are to be paid only:</w:t>
      </w:r>
    </w:p>
    <w:p w:rsidR="00BB4501" w:rsidRPr="00F00002" w:rsidRDefault="00BB4501" w:rsidP="00D150ED">
      <w:pPr>
        <w:pStyle w:val="paragraphsub-sub"/>
      </w:pPr>
      <w:r w:rsidRPr="00F00002">
        <w:tab/>
        <w:t>(A)</w:t>
      </w:r>
      <w:r w:rsidRPr="00F00002">
        <w:tab/>
        <w:t xml:space="preserve">out of operating profits from the current year or the immediately previous year; and </w:t>
      </w:r>
    </w:p>
    <w:p w:rsidR="00BB4501" w:rsidRPr="00F00002" w:rsidRDefault="00BB4501" w:rsidP="00D150ED">
      <w:pPr>
        <w:pStyle w:val="paragraphsub-sub"/>
      </w:pPr>
      <w:r w:rsidRPr="00F00002">
        <w:tab/>
        <w:t>(B)</w:t>
      </w:r>
      <w:r w:rsidRPr="00F00002">
        <w:tab/>
        <w:t xml:space="preserve">to the extent that payment is permitted by law and by relevant regulatory authorities; </w:t>
      </w:r>
    </w:p>
    <w:p w:rsidR="00BB4501" w:rsidRPr="00F00002" w:rsidRDefault="00BB4501" w:rsidP="00D150ED">
      <w:pPr>
        <w:pStyle w:val="paragraphsub"/>
      </w:pPr>
      <w:r w:rsidRPr="00F00002">
        <w:tab/>
        <w:t>(iii)</w:t>
      </w:r>
      <w:r w:rsidRPr="00F00002">
        <w:tab/>
        <w:t xml:space="preserve">dividend payments for the share are not cumulative; </w:t>
      </w:r>
    </w:p>
    <w:p w:rsidR="00BB4501" w:rsidRPr="00F00002" w:rsidRDefault="00BB4501" w:rsidP="00D150ED">
      <w:pPr>
        <w:pStyle w:val="paragraphsub"/>
      </w:pPr>
      <w:r w:rsidRPr="00F00002">
        <w:tab/>
        <w:t>(iv)</w:t>
      </w:r>
      <w:r w:rsidRPr="00F00002">
        <w:tab/>
        <w:t xml:space="preserve">any payments made in relation to the share out of net profits or net assets have preferential rights over payments made in relation to ordinary shares (if any) from the same sources; </w:t>
      </w:r>
    </w:p>
    <w:p w:rsidR="00BB4501" w:rsidRPr="00F00002" w:rsidRDefault="00BB4501" w:rsidP="00D150ED">
      <w:pPr>
        <w:pStyle w:val="paragraphsub"/>
      </w:pPr>
      <w:r w:rsidRPr="00F00002">
        <w:tab/>
        <w:t>(v)</w:t>
      </w:r>
      <w:r w:rsidRPr="00F00002">
        <w:tab/>
        <w:t>if the share is to be redeemed</w:t>
      </w:r>
      <w:r w:rsidR="00D150ED" w:rsidRPr="00F00002">
        <w:t>—</w:t>
      </w:r>
      <w:r w:rsidRPr="00F00002">
        <w:t xml:space="preserve">the redemption cannot be carried out without the approval of the board of the mutual building society; </w:t>
      </w:r>
    </w:p>
    <w:p w:rsidR="00BB4501" w:rsidRPr="00F00002" w:rsidRDefault="00BB4501" w:rsidP="00D150ED">
      <w:pPr>
        <w:pStyle w:val="paragraphsub"/>
      </w:pPr>
      <w:r w:rsidRPr="00F00002">
        <w:tab/>
        <w:t>(vi)</w:t>
      </w:r>
      <w:r w:rsidRPr="00F00002">
        <w:tab/>
        <w:t xml:space="preserve">if the share is to be redeemed, but the redemption of the share would place the mutual building society in breach of a prudential standard made under the </w:t>
      </w:r>
      <w:r w:rsidRPr="00F00002">
        <w:rPr>
          <w:i/>
        </w:rPr>
        <w:t>Banking Act 1959</w:t>
      </w:r>
      <w:r w:rsidR="00D150ED" w:rsidRPr="00F00002">
        <w:t>—</w:t>
      </w:r>
      <w:r w:rsidRPr="00F00002">
        <w:t>the redemption cannot be carried out without the approval of APRA; and</w:t>
      </w:r>
    </w:p>
    <w:p w:rsidR="00BB4501" w:rsidRPr="00F00002" w:rsidRDefault="00BB4501" w:rsidP="00D150ED">
      <w:pPr>
        <w:pStyle w:val="paragraph"/>
      </w:pPr>
      <w:r w:rsidRPr="00F00002">
        <w:tab/>
        <w:t>(e)</w:t>
      </w:r>
      <w:r w:rsidRPr="00F00002">
        <w:tab/>
        <w:t>the redemption is carried out on or after 4</w:t>
      </w:r>
      <w:r w:rsidR="00F00002">
        <w:t> </w:t>
      </w:r>
      <w:r w:rsidRPr="00F00002">
        <w:t>March 2003; and</w:t>
      </w:r>
    </w:p>
    <w:p w:rsidR="00BB4501" w:rsidRPr="00F00002" w:rsidRDefault="00BB4501" w:rsidP="00D150ED">
      <w:pPr>
        <w:pStyle w:val="paragraph"/>
      </w:pPr>
      <w:r w:rsidRPr="00F00002">
        <w:tab/>
        <w:t>(f)</w:t>
      </w:r>
      <w:r w:rsidRPr="00F00002">
        <w:tab/>
        <w:t>the share is issued only to a member of the mutual building society; and</w:t>
      </w:r>
    </w:p>
    <w:p w:rsidR="00BB4501" w:rsidRPr="00F00002" w:rsidRDefault="00BB4501" w:rsidP="00D150ED">
      <w:pPr>
        <w:pStyle w:val="paragraph"/>
      </w:pPr>
      <w:r w:rsidRPr="00F00002">
        <w:tab/>
        <w:t>(g)</w:t>
      </w:r>
      <w:r w:rsidRPr="00F00002">
        <w:tab/>
        <w:t>a member of the mutual building society and its connected entities (within the meaning of subsection</w:t>
      </w:r>
      <w:r w:rsidR="00F00002">
        <w:t> </w:t>
      </w:r>
      <w:r w:rsidRPr="00F00002">
        <w:t>995</w:t>
      </w:r>
      <w:r w:rsidR="00F00002">
        <w:noBreakHyphen/>
      </w:r>
      <w:r w:rsidRPr="00F00002">
        <w:t>1(1) of the Act) can together hold not more than 10% by value of the shares of that kind issued by the mutual building society.</w:t>
      </w:r>
    </w:p>
    <w:p w:rsidR="00BB4501" w:rsidRPr="00F00002" w:rsidRDefault="00BB4501" w:rsidP="00D150ED">
      <w:pPr>
        <w:pStyle w:val="ActHead5"/>
      </w:pPr>
      <w:bookmarkStart w:id="184" w:name="_Toc31109757"/>
      <w:r w:rsidRPr="00A26088">
        <w:rPr>
          <w:rStyle w:val="CharSectno"/>
        </w:rPr>
        <w:t>974</w:t>
      </w:r>
      <w:r w:rsidR="00F00002" w:rsidRPr="00A26088">
        <w:rPr>
          <w:rStyle w:val="CharSectno"/>
        </w:rPr>
        <w:noBreakHyphen/>
      </w:r>
      <w:r w:rsidRPr="00A26088">
        <w:rPr>
          <w:rStyle w:val="CharSectno"/>
        </w:rPr>
        <w:t>135C</w:t>
      </w:r>
      <w:r w:rsidR="00D150ED" w:rsidRPr="00F00002">
        <w:t xml:space="preserve">  </w:t>
      </w:r>
      <w:r w:rsidRPr="00F00002">
        <w:t>Redeemable preference shares</w:t>
      </w:r>
      <w:bookmarkEnd w:id="184"/>
      <w:r w:rsidRPr="00F00002">
        <w:t xml:space="preserve"> </w:t>
      </w:r>
    </w:p>
    <w:p w:rsidR="00BB4501" w:rsidRPr="00F00002" w:rsidRDefault="00BB4501" w:rsidP="00D150ED">
      <w:pPr>
        <w:pStyle w:val="subsection"/>
      </w:pPr>
      <w:r w:rsidRPr="00F00002">
        <w:tab/>
      </w:r>
      <w:r w:rsidRPr="00F00002">
        <w:tab/>
        <w:t>For paragraph</w:t>
      </w:r>
      <w:r w:rsidR="00F00002">
        <w:t> </w:t>
      </w:r>
      <w:r w:rsidRPr="00F00002">
        <w:t>974</w:t>
      </w:r>
      <w:r w:rsidR="00F00002">
        <w:noBreakHyphen/>
      </w:r>
      <w:r w:rsidRPr="00F00002">
        <w:t>135(8</w:t>
      </w:r>
      <w:r w:rsidR="00D150ED" w:rsidRPr="00F00002">
        <w:t>)(</w:t>
      </w:r>
      <w:r w:rsidRPr="00F00002">
        <w:t>a) of the Act, an obligation to redeem or buy back a preference share in relation to a company is not a contingent obligation merely because a requirement exists, under a law, to the effect that:</w:t>
      </w:r>
    </w:p>
    <w:p w:rsidR="00BB4501" w:rsidRPr="00F00002" w:rsidRDefault="00BB4501" w:rsidP="00D150ED">
      <w:pPr>
        <w:pStyle w:val="paragraph"/>
      </w:pPr>
      <w:r w:rsidRPr="00F00002">
        <w:tab/>
        <w:t>(a)</w:t>
      </w:r>
      <w:r w:rsidRPr="00F00002">
        <w:tab/>
        <w:t>the redemption or buy back must not prejudice the company’s ability to pay its creditors; or</w:t>
      </w:r>
    </w:p>
    <w:p w:rsidR="00BB4501" w:rsidRPr="00F00002" w:rsidRDefault="00BB4501" w:rsidP="00D150ED">
      <w:pPr>
        <w:pStyle w:val="paragraph"/>
      </w:pPr>
      <w:r w:rsidRPr="00F00002">
        <w:tab/>
        <w:t>(b)</w:t>
      </w:r>
      <w:r w:rsidRPr="00F00002">
        <w:tab/>
        <w:t>the redemption or buy back must not cause the company’s remaining assets to become insufficient to pay any of the company’s debts for which provision for payment has not otherwise been made.</w:t>
      </w:r>
    </w:p>
    <w:p w:rsidR="001B0BCC" w:rsidRPr="00F00002" w:rsidRDefault="001B0BCC" w:rsidP="00D150ED">
      <w:pPr>
        <w:pStyle w:val="ActHead5"/>
      </w:pPr>
      <w:bookmarkStart w:id="185" w:name="_Toc31109758"/>
      <w:r w:rsidRPr="00A26088">
        <w:rPr>
          <w:rStyle w:val="CharSectno"/>
        </w:rPr>
        <w:lastRenderedPageBreak/>
        <w:t>974</w:t>
      </w:r>
      <w:r w:rsidR="00F00002" w:rsidRPr="00A26088">
        <w:rPr>
          <w:rStyle w:val="CharSectno"/>
        </w:rPr>
        <w:noBreakHyphen/>
      </w:r>
      <w:r w:rsidRPr="00A26088">
        <w:rPr>
          <w:rStyle w:val="CharSectno"/>
        </w:rPr>
        <w:t>135D</w:t>
      </w:r>
      <w:r w:rsidR="00D150ED" w:rsidRPr="00F00002">
        <w:t xml:space="preserve">  </w:t>
      </w:r>
      <w:r w:rsidRPr="00F00002">
        <w:t>Term cumulative subordinated note with insolvency or capital adequacy conditions</w:t>
      </w:r>
      <w:bookmarkEnd w:id="185"/>
    </w:p>
    <w:p w:rsidR="00EC126E" w:rsidRPr="00F00002" w:rsidRDefault="00EC126E" w:rsidP="00D150ED">
      <w:pPr>
        <w:pStyle w:val="subsection"/>
      </w:pPr>
      <w:r w:rsidRPr="00F00002">
        <w:tab/>
        <w:t>(1)</w:t>
      </w:r>
      <w:r w:rsidRPr="00F00002">
        <w:tab/>
        <w:t>This regulation applies to an obligation to pay the principal or interest on a relevant term subordinated note at a particular time on or after 1</w:t>
      </w:r>
      <w:r w:rsidR="00F00002">
        <w:t> </w:t>
      </w:r>
      <w:r w:rsidRPr="00F00002">
        <w:t>July 2001.</w:t>
      </w:r>
    </w:p>
    <w:p w:rsidR="00EC126E" w:rsidRPr="00F00002" w:rsidRDefault="00EC126E" w:rsidP="00D150ED">
      <w:pPr>
        <w:pStyle w:val="subsection"/>
      </w:pPr>
      <w:r w:rsidRPr="00F00002">
        <w:tab/>
        <w:t>(2)</w:t>
      </w:r>
      <w:r w:rsidRPr="00F00002">
        <w:tab/>
        <w:t>For paragraphs 974</w:t>
      </w:r>
      <w:r w:rsidR="00F00002">
        <w:noBreakHyphen/>
      </w:r>
      <w:r w:rsidRPr="00F00002">
        <w:t>13</w:t>
      </w:r>
      <w:r w:rsidR="00D150ED" w:rsidRPr="00F00002">
        <w:t>5(</w:t>
      </w:r>
      <w:r w:rsidRPr="00F00002">
        <w:t>8</w:t>
      </w:r>
      <w:r w:rsidR="00D150ED" w:rsidRPr="00F00002">
        <w:t>)(</w:t>
      </w:r>
      <w:r w:rsidRPr="00F00002">
        <w:t>a) and (b) of the Act, the fact that the obligation is subject to insolvency or capital adequacy conditions does not in itself prevent it from being a non</w:t>
      </w:r>
      <w:r w:rsidR="00F00002">
        <w:noBreakHyphen/>
      </w:r>
      <w:r w:rsidRPr="00F00002">
        <w:t>contingent obligation.</w:t>
      </w:r>
    </w:p>
    <w:p w:rsidR="00EC126E" w:rsidRPr="00F00002" w:rsidRDefault="00EC126E" w:rsidP="00D150ED">
      <w:pPr>
        <w:pStyle w:val="subsection"/>
      </w:pPr>
      <w:r w:rsidRPr="00F00002">
        <w:tab/>
        <w:t>(3)</w:t>
      </w:r>
      <w:r w:rsidRPr="00F00002">
        <w:tab/>
      </w:r>
      <w:r w:rsidR="003B5D16" w:rsidRPr="00F00002">
        <w:rPr>
          <w:color w:val="000000"/>
        </w:rPr>
        <w:t>In</w:t>
      </w:r>
      <w:r w:rsidR="003B5D16" w:rsidRPr="00F00002">
        <w:t xml:space="preserve"> </w:t>
      </w:r>
      <w:r w:rsidRPr="00F00002">
        <w:t xml:space="preserve">this regulation, a term subordinated note is </w:t>
      </w:r>
      <w:r w:rsidRPr="00F00002">
        <w:rPr>
          <w:b/>
          <w:i/>
        </w:rPr>
        <w:t>relevant</w:t>
      </w:r>
      <w:r w:rsidRPr="00F00002">
        <w:t xml:space="preserve"> if:</w:t>
      </w:r>
    </w:p>
    <w:p w:rsidR="00EC126E" w:rsidRPr="00F00002" w:rsidRDefault="00EC126E" w:rsidP="00D150ED">
      <w:pPr>
        <w:pStyle w:val="paragraph"/>
      </w:pPr>
      <w:r w:rsidRPr="00F00002">
        <w:tab/>
        <w:t>(a)</w:t>
      </w:r>
      <w:r w:rsidRPr="00F00002">
        <w:tab/>
        <w:t>at the time of its issue:</w:t>
      </w:r>
    </w:p>
    <w:p w:rsidR="00EC126E" w:rsidRPr="00F00002" w:rsidRDefault="00EC126E" w:rsidP="00D150ED">
      <w:pPr>
        <w:pStyle w:val="paragraphsub"/>
      </w:pPr>
      <w:r w:rsidRPr="00F00002">
        <w:tab/>
        <w:t>(i)</w:t>
      </w:r>
      <w:r w:rsidRPr="00F00002">
        <w:tab/>
        <w:t>it does not constitute or meet the requirements of a Tier 1 capital instrument; and</w:t>
      </w:r>
    </w:p>
    <w:p w:rsidR="00EC126E" w:rsidRPr="00F00002" w:rsidRDefault="00EC126E" w:rsidP="00D150ED">
      <w:pPr>
        <w:pStyle w:val="paragraphsub"/>
      </w:pPr>
      <w:r w:rsidRPr="00F00002">
        <w:tab/>
        <w:t>(ii)</w:t>
      </w:r>
      <w:r w:rsidRPr="00F00002">
        <w:tab/>
        <w:t>it does not form part of the Tier 1 capital of the issuer of the note, or a connected entity, and the reason for it not doing so is not that the instrument is in excess of the Tier 1 capital required for the purposes of prudential standards that deal with capital adequacy; and</w:t>
      </w:r>
    </w:p>
    <w:p w:rsidR="00EC126E" w:rsidRPr="00F00002" w:rsidRDefault="00EC126E" w:rsidP="00D150ED">
      <w:pPr>
        <w:pStyle w:val="paragraph"/>
      </w:pPr>
      <w:r w:rsidRPr="00F00002">
        <w:tab/>
        <w:t>(b)</w:t>
      </w:r>
      <w:r w:rsidRPr="00F00002">
        <w:tab/>
        <w:t>it has a term of not more than 30 years; and</w:t>
      </w:r>
    </w:p>
    <w:p w:rsidR="00EC126E" w:rsidRPr="00F00002" w:rsidRDefault="00EC126E" w:rsidP="00D150ED">
      <w:pPr>
        <w:pStyle w:val="paragraph"/>
      </w:pPr>
      <w:r w:rsidRPr="00F00002">
        <w:tab/>
        <w:t>(c)</w:t>
      </w:r>
      <w:r w:rsidRPr="00F00002">
        <w:tab/>
        <w:t>it does not include an unconditional right to extend the term of the note beyond a total term of 30 years; and</w:t>
      </w:r>
    </w:p>
    <w:p w:rsidR="00EC126E" w:rsidRPr="00F00002" w:rsidRDefault="00EC126E" w:rsidP="00D150ED">
      <w:pPr>
        <w:pStyle w:val="paragraph"/>
      </w:pPr>
      <w:r w:rsidRPr="00F00002">
        <w:tab/>
        <w:t>(d)</w:t>
      </w:r>
      <w:r w:rsidRPr="00F00002">
        <w:tab/>
        <w:t>it is subject to a condition that any payment of the principal or interest beyond the date on which it would otherwise be payable must accumulate (with or without compounding); and</w:t>
      </w:r>
    </w:p>
    <w:p w:rsidR="00EC126E" w:rsidRPr="00F00002" w:rsidRDefault="00EC126E" w:rsidP="00D150ED">
      <w:pPr>
        <w:pStyle w:val="paragraph"/>
      </w:pPr>
      <w:r w:rsidRPr="00F00002">
        <w:tab/>
        <w:t>(e)</w:t>
      </w:r>
      <w:r w:rsidRPr="00F00002">
        <w:tab/>
        <w:t>it does not give the issuer of the note an unconditional right to decline to provide a financial benefit that is equal in nominal value to the issue price of the note to settle the obligations under the note.</w:t>
      </w:r>
    </w:p>
    <w:p w:rsidR="00EC126E" w:rsidRPr="00F00002" w:rsidRDefault="00EC126E" w:rsidP="00D150ED">
      <w:pPr>
        <w:pStyle w:val="subsection"/>
      </w:pPr>
      <w:r w:rsidRPr="00F00002">
        <w:tab/>
        <w:t>(4)</w:t>
      </w:r>
      <w:r w:rsidRPr="00F00002">
        <w:tab/>
      </w:r>
      <w:r w:rsidR="003B5D16" w:rsidRPr="00F00002">
        <w:rPr>
          <w:color w:val="000000"/>
        </w:rPr>
        <w:t>In</w:t>
      </w:r>
      <w:r w:rsidR="003B5D16" w:rsidRPr="00F00002">
        <w:t xml:space="preserve"> </w:t>
      </w:r>
      <w:r w:rsidRPr="00F00002">
        <w:t xml:space="preserve">this regulation, conditions applying to the obligation are </w:t>
      </w:r>
      <w:r w:rsidRPr="00F00002">
        <w:rPr>
          <w:b/>
          <w:i/>
        </w:rPr>
        <w:t>insolvency or capital adequacy conditions</w:t>
      </w:r>
      <w:r w:rsidRPr="00F00002">
        <w:t xml:space="preserve"> if they have the effect that the issuer of the note is obliged or able to defer the payment of the principal or interest beyond the date on which it would otherwise be payable if, on that date:</w:t>
      </w:r>
    </w:p>
    <w:p w:rsidR="00EC126E" w:rsidRPr="00F00002" w:rsidRDefault="00EC126E" w:rsidP="00D150ED">
      <w:pPr>
        <w:pStyle w:val="paragraph"/>
      </w:pPr>
      <w:r w:rsidRPr="00F00002">
        <w:tab/>
        <w:t>(a)</w:t>
      </w:r>
      <w:r w:rsidRPr="00F00002">
        <w:tab/>
        <w:t>the issuer of the note is insolvent, or would become insolvent if the payment were made; or</w:t>
      </w:r>
    </w:p>
    <w:p w:rsidR="00EC126E" w:rsidRPr="00F00002" w:rsidRDefault="00EC126E" w:rsidP="00D150ED">
      <w:pPr>
        <w:pStyle w:val="paragraph"/>
      </w:pPr>
      <w:r w:rsidRPr="00F00002">
        <w:tab/>
        <w:t>(b)</w:t>
      </w:r>
      <w:r w:rsidRPr="00F00002">
        <w:tab/>
        <w:t>if the issuer of the note is an entity that is regulated by the APRA or a comparable foreign regulator</w:t>
      </w:r>
      <w:r w:rsidR="00D150ED" w:rsidRPr="00F00002">
        <w:t>—</w:t>
      </w:r>
      <w:r w:rsidRPr="00F00002">
        <w:t>the issuer is in breach of its capital adequacy ratio or would be in breach if the payment were made.</w:t>
      </w:r>
    </w:p>
    <w:p w:rsidR="00EC126E" w:rsidRPr="00F00002" w:rsidRDefault="003B5D16" w:rsidP="00D150ED">
      <w:pPr>
        <w:pStyle w:val="subsection"/>
      </w:pPr>
      <w:r w:rsidRPr="00F00002">
        <w:tab/>
        <w:t>(5)</w:t>
      </w:r>
      <w:r w:rsidRPr="00F00002">
        <w:tab/>
        <w:t xml:space="preserve">If </w:t>
      </w:r>
      <w:r w:rsidR="00EC126E" w:rsidRPr="00F00002">
        <w:t>the obligation is an obligation to pay at a time before 15</w:t>
      </w:r>
      <w:r w:rsidR="00F00002">
        <w:t> </w:t>
      </w:r>
      <w:r w:rsidR="00EC126E" w:rsidRPr="00F00002">
        <w:t>April</w:t>
      </w:r>
      <w:r w:rsidR="00672E95" w:rsidRPr="00F00002">
        <w:t xml:space="preserve"> </w:t>
      </w:r>
      <w:r w:rsidR="00EC126E" w:rsidRPr="00F00002">
        <w:t>2010, this regulation applies only to the extent that applying it would not have the result that:</w:t>
      </w:r>
    </w:p>
    <w:p w:rsidR="00EC126E" w:rsidRPr="00F00002" w:rsidRDefault="00EC126E" w:rsidP="00D150ED">
      <w:pPr>
        <w:pStyle w:val="paragraph"/>
      </w:pPr>
      <w:r w:rsidRPr="00F00002">
        <w:tab/>
        <w:t>(a)</w:t>
      </w:r>
      <w:r w:rsidRPr="00F00002">
        <w:tab/>
        <w:t>the rights of a person (other than the Commonwealth or an authority of the Commonwealth) immediately before 15</w:t>
      </w:r>
      <w:r w:rsidR="00F00002">
        <w:t> </w:t>
      </w:r>
      <w:r w:rsidRPr="00F00002">
        <w:t>April 2010 would be affected so as to disadvantage the person; or</w:t>
      </w:r>
    </w:p>
    <w:p w:rsidR="00EC126E" w:rsidRPr="00F00002" w:rsidRDefault="00EC126E" w:rsidP="00D150ED">
      <w:pPr>
        <w:pStyle w:val="paragraph"/>
      </w:pPr>
      <w:r w:rsidRPr="00F00002">
        <w:lastRenderedPageBreak/>
        <w:tab/>
        <w:t>(b)</w:t>
      </w:r>
      <w:r w:rsidRPr="00F00002">
        <w:tab/>
        <w:t>liabilities would be imposed on a person (other than the Commonwealth or an authority of the Commonwealth), for anything done or omitted to be done before 15</w:t>
      </w:r>
      <w:r w:rsidR="00F00002">
        <w:t> </w:t>
      </w:r>
      <w:r w:rsidRPr="00F00002">
        <w:t>April</w:t>
      </w:r>
      <w:r w:rsidR="00672E95" w:rsidRPr="00F00002">
        <w:t xml:space="preserve"> </w:t>
      </w:r>
      <w:r w:rsidRPr="00F00002">
        <w:t>2010.</w:t>
      </w:r>
    </w:p>
    <w:p w:rsidR="001B0BCC" w:rsidRPr="00F00002" w:rsidRDefault="001B0BCC" w:rsidP="00D150ED">
      <w:pPr>
        <w:pStyle w:val="ActHead5"/>
      </w:pPr>
      <w:bookmarkStart w:id="186" w:name="_Toc31109759"/>
      <w:r w:rsidRPr="00A26088">
        <w:rPr>
          <w:rStyle w:val="CharSectno"/>
        </w:rPr>
        <w:t>974</w:t>
      </w:r>
      <w:r w:rsidR="00F00002" w:rsidRPr="00A26088">
        <w:rPr>
          <w:rStyle w:val="CharSectno"/>
        </w:rPr>
        <w:noBreakHyphen/>
      </w:r>
      <w:r w:rsidRPr="00A26088">
        <w:rPr>
          <w:rStyle w:val="CharSectno"/>
        </w:rPr>
        <w:t>135E</w:t>
      </w:r>
      <w:r w:rsidR="00D150ED" w:rsidRPr="00F00002">
        <w:t xml:space="preserve">  </w:t>
      </w:r>
      <w:r w:rsidRPr="00F00002">
        <w:t>Perpetual cumulative subordinated note with profitability, insolvency or negative earnings conditions</w:t>
      </w:r>
      <w:bookmarkEnd w:id="186"/>
    </w:p>
    <w:p w:rsidR="003B5D16" w:rsidRPr="00F00002" w:rsidRDefault="003B5D16" w:rsidP="00D150ED">
      <w:pPr>
        <w:pStyle w:val="subsection"/>
      </w:pPr>
      <w:r w:rsidRPr="00F00002">
        <w:rPr>
          <w:color w:val="000000"/>
        </w:rPr>
        <w:tab/>
        <w:t>(1)</w:t>
      </w:r>
      <w:r w:rsidRPr="00F00002">
        <w:rPr>
          <w:color w:val="000000"/>
        </w:rPr>
        <w:tab/>
        <w:t>This regulation applies to an obligation to pay interest on a relevant perpetual subordinated note at a particular time on or after 1</w:t>
      </w:r>
      <w:r w:rsidR="00F00002">
        <w:rPr>
          <w:color w:val="000000"/>
        </w:rPr>
        <w:t> </w:t>
      </w:r>
      <w:r w:rsidRPr="00F00002">
        <w:rPr>
          <w:color w:val="000000"/>
        </w:rPr>
        <w:t>July 2001.</w:t>
      </w:r>
    </w:p>
    <w:p w:rsidR="003B5D16" w:rsidRPr="00F00002" w:rsidRDefault="003B5D16" w:rsidP="00D150ED">
      <w:pPr>
        <w:pStyle w:val="subsection"/>
      </w:pPr>
      <w:r w:rsidRPr="00F00002">
        <w:rPr>
          <w:color w:val="000000"/>
        </w:rPr>
        <w:tab/>
        <w:t>(2)</w:t>
      </w:r>
      <w:r w:rsidRPr="00F00002">
        <w:rPr>
          <w:color w:val="000000"/>
        </w:rPr>
        <w:tab/>
        <w:t>For paragraphs 974</w:t>
      </w:r>
      <w:r w:rsidR="00F00002">
        <w:rPr>
          <w:color w:val="000000"/>
        </w:rPr>
        <w:noBreakHyphen/>
      </w:r>
      <w:r w:rsidRPr="00F00002">
        <w:rPr>
          <w:color w:val="000000"/>
        </w:rPr>
        <w:t>13</w:t>
      </w:r>
      <w:r w:rsidR="00D150ED" w:rsidRPr="00F00002">
        <w:rPr>
          <w:color w:val="000000"/>
        </w:rPr>
        <w:t>5(</w:t>
      </w:r>
      <w:r w:rsidRPr="00F00002">
        <w:rPr>
          <w:color w:val="000000"/>
        </w:rPr>
        <w:t>8</w:t>
      </w:r>
      <w:r w:rsidR="00D150ED" w:rsidRPr="00F00002">
        <w:rPr>
          <w:color w:val="000000"/>
        </w:rPr>
        <w:t>)(</w:t>
      </w:r>
      <w:r w:rsidRPr="00F00002">
        <w:rPr>
          <w:color w:val="000000"/>
        </w:rPr>
        <w:t>a) and (b) of the Act, the fact that the obligation is subject to profitability, insolvency or negative earnings conditions does not in itself prevent the obligation from being a non</w:t>
      </w:r>
      <w:r w:rsidR="00F00002">
        <w:rPr>
          <w:color w:val="000000"/>
        </w:rPr>
        <w:noBreakHyphen/>
      </w:r>
      <w:r w:rsidRPr="00F00002">
        <w:rPr>
          <w:color w:val="000000"/>
        </w:rPr>
        <w:t>contingent obligation.</w:t>
      </w:r>
    </w:p>
    <w:p w:rsidR="003B5D16" w:rsidRPr="00F00002" w:rsidRDefault="003B5D16" w:rsidP="00D150ED">
      <w:pPr>
        <w:pStyle w:val="subsection"/>
      </w:pPr>
      <w:r w:rsidRPr="00F00002">
        <w:tab/>
        <w:t>(3)</w:t>
      </w:r>
      <w:r w:rsidRPr="00F00002">
        <w:tab/>
        <w:t xml:space="preserve">In this regulation, a </w:t>
      </w:r>
      <w:r w:rsidRPr="00F00002">
        <w:rPr>
          <w:b/>
          <w:i/>
        </w:rPr>
        <w:t>relevant perpetual subordinated note</w:t>
      </w:r>
      <w:r w:rsidRPr="00F00002">
        <w:t xml:space="preserve"> is a perpetual subordinated note that:</w:t>
      </w:r>
    </w:p>
    <w:p w:rsidR="003B5D16" w:rsidRPr="00F00002" w:rsidRDefault="003B5D16" w:rsidP="00D150ED">
      <w:pPr>
        <w:pStyle w:val="paragraph"/>
      </w:pPr>
      <w:r w:rsidRPr="00F00002">
        <w:tab/>
        <w:t>(a)</w:t>
      </w:r>
      <w:r w:rsidRPr="00F00002">
        <w:tab/>
        <w:t>at the time of its issue:</w:t>
      </w:r>
    </w:p>
    <w:p w:rsidR="003B5D16" w:rsidRPr="00F00002" w:rsidRDefault="003B5D16" w:rsidP="00D150ED">
      <w:pPr>
        <w:pStyle w:val="paragraphsub"/>
      </w:pPr>
      <w:r w:rsidRPr="00F00002">
        <w:rPr>
          <w:color w:val="000000"/>
        </w:rPr>
        <w:tab/>
        <w:t>(i)</w:t>
      </w:r>
      <w:r w:rsidRPr="00F00002">
        <w:rPr>
          <w:color w:val="000000"/>
        </w:rPr>
        <w:tab/>
        <w:t>does not constitute or meet the requirements of a Tier 1 capital instrument; and</w:t>
      </w:r>
    </w:p>
    <w:p w:rsidR="003B5D16" w:rsidRPr="00F00002" w:rsidRDefault="003B5D16" w:rsidP="00D150ED">
      <w:pPr>
        <w:pStyle w:val="paragraphsub"/>
      </w:pPr>
      <w:r w:rsidRPr="00F00002">
        <w:tab/>
        <w:t>(ii)</w:t>
      </w:r>
      <w:r w:rsidRPr="00F00002">
        <w:tab/>
      </w:r>
      <w:r w:rsidRPr="00F00002">
        <w:rPr>
          <w:shd w:val="clear" w:color="auto" w:fill="FFFFFF"/>
        </w:rPr>
        <w:t>does not form part of the Tier 1 capital of the issuer of the note, or a connected entity, and the reason for it not doing so is not that the instrument is in excess of the Tier 1 capital required for the purposes of prudential standards that deal with capital adequacy</w:t>
      </w:r>
      <w:r w:rsidRPr="00F00002">
        <w:t>; and</w:t>
      </w:r>
    </w:p>
    <w:p w:rsidR="003B5D16" w:rsidRPr="00F00002" w:rsidRDefault="003B5D16" w:rsidP="00D150ED">
      <w:pPr>
        <w:pStyle w:val="paragraph"/>
      </w:pPr>
      <w:r w:rsidRPr="00F00002">
        <w:rPr>
          <w:color w:val="000000"/>
        </w:rPr>
        <w:tab/>
        <w:t>(b)</w:t>
      </w:r>
      <w:r w:rsidRPr="00F00002">
        <w:rPr>
          <w:color w:val="000000"/>
        </w:rPr>
        <w:tab/>
        <w:t>would be a debt interest but for the obligation being subject to one or more profitability, insolvency or negative earnings conditions; and</w:t>
      </w:r>
    </w:p>
    <w:p w:rsidR="003B5D16" w:rsidRPr="00F00002" w:rsidRDefault="003B5D16" w:rsidP="00D150ED">
      <w:pPr>
        <w:pStyle w:val="paragraph"/>
      </w:pPr>
      <w:r w:rsidRPr="00F00002">
        <w:tab/>
        <w:t>(c)</w:t>
      </w:r>
      <w:r w:rsidRPr="00F00002">
        <w:tab/>
        <w:t>is subject to the condition that any deferred interest must accumulate (with or without compounding); and</w:t>
      </w:r>
    </w:p>
    <w:p w:rsidR="003B5D16" w:rsidRPr="00F00002" w:rsidRDefault="003B5D16" w:rsidP="00D150ED">
      <w:pPr>
        <w:pStyle w:val="paragraph"/>
      </w:pPr>
      <w:r w:rsidRPr="00F00002">
        <w:tab/>
        <w:t>(d)</w:t>
      </w:r>
      <w:r w:rsidRPr="00F00002">
        <w:tab/>
        <w:t>was issued by:</w:t>
      </w:r>
    </w:p>
    <w:p w:rsidR="003B5D16" w:rsidRPr="00F00002" w:rsidRDefault="003B5D16" w:rsidP="00D150ED">
      <w:pPr>
        <w:pStyle w:val="paragraphsub"/>
      </w:pPr>
      <w:r w:rsidRPr="00F00002">
        <w:rPr>
          <w:color w:val="000000"/>
        </w:rPr>
        <w:tab/>
        <w:t>(i)</w:t>
      </w:r>
      <w:r w:rsidRPr="00F00002">
        <w:rPr>
          <w:color w:val="000000"/>
        </w:rPr>
        <w:tab/>
        <w:t>an ADI that is a bank or non</w:t>
      </w:r>
      <w:r w:rsidR="00F00002">
        <w:rPr>
          <w:color w:val="000000"/>
        </w:rPr>
        <w:noBreakHyphen/>
      </w:r>
      <w:r w:rsidRPr="00F00002">
        <w:rPr>
          <w:color w:val="000000"/>
        </w:rPr>
        <w:t>mutual building society and that is regulated for prudential purposes by APRA; or</w:t>
      </w:r>
    </w:p>
    <w:p w:rsidR="003B5D16" w:rsidRPr="00F00002" w:rsidRDefault="003B5D16" w:rsidP="00D150ED">
      <w:pPr>
        <w:pStyle w:val="paragraphsub"/>
      </w:pPr>
      <w:r w:rsidRPr="00F00002">
        <w:tab/>
        <w:t>(ii)</w:t>
      </w:r>
      <w:r w:rsidRPr="00F00002">
        <w:tab/>
        <w:t xml:space="preserve">a subsidiary of an ADI mentioned in </w:t>
      </w:r>
      <w:r w:rsidR="00F00002">
        <w:t>subparagraph (</w:t>
      </w:r>
      <w:r w:rsidRPr="00F00002">
        <w:t>i), being a subsidiary that is regulated with the ADI for prudential purposes by APRA; or</w:t>
      </w:r>
    </w:p>
    <w:p w:rsidR="003B5D16" w:rsidRPr="00F00002" w:rsidRDefault="003B5D16" w:rsidP="00D150ED">
      <w:pPr>
        <w:pStyle w:val="paragraphsub"/>
      </w:pPr>
      <w:r w:rsidRPr="00F00002">
        <w:tab/>
        <w:t>(iii)</w:t>
      </w:r>
      <w:r w:rsidRPr="00F00002">
        <w:tab/>
        <w:t>an entity that:</w:t>
      </w:r>
    </w:p>
    <w:p w:rsidR="003B5D16" w:rsidRPr="00F00002" w:rsidRDefault="003B5D16" w:rsidP="00D150ED">
      <w:pPr>
        <w:pStyle w:val="paragraphsub-sub"/>
      </w:pPr>
      <w:r w:rsidRPr="00F00002">
        <w:rPr>
          <w:color w:val="000000"/>
        </w:rPr>
        <w:tab/>
        <w:t>(A)</w:t>
      </w:r>
      <w:r w:rsidRPr="00F00002">
        <w:rPr>
          <w:color w:val="000000"/>
        </w:rPr>
        <w:tab/>
        <w:t>has undertaken to comply with prudential standards, issued by APRA, that deal with capital adequacy; and</w:t>
      </w:r>
    </w:p>
    <w:p w:rsidR="003B5D16" w:rsidRPr="00F00002" w:rsidRDefault="003B5D16" w:rsidP="00D150ED">
      <w:pPr>
        <w:pStyle w:val="paragraphsub-sub"/>
      </w:pPr>
      <w:r w:rsidRPr="00F00002">
        <w:tab/>
        <w:t>(B)</w:t>
      </w:r>
      <w:r w:rsidRPr="00F00002">
        <w:tab/>
        <w:t>is regulated for prudential purposes by APRA; or</w:t>
      </w:r>
    </w:p>
    <w:p w:rsidR="003B5D16" w:rsidRPr="00F00002" w:rsidRDefault="003B5D16" w:rsidP="00D150ED">
      <w:pPr>
        <w:pStyle w:val="paragraphsub"/>
      </w:pPr>
      <w:r w:rsidRPr="00F00002">
        <w:rPr>
          <w:color w:val="000000"/>
        </w:rPr>
        <w:tab/>
        <w:t>(iv)</w:t>
      </w:r>
      <w:r w:rsidRPr="00F00002">
        <w:rPr>
          <w:color w:val="000000"/>
        </w:rPr>
        <w:tab/>
        <w:t xml:space="preserve">a subsidiary of an entity mentioned in </w:t>
      </w:r>
      <w:r w:rsidR="00F00002">
        <w:rPr>
          <w:color w:val="000000"/>
        </w:rPr>
        <w:t>subparagraph (</w:t>
      </w:r>
      <w:r w:rsidRPr="00F00002">
        <w:rPr>
          <w:color w:val="000000"/>
        </w:rPr>
        <w:t>iii) that is covered by the undertaking mentioned in that subparagraph; or</w:t>
      </w:r>
    </w:p>
    <w:p w:rsidR="003B5D16" w:rsidRPr="00F00002" w:rsidRDefault="003B5D16" w:rsidP="00D150ED">
      <w:pPr>
        <w:pStyle w:val="paragraphsub"/>
      </w:pPr>
      <w:r w:rsidRPr="00F00002">
        <w:tab/>
        <w:t>(v)</w:t>
      </w:r>
      <w:r w:rsidRPr="00F00002">
        <w:tab/>
        <w:t>an entity that is regulated for prudential purposes:</w:t>
      </w:r>
    </w:p>
    <w:p w:rsidR="003B5D16" w:rsidRPr="00F00002" w:rsidRDefault="003B5D16" w:rsidP="00D150ED">
      <w:pPr>
        <w:pStyle w:val="paragraphsub-sub"/>
      </w:pPr>
      <w:r w:rsidRPr="00F00002">
        <w:rPr>
          <w:color w:val="000000"/>
        </w:rPr>
        <w:tab/>
        <w:t>(A)</w:t>
      </w:r>
      <w:r w:rsidRPr="00F00002">
        <w:rPr>
          <w:color w:val="000000"/>
        </w:rPr>
        <w:tab/>
        <w:t>by a foreign prudential regulator that has a prudential regulatory role comparable to that of APRA; and</w:t>
      </w:r>
    </w:p>
    <w:p w:rsidR="003B5D16" w:rsidRPr="00F00002" w:rsidRDefault="003B5D16" w:rsidP="00D150ED">
      <w:pPr>
        <w:pStyle w:val="paragraphsub-sub"/>
      </w:pPr>
      <w:r w:rsidRPr="00F00002">
        <w:lastRenderedPageBreak/>
        <w:tab/>
        <w:t>(B)</w:t>
      </w:r>
      <w:r w:rsidRPr="00F00002">
        <w:tab/>
        <w:t>under ADI capital adequacy requirements comparable to those of APRA; and</w:t>
      </w:r>
    </w:p>
    <w:p w:rsidR="003B5D16" w:rsidRPr="00F00002" w:rsidRDefault="003B5D16" w:rsidP="00D150ED">
      <w:pPr>
        <w:pStyle w:val="paragraph"/>
      </w:pPr>
      <w:r w:rsidRPr="00F00002">
        <w:tab/>
        <w:t>(e)</w:t>
      </w:r>
      <w:r w:rsidRPr="00F00002">
        <w:tab/>
        <w:t>does not give the issuer of the note an unconditional right to decline to provide a financial benefit that is equal in nominal value to the issue price of the note to settle the obligations under the note.</w:t>
      </w:r>
    </w:p>
    <w:p w:rsidR="003B5D16" w:rsidRPr="00F00002" w:rsidRDefault="003B5D16" w:rsidP="00D150ED">
      <w:pPr>
        <w:pStyle w:val="subsection"/>
      </w:pPr>
      <w:r w:rsidRPr="00F00002">
        <w:tab/>
        <w:t>(4)</w:t>
      </w:r>
      <w:r w:rsidRPr="00F00002">
        <w:tab/>
        <w:t xml:space="preserve">In this regulation, conditions applying to the obligation are </w:t>
      </w:r>
      <w:r w:rsidRPr="00F00002">
        <w:rPr>
          <w:b/>
          <w:i/>
        </w:rPr>
        <w:t>profitability, insolvency or negative earnings conditions</w:t>
      </w:r>
      <w:r w:rsidRPr="00F00002">
        <w:t xml:space="preserve"> if they have the effect that the issuer of the note is able, or obliged, to defer the payment of the interest (with or without compounding) beyond the date on which it would otherwise be payable if, on that date:</w:t>
      </w:r>
    </w:p>
    <w:p w:rsidR="003B5D16" w:rsidRPr="00F00002" w:rsidRDefault="003B5D16" w:rsidP="00D150ED">
      <w:pPr>
        <w:pStyle w:val="paragraph"/>
      </w:pPr>
      <w:r w:rsidRPr="00F00002">
        <w:rPr>
          <w:color w:val="000000"/>
        </w:rPr>
        <w:tab/>
        <w:t>(a)</w:t>
      </w:r>
      <w:r w:rsidRPr="00F00002">
        <w:rPr>
          <w:color w:val="000000"/>
        </w:rPr>
        <w:tab/>
        <w:t>profitability does not justify the payment; or</w:t>
      </w:r>
    </w:p>
    <w:p w:rsidR="003B5D16" w:rsidRPr="00F00002" w:rsidRDefault="003B5D16" w:rsidP="00D150ED">
      <w:pPr>
        <w:pStyle w:val="paragraph"/>
      </w:pPr>
      <w:r w:rsidRPr="00F00002">
        <w:tab/>
        <w:t>(b)</w:t>
      </w:r>
      <w:r w:rsidRPr="00F00002">
        <w:tab/>
        <w:t>the issuer of the note is insolvent, or would become insolvent if the payment were made; or</w:t>
      </w:r>
    </w:p>
    <w:p w:rsidR="003B5D16" w:rsidRPr="00F00002" w:rsidRDefault="003B5D16" w:rsidP="00D150ED">
      <w:pPr>
        <w:pStyle w:val="paragraph"/>
      </w:pPr>
      <w:r w:rsidRPr="00F00002">
        <w:tab/>
        <w:t>(c)</w:t>
      </w:r>
      <w:r w:rsidRPr="00F00002">
        <w:tab/>
        <w:t>a dividend has not been declared or paid on a class or classes of share capital of the issuer during a specified period that:</w:t>
      </w:r>
    </w:p>
    <w:p w:rsidR="003B5D16" w:rsidRPr="00F00002" w:rsidRDefault="003B5D16" w:rsidP="00D150ED">
      <w:pPr>
        <w:pStyle w:val="paragraphsub"/>
      </w:pPr>
      <w:r w:rsidRPr="00F00002">
        <w:rPr>
          <w:color w:val="000000"/>
        </w:rPr>
        <w:tab/>
        <w:t>(i)</w:t>
      </w:r>
      <w:r w:rsidRPr="00F00002">
        <w:rPr>
          <w:color w:val="000000"/>
        </w:rPr>
        <w:tab/>
        <w:t>immediately precedes that date; and</w:t>
      </w:r>
    </w:p>
    <w:p w:rsidR="003B5D16" w:rsidRPr="00F00002" w:rsidRDefault="003B5D16" w:rsidP="00D150ED">
      <w:pPr>
        <w:pStyle w:val="paragraphsub"/>
      </w:pPr>
      <w:r w:rsidRPr="00F00002">
        <w:tab/>
        <w:t>(ii)</w:t>
      </w:r>
      <w:r w:rsidRPr="00F00002">
        <w:tab/>
        <w:t>is no more than 24 months; or</w:t>
      </w:r>
    </w:p>
    <w:p w:rsidR="003B5D16" w:rsidRPr="00F00002" w:rsidRDefault="003B5D16" w:rsidP="00D150ED">
      <w:pPr>
        <w:pStyle w:val="paragraph"/>
      </w:pPr>
      <w:r w:rsidRPr="00F00002">
        <w:rPr>
          <w:color w:val="000000"/>
        </w:rPr>
        <w:tab/>
        <w:t>(d)</w:t>
      </w:r>
      <w:r w:rsidRPr="00F00002">
        <w:rPr>
          <w:color w:val="000000"/>
        </w:rPr>
        <w:tab/>
        <w:t>the issuer’s retained earnings are negative, or would be negative if the payment were made.</w:t>
      </w:r>
    </w:p>
    <w:p w:rsidR="003B5D16" w:rsidRPr="00F00002" w:rsidRDefault="003B5D16" w:rsidP="00D150ED">
      <w:pPr>
        <w:pStyle w:val="subsection"/>
      </w:pPr>
      <w:r w:rsidRPr="00F00002">
        <w:tab/>
        <w:t>(5)</w:t>
      </w:r>
      <w:r w:rsidRPr="00F00002">
        <w:tab/>
        <w:t>If the obligation is an obligation to pay at a time before the day this regulation commences, this regulation applies only to the extent that applying it would not have the result that:</w:t>
      </w:r>
    </w:p>
    <w:p w:rsidR="003B5D16" w:rsidRPr="00F00002" w:rsidRDefault="003B5D16" w:rsidP="00D150ED">
      <w:pPr>
        <w:pStyle w:val="paragraph"/>
      </w:pPr>
      <w:r w:rsidRPr="00F00002">
        <w:rPr>
          <w:color w:val="000000"/>
        </w:rPr>
        <w:tab/>
        <w:t>(a)</w:t>
      </w:r>
      <w:r w:rsidRPr="00F00002">
        <w:rPr>
          <w:color w:val="000000"/>
        </w:rPr>
        <w:tab/>
        <w:t>the rights of a person (other than the Commonwealth or an authority of the Commonwealth) immediately before the day this regulation commences would be affected so as to disadvantage that person; or</w:t>
      </w:r>
    </w:p>
    <w:p w:rsidR="003B5D16" w:rsidRPr="00F00002" w:rsidRDefault="003B5D16" w:rsidP="00D150ED">
      <w:pPr>
        <w:pStyle w:val="paragraph"/>
      </w:pPr>
      <w:r w:rsidRPr="00F00002">
        <w:tab/>
        <w:t>(b)</w:t>
      </w:r>
      <w:r w:rsidRPr="00F00002">
        <w:tab/>
        <w:t>liabilities would be imposed on a person (other than the Commonwealth or an authority of the Commonwealth) for anything done or omitted to be done before the day this regulation commences.</w:t>
      </w:r>
    </w:p>
    <w:p w:rsidR="003B5D16" w:rsidRPr="00F00002" w:rsidRDefault="00D150ED" w:rsidP="00D150ED">
      <w:pPr>
        <w:pStyle w:val="notetext"/>
      </w:pPr>
      <w:r w:rsidRPr="00F00002">
        <w:rPr>
          <w:color w:val="000000"/>
        </w:rPr>
        <w:t>Note:</w:t>
      </w:r>
      <w:r w:rsidRPr="00F00002">
        <w:rPr>
          <w:color w:val="000000"/>
        </w:rPr>
        <w:tab/>
      </w:r>
      <w:r w:rsidR="003B5D16" w:rsidRPr="00F00002">
        <w:rPr>
          <w:color w:val="000000"/>
        </w:rPr>
        <w:t>The application of this regulation to a perpetual subordinated note does not mean that the note, together with one or more related schemes, cannot give rise to an equity interest.</w:t>
      </w:r>
    </w:p>
    <w:p w:rsidR="001B0BCC" w:rsidRPr="00F00002" w:rsidRDefault="001B0BCC" w:rsidP="00D150ED">
      <w:pPr>
        <w:pStyle w:val="ActHead5"/>
      </w:pPr>
      <w:bookmarkStart w:id="187" w:name="_Toc31109760"/>
      <w:r w:rsidRPr="00A26088">
        <w:rPr>
          <w:rStyle w:val="CharSectno"/>
        </w:rPr>
        <w:t>974</w:t>
      </w:r>
      <w:r w:rsidR="00F00002" w:rsidRPr="00A26088">
        <w:rPr>
          <w:rStyle w:val="CharSectno"/>
        </w:rPr>
        <w:noBreakHyphen/>
      </w:r>
      <w:r w:rsidRPr="00A26088">
        <w:rPr>
          <w:rStyle w:val="CharSectno"/>
        </w:rPr>
        <w:t>135F</w:t>
      </w:r>
      <w:r w:rsidR="00D150ED" w:rsidRPr="00F00002">
        <w:t xml:space="preserve">  </w:t>
      </w:r>
      <w:r w:rsidRPr="00F00002">
        <w:t>Term cumulative subordinated note with non</w:t>
      </w:r>
      <w:r w:rsidR="00F00002">
        <w:noBreakHyphen/>
      </w:r>
      <w:r w:rsidRPr="00F00002">
        <w:t>viability condition</w:t>
      </w:r>
      <w:bookmarkEnd w:id="187"/>
    </w:p>
    <w:p w:rsidR="001B0BCC" w:rsidRPr="00F00002" w:rsidRDefault="001B0BCC" w:rsidP="00D150ED">
      <w:pPr>
        <w:pStyle w:val="subsection"/>
      </w:pPr>
      <w:r w:rsidRPr="00F00002">
        <w:tab/>
        <w:t>(1)</w:t>
      </w:r>
      <w:r w:rsidRPr="00F00002">
        <w:tab/>
        <w:t>This regulation applies to an obligation to pay the principal or interest on a relevant term subordinated note at a particular time on or after the day this regulation commences.</w:t>
      </w:r>
    </w:p>
    <w:p w:rsidR="001B0BCC" w:rsidRPr="00F00002" w:rsidRDefault="001B0BCC" w:rsidP="00D150ED">
      <w:pPr>
        <w:pStyle w:val="subsection"/>
      </w:pPr>
      <w:r w:rsidRPr="00F00002">
        <w:tab/>
        <w:t>(2)</w:t>
      </w:r>
      <w:r w:rsidRPr="00F00002">
        <w:tab/>
        <w:t>For paragraphs 974</w:t>
      </w:r>
      <w:r w:rsidR="00F00002">
        <w:noBreakHyphen/>
      </w:r>
      <w:r w:rsidRPr="00F00002">
        <w:t>13</w:t>
      </w:r>
      <w:r w:rsidR="00D150ED" w:rsidRPr="00F00002">
        <w:t>5(</w:t>
      </w:r>
      <w:r w:rsidRPr="00F00002">
        <w:t>8</w:t>
      </w:r>
      <w:r w:rsidR="00D150ED" w:rsidRPr="00F00002">
        <w:t>)(</w:t>
      </w:r>
      <w:r w:rsidRPr="00F00002">
        <w:t>a) and (b) of the Act, the fact that the obligation is subject to a non</w:t>
      </w:r>
      <w:r w:rsidR="00F00002">
        <w:noBreakHyphen/>
      </w:r>
      <w:r w:rsidRPr="00F00002">
        <w:t>viability condition does not in itself prevent the obligation from being a non</w:t>
      </w:r>
      <w:r w:rsidR="00F00002">
        <w:noBreakHyphen/>
      </w:r>
      <w:r w:rsidRPr="00F00002">
        <w:t>contingent obligation.</w:t>
      </w:r>
    </w:p>
    <w:p w:rsidR="001B0BCC" w:rsidRPr="00F00002" w:rsidRDefault="001B0BCC" w:rsidP="00D150ED">
      <w:pPr>
        <w:pStyle w:val="subsection"/>
      </w:pPr>
      <w:r w:rsidRPr="00F00002">
        <w:tab/>
        <w:t>(3)</w:t>
      </w:r>
      <w:r w:rsidRPr="00F00002">
        <w:tab/>
        <w:t xml:space="preserve">In this regulation, a term subordinated note is </w:t>
      </w:r>
      <w:r w:rsidRPr="00F00002">
        <w:rPr>
          <w:b/>
          <w:i/>
        </w:rPr>
        <w:t>relevant</w:t>
      </w:r>
      <w:r w:rsidRPr="00F00002">
        <w:t xml:space="preserve"> if:</w:t>
      </w:r>
    </w:p>
    <w:p w:rsidR="001B0BCC" w:rsidRPr="00F00002" w:rsidRDefault="001B0BCC" w:rsidP="00D150ED">
      <w:pPr>
        <w:pStyle w:val="paragraph"/>
      </w:pPr>
      <w:r w:rsidRPr="00F00002">
        <w:lastRenderedPageBreak/>
        <w:tab/>
        <w:t>(a)</w:t>
      </w:r>
      <w:r w:rsidRPr="00F00002">
        <w:tab/>
        <w:t>it is issued by an entity regulated for prudential purposes by APRA or a subsidiary of an entity that is regulated for prudential purposes by APRA; and</w:t>
      </w:r>
    </w:p>
    <w:p w:rsidR="001B0BCC" w:rsidRPr="00F00002" w:rsidRDefault="001B0BCC" w:rsidP="00D150ED">
      <w:pPr>
        <w:pStyle w:val="paragraph"/>
      </w:pPr>
      <w:r w:rsidRPr="00F00002">
        <w:tab/>
        <w:t>(b)</w:t>
      </w:r>
      <w:r w:rsidRPr="00F00002">
        <w:tab/>
        <w:t>when it is issued:</w:t>
      </w:r>
    </w:p>
    <w:p w:rsidR="001B0BCC" w:rsidRPr="00F00002" w:rsidRDefault="001B0BCC" w:rsidP="00D150ED">
      <w:pPr>
        <w:pStyle w:val="paragraphsub"/>
      </w:pPr>
      <w:r w:rsidRPr="00F00002">
        <w:tab/>
        <w:t>(i)</w:t>
      </w:r>
      <w:r w:rsidRPr="00F00002">
        <w:tab/>
        <w:t>it does not constitute or meet the requirements of a Tier 1 capital instrument; and</w:t>
      </w:r>
    </w:p>
    <w:p w:rsidR="001B0BCC" w:rsidRPr="00F00002" w:rsidRDefault="001B0BCC" w:rsidP="00D150ED">
      <w:pPr>
        <w:pStyle w:val="paragraphsub"/>
      </w:pPr>
      <w:r w:rsidRPr="00F00002">
        <w:tab/>
        <w:t>(ii)</w:t>
      </w:r>
      <w:r w:rsidRPr="00F00002">
        <w:tab/>
        <w:t>it does not form part of the Tier 1 capital of the issuer of the note, and the reason for it not doing so is not that the instrument is in excess of the Tier 1 capital required for the purposes of prudential standards that deal with capital adequacy; and</w:t>
      </w:r>
    </w:p>
    <w:p w:rsidR="001B0BCC" w:rsidRPr="00F00002" w:rsidRDefault="001B0BCC" w:rsidP="00D150ED">
      <w:pPr>
        <w:pStyle w:val="paragraph"/>
      </w:pPr>
      <w:r w:rsidRPr="00F00002">
        <w:tab/>
        <w:t>(c)</w:t>
      </w:r>
      <w:r w:rsidRPr="00F00002">
        <w:tab/>
        <w:t>it has a term of no more than 30 years, and it does not include an unconditional right to extend the term of the note beyond a total term of 30 years; and</w:t>
      </w:r>
    </w:p>
    <w:p w:rsidR="001B0BCC" w:rsidRPr="00F00002" w:rsidRDefault="001B0BCC" w:rsidP="00D150ED">
      <w:pPr>
        <w:pStyle w:val="paragraph"/>
      </w:pPr>
      <w:r w:rsidRPr="00F00002">
        <w:tab/>
        <w:t>(d)</w:t>
      </w:r>
      <w:r w:rsidRPr="00F00002">
        <w:tab/>
        <w:t>it is subject to a condition that, unless a non</w:t>
      </w:r>
      <w:r w:rsidR="00F00002">
        <w:noBreakHyphen/>
      </w:r>
      <w:r w:rsidRPr="00F00002">
        <w:t>viability trigger event occurs, any payment of the principal or interest beyond the date on which it would otherwise be payable must accumulate (with or without compounding); and</w:t>
      </w:r>
    </w:p>
    <w:p w:rsidR="001B0BCC" w:rsidRPr="00F00002" w:rsidRDefault="001B0BCC" w:rsidP="00D150ED">
      <w:pPr>
        <w:pStyle w:val="paragraph"/>
      </w:pPr>
      <w:r w:rsidRPr="00F00002">
        <w:tab/>
        <w:t>(e)</w:t>
      </w:r>
      <w:r w:rsidRPr="00F00002">
        <w:tab/>
        <w:t>it does not give the issuer of the note an unconditional right to decline to provide a financial benefit that is equal in nominal value to the issue price of the note to settle the obligations under the note.</w:t>
      </w:r>
    </w:p>
    <w:p w:rsidR="00030698" w:rsidRPr="00F00002" w:rsidRDefault="001B0BCC" w:rsidP="00D150ED">
      <w:pPr>
        <w:pStyle w:val="notetext"/>
      </w:pPr>
      <w:r w:rsidRPr="00F00002">
        <w:t xml:space="preserve">Note for </w:t>
      </w:r>
      <w:r w:rsidR="00F00002">
        <w:t>paragraph (</w:t>
      </w:r>
      <w:r w:rsidRPr="00F00002">
        <w:t>b)</w:t>
      </w:r>
    </w:p>
    <w:p w:rsidR="001B0BCC" w:rsidRPr="00F00002" w:rsidRDefault="001B0BCC" w:rsidP="00030698">
      <w:pPr>
        <w:pStyle w:val="notetext"/>
        <w:ind w:left="1134" w:firstLine="0"/>
      </w:pPr>
      <w:r w:rsidRPr="00F00002">
        <w:t>Whether the note constitutes or meets the requirement of a Tier 1 capital instrument, or forms part of the Tier 1 capital of the issuer, is determined under the prudential standards that apply to the issuer.</w:t>
      </w:r>
    </w:p>
    <w:p w:rsidR="0018264C" w:rsidRPr="00F00002" w:rsidRDefault="0018264C" w:rsidP="0018264C">
      <w:pPr>
        <w:pStyle w:val="subsection"/>
      </w:pPr>
      <w:r w:rsidRPr="00F00002">
        <w:tab/>
        <w:t>(4)</w:t>
      </w:r>
      <w:r w:rsidRPr="00F00002">
        <w:tab/>
        <w:t>In this regulation, a condition applying to the obligation is a</w:t>
      </w:r>
      <w:r w:rsidRPr="00F00002">
        <w:rPr>
          <w:b/>
          <w:i/>
        </w:rPr>
        <w:t xml:space="preserve"> non</w:t>
      </w:r>
      <w:r w:rsidR="00F00002">
        <w:rPr>
          <w:b/>
          <w:i/>
        </w:rPr>
        <w:noBreakHyphen/>
      </w:r>
      <w:r w:rsidRPr="00F00002">
        <w:rPr>
          <w:b/>
          <w:i/>
        </w:rPr>
        <w:t>viability condition</w:t>
      </w:r>
      <w:r w:rsidRPr="00F00002">
        <w:t xml:space="preserve"> if the condition has the effect that if a non</w:t>
      </w:r>
      <w:r w:rsidR="00F00002">
        <w:noBreakHyphen/>
      </w:r>
      <w:r w:rsidRPr="00F00002">
        <w:t>viability trigger event occurs the note must be:</w:t>
      </w:r>
    </w:p>
    <w:p w:rsidR="0018264C" w:rsidRPr="00F00002" w:rsidRDefault="0018264C" w:rsidP="0018264C">
      <w:pPr>
        <w:pStyle w:val="paragraph"/>
      </w:pPr>
      <w:r w:rsidRPr="00F00002">
        <w:tab/>
        <w:t>(a)</w:t>
      </w:r>
      <w:r w:rsidRPr="00F00002">
        <w:tab/>
        <w:t>written off; or</w:t>
      </w:r>
    </w:p>
    <w:p w:rsidR="0018264C" w:rsidRPr="00F00002" w:rsidRDefault="0018264C" w:rsidP="0018264C">
      <w:pPr>
        <w:pStyle w:val="paragraph"/>
      </w:pPr>
      <w:r w:rsidRPr="00F00002">
        <w:tab/>
        <w:t>(b)</w:t>
      </w:r>
      <w:r w:rsidRPr="00F00002">
        <w:tab/>
        <w:t>converted into ordinary shares of the issuer of the note or a parent entity of the issuer; or</w:t>
      </w:r>
    </w:p>
    <w:p w:rsidR="0018264C" w:rsidRPr="00F00002" w:rsidRDefault="0018264C" w:rsidP="0018264C">
      <w:pPr>
        <w:pStyle w:val="paragraph"/>
      </w:pPr>
      <w:r w:rsidRPr="00F00002">
        <w:tab/>
        <w:t>(c)</w:t>
      </w:r>
      <w:r w:rsidRPr="00F00002">
        <w:tab/>
        <w:t>converted into mutual equity interests of the issuer of the note or a parent entity of the issuer.</w:t>
      </w:r>
    </w:p>
    <w:p w:rsidR="001B0BCC" w:rsidRPr="00F00002" w:rsidRDefault="001B0BCC" w:rsidP="00D150ED">
      <w:pPr>
        <w:pStyle w:val="subsection"/>
      </w:pPr>
      <w:r w:rsidRPr="00F00002">
        <w:tab/>
        <w:t>(5)</w:t>
      </w:r>
      <w:r w:rsidRPr="00F00002">
        <w:tab/>
        <w:t xml:space="preserve">In this regulation, a </w:t>
      </w:r>
      <w:r w:rsidRPr="00F00002">
        <w:rPr>
          <w:b/>
          <w:i/>
        </w:rPr>
        <w:t>non</w:t>
      </w:r>
      <w:r w:rsidR="00F00002">
        <w:rPr>
          <w:b/>
          <w:i/>
        </w:rPr>
        <w:noBreakHyphen/>
      </w:r>
      <w:r w:rsidRPr="00F00002">
        <w:rPr>
          <w:b/>
          <w:i/>
        </w:rPr>
        <w:t>viability trigger event</w:t>
      </w:r>
      <w:r w:rsidRPr="00F00002">
        <w:t>, in relation to a note, is any of the following:</w:t>
      </w:r>
    </w:p>
    <w:p w:rsidR="001B0BCC" w:rsidRPr="00F00002" w:rsidRDefault="001B0BCC" w:rsidP="00D150ED">
      <w:pPr>
        <w:pStyle w:val="paragraph"/>
      </w:pPr>
      <w:r w:rsidRPr="00F00002">
        <w:tab/>
        <w:t>(a)</w:t>
      </w:r>
      <w:r w:rsidRPr="00F00002">
        <w:tab/>
        <w:t>APRA or a comparable foreign regulator issues a notice, in writing, to the issuer of the note stating that conversion or write</w:t>
      </w:r>
      <w:r w:rsidR="00F00002">
        <w:noBreakHyphen/>
      </w:r>
      <w:r w:rsidRPr="00F00002">
        <w:t>off of capital instruments issued by the issuer is necessary because, without it, APRA or the foreign regulator considers that the issuer will become non</w:t>
      </w:r>
      <w:r w:rsidR="00F00002">
        <w:noBreakHyphen/>
      </w:r>
      <w:r w:rsidRPr="00F00002">
        <w:t>viable;</w:t>
      </w:r>
    </w:p>
    <w:p w:rsidR="001B0BCC" w:rsidRPr="00F00002" w:rsidRDefault="001B0BCC" w:rsidP="00D150ED">
      <w:pPr>
        <w:pStyle w:val="paragraph"/>
      </w:pPr>
      <w:r w:rsidRPr="00F00002">
        <w:tab/>
        <w:t>(b)</w:t>
      </w:r>
      <w:r w:rsidRPr="00F00002">
        <w:tab/>
        <w:t>APRA or a comparable foreign regulator determines, in writing given to the issuer of the note, that without an injection of capital, or equivalent support, from the public sector the issuer will become non</w:t>
      </w:r>
      <w:r w:rsidR="00F00002">
        <w:noBreakHyphen/>
      </w:r>
      <w:r w:rsidRPr="00F00002">
        <w:t>viable;</w:t>
      </w:r>
    </w:p>
    <w:p w:rsidR="001B0BCC" w:rsidRPr="00F00002" w:rsidRDefault="001B0BCC" w:rsidP="00D150ED">
      <w:pPr>
        <w:pStyle w:val="paragraph"/>
      </w:pPr>
      <w:r w:rsidRPr="00F00002">
        <w:lastRenderedPageBreak/>
        <w:tab/>
        <w:t>(c)</w:t>
      </w:r>
      <w:r w:rsidRPr="00F00002">
        <w:tab/>
        <w:t>APRA or a comparable foreign regulator issues a notice, in writing, to a parent entity of the issuer of the note stating that conversion or write</w:t>
      </w:r>
      <w:r w:rsidR="00F00002">
        <w:noBreakHyphen/>
      </w:r>
      <w:r w:rsidRPr="00F00002">
        <w:t>off of capital instruments is necessary because, without it, APRA or the foreign regulator considers that the parent entity or the issuer will become non</w:t>
      </w:r>
      <w:r w:rsidR="00F00002">
        <w:noBreakHyphen/>
      </w:r>
      <w:r w:rsidRPr="00F00002">
        <w:t>viable;</w:t>
      </w:r>
    </w:p>
    <w:p w:rsidR="001B0BCC" w:rsidRPr="00F00002" w:rsidRDefault="001B0BCC" w:rsidP="00D150ED">
      <w:pPr>
        <w:pStyle w:val="paragraph"/>
      </w:pPr>
      <w:r w:rsidRPr="00F00002">
        <w:tab/>
        <w:t>(d)</w:t>
      </w:r>
      <w:r w:rsidRPr="00F00002">
        <w:tab/>
        <w:t>APRA or a comparable foreign regulator determines, in writing given to a parent entity of the issuer of the note, that without an injection of capital, or equivalent support, from the public sector the parent entity or the issuer will become non</w:t>
      </w:r>
      <w:r w:rsidR="00F00002">
        <w:noBreakHyphen/>
      </w:r>
      <w:r w:rsidRPr="00F00002">
        <w:t>viable.</w:t>
      </w:r>
    </w:p>
    <w:p w:rsidR="0018264C" w:rsidRPr="00F00002" w:rsidRDefault="0018264C" w:rsidP="0018264C">
      <w:pPr>
        <w:pStyle w:val="subsection"/>
      </w:pPr>
      <w:r w:rsidRPr="00F00002">
        <w:tab/>
        <w:t>(6)</w:t>
      </w:r>
      <w:r w:rsidRPr="00F00002">
        <w:tab/>
        <w:t xml:space="preserve">In this regulation, </w:t>
      </w:r>
      <w:r w:rsidRPr="00F00002">
        <w:rPr>
          <w:b/>
          <w:i/>
        </w:rPr>
        <w:t>mutual equity interests</w:t>
      </w:r>
      <w:r w:rsidRPr="00F00002">
        <w:t xml:space="preserve"> has the same meaning as in section</w:t>
      </w:r>
      <w:r w:rsidR="00F00002">
        <w:t> </w:t>
      </w:r>
      <w:r w:rsidRPr="00F00002">
        <w:t xml:space="preserve">11CAA of the </w:t>
      </w:r>
      <w:r w:rsidRPr="00F00002">
        <w:rPr>
          <w:i/>
          <w:iCs/>
        </w:rPr>
        <w:t>Banking Act 1959</w:t>
      </w:r>
      <w:r w:rsidRPr="00F00002">
        <w:t>.</w:t>
      </w:r>
    </w:p>
    <w:p w:rsidR="00AD0A35" w:rsidRPr="00F00002" w:rsidRDefault="00D150ED" w:rsidP="003E1CC5">
      <w:pPr>
        <w:pStyle w:val="ActHead3"/>
        <w:pageBreakBefore/>
      </w:pPr>
      <w:bookmarkStart w:id="188" w:name="_Toc31109761"/>
      <w:r w:rsidRPr="00A26088">
        <w:rPr>
          <w:rStyle w:val="CharDivNo"/>
        </w:rPr>
        <w:lastRenderedPageBreak/>
        <w:t>Division</w:t>
      </w:r>
      <w:r w:rsidR="00F00002" w:rsidRPr="00A26088">
        <w:rPr>
          <w:rStyle w:val="CharDivNo"/>
        </w:rPr>
        <w:t> </w:t>
      </w:r>
      <w:r w:rsidR="00AD0A35" w:rsidRPr="00A26088">
        <w:rPr>
          <w:rStyle w:val="CharDivNo"/>
        </w:rPr>
        <w:t>995</w:t>
      </w:r>
      <w:r w:rsidRPr="00F00002">
        <w:t>—</w:t>
      </w:r>
      <w:r w:rsidR="00AD0A35" w:rsidRPr="00A26088">
        <w:rPr>
          <w:rStyle w:val="CharDivText"/>
        </w:rPr>
        <w:t>Definitions</w:t>
      </w:r>
      <w:bookmarkEnd w:id="188"/>
    </w:p>
    <w:p w:rsidR="00AD0A35" w:rsidRPr="00F00002" w:rsidRDefault="00AD0A35" w:rsidP="00D150ED">
      <w:pPr>
        <w:pStyle w:val="ActHead5"/>
      </w:pPr>
      <w:bookmarkStart w:id="189" w:name="_Toc31109762"/>
      <w:r w:rsidRPr="00A26088">
        <w:rPr>
          <w:rStyle w:val="CharSectno"/>
        </w:rPr>
        <w:t>995</w:t>
      </w:r>
      <w:r w:rsidR="00F00002" w:rsidRPr="00A26088">
        <w:rPr>
          <w:rStyle w:val="CharSectno"/>
        </w:rPr>
        <w:noBreakHyphen/>
      </w:r>
      <w:r w:rsidRPr="00A26088">
        <w:rPr>
          <w:rStyle w:val="CharSectno"/>
        </w:rPr>
        <w:t>1.01</w:t>
      </w:r>
      <w:r w:rsidR="00D150ED" w:rsidRPr="00F00002">
        <w:t xml:space="preserve">  </w:t>
      </w:r>
      <w:r w:rsidRPr="00F00002">
        <w:t>Definitions</w:t>
      </w:r>
      <w:bookmarkEnd w:id="189"/>
    </w:p>
    <w:p w:rsidR="00AD0A35" w:rsidRPr="00F00002" w:rsidRDefault="00AD0A35" w:rsidP="00D150ED">
      <w:pPr>
        <w:pStyle w:val="subsection"/>
      </w:pPr>
      <w:r w:rsidRPr="00F00002">
        <w:tab/>
      </w:r>
      <w:r w:rsidR="001C4999" w:rsidRPr="00F00002">
        <w:t>(1)</w:t>
      </w:r>
      <w:r w:rsidRPr="00F00002">
        <w:tab/>
        <w:t>In these Regulations, unless the contrary intention appears:</w:t>
      </w:r>
    </w:p>
    <w:p w:rsidR="00A96209" w:rsidRPr="00F00002" w:rsidRDefault="00A96209" w:rsidP="00A96209">
      <w:pPr>
        <w:pStyle w:val="Definition"/>
      </w:pPr>
      <w:r w:rsidRPr="00F00002">
        <w:rPr>
          <w:b/>
          <w:i/>
        </w:rPr>
        <w:t>accruing member</w:t>
      </w:r>
      <w:r w:rsidRPr="00F00002">
        <w:t xml:space="preserve"> has:</w:t>
      </w:r>
    </w:p>
    <w:p w:rsidR="00A96209" w:rsidRPr="00F00002" w:rsidRDefault="00A96209" w:rsidP="00A96209">
      <w:pPr>
        <w:pStyle w:val="paragraph"/>
      </w:pPr>
      <w:r w:rsidRPr="00F00002">
        <w:tab/>
        <w:t>(a)</w:t>
      </w:r>
      <w:r w:rsidRPr="00F00002">
        <w:tab/>
        <w:t>for the purposes of Schedule</w:t>
      </w:r>
      <w:r w:rsidR="00F00002">
        <w:t> </w:t>
      </w:r>
      <w:r w:rsidRPr="00F00002">
        <w:t>1A—the meaning given by clause</w:t>
      </w:r>
      <w:r w:rsidR="00F00002">
        <w:t> </w:t>
      </w:r>
      <w:r w:rsidRPr="00F00002">
        <w:t>1.1 of that Schedule; and</w:t>
      </w:r>
    </w:p>
    <w:p w:rsidR="00A96209" w:rsidRPr="00F00002" w:rsidRDefault="00A96209" w:rsidP="00A96209">
      <w:pPr>
        <w:pStyle w:val="paragraph"/>
      </w:pPr>
      <w:r w:rsidRPr="00F00002">
        <w:tab/>
        <w:t>(b)</w:t>
      </w:r>
      <w:r w:rsidRPr="00F00002">
        <w:tab/>
        <w:t>for the purposes of Subdivision</w:t>
      </w:r>
      <w:r w:rsidR="00F00002">
        <w:t> </w:t>
      </w:r>
      <w:r w:rsidRPr="00F00002">
        <w:t>293</w:t>
      </w:r>
      <w:r w:rsidR="00F00002">
        <w:noBreakHyphen/>
      </w:r>
      <w:r w:rsidRPr="00F00002">
        <w:t>DA and Schedule</w:t>
      </w:r>
      <w:r w:rsidR="00F00002">
        <w:t> </w:t>
      </w:r>
      <w:r w:rsidRPr="00F00002">
        <w:t>1AA—the meaning given by subregulation</w:t>
      </w:r>
      <w:r w:rsidR="00F00002">
        <w:t> </w:t>
      </w:r>
      <w:r w:rsidRPr="00F00002">
        <w:t>293</w:t>
      </w:r>
      <w:r w:rsidR="00F00002">
        <w:noBreakHyphen/>
      </w:r>
      <w:r w:rsidRPr="00F00002">
        <w:t>115.05(2).</w:t>
      </w:r>
    </w:p>
    <w:p w:rsidR="00AD0A35" w:rsidRPr="00F00002" w:rsidRDefault="00AD0A35" w:rsidP="00FA488A">
      <w:pPr>
        <w:pStyle w:val="Definition"/>
      </w:pPr>
      <w:r w:rsidRPr="00F00002">
        <w:rPr>
          <w:b/>
          <w:i/>
        </w:rPr>
        <w:t>Act</w:t>
      </w:r>
      <w:r w:rsidRPr="00F00002">
        <w:t xml:space="preserve"> means the </w:t>
      </w:r>
      <w:r w:rsidRPr="00F00002">
        <w:rPr>
          <w:i/>
        </w:rPr>
        <w:t>Income Tax Assessment Act 1997</w:t>
      </w:r>
      <w:r w:rsidRPr="00F00002">
        <w:t>.</w:t>
      </w:r>
    </w:p>
    <w:p w:rsidR="00AD0A35" w:rsidRPr="00F00002" w:rsidRDefault="00AD0A35" w:rsidP="00D150ED">
      <w:pPr>
        <w:pStyle w:val="Definition"/>
      </w:pPr>
      <w:r w:rsidRPr="00F00002">
        <w:rPr>
          <w:b/>
          <w:i/>
          <w:color w:val="000000"/>
        </w:rPr>
        <w:t>defined benefit member</w:t>
      </w:r>
      <w:r w:rsidRPr="00F00002">
        <w:t>:</w:t>
      </w:r>
    </w:p>
    <w:p w:rsidR="00AD0A35" w:rsidRPr="00F00002" w:rsidRDefault="00AD0A35" w:rsidP="00D150ED">
      <w:pPr>
        <w:pStyle w:val="paragraph"/>
      </w:pPr>
      <w:r w:rsidRPr="00F00002">
        <w:tab/>
        <w:t>(a)</w:t>
      </w:r>
      <w:r w:rsidRPr="00F00002">
        <w:tab/>
        <w:t>means a member of a superannuation fund whose entitlements to superannuation benefits (other than benefits payable on death or disability) are defined by reference to 1 or more of the following matters:</w:t>
      </w:r>
    </w:p>
    <w:p w:rsidR="00AD0A35" w:rsidRPr="00F00002" w:rsidRDefault="00AD0A35" w:rsidP="00D150ED">
      <w:pPr>
        <w:pStyle w:val="paragraphsub"/>
      </w:pPr>
      <w:r w:rsidRPr="00F00002">
        <w:rPr>
          <w:color w:val="000000"/>
        </w:rPr>
        <w:tab/>
        <w:t>(i)</w:t>
      </w:r>
      <w:r w:rsidRPr="00F00002">
        <w:rPr>
          <w:color w:val="000000"/>
        </w:rPr>
        <w:tab/>
        <w:t>the member’s salary, or allowance in the nature of salary, at a particular date or averaged over a period;</w:t>
      </w:r>
    </w:p>
    <w:p w:rsidR="00AD0A35" w:rsidRPr="00F00002" w:rsidRDefault="00AD0A35" w:rsidP="00D150ED">
      <w:pPr>
        <w:pStyle w:val="paragraphsub"/>
      </w:pPr>
      <w:r w:rsidRPr="00F00002">
        <w:tab/>
        <w:t>(ii)</w:t>
      </w:r>
      <w:r w:rsidRPr="00F00002">
        <w:tab/>
        <w:t>another individual’s salary, or allowance in the nature of salary, at a particular date or averaged over a period;</w:t>
      </w:r>
    </w:p>
    <w:p w:rsidR="00AD0A35" w:rsidRPr="00F00002" w:rsidRDefault="00AD0A35" w:rsidP="00D150ED">
      <w:pPr>
        <w:pStyle w:val="paragraphsub"/>
      </w:pPr>
      <w:r w:rsidRPr="00F00002">
        <w:tab/>
        <w:t>(iii)</w:t>
      </w:r>
      <w:r w:rsidRPr="00F00002">
        <w:tab/>
        <w:t>a specified amount;</w:t>
      </w:r>
    </w:p>
    <w:p w:rsidR="00AD0A35" w:rsidRPr="00F00002" w:rsidRDefault="00AD0A35" w:rsidP="00D150ED">
      <w:pPr>
        <w:pStyle w:val="paragraphsub"/>
      </w:pPr>
      <w:r w:rsidRPr="00F00002">
        <w:tab/>
        <w:t>(iv)</w:t>
      </w:r>
      <w:r w:rsidRPr="00F00002">
        <w:tab/>
        <w:t>specified conversion factors; but</w:t>
      </w:r>
    </w:p>
    <w:p w:rsidR="00AD0A35" w:rsidRPr="00F00002" w:rsidRDefault="00AD0A35" w:rsidP="00D150ED">
      <w:pPr>
        <w:pStyle w:val="paragraph"/>
      </w:pPr>
      <w:r w:rsidRPr="00F00002">
        <w:tab/>
        <w:t>(b)</w:t>
      </w:r>
      <w:r w:rsidRPr="00F00002">
        <w:tab/>
        <w:t>does not include a member of a superannuation fund whose entitlements to superannuation are defined solely by reference to 1 or more of the following matters:</w:t>
      </w:r>
    </w:p>
    <w:p w:rsidR="00AD0A35" w:rsidRPr="00F00002" w:rsidRDefault="00AD0A35" w:rsidP="00D150ED">
      <w:pPr>
        <w:pStyle w:val="paragraphsub"/>
      </w:pPr>
      <w:r w:rsidRPr="00F00002">
        <w:rPr>
          <w:color w:val="000000"/>
        </w:rPr>
        <w:tab/>
        <w:t>(i)</w:t>
      </w:r>
      <w:r w:rsidRPr="00F00002">
        <w:rPr>
          <w:color w:val="000000"/>
        </w:rPr>
        <w:tab/>
        <w:t>the member’s disability superannuation benefits;</w:t>
      </w:r>
    </w:p>
    <w:p w:rsidR="00AD0A35" w:rsidRPr="00F00002" w:rsidRDefault="00AD0A35" w:rsidP="00D150ED">
      <w:pPr>
        <w:pStyle w:val="paragraphsub"/>
      </w:pPr>
      <w:r w:rsidRPr="00F00002">
        <w:tab/>
        <w:t>(ii)</w:t>
      </w:r>
      <w:r w:rsidRPr="00F00002">
        <w:tab/>
        <w:t>the member’s superannuation death benefits;</w:t>
      </w:r>
    </w:p>
    <w:p w:rsidR="00AD0A35" w:rsidRPr="00F00002" w:rsidRDefault="00AD0A35" w:rsidP="00D150ED">
      <w:pPr>
        <w:pStyle w:val="paragraphsub"/>
      </w:pPr>
      <w:r w:rsidRPr="00F00002">
        <w:tab/>
        <w:t>(iii)</w:t>
      </w:r>
      <w:r w:rsidRPr="00F00002">
        <w:tab/>
        <w:t>payments of amounts mentioned in paragraph</w:t>
      </w:r>
      <w:r w:rsidR="00F00002">
        <w:t> </w:t>
      </w:r>
      <w:r w:rsidRPr="00F00002">
        <w:t>307</w:t>
      </w:r>
      <w:r w:rsidR="00F00002">
        <w:noBreakHyphen/>
      </w:r>
      <w:r w:rsidRPr="00F00002">
        <w:t>10(a) of the Act (which relates to temporary disability payments).</w:t>
      </w:r>
    </w:p>
    <w:p w:rsidR="00206CD7" w:rsidRPr="00F00002" w:rsidRDefault="00206CD7" w:rsidP="00206CD7">
      <w:pPr>
        <w:pStyle w:val="Definition"/>
      </w:pPr>
      <w:r w:rsidRPr="00F00002">
        <w:rPr>
          <w:b/>
          <w:i/>
        </w:rPr>
        <w:t>funded benefit interest</w:t>
      </w:r>
      <w:r w:rsidRPr="00F00002">
        <w:t xml:space="preserve"> has the meaning given by subregulation</w:t>
      </w:r>
      <w:r w:rsidR="00F00002">
        <w:t> </w:t>
      </w:r>
      <w:r w:rsidRPr="00F00002">
        <w:t>293</w:t>
      </w:r>
      <w:r w:rsidR="00F00002">
        <w:noBreakHyphen/>
      </w:r>
      <w:r w:rsidRPr="00F00002">
        <w:t>115.15(2).</w:t>
      </w:r>
    </w:p>
    <w:p w:rsidR="003C70B4" w:rsidRPr="00F00002" w:rsidRDefault="003C70B4" w:rsidP="003C70B4">
      <w:pPr>
        <w:pStyle w:val="Definition"/>
      </w:pPr>
      <w:r w:rsidRPr="00F00002">
        <w:rPr>
          <w:b/>
          <w:i/>
        </w:rPr>
        <w:t>Governor</w:t>
      </w:r>
      <w:r w:rsidR="00F00002">
        <w:rPr>
          <w:b/>
          <w:i/>
        </w:rPr>
        <w:noBreakHyphen/>
      </w:r>
      <w:r w:rsidRPr="00F00002">
        <w:rPr>
          <w:b/>
          <w:i/>
        </w:rPr>
        <w:t xml:space="preserve">General Pension Scheme </w:t>
      </w:r>
      <w:r w:rsidRPr="00F00002">
        <w:t>means the Governor</w:t>
      </w:r>
      <w:r w:rsidR="00F00002">
        <w:noBreakHyphen/>
      </w:r>
      <w:r w:rsidRPr="00F00002">
        <w:t>General Pension Scheme constituted by allowances payable under section</w:t>
      </w:r>
      <w:r w:rsidR="00F00002">
        <w:t> </w:t>
      </w:r>
      <w:r w:rsidRPr="00F00002">
        <w:t xml:space="preserve">4 of the </w:t>
      </w:r>
      <w:r w:rsidRPr="00F00002">
        <w:rPr>
          <w:i/>
        </w:rPr>
        <w:t>Governor</w:t>
      </w:r>
      <w:r w:rsidR="00F00002">
        <w:rPr>
          <w:i/>
        </w:rPr>
        <w:noBreakHyphen/>
      </w:r>
      <w:r w:rsidRPr="00F00002">
        <w:rPr>
          <w:i/>
        </w:rPr>
        <w:t>General Act 1974</w:t>
      </w:r>
      <w:r w:rsidRPr="00F00002">
        <w:t>.</w:t>
      </w:r>
    </w:p>
    <w:p w:rsidR="00C37633" w:rsidRPr="00F00002" w:rsidRDefault="00C37633" w:rsidP="00D150ED">
      <w:pPr>
        <w:pStyle w:val="Definition"/>
      </w:pPr>
      <w:r w:rsidRPr="00F00002">
        <w:rPr>
          <w:b/>
          <w:i/>
          <w:color w:val="000000"/>
        </w:rPr>
        <w:t>insolvent</w:t>
      </w:r>
      <w:r w:rsidRPr="00F00002">
        <w:t>, for an issuer, means:</w:t>
      </w:r>
    </w:p>
    <w:p w:rsidR="00C37633" w:rsidRPr="00F00002" w:rsidRDefault="00C37633" w:rsidP="00D150ED">
      <w:pPr>
        <w:pStyle w:val="paragraph"/>
      </w:pPr>
      <w:r w:rsidRPr="00F00002">
        <w:rPr>
          <w:color w:val="000000"/>
        </w:rPr>
        <w:tab/>
        <w:t>(a)</w:t>
      </w:r>
      <w:r w:rsidRPr="00F00002">
        <w:rPr>
          <w:color w:val="000000"/>
        </w:rPr>
        <w:tab/>
        <w:t>the issuer cannot pay its debts as they fall due; or</w:t>
      </w:r>
    </w:p>
    <w:p w:rsidR="00C37633" w:rsidRPr="00F00002" w:rsidRDefault="00C37633" w:rsidP="00D150ED">
      <w:pPr>
        <w:pStyle w:val="paragraph"/>
      </w:pPr>
      <w:r w:rsidRPr="00F00002">
        <w:tab/>
        <w:t>(b)</w:t>
      </w:r>
      <w:r w:rsidRPr="00F00002">
        <w:tab/>
        <w:t>the issuer’s liabilities exceed its assets.</w:t>
      </w:r>
    </w:p>
    <w:p w:rsidR="00206CD7" w:rsidRPr="00F00002" w:rsidRDefault="00206CD7" w:rsidP="00206CD7">
      <w:pPr>
        <w:pStyle w:val="Definition"/>
      </w:pPr>
      <w:r w:rsidRPr="00F00002">
        <w:rPr>
          <w:b/>
          <w:i/>
        </w:rPr>
        <w:t>non</w:t>
      </w:r>
      <w:r w:rsidR="00F00002">
        <w:rPr>
          <w:b/>
          <w:i/>
        </w:rPr>
        <w:noBreakHyphen/>
      </w:r>
      <w:r w:rsidRPr="00F00002">
        <w:rPr>
          <w:b/>
          <w:i/>
        </w:rPr>
        <w:t>accruing member</w:t>
      </w:r>
      <w:r w:rsidRPr="00F00002">
        <w:t xml:space="preserve"> has, for the purposes of Subdivision</w:t>
      </w:r>
      <w:r w:rsidR="00F00002">
        <w:t> </w:t>
      </w:r>
      <w:r w:rsidRPr="00F00002">
        <w:t>293</w:t>
      </w:r>
      <w:r w:rsidR="00F00002">
        <w:noBreakHyphen/>
      </w:r>
      <w:r w:rsidRPr="00F00002">
        <w:t>DA, the meaning given by subregulation</w:t>
      </w:r>
      <w:r w:rsidR="00F00002">
        <w:t> </w:t>
      </w:r>
      <w:r w:rsidRPr="00F00002">
        <w:t>293</w:t>
      </w:r>
      <w:r w:rsidR="00F00002">
        <w:noBreakHyphen/>
      </w:r>
      <w:r w:rsidRPr="00F00002">
        <w:t>115.05(2).</w:t>
      </w:r>
    </w:p>
    <w:p w:rsidR="00206CD7" w:rsidRPr="00F00002" w:rsidRDefault="00206CD7" w:rsidP="00206CD7">
      <w:pPr>
        <w:pStyle w:val="Definition"/>
      </w:pPr>
      <w:r w:rsidRPr="00F00002">
        <w:rPr>
          <w:b/>
          <w:i/>
        </w:rPr>
        <w:lastRenderedPageBreak/>
        <w:t>on</w:t>
      </w:r>
      <w:r w:rsidR="00F00002">
        <w:rPr>
          <w:b/>
          <w:i/>
        </w:rPr>
        <w:noBreakHyphen/>
      </w:r>
      <w:r w:rsidRPr="00F00002">
        <w:rPr>
          <w:b/>
          <w:i/>
        </w:rPr>
        <w:t>hold member</w:t>
      </w:r>
      <w:r w:rsidRPr="00F00002">
        <w:t>, in relation to a defined benefit member of a superannuation fund, has the meaning given by subregulation</w:t>
      </w:r>
      <w:r w:rsidR="00F00002">
        <w:t> </w:t>
      </w:r>
      <w:r w:rsidRPr="00F00002">
        <w:t>292</w:t>
      </w:r>
      <w:r w:rsidR="00F00002">
        <w:noBreakHyphen/>
      </w:r>
      <w:r w:rsidRPr="00F00002">
        <w:t>170.04(5A).</w:t>
      </w:r>
    </w:p>
    <w:p w:rsidR="00206CD7" w:rsidRPr="00F00002" w:rsidRDefault="00206CD7" w:rsidP="00206CD7">
      <w:pPr>
        <w:pStyle w:val="Definition"/>
      </w:pPr>
      <w:r w:rsidRPr="00F00002">
        <w:rPr>
          <w:b/>
          <w:i/>
        </w:rPr>
        <w:t>pensioned member</w:t>
      </w:r>
      <w:r w:rsidRPr="00F00002">
        <w:t>, in relation to a defined benefit member of a superannuation fund, has the meaning given by subregulation</w:t>
      </w:r>
      <w:r w:rsidR="00F00002">
        <w:t> </w:t>
      </w:r>
      <w:r w:rsidRPr="00F00002">
        <w:t>292</w:t>
      </w:r>
      <w:r w:rsidR="00F00002">
        <w:noBreakHyphen/>
      </w:r>
      <w:r w:rsidRPr="00F00002">
        <w:t>170.04(5).</w:t>
      </w:r>
    </w:p>
    <w:p w:rsidR="002B0BDC" w:rsidRPr="00F00002" w:rsidRDefault="002B0BDC" w:rsidP="002B0BDC">
      <w:pPr>
        <w:pStyle w:val="Definition"/>
      </w:pPr>
      <w:r w:rsidRPr="00F00002">
        <w:rPr>
          <w:b/>
          <w:i/>
          <w:color w:val="000000" w:themeColor="text1"/>
        </w:rPr>
        <w:t>pooled investment annuity</w:t>
      </w:r>
      <w:r w:rsidRPr="00F00002">
        <w:rPr>
          <w:color w:val="000000" w:themeColor="text1"/>
        </w:rPr>
        <w:t xml:space="preserve"> has the meaning given by subregulation</w:t>
      </w:r>
      <w:r w:rsidR="00F00002">
        <w:rPr>
          <w:color w:val="000000" w:themeColor="text1"/>
        </w:rPr>
        <w:t> </w:t>
      </w:r>
      <w:r w:rsidRPr="00F00002">
        <w:t>307</w:t>
      </w:r>
      <w:r w:rsidR="00F00002">
        <w:noBreakHyphen/>
      </w:r>
      <w:r w:rsidRPr="00F00002">
        <w:t>205.02E(2).</w:t>
      </w:r>
    </w:p>
    <w:p w:rsidR="002B0BDC" w:rsidRPr="00F00002" w:rsidRDefault="002B0BDC" w:rsidP="002B0BDC">
      <w:pPr>
        <w:pStyle w:val="Definition"/>
      </w:pPr>
      <w:r w:rsidRPr="00F00002">
        <w:rPr>
          <w:b/>
          <w:i/>
          <w:color w:val="000000" w:themeColor="text1"/>
        </w:rPr>
        <w:t>pooled investment pension</w:t>
      </w:r>
      <w:r w:rsidRPr="00F00002">
        <w:rPr>
          <w:color w:val="000000" w:themeColor="text1"/>
        </w:rPr>
        <w:t xml:space="preserve"> has the meaning given by subregulation</w:t>
      </w:r>
      <w:r w:rsidR="00F00002">
        <w:rPr>
          <w:color w:val="000000" w:themeColor="text1"/>
        </w:rPr>
        <w:t> </w:t>
      </w:r>
      <w:r w:rsidRPr="00F00002">
        <w:t>307</w:t>
      </w:r>
      <w:r w:rsidR="00F00002">
        <w:noBreakHyphen/>
      </w:r>
      <w:r w:rsidRPr="00F00002">
        <w:t>205.02D(2).</w:t>
      </w:r>
    </w:p>
    <w:p w:rsidR="00AD0A35" w:rsidRPr="00F00002" w:rsidRDefault="00AD0A35" w:rsidP="00D150ED">
      <w:pPr>
        <w:pStyle w:val="Definition"/>
      </w:pPr>
      <w:r w:rsidRPr="00F00002">
        <w:rPr>
          <w:b/>
          <w:i/>
        </w:rPr>
        <w:t xml:space="preserve">RSA Act </w:t>
      </w:r>
      <w:r w:rsidRPr="00F00002">
        <w:t xml:space="preserve">means the </w:t>
      </w:r>
      <w:r w:rsidRPr="00F00002">
        <w:rPr>
          <w:i/>
        </w:rPr>
        <w:t>Retirement Savings Accounts Act 1997</w:t>
      </w:r>
      <w:r w:rsidRPr="00F00002">
        <w:t>.</w:t>
      </w:r>
    </w:p>
    <w:p w:rsidR="00AD0A35" w:rsidRPr="00F00002" w:rsidRDefault="00AD0A35" w:rsidP="00D150ED">
      <w:pPr>
        <w:pStyle w:val="Definition"/>
      </w:pPr>
      <w:r w:rsidRPr="00F00002">
        <w:rPr>
          <w:b/>
          <w:i/>
        </w:rPr>
        <w:t xml:space="preserve">RSA Regulations </w:t>
      </w:r>
      <w:r w:rsidRPr="00F00002">
        <w:t xml:space="preserve">means the </w:t>
      </w:r>
      <w:r w:rsidRPr="00F00002">
        <w:rPr>
          <w:i/>
        </w:rPr>
        <w:t>Retirement Savings Accounts Regulations</w:t>
      </w:r>
      <w:r w:rsidR="00F00002">
        <w:rPr>
          <w:i/>
        </w:rPr>
        <w:t> </w:t>
      </w:r>
      <w:r w:rsidRPr="00F00002">
        <w:rPr>
          <w:i/>
        </w:rPr>
        <w:t>1997</w:t>
      </w:r>
      <w:r w:rsidRPr="00F00002">
        <w:t>.</w:t>
      </w:r>
    </w:p>
    <w:p w:rsidR="00AD0A35" w:rsidRPr="00F00002" w:rsidRDefault="00AD0A35" w:rsidP="00D150ED">
      <w:pPr>
        <w:pStyle w:val="Definition"/>
      </w:pPr>
      <w:r w:rsidRPr="00F00002">
        <w:rPr>
          <w:b/>
          <w:i/>
        </w:rPr>
        <w:t xml:space="preserve">SIS Act </w:t>
      </w:r>
      <w:r w:rsidRPr="00F00002">
        <w:t xml:space="preserve">means the </w:t>
      </w:r>
      <w:r w:rsidRPr="00F00002">
        <w:rPr>
          <w:i/>
        </w:rPr>
        <w:t>Superannuation Industry (Supervision) Act 1993</w:t>
      </w:r>
      <w:r w:rsidRPr="00F00002">
        <w:t>.</w:t>
      </w:r>
    </w:p>
    <w:p w:rsidR="00AD0A35" w:rsidRPr="00F00002" w:rsidRDefault="00AD0A35" w:rsidP="00D150ED">
      <w:pPr>
        <w:pStyle w:val="Definition"/>
      </w:pPr>
      <w:r w:rsidRPr="00F00002">
        <w:rPr>
          <w:b/>
          <w:i/>
        </w:rPr>
        <w:t xml:space="preserve">SIS Regulations </w:t>
      </w:r>
      <w:r w:rsidRPr="00F00002">
        <w:t xml:space="preserve">means the </w:t>
      </w:r>
      <w:r w:rsidRPr="00F00002">
        <w:rPr>
          <w:i/>
        </w:rPr>
        <w:t>Superannuation Industry (Supervision) Regulations</w:t>
      </w:r>
      <w:r w:rsidR="00F00002">
        <w:rPr>
          <w:i/>
        </w:rPr>
        <w:t> </w:t>
      </w:r>
      <w:r w:rsidRPr="00F00002">
        <w:rPr>
          <w:i/>
        </w:rPr>
        <w:t>1994</w:t>
      </w:r>
      <w:r w:rsidRPr="00F00002">
        <w:t>.</w:t>
      </w:r>
    </w:p>
    <w:p w:rsidR="00AD0A35" w:rsidRPr="00F00002" w:rsidRDefault="00AD0A35" w:rsidP="00D150ED">
      <w:pPr>
        <w:pStyle w:val="Definition"/>
      </w:pPr>
      <w:r w:rsidRPr="00F00002">
        <w:rPr>
          <w:b/>
          <w:i/>
          <w:color w:val="000000"/>
        </w:rPr>
        <w:t xml:space="preserve">superannuation annuity </w:t>
      </w:r>
      <w:r w:rsidRPr="00F00002">
        <w:t>means:</w:t>
      </w:r>
    </w:p>
    <w:p w:rsidR="00AD0A35" w:rsidRPr="00F00002" w:rsidRDefault="00AD0A35" w:rsidP="00D150ED">
      <w:pPr>
        <w:pStyle w:val="paragraph"/>
      </w:pPr>
      <w:r w:rsidRPr="00F00002">
        <w:tab/>
        <w:t>(a)</w:t>
      </w:r>
      <w:r w:rsidRPr="00F00002">
        <w:tab/>
        <w:t>an income stream:</w:t>
      </w:r>
    </w:p>
    <w:p w:rsidR="00AD0A35" w:rsidRPr="00F00002" w:rsidRDefault="00AD0A35" w:rsidP="00D150ED">
      <w:pPr>
        <w:pStyle w:val="paragraphsub"/>
      </w:pPr>
      <w:r w:rsidRPr="00F00002">
        <w:rPr>
          <w:color w:val="000000"/>
        </w:rPr>
        <w:tab/>
        <w:t>(i)</w:t>
      </w:r>
      <w:r w:rsidRPr="00F00002">
        <w:rPr>
          <w:color w:val="000000"/>
        </w:rPr>
        <w:tab/>
        <w:t>that is issued by a life insurance company or registered organisation; and</w:t>
      </w:r>
    </w:p>
    <w:p w:rsidR="00AD0A35" w:rsidRPr="00F00002" w:rsidRDefault="00AD0A35" w:rsidP="00D150ED">
      <w:pPr>
        <w:pStyle w:val="paragraphsub"/>
      </w:pPr>
      <w:r w:rsidRPr="00F00002">
        <w:tab/>
        <w:t>(ii)</w:t>
      </w:r>
      <w:r w:rsidRPr="00F00002">
        <w:tab/>
        <w:t>that commenced before 20</w:t>
      </w:r>
      <w:r w:rsidR="00F00002">
        <w:t> </w:t>
      </w:r>
      <w:r w:rsidRPr="00F00002">
        <w:t>September 2007; and</w:t>
      </w:r>
    </w:p>
    <w:p w:rsidR="00AD0A35" w:rsidRPr="00F00002" w:rsidRDefault="00AD0A35" w:rsidP="00D150ED">
      <w:pPr>
        <w:pStyle w:val="paragraphsub"/>
      </w:pPr>
      <w:r w:rsidRPr="00F00002">
        <w:tab/>
        <w:t>(iii)</w:t>
      </w:r>
      <w:r w:rsidRPr="00F00002">
        <w:tab/>
        <w:t>that is an annuity within the meaning of:</w:t>
      </w:r>
    </w:p>
    <w:p w:rsidR="00AD0A35" w:rsidRPr="00F00002" w:rsidRDefault="00AD0A35" w:rsidP="00D150ED">
      <w:pPr>
        <w:pStyle w:val="paragraphsub-sub"/>
      </w:pPr>
      <w:r w:rsidRPr="00F00002">
        <w:rPr>
          <w:color w:val="000000"/>
        </w:rPr>
        <w:tab/>
        <w:t>(A)</w:t>
      </w:r>
      <w:r w:rsidRPr="00F00002">
        <w:rPr>
          <w:color w:val="000000"/>
        </w:rPr>
        <w:tab/>
        <w:t>subsection</w:t>
      </w:r>
      <w:r w:rsidR="00F00002">
        <w:rPr>
          <w:color w:val="000000"/>
        </w:rPr>
        <w:t> </w:t>
      </w:r>
      <w:r w:rsidRPr="00F00002">
        <w:rPr>
          <w:color w:val="000000"/>
        </w:rPr>
        <w:t xml:space="preserve">10(1) of the SIS Act; or </w:t>
      </w:r>
    </w:p>
    <w:p w:rsidR="00AD0A35" w:rsidRPr="00F00002" w:rsidRDefault="00AD0A35" w:rsidP="00D150ED">
      <w:pPr>
        <w:pStyle w:val="paragraphsub-sub"/>
      </w:pPr>
      <w:r w:rsidRPr="00F00002">
        <w:tab/>
        <w:t>(B)</w:t>
      </w:r>
      <w:r w:rsidRPr="00F00002">
        <w:tab/>
        <w:t>subregulation</w:t>
      </w:r>
      <w:r w:rsidR="00F00002">
        <w:t> </w:t>
      </w:r>
      <w:r w:rsidRPr="00F00002">
        <w:t>1.07(1A) of the RSA Regulations; or</w:t>
      </w:r>
    </w:p>
    <w:p w:rsidR="00AD0A35" w:rsidRPr="00F00002" w:rsidRDefault="00AD0A35" w:rsidP="00D150ED">
      <w:pPr>
        <w:pStyle w:val="paragraph"/>
      </w:pPr>
      <w:r w:rsidRPr="00F00002">
        <w:tab/>
        <w:t>(b)</w:t>
      </w:r>
      <w:r w:rsidRPr="00F00002">
        <w:tab/>
        <w:t>an income stream that:</w:t>
      </w:r>
    </w:p>
    <w:p w:rsidR="00AD0A35" w:rsidRPr="00F00002" w:rsidRDefault="00AD0A35" w:rsidP="00D150ED">
      <w:pPr>
        <w:pStyle w:val="paragraphsub"/>
      </w:pPr>
      <w:r w:rsidRPr="00F00002">
        <w:rPr>
          <w:color w:val="000000"/>
        </w:rPr>
        <w:tab/>
        <w:t>(i)</w:t>
      </w:r>
      <w:r w:rsidRPr="00F00002">
        <w:rPr>
          <w:color w:val="000000"/>
        </w:rPr>
        <w:tab/>
        <w:t>is issued by a life insurance company or registered organisation; and</w:t>
      </w:r>
    </w:p>
    <w:p w:rsidR="002B0BDC" w:rsidRPr="00F00002" w:rsidRDefault="002B0BDC" w:rsidP="002B0BDC">
      <w:pPr>
        <w:pStyle w:val="paragraphsub"/>
      </w:pPr>
      <w:r w:rsidRPr="00F00002">
        <w:tab/>
        <w:t>(ii)</w:t>
      </w:r>
      <w:r w:rsidRPr="00F00002">
        <w:tab/>
        <w:t>is taken to be an annuity for the purposes of the SIS Act in accordance with subregulation</w:t>
      </w:r>
      <w:r w:rsidR="00F00002">
        <w:t> </w:t>
      </w:r>
      <w:r w:rsidRPr="00F00002">
        <w:t>1.05(1) of the SIS Regulations; or</w:t>
      </w:r>
    </w:p>
    <w:p w:rsidR="002B0BDC" w:rsidRPr="00F00002" w:rsidRDefault="00DC0FCE" w:rsidP="002B0BDC">
      <w:pPr>
        <w:pStyle w:val="paragraph"/>
      </w:pPr>
      <w:r w:rsidRPr="00F00002">
        <w:tab/>
      </w:r>
      <w:r w:rsidR="002B0BDC" w:rsidRPr="00F00002">
        <w:t>(c)</w:t>
      </w:r>
      <w:r w:rsidR="002B0BDC" w:rsidRPr="00F00002">
        <w:tab/>
        <w:t>a deferred superannuation income stream that is taken to be an annuity for the purposes of the SIS Act in accordance with subregulation</w:t>
      </w:r>
      <w:r w:rsidR="00F00002">
        <w:t> </w:t>
      </w:r>
      <w:r w:rsidR="002B0BDC" w:rsidRPr="00F00002">
        <w:t>1.05(1) of the SIS Regulations because the contract for the provision of the income stream meets the standards of subregulation</w:t>
      </w:r>
      <w:r w:rsidR="00F00002">
        <w:t> </w:t>
      </w:r>
      <w:r w:rsidR="002B0BDC" w:rsidRPr="00F00002">
        <w:t>1.06A(2) of the SIS Regulations.</w:t>
      </w:r>
    </w:p>
    <w:p w:rsidR="00AD0A35" w:rsidRPr="00F00002" w:rsidRDefault="00AD0A35" w:rsidP="00D150ED">
      <w:pPr>
        <w:pStyle w:val="Definition"/>
      </w:pPr>
      <w:r w:rsidRPr="00F00002">
        <w:rPr>
          <w:b/>
          <w:i/>
          <w:color w:val="000000"/>
        </w:rPr>
        <w:t>superannuation income stream</w:t>
      </w:r>
      <w:r w:rsidRPr="00F00002">
        <w:t xml:space="preserve"> means:</w:t>
      </w:r>
    </w:p>
    <w:p w:rsidR="00AD0A35" w:rsidRPr="00F00002" w:rsidRDefault="00AD0A35" w:rsidP="00D150ED">
      <w:pPr>
        <w:pStyle w:val="paragraph"/>
      </w:pPr>
      <w:r w:rsidRPr="00F00002">
        <w:tab/>
        <w:t>(a)</w:t>
      </w:r>
      <w:r w:rsidRPr="00F00002">
        <w:tab/>
        <w:t>an income stream that is taken to be:</w:t>
      </w:r>
    </w:p>
    <w:p w:rsidR="00AD0A35" w:rsidRPr="00F00002" w:rsidRDefault="00AD0A35" w:rsidP="00D150ED">
      <w:pPr>
        <w:pStyle w:val="paragraphsub"/>
      </w:pPr>
      <w:r w:rsidRPr="00F00002">
        <w:rPr>
          <w:color w:val="000000"/>
        </w:rPr>
        <w:tab/>
        <w:t>(i)</w:t>
      </w:r>
      <w:r w:rsidRPr="00F00002">
        <w:rPr>
          <w:color w:val="000000"/>
        </w:rPr>
        <w:tab/>
        <w:t>an annuity for the purposes of the SIS Act in accordance with subregulation</w:t>
      </w:r>
      <w:r w:rsidR="00F00002">
        <w:rPr>
          <w:color w:val="000000"/>
        </w:rPr>
        <w:t> </w:t>
      </w:r>
      <w:r w:rsidRPr="00F00002">
        <w:rPr>
          <w:color w:val="000000"/>
        </w:rPr>
        <w:t>1.05(1) of the SIS Regulations; or</w:t>
      </w:r>
    </w:p>
    <w:p w:rsidR="00AD0A35" w:rsidRPr="00F00002" w:rsidRDefault="00AD0A35" w:rsidP="00D150ED">
      <w:pPr>
        <w:pStyle w:val="paragraphsub"/>
      </w:pPr>
      <w:r w:rsidRPr="00F00002">
        <w:tab/>
        <w:t>(ii)</w:t>
      </w:r>
      <w:r w:rsidRPr="00F00002">
        <w:tab/>
        <w:t>a pension for the purposes of the SIS Act in accordance with subregulation</w:t>
      </w:r>
      <w:r w:rsidR="00F00002">
        <w:t> </w:t>
      </w:r>
      <w:r w:rsidRPr="00F00002">
        <w:t>1.06(1) of the SIS Regulations; or</w:t>
      </w:r>
    </w:p>
    <w:p w:rsidR="00AD0A35" w:rsidRPr="00F00002" w:rsidRDefault="00AD0A35" w:rsidP="00D150ED">
      <w:pPr>
        <w:pStyle w:val="paragraphsub"/>
      </w:pPr>
      <w:r w:rsidRPr="00F00002">
        <w:lastRenderedPageBreak/>
        <w:tab/>
        <w:t>(iii)</w:t>
      </w:r>
      <w:r w:rsidRPr="00F00002">
        <w:tab/>
        <w:t>a pension for the purposes of the RSA Act in accordance with regulation</w:t>
      </w:r>
      <w:r w:rsidR="00F00002">
        <w:t> </w:t>
      </w:r>
      <w:r w:rsidRPr="00F00002">
        <w:t>1.07 of the RSA Regulations; or</w:t>
      </w:r>
    </w:p>
    <w:p w:rsidR="00AD0A35" w:rsidRPr="00F00002" w:rsidRDefault="00AD0A35" w:rsidP="00D150ED">
      <w:pPr>
        <w:pStyle w:val="paragraph"/>
      </w:pPr>
      <w:r w:rsidRPr="00F00002">
        <w:tab/>
        <w:t>(b)</w:t>
      </w:r>
      <w:r w:rsidRPr="00F00002">
        <w:tab/>
        <w:t>an income stream that:</w:t>
      </w:r>
    </w:p>
    <w:p w:rsidR="00AD0A35" w:rsidRPr="00F00002" w:rsidRDefault="00AD0A35" w:rsidP="00D150ED">
      <w:pPr>
        <w:pStyle w:val="paragraphsub"/>
      </w:pPr>
      <w:r w:rsidRPr="00F00002">
        <w:rPr>
          <w:color w:val="000000"/>
        </w:rPr>
        <w:tab/>
        <w:t>(i)</w:t>
      </w:r>
      <w:r w:rsidRPr="00F00002">
        <w:rPr>
          <w:color w:val="000000"/>
        </w:rPr>
        <w:tab/>
        <w:t>is an annuity or pension within the meaning of the SIS Act; and</w:t>
      </w:r>
    </w:p>
    <w:p w:rsidR="00AD0A35" w:rsidRPr="00F00002" w:rsidRDefault="00AD0A35" w:rsidP="00D150ED">
      <w:pPr>
        <w:pStyle w:val="paragraphsub"/>
      </w:pPr>
      <w:r w:rsidRPr="00F00002">
        <w:tab/>
        <w:t>(ii)</w:t>
      </w:r>
      <w:r w:rsidRPr="00F00002">
        <w:tab/>
        <w:t>commenced before 20</w:t>
      </w:r>
      <w:r w:rsidR="00F00002">
        <w:t> </w:t>
      </w:r>
      <w:r w:rsidRPr="00F00002">
        <w:t>September 2007</w:t>
      </w:r>
      <w:r w:rsidR="00604EC9" w:rsidRPr="00F00002">
        <w:t>; or</w:t>
      </w:r>
    </w:p>
    <w:p w:rsidR="00604EC9" w:rsidRPr="00F00002" w:rsidRDefault="00604EC9" w:rsidP="00604EC9">
      <w:pPr>
        <w:pStyle w:val="paragraph"/>
      </w:pPr>
      <w:r w:rsidRPr="00F00002">
        <w:tab/>
        <w:t>(c)</w:t>
      </w:r>
      <w:r w:rsidRPr="00F00002">
        <w:tab/>
        <w:t>a deferred superannuation income stream that is taken to be:</w:t>
      </w:r>
    </w:p>
    <w:p w:rsidR="00604EC9" w:rsidRPr="00F00002" w:rsidRDefault="00604EC9" w:rsidP="00604EC9">
      <w:pPr>
        <w:pStyle w:val="paragraphsub"/>
      </w:pPr>
      <w:r w:rsidRPr="00F00002">
        <w:tab/>
        <w:t>(i)</w:t>
      </w:r>
      <w:r w:rsidRPr="00F00002">
        <w:tab/>
        <w:t>an annuity for the purposes of the SIS Act in accordance with subregulation</w:t>
      </w:r>
      <w:r w:rsidR="00F00002">
        <w:t> </w:t>
      </w:r>
      <w:r w:rsidRPr="00F00002">
        <w:t>1.05(1) of the SIS Regulations because the contract for the provision of the income stream meets the standards of subregulation</w:t>
      </w:r>
      <w:r w:rsidR="00F00002">
        <w:t> </w:t>
      </w:r>
      <w:r w:rsidRPr="00F00002">
        <w:t>1.06A(2) of the SIS Regulations; or</w:t>
      </w:r>
    </w:p>
    <w:p w:rsidR="00604EC9" w:rsidRPr="00F00002" w:rsidRDefault="00604EC9" w:rsidP="00604EC9">
      <w:pPr>
        <w:pStyle w:val="paragraphsub"/>
      </w:pPr>
      <w:r w:rsidRPr="00F00002">
        <w:tab/>
        <w:t>(ii)</w:t>
      </w:r>
      <w:r w:rsidRPr="00F00002">
        <w:tab/>
        <w:t>a pension for the purposes of the SIS Act in accordance with subregulation</w:t>
      </w:r>
      <w:r w:rsidR="00F00002">
        <w:t> </w:t>
      </w:r>
      <w:r w:rsidRPr="00F00002">
        <w:t>1.06(1) of the SIS Regulations because the rules for the provision of the income stream meet the standards of subregulation</w:t>
      </w:r>
      <w:r w:rsidR="00F00002">
        <w:t> </w:t>
      </w:r>
      <w:r w:rsidRPr="00F00002">
        <w:t>1.06A(2) of the SIS Regulations</w:t>
      </w:r>
      <w:r w:rsidR="00B71232" w:rsidRPr="00F00002">
        <w:t>; or</w:t>
      </w:r>
    </w:p>
    <w:p w:rsidR="00B71232" w:rsidRPr="00F00002" w:rsidRDefault="00B71232" w:rsidP="00B71232">
      <w:pPr>
        <w:pStyle w:val="paragraph"/>
      </w:pPr>
      <w:r w:rsidRPr="00F00002">
        <w:tab/>
        <w:t>(d)</w:t>
      </w:r>
      <w:r w:rsidRPr="00F00002">
        <w:tab/>
        <w:t>for the purposes of sections</w:t>
      </w:r>
      <w:r w:rsidR="00F00002">
        <w:t> </w:t>
      </w:r>
      <w:r w:rsidRPr="00F00002">
        <w:t>295</w:t>
      </w:r>
      <w:r w:rsidR="00F00002">
        <w:noBreakHyphen/>
      </w:r>
      <w:r w:rsidRPr="00F00002">
        <w:t>385, 295</w:t>
      </w:r>
      <w:r w:rsidR="00F00002">
        <w:noBreakHyphen/>
      </w:r>
      <w:r w:rsidRPr="00F00002">
        <w:t>390, 295</w:t>
      </w:r>
      <w:r w:rsidR="00F00002">
        <w:noBreakHyphen/>
      </w:r>
      <w:r w:rsidRPr="00F00002">
        <w:t>395, 320</w:t>
      </w:r>
      <w:r w:rsidR="00F00002">
        <w:noBreakHyphen/>
      </w:r>
      <w:r w:rsidRPr="00F00002">
        <w:t>246 and 320</w:t>
      </w:r>
      <w:r w:rsidR="00F00002">
        <w:noBreakHyphen/>
      </w:r>
      <w:r w:rsidRPr="00F00002">
        <w:t>247 of the Act—one or more rights (whether contingent or not), to the extent that they are covered by subregulation (3).</w:t>
      </w:r>
    </w:p>
    <w:p w:rsidR="0099288A" w:rsidRPr="00F00002" w:rsidRDefault="0099288A" w:rsidP="0099288A">
      <w:pPr>
        <w:pStyle w:val="Definition"/>
      </w:pPr>
      <w:r w:rsidRPr="00F00002">
        <w:rPr>
          <w:b/>
          <w:i/>
        </w:rPr>
        <w:t>superannuation income stream benefit</w:t>
      </w:r>
      <w:r w:rsidRPr="00F00002">
        <w:t>: see subregulations (2) to (5).</w:t>
      </w:r>
    </w:p>
    <w:p w:rsidR="00AD0A35" w:rsidRPr="00F00002" w:rsidRDefault="00AD0A35" w:rsidP="00D150ED">
      <w:pPr>
        <w:pStyle w:val="Definition"/>
      </w:pPr>
      <w:r w:rsidRPr="00F00002">
        <w:rPr>
          <w:b/>
          <w:i/>
        </w:rPr>
        <w:t>superannuation salary</w:t>
      </w:r>
      <w:r w:rsidRPr="00F00002">
        <w:t xml:space="preserve"> means the salary used to determine a person’s entitlement to superannuation benefits.</w:t>
      </w:r>
    </w:p>
    <w:p w:rsidR="00AD0A35" w:rsidRPr="00F00002" w:rsidRDefault="00AD0A35" w:rsidP="00D150ED">
      <w:pPr>
        <w:pStyle w:val="Definition"/>
      </w:pPr>
      <w:r w:rsidRPr="00F00002">
        <w:rPr>
          <w:b/>
          <w:i/>
        </w:rPr>
        <w:t>terminal medical condition</w:t>
      </w:r>
      <w:r w:rsidRPr="00F00002">
        <w:t xml:space="preserve"> has the meaning given by regulation</w:t>
      </w:r>
      <w:r w:rsidR="00F00002">
        <w:t> </w:t>
      </w:r>
      <w:r w:rsidRPr="00F00002">
        <w:t>303–10.01.</w:t>
      </w:r>
    </w:p>
    <w:p w:rsidR="00B71232" w:rsidRPr="00F00002" w:rsidRDefault="00B71232" w:rsidP="00B71232">
      <w:pPr>
        <w:pStyle w:val="subsection"/>
      </w:pPr>
      <w:r w:rsidRPr="00F00002">
        <w:tab/>
        <w:t>(2)</w:t>
      </w:r>
      <w:r w:rsidRPr="00F00002">
        <w:tab/>
        <w:t>Subregulation (3) applies if:</w:t>
      </w:r>
    </w:p>
    <w:p w:rsidR="00B71232" w:rsidRPr="00F00002" w:rsidRDefault="00B71232" w:rsidP="00B71232">
      <w:pPr>
        <w:pStyle w:val="paragraph"/>
      </w:pPr>
      <w:r w:rsidRPr="00F00002">
        <w:tab/>
        <w:t>(a)</w:t>
      </w:r>
      <w:r w:rsidRPr="00F00002">
        <w:tab/>
        <w:t xml:space="preserve">immediately before the death of a person (the </w:t>
      </w:r>
      <w:r w:rsidRPr="00F00002">
        <w:rPr>
          <w:b/>
          <w:i/>
        </w:rPr>
        <w:t>deceased</w:t>
      </w:r>
      <w:r w:rsidRPr="00F00002">
        <w:t>), a superannuation interest was supporting a superannuation income stream payable to the deceased; and</w:t>
      </w:r>
    </w:p>
    <w:p w:rsidR="00B71232" w:rsidRPr="00F00002" w:rsidRDefault="00B71232" w:rsidP="00B71232">
      <w:pPr>
        <w:pStyle w:val="paragraph"/>
      </w:pPr>
      <w:r w:rsidRPr="00F00002">
        <w:tab/>
        <w:t>(b)</w:t>
      </w:r>
      <w:r w:rsidRPr="00F00002">
        <w:tab/>
        <w:t>the superannuation income stream did not automatically revert to another person on the death of the deceased; and</w:t>
      </w:r>
    </w:p>
    <w:p w:rsidR="00B71232" w:rsidRPr="00F00002" w:rsidRDefault="00B71232" w:rsidP="00B71232">
      <w:pPr>
        <w:pStyle w:val="paragraph"/>
      </w:pPr>
      <w:r w:rsidRPr="00F00002">
        <w:tab/>
        <w:t>(c)</w:t>
      </w:r>
      <w:r w:rsidRPr="00F00002">
        <w:tab/>
        <w:t>one or more other persons each have a right (whether contingent or not) to be paid an amount that will be a superannuation benefit from the superannuation interest; and</w:t>
      </w:r>
    </w:p>
    <w:p w:rsidR="00B71232" w:rsidRPr="00F00002" w:rsidRDefault="00B71232" w:rsidP="00B71232">
      <w:pPr>
        <w:pStyle w:val="paragraph"/>
      </w:pPr>
      <w:r w:rsidRPr="00F00002">
        <w:tab/>
        <w:t>(d)</w:t>
      </w:r>
      <w:r w:rsidRPr="00F00002">
        <w:tab/>
        <w:t xml:space="preserve">each such right arises on the death of the deceased, and ceases to exist immediately after the payment of the amount mentioned in </w:t>
      </w:r>
      <w:r w:rsidR="00F00002">
        <w:t>paragraph (</w:t>
      </w:r>
      <w:r w:rsidRPr="00F00002">
        <w:t>c).</w:t>
      </w:r>
    </w:p>
    <w:p w:rsidR="00B71232" w:rsidRPr="00F00002" w:rsidRDefault="00B71232" w:rsidP="00B71232">
      <w:pPr>
        <w:pStyle w:val="subsection"/>
      </w:pPr>
      <w:r w:rsidRPr="00F00002">
        <w:tab/>
        <w:t>(3)</w:t>
      </w:r>
      <w:r w:rsidRPr="00F00002">
        <w:tab/>
        <w:t xml:space="preserve">For the purposes of </w:t>
      </w:r>
      <w:r w:rsidR="00F00002">
        <w:t>paragraph (</w:t>
      </w:r>
      <w:r w:rsidRPr="00F00002">
        <w:t xml:space="preserve">d) of the definition of </w:t>
      </w:r>
      <w:r w:rsidRPr="00F00002">
        <w:rPr>
          <w:b/>
          <w:i/>
        </w:rPr>
        <w:t>superannuation income stream</w:t>
      </w:r>
      <w:r w:rsidRPr="00F00002">
        <w:t xml:space="preserve"> in subregulation (1), this subregulation covers each such right, to the extent that the value of the superannuation interest has not increased (other than through investment earnings) on or after the deceased’s death.</w:t>
      </w:r>
    </w:p>
    <w:p w:rsidR="00B71232" w:rsidRPr="00F00002" w:rsidRDefault="00B71232" w:rsidP="00B71232">
      <w:pPr>
        <w:pStyle w:val="subsection"/>
      </w:pPr>
      <w:r w:rsidRPr="00F00002">
        <w:tab/>
        <w:t>(4)</w:t>
      </w:r>
      <w:r w:rsidRPr="00F00002">
        <w:tab/>
        <w:t>Subregulations (4A) and (4B) apply if:</w:t>
      </w:r>
    </w:p>
    <w:p w:rsidR="00B71232" w:rsidRPr="00F00002" w:rsidRDefault="00B71232" w:rsidP="00B71232">
      <w:pPr>
        <w:pStyle w:val="paragraph"/>
      </w:pPr>
      <w:r w:rsidRPr="00F00002">
        <w:lastRenderedPageBreak/>
        <w:tab/>
        <w:t>(a)</w:t>
      </w:r>
      <w:r w:rsidRPr="00F00002">
        <w:tab/>
        <w:t xml:space="preserve">immediately before the death of a person (the </w:t>
      </w:r>
      <w:r w:rsidRPr="00F00002">
        <w:rPr>
          <w:b/>
          <w:i/>
        </w:rPr>
        <w:t>deceased</w:t>
      </w:r>
      <w:r w:rsidRPr="00F00002">
        <w:t>), a superannuation interest was supporting a superannuation income stream payable to the deceased; and</w:t>
      </w:r>
    </w:p>
    <w:p w:rsidR="00B71232" w:rsidRPr="00F00002" w:rsidRDefault="00B71232" w:rsidP="00B71232">
      <w:pPr>
        <w:pStyle w:val="paragraph"/>
      </w:pPr>
      <w:r w:rsidRPr="00F00002">
        <w:tab/>
        <w:t>(b)</w:t>
      </w:r>
      <w:r w:rsidRPr="00F00002">
        <w:tab/>
        <w:t>the superannuation income stream did not automatically revert to another person on the death of the deceased; and</w:t>
      </w:r>
    </w:p>
    <w:p w:rsidR="00B71232" w:rsidRPr="00F00002" w:rsidRDefault="00B71232" w:rsidP="00B71232">
      <w:pPr>
        <w:pStyle w:val="paragraph"/>
      </w:pPr>
      <w:r w:rsidRPr="00F00002">
        <w:tab/>
        <w:t>(c)</w:t>
      </w:r>
      <w:r w:rsidRPr="00F00002">
        <w:tab/>
        <w:t>one or more persons each have a right (whether contingent or not) to commence a new superannuation income stream using an amount applied from the superannuation interest; and</w:t>
      </w:r>
    </w:p>
    <w:p w:rsidR="00B71232" w:rsidRPr="00F00002" w:rsidRDefault="00B71232" w:rsidP="00B71232">
      <w:pPr>
        <w:pStyle w:val="paragraph"/>
      </w:pPr>
      <w:r w:rsidRPr="00F00002">
        <w:tab/>
        <w:t>(d)</w:t>
      </w:r>
      <w:r w:rsidRPr="00F00002">
        <w:tab/>
        <w:t xml:space="preserve">each such right arises on the death of the deceased, and ceases to exist at the time the relevant new superannuation income stream commences (disregarding </w:t>
      </w:r>
      <w:r w:rsidR="00F00002">
        <w:t>paragraph (</w:t>
      </w:r>
      <w:r w:rsidRPr="00F00002">
        <w:t>4A)(a)); and</w:t>
      </w:r>
    </w:p>
    <w:p w:rsidR="00B71232" w:rsidRPr="00F00002" w:rsidRDefault="00B71232" w:rsidP="00B71232">
      <w:pPr>
        <w:pStyle w:val="paragraph"/>
      </w:pPr>
      <w:r w:rsidRPr="00F00002">
        <w:tab/>
        <w:t>(e)</w:t>
      </w:r>
      <w:r w:rsidRPr="00F00002">
        <w:tab/>
        <w:t xml:space="preserve">each of the new income streams is of a kind mentioned in </w:t>
      </w:r>
      <w:r w:rsidR="00F00002">
        <w:t>paragraph (</w:t>
      </w:r>
      <w:r w:rsidRPr="00F00002">
        <w:t xml:space="preserve">a) of the definition of </w:t>
      </w:r>
      <w:r w:rsidRPr="00F00002">
        <w:rPr>
          <w:b/>
          <w:i/>
        </w:rPr>
        <w:t>superannuation income stream</w:t>
      </w:r>
      <w:r w:rsidRPr="00F00002">
        <w:t xml:space="preserve"> in subregulation (1).</w:t>
      </w:r>
    </w:p>
    <w:p w:rsidR="00B71232" w:rsidRPr="00F00002" w:rsidRDefault="00B71232" w:rsidP="00B71232">
      <w:pPr>
        <w:pStyle w:val="subsection"/>
      </w:pPr>
      <w:r w:rsidRPr="00F00002">
        <w:tab/>
        <w:t>(4A)</w:t>
      </w:r>
      <w:r w:rsidRPr="00F00002">
        <w:tab/>
        <w:t>For the purposes of sections</w:t>
      </w:r>
      <w:r w:rsidR="00F00002">
        <w:t> </w:t>
      </w:r>
      <w:r w:rsidRPr="00F00002">
        <w:t>295</w:t>
      </w:r>
      <w:r w:rsidR="00F00002">
        <w:noBreakHyphen/>
      </w:r>
      <w:r w:rsidRPr="00F00002">
        <w:t>385, 295</w:t>
      </w:r>
      <w:r w:rsidR="00F00002">
        <w:noBreakHyphen/>
      </w:r>
      <w:r w:rsidRPr="00F00002">
        <w:t>390, 295</w:t>
      </w:r>
      <w:r w:rsidR="00F00002">
        <w:noBreakHyphen/>
      </w:r>
      <w:r w:rsidRPr="00F00002">
        <w:t>395, 320</w:t>
      </w:r>
      <w:r w:rsidR="00F00002">
        <w:noBreakHyphen/>
      </w:r>
      <w:r w:rsidRPr="00F00002">
        <w:t>246 and 320</w:t>
      </w:r>
      <w:r w:rsidR="00F00002">
        <w:noBreakHyphen/>
      </w:r>
      <w:r w:rsidRPr="00F00002">
        <w:t xml:space="preserve">247 of the Act, in applying </w:t>
      </w:r>
      <w:r w:rsidR="00F00002">
        <w:t>paragraph (</w:t>
      </w:r>
      <w:r w:rsidRPr="00F00002">
        <w:t xml:space="preserve">a) of the definition of </w:t>
      </w:r>
      <w:r w:rsidRPr="00F00002">
        <w:rPr>
          <w:b/>
          <w:i/>
        </w:rPr>
        <w:t>superannuation income stream</w:t>
      </w:r>
      <w:r w:rsidRPr="00F00002">
        <w:t xml:space="preserve"> in subregulation (1):</w:t>
      </w:r>
    </w:p>
    <w:p w:rsidR="00B71232" w:rsidRPr="00F00002" w:rsidRDefault="00B71232" w:rsidP="00B71232">
      <w:pPr>
        <w:pStyle w:val="paragraph"/>
      </w:pPr>
      <w:r w:rsidRPr="00F00002">
        <w:tab/>
        <w:t>(a)</w:t>
      </w:r>
      <w:r w:rsidRPr="00F00002">
        <w:tab/>
        <w:t xml:space="preserve">treat each new superannuation income stream mentioned in </w:t>
      </w:r>
      <w:r w:rsidR="00F00002">
        <w:t>paragraph (</w:t>
      </w:r>
      <w:r w:rsidRPr="00F00002">
        <w:t>4)(c) as commencing on the death of the deceased; and</w:t>
      </w:r>
    </w:p>
    <w:p w:rsidR="00B71232" w:rsidRPr="00F00002" w:rsidRDefault="00B71232" w:rsidP="00B71232">
      <w:pPr>
        <w:pStyle w:val="paragraph"/>
      </w:pPr>
      <w:r w:rsidRPr="00F00002">
        <w:tab/>
        <w:t>(b)</w:t>
      </w:r>
      <w:r w:rsidRPr="00F00002">
        <w:tab/>
        <w:t>during the period:</w:t>
      </w:r>
    </w:p>
    <w:p w:rsidR="00B71232" w:rsidRPr="00F00002" w:rsidRDefault="00B71232" w:rsidP="00B71232">
      <w:pPr>
        <w:pStyle w:val="paragraphsub"/>
      </w:pPr>
      <w:r w:rsidRPr="00F00002">
        <w:tab/>
        <w:t>(i)</w:t>
      </w:r>
      <w:r w:rsidRPr="00F00002">
        <w:tab/>
        <w:t>starting on the death of the deceased; and</w:t>
      </w:r>
    </w:p>
    <w:p w:rsidR="00B71232" w:rsidRPr="00F00002" w:rsidRDefault="00B71232" w:rsidP="00B71232">
      <w:pPr>
        <w:pStyle w:val="paragraphsub"/>
      </w:pPr>
      <w:r w:rsidRPr="00F00002">
        <w:tab/>
        <w:t>(ii)</w:t>
      </w:r>
      <w:r w:rsidRPr="00F00002">
        <w:tab/>
        <w:t xml:space="preserve">ending at the time the new superannuation income stream commences (disregarding </w:t>
      </w:r>
      <w:r w:rsidR="00F00002">
        <w:t>paragraph (</w:t>
      </w:r>
      <w:r w:rsidRPr="00F00002">
        <w:t>a));</w:t>
      </w:r>
    </w:p>
    <w:p w:rsidR="00B71232" w:rsidRPr="00F00002" w:rsidRDefault="00B71232" w:rsidP="00B71232">
      <w:pPr>
        <w:pStyle w:val="paragraph"/>
      </w:pPr>
      <w:r w:rsidRPr="00F00002">
        <w:tab/>
      </w:r>
      <w:r w:rsidRPr="00F00002">
        <w:tab/>
        <w:t>take account of the value of the superannuation interest only to the extent that the value has not increased (other than through investment earnings) on or after the deceased’s death.</w:t>
      </w:r>
    </w:p>
    <w:p w:rsidR="00B71232" w:rsidRPr="00F00002" w:rsidRDefault="00B71232" w:rsidP="00B71232">
      <w:pPr>
        <w:pStyle w:val="subsection"/>
      </w:pPr>
      <w:r w:rsidRPr="00F00002">
        <w:tab/>
        <w:t>(4B)</w:t>
      </w:r>
      <w:r w:rsidRPr="00F00002">
        <w:tab/>
        <w:t xml:space="preserve">For the purposes of subregulations (2) and (3), disregard a right mentioned in </w:t>
      </w:r>
      <w:r w:rsidR="00F00002">
        <w:t>paragraph (</w:t>
      </w:r>
      <w:r w:rsidRPr="00F00002">
        <w:t>4)(c).</w:t>
      </w:r>
    </w:p>
    <w:p w:rsidR="00D14E2D" w:rsidRPr="00F00002" w:rsidRDefault="00D14E2D" w:rsidP="00D14E2D">
      <w:pPr>
        <w:pStyle w:val="subsection"/>
      </w:pPr>
      <w:r w:rsidRPr="00F00002">
        <w:tab/>
        <w:t>(5)</w:t>
      </w:r>
      <w:r w:rsidRPr="00F00002">
        <w:tab/>
        <w:t>In this regulation:</w:t>
      </w:r>
    </w:p>
    <w:p w:rsidR="00D14E2D" w:rsidRPr="00F00002" w:rsidRDefault="00D14E2D" w:rsidP="00D14E2D">
      <w:pPr>
        <w:pStyle w:val="Definition"/>
      </w:pPr>
      <w:r w:rsidRPr="00F00002">
        <w:rPr>
          <w:b/>
          <w:i/>
        </w:rPr>
        <w:t>investment earnings</w:t>
      </w:r>
      <w:r w:rsidRPr="00F00002">
        <w:t xml:space="preserve"> does not include:</w:t>
      </w:r>
    </w:p>
    <w:p w:rsidR="00D14E2D" w:rsidRPr="00F00002" w:rsidRDefault="00D14E2D" w:rsidP="00D14E2D">
      <w:pPr>
        <w:pStyle w:val="paragraph"/>
      </w:pPr>
      <w:r w:rsidRPr="00F00002">
        <w:tab/>
        <w:t>(a)</w:t>
      </w:r>
      <w:r w:rsidRPr="00F00002">
        <w:tab/>
        <w:t>an amount paid under a policy of insurance on the life of the deceased; or</w:t>
      </w:r>
    </w:p>
    <w:p w:rsidR="00D14E2D" w:rsidRPr="00F00002" w:rsidRDefault="00D14E2D" w:rsidP="00D14E2D">
      <w:pPr>
        <w:pStyle w:val="paragraph"/>
        <w:rPr>
          <w:strike/>
        </w:rPr>
      </w:pPr>
      <w:r w:rsidRPr="00F00002">
        <w:tab/>
        <w:t>(b)</w:t>
      </w:r>
      <w:r w:rsidRPr="00F00002">
        <w:tab/>
        <w:t>an amount arising from self</w:t>
      </w:r>
      <w:r w:rsidR="00F00002">
        <w:noBreakHyphen/>
      </w:r>
      <w:r w:rsidRPr="00F00002">
        <w:t>insurance.</w:t>
      </w:r>
    </w:p>
    <w:p w:rsidR="00AD0A35" w:rsidRPr="00F00002" w:rsidRDefault="00AD0A35" w:rsidP="00D150ED">
      <w:pPr>
        <w:pStyle w:val="ActHead5"/>
      </w:pPr>
      <w:bookmarkStart w:id="190" w:name="_Toc31109763"/>
      <w:r w:rsidRPr="00A26088">
        <w:rPr>
          <w:rStyle w:val="CharSectno"/>
        </w:rPr>
        <w:t>995</w:t>
      </w:r>
      <w:r w:rsidR="00F00002" w:rsidRPr="00A26088">
        <w:rPr>
          <w:rStyle w:val="CharSectno"/>
        </w:rPr>
        <w:noBreakHyphen/>
      </w:r>
      <w:r w:rsidRPr="00A26088">
        <w:rPr>
          <w:rStyle w:val="CharSectno"/>
        </w:rPr>
        <w:t>1.04</w:t>
      </w:r>
      <w:r w:rsidR="00D150ED" w:rsidRPr="00F00002">
        <w:t xml:space="preserve">  </w:t>
      </w:r>
      <w:r w:rsidRPr="00F00002">
        <w:t>Constitutionally protected funds</w:t>
      </w:r>
      <w:bookmarkEnd w:id="190"/>
    </w:p>
    <w:p w:rsidR="00AD0A35" w:rsidRPr="00F00002" w:rsidRDefault="00AD0A35" w:rsidP="00D150ED">
      <w:pPr>
        <w:pStyle w:val="subsection"/>
      </w:pPr>
      <w:r w:rsidRPr="00F00002">
        <w:tab/>
      </w:r>
      <w:r w:rsidRPr="00F00002">
        <w:tab/>
        <w:t xml:space="preserve">For the definition of </w:t>
      </w:r>
      <w:r w:rsidRPr="00F00002">
        <w:rPr>
          <w:b/>
          <w:i/>
        </w:rPr>
        <w:t>constitutionally protected fund</w:t>
      </w:r>
      <w:r w:rsidRPr="00F00002">
        <w:t xml:space="preserve"> in subsection</w:t>
      </w:r>
      <w:r w:rsidR="00F00002">
        <w:t> </w:t>
      </w:r>
      <w:r w:rsidRPr="00F00002">
        <w:t>995</w:t>
      </w:r>
      <w:r w:rsidR="00F00002">
        <w:noBreakHyphen/>
      </w:r>
      <w:r w:rsidRPr="00F00002">
        <w:t>1(1) of the Act, a fund:</w:t>
      </w:r>
    </w:p>
    <w:p w:rsidR="00AD0A35" w:rsidRPr="00F00002" w:rsidRDefault="00AD0A35" w:rsidP="00D150ED">
      <w:pPr>
        <w:pStyle w:val="paragraph"/>
      </w:pPr>
      <w:r w:rsidRPr="00F00002">
        <w:rPr>
          <w:color w:val="000000"/>
        </w:rPr>
        <w:tab/>
        <w:t>(a)</w:t>
      </w:r>
      <w:r w:rsidRPr="00F00002">
        <w:rPr>
          <w:color w:val="000000"/>
        </w:rPr>
        <w:tab/>
        <w:t>of the kind to which, in the absence of item</w:t>
      </w:r>
      <w:r w:rsidR="00F00002">
        <w:rPr>
          <w:color w:val="000000"/>
        </w:rPr>
        <w:t> </w:t>
      </w:r>
      <w:r w:rsidRPr="00F00002">
        <w:rPr>
          <w:color w:val="000000"/>
        </w:rPr>
        <w:t>5.3 of section</w:t>
      </w:r>
      <w:r w:rsidR="00F00002">
        <w:rPr>
          <w:color w:val="000000"/>
        </w:rPr>
        <w:t> </w:t>
      </w:r>
      <w:r w:rsidRPr="00F00002">
        <w:rPr>
          <w:color w:val="000000"/>
        </w:rPr>
        <w:t>50</w:t>
      </w:r>
      <w:r w:rsidR="00F00002">
        <w:rPr>
          <w:color w:val="000000"/>
        </w:rPr>
        <w:noBreakHyphen/>
      </w:r>
      <w:r w:rsidRPr="00F00002">
        <w:rPr>
          <w:color w:val="000000"/>
        </w:rPr>
        <w:t xml:space="preserve">25 of the Act, </w:t>
      </w:r>
      <w:r w:rsidR="00D150ED" w:rsidRPr="00F00002">
        <w:rPr>
          <w:color w:val="000000"/>
        </w:rPr>
        <w:t>Division</w:t>
      </w:r>
      <w:r w:rsidR="00F00002">
        <w:rPr>
          <w:color w:val="000000"/>
        </w:rPr>
        <w:t> </w:t>
      </w:r>
      <w:r w:rsidRPr="00F00002">
        <w:rPr>
          <w:color w:val="000000"/>
        </w:rPr>
        <w:t>295 of the Act would apply; and</w:t>
      </w:r>
    </w:p>
    <w:p w:rsidR="00AD0A35" w:rsidRPr="00F00002" w:rsidRDefault="00AD0A35" w:rsidP="00D150ED">
      <w:pPr>
        <w:pStyle w:val="paragraph"/>
      </w:pPr>
      <w:r w:rsidRPr="00F00002">
        <w:tab/>
        <w:t>(b)</w:t>
      </w:r>
      <w:r w:rsidRPr="00F00002">
        <w:tab/>
        <w:t>established by:</w:t>
      </w:r>
    </w:p>
    <w:p w:rsidR="00AD0A35" w:rsidRPr="00F00002" w:rsidRDefault="00AD0A35" w:rsidP="00D150ED">
      <w:pPr>
        <w:pStyle w:val="paragraphsub"/>
      </w:pPr>
      <w:r w:rsidRPr="00F00002">
        <w:rPr>
          <w:color w:val="000000"/>
        </w:rPr>
        <w:tab/>
        <w:t>(i)</w:t>
      </w:r>
      <w:r w:rsidRPr="00F00002">
        <w:rPr>
          <w:color w:val="000000"/>
        </w:rPr>
        <w:tab/>
        <w:t xml:space="preserve">a State Act mentioned in </w:t>
      </w:r>
      <w:r w:rsidR="00D150ED" w:rsidRPr="00F00002">
        <w:rPr>
          <w:color w:val="000000"/>
        </w:rPr>
        <w:t>Schedule</w:t>
      </w:r>
      <w:r w:rsidR="00F00002">
        <w:rPr>
          <w:color w:val="000000"/>
        </w:rPr>
        <w:t> </w:t>
      </w:r>
      <w:r w:rsidRPr="00F00002">
        <w:rPr>
          <w:color w:val="000000"/>
        </w:rPr>
        <w:t>4; or</w:t>
      </w:r>
    </w:p>
    <w:p w:rsidR="00AD0A35" w:rsidRPr="00F00002" w:rsidRDefault="00AD0A35" w:rsidP="00D150ED">
      <w:pPr>
        <w:pStyle w:val="paragraphsub"/>
      </w:pPr>
      <w:r w:rsidRPr="00F00002">
        <w:tab/>
        <w:t>(ii)</w:t>
      </w:r>
      <w:r w:rsidRPr="00F00002">
        <w:tab/>
        <w:t xml:space="preserve">a specified provision of a State Act mentioned in </w:t>
      </w:r>
      <w:r w:rsidR="00D150ED" w:rsidRPr="00F00002">
        <w:t>Schedule</w:t>
      </w:r>
      <w:r w:rsidR="00F00002">
        <w:t> </w:t>
      </w:r>
      <w:r w:rsidRPr="00F00002">
        <w:t>4;</w:t>
      </w:r>
    </w:p>
    <w:p w:rsidR="00AD0A35" w:rsidRPr="00F00002" w:rsidRDefault="00AD0A35" w:rsidP="00D150ED">
      <w:pPr>
        <w:pStyle w:val="subsection2"/>
      </w:pPr>
      <w:r w:rsidRPr="00F00002">
        <w:lastRenderedPageBreak/>
        <w:t>is a constitutionally protected fund.</w:t>
      </w:r>
    </w:p>
    <w:p w:rsidR="00885510" w:rsidRPr="00F00002" w:rsidRDefault="00885510" w:rsidP="00D150ED">
      <w:pPr>
        <w:pStyle w:val="ActHead5"/>
        <w:rPr>
          <w:color w:val="000000"/>
        </w:rPr>
      </w:pPr>
      <w:bookmarkStart w:id="191" w:name="_Toc31109764"/>
      <w:r w:rsidRPr="00A26088">
        <w:rPr>
          <w:rStyle w:val="CharSectno"/>
        </w:rPr>
        <w:t>995</w:t>
      </w:r>
      <w:r w:rsidR="00F00002" w:rsidRPr="00A26088">
        <w:rPr>
          <w:rStyle w:val="CharSectno"/>
        </w:rPr>
        <w:noBreakHyphen/>
      </w:r>
      <w:r w:rsidRPr="00A26088">
        <w:rPr>
          <w:rStyle w:val="CharSectno"/>
        </w:rPr>
        <w:t>1.05</w:t>
      </w:r>
      <w:r w:rsidR="00D150ED" w:rsidRPr="00F00002">
        <w:rPr>
          <w:color w:val="000000"/>
        </w:rPr>
        <w:t xml:space="preserve">  </w:t>
      </w:r>
      <w:r w:rsidRPr="00F00002">
        <w:t>Approved stock exchanges</w:t>
      </w:r>
      <w:bookmarkEnd w:id="191"/>
    </w:p>
    <w:p w:rsidR="00AD0A35" w:rsidRPr="00F00002" w:rsidRDefault="00AD0A35" w:rsidP="00D150ED">
      <w:pPr>
        <w:pStyle w:val="subsection"/>
      </w:pPr>
      <w:r w:rsidRPr="00F00002">
        <w:tab/>
      </w:r>
      <w:r w:rsidRPr="00F00002">
        <w:tab/>
        <w:t xml:space="preserve">The stock exchanges specified in </w:t>
      </w:r>
      <w:r w:rsidR="00D150ED" w:rsidRPr="00F00002">
        <w:t>Schedule</w:t>
      </w:r>
      <w:r w:rsidR="00F00002">
        <w:t> </w:t>
      </w:r>
      <w:r w:rsidRPr="00F00002">
        <w:t xml:space="preserve">5 are named for the purposes of the definition of </w:t>
      </w:r>
      <w:r w:rsidRPr="00F00002">
        <w:rPr>
          <w:b/>
          <w:i/>
        </w:rPr>
        <w:t>approved stock exchange</w:t>
      </w:r>
      <w:r w:rsidRPr="00F00002">
        <w:t xml:space="preserve"> in subsection</w:t>
      </w:r>
      <w:r w:rsidR="00F00002">
        <w:t> </w:t>
      </w:r>
      <w:r w:rsidRPr="00F00002">
        <w:t>995</w:t>
      </w:r>
      <w:r w:rsidR="00F00002">
        <w:noBreakHyphen/>
      </w:r>
      <w:r w:rsidR="00D150ED" w:rsidRPr="00F00002">
        <w:t>1(</w:t>
      </w:r>
      <w:r w:rsidRPr="00F00002">
        <w:t>1) of the Act.</w:t>
      </w:r>
    </w:p>
    <w:p w:rsidR="00D150ED" w:rsidRPr="00F00002" w:rsidRDefault="00D150ED" w:rsidP="00DF44F8">
      <w:pPr>
        <w:sectPr w:rsidR="00D150ED" w:rsidRPr="00F00002" w:rsidSect="008035BA">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pgNumType w:start="1"/>
          <w:cols w:space="708"/>
          <w:docGrid w:linePitch="360"/>
        </w:sectPr>
      </w:pPr>
      <w:bookmarkStart w:id="192" w:name="OPCSB_BodyPrincipleB5"/>
    </w:p>
    <w:p w:rsidR="00BB4501" w:rsidRPr="00F00002" w:rsidRDefault="00D150ED" w:rsidP="002D5625">
      <w:pPr>
        <w:pStyle w:val="ActHead1"/>
        <w:pageBreakBefore/>
        <w:spacing w:before="240"/>
      </w:pPr>
      <w:bookmarkStart w:id="193" w:name="_Toc31109765"/>
      <w:bookmarkEnd w:id="192"/>
      <w:r w:rsidRPr="00A26088">
        <w:rPr>
          <w:rStyle w:val="CharChapNo"/>
        </w:rPr>
        <w:lastRenderedPageBreak/>
        <w:t>Schedule</w:t>
      </w:r>
      <w:r w:rsidR="00F00002" w:rsidRPr="00A26088">
        <w:rPr>
          <w:rStyle w:val="CharChapNo"/>
        </w:rPr>
        <w:t> </w:t>
      </w:r>
      <w:r w:rsidR="00BB4501" w:rsidRPr="00A26088">
        <w:rPr>
          <w:rStyle w:val="CharChapNo"/>
        </w:rPr>
        <w:t>1A</w:t>
      </w:r>
      <w:r w:rsidRPr="00F00002">
        <w:rPr>
          <w:color w:val="000000"/>
        </w:rPr>
        <w:t>—</w:t>
      </w:r>
      <w:r w:rsidR="00BB4501" w:rsidRPr="00A26088">
        <w:rPr>
          <w:rStyle w:val="CharChapText"/>
        </w:rPr>
        <w:t>Method of working out amount of notional taxed contributions</w:t>
      </w:r>
      <w:bookmarkEnd w:id="193"/>
    </w:p>
    <w:p w:rsidR="00BB4501" w:rsidRPr="00F00002" w:rsidRDefault="00BB4501" w:rsidP="00D150ED">
      <w:pPr>
        <w:pStyle w:val="notemargin"/>
      </w:pPr>
      <w:bookmarkStart w:id="194" w:name="BK_S4P91L3C1"/>
      <w:bookmarkEnd w:id="194"/>
      <w:r w:rsidRPr="00F00002">
        <w:rPr>
          <w:color w:val="000000"/>
        </w:rPr>
        <w:t>(subregulations 292</w:t>
      </w:r>
      <w:r w:rsidR="00F00002">
        <w:rPr>
          <w:color w:val="000000"/>
        </w:rPr>
        <w:noBreakHyphen/>
      </w:r>
      <w:r w:rsidRPr="00F00002">
        <w:rPr>
          <w:color w:val="000000"/>
        </w:rPr>
        <w:t>170.02(2), 292</w:t>
      </w:r>
      <w:r w:rsidR="00F00002">
        <w:rPr>
          <w:color w:val="000000"/>
        </w:rPr>
        <w:noBreakHyphen/>
      </w:r>
      <w:r w:rsidRPr="00F00002">
        <w:rPr>
          <w:color w:val="000000"/>
        </w:rPr>
        <w:t>170.05(2) and (3) and 292</w:t>
      </w:r>
      <w:r w:rsidR="00F00002">
        <w:rPr>
          <w:color w:val="000000"/>
        </w:rPr>
        <w:noBreakHyphen/>
      </w:r>
      <w:r w:rsidRPr="00F00002">
        <w:rPr>
          <w:color w:val="000000"/>
        </w:rPr>
        <w:t>170.06(2) and (3))</w:t>
      </w:r>
    </w:p>
    <w:p w:rsidR="00BB4501" w:rsidRPr="00F00002" w:rsidRDefault="00D150ED" w:rsidP="00D150ED">
      <w:pPr>
        <w:pStyle w:val="ActHead2"/>
      </w:pPr>
      <w:bookmarkStart w:id="195" w:name="_Toc31109766"/>
      <w:r w:rsidRPr="00A26088">
        <w:rPr>
          <w:rStyle w:val="CharPartNo"/>
        </w:rPr>
        <w:t>Part</w:t>
      </w:r>
      <w:r w:rsidR="00F00002" w:rsidRPr="00A26088">
        <w:rPr>
          <w:rStyle w:val="CharPartNo"/>
        </w:rPr>
        <w:t> </w:t>
      </w:r>
      <w:r w:rsidR="00BB4501" w:rsidRPr="00A26088">
        <w:rPr>
          <w:rStyle w:val="CharPartNo"/>
        </w:rPr>
        <w:t>1</w:t>
      </w:r>
      <w:r w:rsidRPr="00F00002">
        <w:rPr>
          <w:color w:val="000000"/>
        </w:rPr>
        <w:t>—</w:t>
      </w:r>
      <w:r w:rsidR="00BB4501" w:rsidRPr="00A26088">
        <w:rPr>
          <w:rStyle w:val="CharPartText"/>
        </w:rPr>
        <w:t>Preliminary</w:t>
      </w:r>
      <w:bookmarkEnd w:id="195"/>
    </w:p>
    <w:p w:rsidR="00FB01A9" w:rsidRPr="00A26088" w:rsidRDefault="00FB01A9" w:rsidP="00FB01A9">
      <w:pPr>
        <w:pStyle w:val="Header"/>
      </w:pPr>
      <w:r w:rsidRPr="00A26088">
        <w:rPr>
          <w:rStyle w:val="CharDivNo"/>
        </w:rPr>
        <w:t xml:space="preserve"> </w:t>
      </w:r>
      <w:r w:rsidRPr="00A26088">
        <w:rPr>
          <w:rStyle w:val="CharDivText"/>
        </w:rPr>
        <w:t xml:space="preserve"> </w:t>
      </w:r>
    </w:p>
    <w:p w:rsidR="00BB4501" w:rsidRPr="00F00002" w:rsidRDefault="00BB4501" w:rsidP="00F332D5">
      <w:pPr>
        <w:pStyle w:val="Specials"/>
      </w:pPr>
      <w:r w:rsidRPr="00F00002">
        <w:tab/>
        <w:t>Meaning of accruing member</w:t>
      </w:r>
    </w:p>
    <w:p w:rsidR="00BB4501" w:rsidRPr="00F00002" w:rsidRDefault="00BB4501" w:rsidP="00D150ED">
      <w:pPr>
        <w:pStyle w:val="subsection"/>
      </w:pPr>
      <w:r w:rsidRPr="00F00002">
        <w:rPr>
          <w:color w:val="000000"/>
        </w:rPr>
        <w:t>1.1</w:t>
      </w:r>
      <w:r w:rsidRPr="00F00002">
        <w:rPr>
          <w:color w:val="000000"/>
        </w:rPr>
        <w:tab/>
      </w:r>
      <w:r w:rsidRPr="00F00002">
        <w:rPr>
          <w:color w:val="000000"/>
        </w:rPr>
        <w:tab/>
        <w:t xml:space="preserve">An </w:t>
      </w:r>
      <w:r w:rsidRPr="00F00002">
        <w:rPr>
          <w:b/>
          <w:i/>
          <w:color w:val="000000"/>
        </w:rPr>
        <w:t>accruing member</w:t>
      </w:r>
      <w:r w:rsidRPr="00F00002">
        <w:rPr>
          <w:color w:val="000000"/>
        </w:rPr>
        <w:t xml:space="preserve"> in a financial year is a defined benefit member who is not a non</w:t>
      </w:r>
      <w:r w:rsidR="00F00002">
        <w:rPr>
          <w:color w:val="000000"/>
        </w:rPr>
        <w:noBreakHyphen/>
      </w:r>
      <w:r w:rsidRPr="00F00002">
        <w:rPr>
          <w:color w:val="000000"/>
        </w:rPr>
        <w:t>accruing member for the financial year.</w:t>
      </w:r>
    </w:p>
    <w:p w:rsidR="00BB4501" w:rsidRPr="00F00002" w:rsidRDefault="00BB4501" w:rsidP="00F332D5">
      <w:pPr>
        <w:pStyle w:val="Specials"/>
      </w:pPr>
      <w:r w:rsidRPr="00F00002">
        <w:tab/>
        <w:t>Meaning of benefit category</w:t>
      </w:r>
    </w:p>
    <w:p w:rsidR="00BB4501" w:rsidRPr="00F00002" w:rsidRDefault="00BB4501" w:rsidP="00D150ED">
      <w:pPr>
        <w:pStyle w:val="subsection"/>
      </w:pPr>
      <w:r w:rsidRPr="00F00002">
        <w:rPr>
          <w:color w:val="000000"/>
        </w:rPr>
        <w:t>1.2</w:t>
      </w:r>
      <w:r w:rsidRPr="00F00002">
        <w:rPr>
          <w:color w:val="000000"/>
        </w:rPr>
        <w:tab/>
      </w:r>
      <w:r w:rsidRPr="00F00002">
        <w:rPr>
          <w:color w:val="000000"/>
        </w:rPr>
        <w:tab/>
        <w:t xml:space="preserve">A </w:t>
      </w:r>
      <w:r w:rsidRPr="00F00002">
        <w:rPr>
          <w:b/>
          <w:i/>
          <w:color w:val="000000"/>
        </w:rPr>
        <w:t>benefit category</w:t>
      </w:r>
      <w:r w:rsidRPr="00F00002">
        <w:rPr>
          <w:color w:val="000000"/>
        </w:rPr>
        <w:t xml:space="preserve"> is a category of membership of a defined benefit fund as certified by an actuary.</w:t>
      </w:r>
    </w:p>
    <w:p w:rsidR="00BB4501" w:rsidRPr="00F00002" w:rsidRDefault="00BB4501" w:rsidP="00D150ED">
      <w:pPr>
        <w:pStyle w:val="subsection"/>
      </w:pPr>
      <w:r w:rsidRPr="00F00002">
        <w:t>1.3</w:t>
      </w:r>
      <w:r w:rsidRPr="00F00002">
        <w:tab/>
      </w:r>
      <w:r w:rsidRPr="00F00002">
        <w:tab/>
        <w:t>An actuary must not certify a category of membership to be a benefit category unless the actuary is satisfied that:</w:t>
      </w:r>
    </w:p>
    <w:p w:rsidR="00BB4501" w:rsidRPr="00F00002" w:rsidRDefault="00BB4501" w:rsidP="00D150ED">
      <w:pPr>
        <w:pStyle w:val="paragraph"/>
      </w:pPr>
      <w:r w:rsidRPr="00F00002">
        <w:rPr>
          <w:color w:val="000000"/>
        </w:rPr>
        <w:tab/>
        <w:t>(a)</w:t>
      </w:r>
      <w:r w:rsidRPr="00F00002">
        <w:rPr>
          <w:color w:val="000000"/>
        </w:rPr>
        <w:tab/>
        <w:t>each hypothetical new entrant to the benefit category with the same entry age would accrue retirement benefits on substantially the same basis</w:t>
      </w:r>
      <w:r w:rsidRPr="00F00002">
        <w:t>; or</w:t>
      </w:r>
    </w:p>
    <w:p w:rsidR="00BB4501" w:rsidRPr="00F00002" w:rsidRDefault="00BB4501" w:rsidP="00D150ED">
      <w:pPr>
        <w:pStyle w:val="paragraph"/>
      </w:pPr>
      <w:r w:rsidRPr="00F00002">
        <w:tab/>
        <w:t>(b)</w:t>
      </w:r>
      <w:r w:rsidRPr="00F00002">
        <w:tab/>
        <w:t>if any 2 hypothetical new entrants to the benefit category accrued retirement benefits on a different basis, the new entrant rates for each member calculated under Parts</w:t>
      </w:r>
      <w:r w:rsidR="00F00002">
        <w:t> </w:t>
      </w:r>
      <w:r w:rsidRPr="00F00002">
        <w:t>2 and 3 would be equal.</w:t>
      </w:r>
    </w:p>
    <w:p w:rsidR="00BB4501" w:rsidRPr="00F00002" w:rsidRDefault="00BB4501" w:rsidP="00741DBB">
      <w:pPr>
        <w:pStyle w:val="notetext"/>
      </w:pPr>
      <w:r w:rsidRPr="00F00002">
        <w:t>Example</w:t>
      </w:r>
      <w:r w:rsidR="00741DBB" w:rsidRPr="00F00002">
        <w:t>:</w:t>
      </w:r>
      <w:r w:rsidR="00741DBB" w:rsidRPr="00F00002">
        <w:tab/>
      </w:r>
      <w:r w:rsidRPr="00F00002">
        <w:rPr>
          <w:color w:val="000000"/>
        </w:rPr>
        <w:t>A defined benefit fund provides a benefit accrual of 10% plus twice member contribution rate of final average salary for each year of membership. Members can contribute at either 4% or 6% of salary. Member A contributes at 4% and member B contributes at 6%. An actuary must not certify that A and B are in the same benefit category unless the new entrant rates, as calculated under this Schedule, for members who contribute at 4% and 6%, are equal.</w:t>
      </w:r>
    </w:p>
    <w:p w:rsidR="00BB4501" w:rsidRPr="00F00002" w:rsidRDefault="00D150ED" w:rsidP="00D150ED">
      <w:pPr>
        <w:pStyle w:val="notetext"/>
      </w:pPr>
      <w:r w:rsidRPr="00F00002">
        <w:t>Note:</w:t>
      </w:r>
      <w:r w:rsidRPr="00F00002">
        <w:tab/>
      </w:r>
      <w:r w:rsidR="00BB4501" w:rsidRPr="00F00002">
        <w:t>A member would not be expected to move from one benefit category to another unless 1 of the following relevant external events occurs:</w:t>
      </w:r>
    </w:p>
    <w:p w:rsidR="00BB4501" w:rsidRPr="00F00002" w:rsidRDefault="00BB4501" w:rsidP="00D150ED">
      <w:pPr>
        <w:pStyle w:val="notepara"/>
      </w:pPr>
      <w:r w:rsidRPr="00F00002">
        <w:rPr>
          <w:color w:val="000000"/>
        </w:rPr>
        <w:t>(a)</w:t>
      </w:r>
      <w:r w:rsidRPr="00F00002">
        <w:rPr>
          <w:color w:val="000000"/>
        </w:rPr>
        <w:tab/>
        <w:t>the member ceases accruing benefits under one section of the fund rules but commences accruing benefits under another section of the fund rules as a result of a change in employment status, eg promotion;</w:t>
      </w:r>
    </w:p>
    <w:p w:rsidR="00BB4501" w:rsidRPr="00F00002" w:rsidRDefault="00BB4501" w:rsidP="00D150ED">
      <w:pPr>
        <w:pStyle w:val="notepara"/>
      </w:pPr>
      <w:r w:rsidRPr="00F00002">
        <w:t>(b)</w:t>
      </w:r>
      <w:r w:rsidRPr="00F00002">
        <w:tab/>
        <w:t>the member continues accruing benefits under one section of the fund rules and commences accruing benefits under another section of the fund rules as a result of a change in employment status, eg promotion;</w:t>
      </w:r>
    </w:p>
    <w:p w:rsidR="00BB4501" w:rsidRPr="00F00002" w:rsidRDefault="00BB4501" w:rsidP="00D150ED">
      <w:pPr>
        <w:pStyle w:val="notepara"/>
      </w:pPr>
      <w:r w:rsidRPr="00F00002">
        <w:t>(c)</w:t>
      </w:r>
      <w:r w:rsidRPr="00F00002">
        <w:tab/>
        <w:t>the member ceases accruing benefits under one section of the fund rules and commences or continues accruing benefits under another section of the fund rules as a result of reaching maximum accrual or a change in employment status, eg demotion;</w:t>
      </w:r>
    </w:p>
    <w:p w:rsidR="00BB4501" w:rsidRPr="00F00002" w:rsidRDefault="00BB4501" w:rsidP="00D150ED">
      <w:pPr>
        <w:pStyle w:val="notepara"/>
      </w:pPr>
      <w:r w:rsidRPr="00F00002">
        <w:t>(d)</w:t>
      </w:r>
      <w:r w:rsidRPr="00F00002">
        <w:tab/>
        <w:t>the exercise of a member option which results in a material change in the level of employer support;</w:t>
      </w:r>
    </w:p>
    <w:p w:rsidR="00BB4501" w:rsidRPr="00F00002" w:rsidRDefault="00BB4501" w:rsidP="00D150ED">
      <w:pPr>
        <w:pStyle w:val="notepara"/>
      </w:pPr>
      <w:r w:rsidRPr="00F00002">
        <w:t>(e)</w:t>
      </w:r>
      <w:r w:rsidRPr="00F00002">
        <w:tab/>
        <w:t>a change in fund rules which directly affected the member’s rate of accrual of retirement benefits in respect of future membership after 1</w:t>
      </w:r>
      <w:r w:rsidR="00F00002">
        <w:t> </w:t>
      </w:r>
      <w:r w:rsidRPr="00F00002">
        <w:t>July 2007.</w:t>
      </w:r>
    </w:p>
    <w:p w:rsidR="006E0220" w:rsidRPr="00F00002" w:rsidRDefault="00BB4501" w:rsidP="00D150ED">
      <w:pPr>
        <w:pStyle w:val="notetext"/>
      </w:pPr>
      <w:r w:rsidRPr="00F00002">
        <w:lastRenderedPageBreak/>
        <w:t xml:space="preserve">Example for </w:t>
      </w:r>
      <w:r w:rsidR="00F00002">
        <w:t>paragraph (</w:t>
      </w:r>
      <w:r w:rsidRPr="00F00002">
        <w:t>d)</w:t>
      </w:r>
    </w:p>
    <w:p w:rsidR="00BB4501" w:rsidRPr="00F00002" w:rsidRDefault="00BB4501" w:rsidP="006E0220">
      <w:pPr>
        <w:pStyle w:val="notetext"/>
        <w:ind w:left="1134" w:firstLine="0"/>
      </w:pPr>
      <w:r w:rsidRPr="00F00002">
        <w:t>If the new entrant rates calculated for members with different member contribution rates are not equal, and, as a result, there are a number of benefit categories corresponding to the different member contribution rates, then a change in contribution rate would result in a move between benefit categories</w:t>
      </w:r>
    </w:p>
    <w:p w:rsidR="00BB4501" w:rsidRPr="00F00002" w:rsidRDefault="00BB4501" w:rsidP="002F1818">
      <w:pPr>
        <w:pStyle w:val="Specials"/>
      </w:pPr>
      <w:r w:rsidRPr="00F00002">
        <w:tab/>
        <w:t>Accruing member must not belong to more than one benefit category at the same time unless certified by an actuary</w:t>
      </w:r>
    </w:p>
    <w:p w:rsidR="00BB4501" w:rsidRPr="00F00002" w:rsidRDefault="00BB4501" w:rsidP="00D150ED">
      <w:pPr>
        <w:pStyle w:val="subsection"/>
      </w:pPr>
      <w:r w:rsidRPr="00F00002">
        <w:rPr>
          <w:color w:val="000000"/>
        </w:rPr>
        <w:t>1.4</w:t>
      </w:r>
      <w:r w:rsidRPr="00F00002">
        <w:rPr>
          <w:color w:val="000000"/>
        </w:rPr>
        <w:tab/>
        <w:t>(1)</w:t>
      </w:r>
      <w:r w:rsidRPr="00F00002">
        <w:rPr>
          <w:color w:val="000000"/>
        </w:rPr>
        <w:tab/>
        <w:t>An accruing member must not belong to more than one benefit category of the same defined benefit fund on the same day unless certified by an actuary.</w:t>
      </w:r>
    </w:p>
    <w:p w:rsidR="00BB4501" w:rsidRPr="00F00002" w:rsidRDefault="00BB4501" w:rsidP="00D150ED">
      <w:pPr>
        <w:pStyle w:val="subsection"/>
      </w:pPr>
      <w:r w:rsidRPr="00F00002">
        <w:rPr>
          <w:color w:val="000000"/>
        </w:rPr>
        <w:tab/>
        <w:t>(2)</w:t>
      </w:r>
      <w:r w:rsidRPr="00F00002">
        <w:rPr>
          <w:color w:val="000000"/>
        </w:rPr>
        <w:tab/>
        <w:t>An actuary must not certify that a member belongs to more than one benefit category on the same day unless the actuary is satisfied that the amount of notional taxed contributions to be reported will not be materially different from the amount of notional taxed contributions that would have been reported had the member belonged to only one benefit category on each relevant day.</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An accruing member would be ordinarily expected to belong to only one benefit category at a time. However, there might be circumstances in certain funds where it is materially more practical for the purpose of calculating the total amount of notional taxable contributions to deem that some members belong to more than one benefit category from time to time.</w:t>
      </w:r>
    </w:p>
    <w:p w:rsidR="00BB4501" w:rsidRPr="00F00002" w:rsidRDefault="00BB4501" w:rsidP="002F1818">
      <w:pPr>
        <w:pStyle w:val="Specials"/>
      </w:pPr>
      <w:r w:rsidRPr="00F00002">
        <w:tab/>
        <w:t xml:space="preserve">Meaning of </w:t>
      </w:r>
      <w:r w:rsidRPr="00F00002">
        <w:rPr>
          <w:i/>
        </w:rPr>
        <w:t>fund benefit</w:t>
      </w:r>
    </w:p>
    <w:p w:rsidR="00BB4501" w:rsidRPr="00F00002" w:rsidRDefault="00BB4501" w:rsidP="00D150ED">
      <w:pPr>
        <w:pStyle w:val="subsection"/>
      </w:pPr>
      <w:r w:rsidRPr="00F00002">
        <w:rPr>
          <w:color w:val="000000"/>
        </w:rPr>
        <w:t>1.5</w:t>
      </w:r>
      <w:r w:rsidRPr="00F00002">
        <w:rPr>
          <w:color w:val="000000"/>
        </w:rPr>
        <w:tab/>
      </w:r>
      <w:r w:rsidRPr="00F00002">
        <w:rPr>
          <w:color w:val="000000"/>
        </w:rPr>
        <w:tab/>
        <w:t xml:space="preserve">That part of a defined benefit interest which is sourced from contributions made into a superannuation fund or earnings on such contributions is referred to as the </w:t>
      </w:r>
      <w:r w:rsidRPr="00F00002">
        <w:rPr>
          <w:b/>
          <w:i/>
          <w:color w:val="000000"/>
        </w:rPr>
        <w:t>fund benefit</w:t>
      </w:r>
      <w:r w:rsidRPr="00F00002">
        <w:rPr>
          <w:color w:val="000000"/>
        </w:rPr>
        <w:t>.</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A superannuation benefit may be wholly sourced from contributions made into a superannuation fund or earnings on such contributions. A superannuation benefit paid from a public sector superannuation fund may be wholly or partly sourced, or not sourced to any extent, from contributions made into a superannuation fund or earnings on such contributions. If a superannuation benefit is not sourced to any extent from contributions made into a superannuation fund, or earnings on such contributions, the amount of the fund benefit is zero.</w:t>
      </w:r>
    </w:p>
    <w:p w:rsidR="00BB4501" w:rsidRPr="00F00002" w:rsidRDefault="00BB4501" w:rsidP="002F1818">
      <w:pPr>
        <w:pStyle w:val="Specials"/>
      </w:pPr>
      <w:r w:rsidRPr="00F00002">
        <w:tab/>
        <w:t>Standard method for working out amount of notional taxed contributions in respect of a benefit category for an accruing member of the benefit category if the fund benefit is wholly sourced from an accumulation of contributions made in respect of the member</w:t>
      </w:r>
    </w:p>
    <w:p w:rsidR="00BB4501" w:rsidRPr="00F00002" w:rsidRDefault="00BB4501" w:rsidP="00D150ED">
      <w:pPr>
        <w:pStyle w:val="subsection"/>
      </w:pPr>
      <w:r w:rsidRPr="00F00002">
        <w:t>1.6</w:t>
      </w:r>
      <w:r w:rsidRPr="00F00002">
        <w:tab/>
      </w:r>
      <w:r w:rsidRPr="00F00002">
        <w:tab/>
        <w:t>If the fund benefit is wholly sourced from an accumulation of concessional contributions made to a superannuation fund in respect of a member or earnings on such contributions, or an accumulation of member contributions or earnings on such contributions, the amount of notional taxed contributions for an accruing member for a financial year is the amount of concessional contributions made to the superannuation fund in respect of the member</w:t>
      </w:r>
      <w:r w:rsidRPr="00F00002">
        <w:rPr>
          <w:color w:val="000000"/>
        </w:rPr>
        <w:t xml:space="preserve"> during the financial year.</w:t>
      </w:r>
    </w:p>
    <w:p w:rsidR="00BB4501" w:rsidRPr="00F00002" w:rsidRDefault="00BB4501" w:rsidP="002F1818">
      <w:pPr>
        <w:pStyle w:val="Specials"/>
      </w:pPr>
      <w:r w:rsidRPr="00F00002">
        <w:lastRenderedPageBreak/>
        <w:tab/>
        <w:t>Standard method for working out amount of notional taxed contributions in respect of a benefit category for an accruing member of the benefit category if the fund benefit is not wholly sourced from an accumulation of contributions made in respect of the member</w:t>
      </w:r>
    </w:p>
    <w:p w:rsidR="00BB4501" w:rsidRPr="00F00002" w:rsidRDefault="00BB4501" w:rsidP="00D150ED">
      <w:pPr>
        <w:pStyle w:val="subsection"/>
      </w:pPr>
      <w:r w:rsidRPr="00F00002">
        <w:t>1.7</w:t>
      </w:r>
      <w:r w:rsidRPr="00F00002">
        <w:tab/>
      </w:r>
      <w:r w:rsidRPr="00F00002">
        <w:tab/>
        <w:t>If section</w:t>
      </w:r>
      <w:r w:rsidR="00F00002">
        <w:t> </w:t>
      </w:r>
      <w:r w:rsidRPr="00F00002">
        <w:t>1.6 does not apply, the standard method for working out the amount of notional taxed contributions for an accruing member of a benefit category of a defined benefit fund for a financial year is:</w:t>
      </w:r>
    </w:p>
    <w:p w:rsidR="00BB4501" w:rsidRPr="00F00002" w:rsidRDefault="008B79DF" w:rsidP="00D150ED">
      <w:pPr>
        <w:pStyle w:val="Formula"/>
        <w:spacing w:before="120" w:after="120"/>
      </w:pPr>
      <w:r w:rsidRPr="00F00002">
        <w:rPr>
          <w:noProof/>
        </w:rPr>
        <w:drawing>
          <wp:inline distT="0" distB="0" distL="0" distR="0" wp14:anchorId="3DFA365A" wp14:editId="4303F0A3">
            <wp:extent cx="2375065" cy="40179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4" cy="402844"/>
                    </a:xfrm>
                    <a:prstGeom prst="rect">
                      <a:avLst/>
                    </a:prstGeom>
                    <a:noFill/>
                    <a:ln>
                      <a:noFill/>
                    </a:ln>
                  </pic:spPr>
                </pic:pic>
              </a:graphicData>
            </a:graphic>
          </wp:inline>
        </w:drawing>
      </w:r>
    </w:p>
    <w:p w:rsidR="00BB4501" w:rsidRPr="00F00002" w:rsidRDefault="00BB4501" w:rsidP="00D150ED">
      <w:pPr>
        <w:pStyle w:val="subsection2"/>
      </w:pPr>
      <w:r w:rsidRPr="00F00002">
        <w:t>where, for the financial year:</w:t>
      </w:r>
    </w:p>
    <w:p w:rsidR="00BB4501" w:rsidRPr="00F00002" w:rsidRDefault="00BB4501" w:rsidP="00D150ED">
      <w:pPr>
        <w:pStyle w:val="Definition"/>
      </w:pPr>
      <w:r w:rsidRPr="00F00002">
        <w:rPr>
          <w:b/>
          <w:i/>
          <w:color w:val="000000"/>
        </w:rPr>
        <w:t>new entrant rate</w:t>
      </w:r>
      <w:r w:rsidRPr="00F00002">
        <w:rPr>
          <w:b/>
          <w:color w:val="000000"/>
        </w:rPr>
        <w:t xml:space="preserve"> </w:t>
      </w:r>
      <w:r w:rsidRPr="00F00002">
        <w:rPr>
          <w:color w:val="000000"/>
        </w:rPr>
        <w:t>is the new entrant rate for the benefit category worked out by an actuary under Parts</w:t>
      </w:r>
      <w:r w:rsidR="00F00002">
        <w:rPr>
          <w:color w:val="000000"/>
        </w:rPr>
        <w:t> </w:t>
      </w:r>
      <w:r w:rsidRPr="00F00002">
        <w:rPr>
          <w:color w:val="000000"/>
        </w:rPr>
        <w:t>2 and 3.</w:t>
      </w:r>
    </w:p>
    <w:p w:rsidR="00BB4501" w:rsidRPr="00F00002" w:rsidRDefault="00BB4501" w:rsidP="00D150ED">
      <w:pPr>
        <w:pStyle w:val="Definition"/>
      </w:pPr>
      <w:bookmarkStart w:id="196" w:name="BK_S4P93L12C1"/>
      <w:bookmarkEnd w:id="196"/>
      <w:r w:rsidRPr="00F00002">
        <w:rPr>
          <w:b/>
          <w:i/>
        </w:rPr>
        <w:t>S</w:t>
      </w:r>
      <w:r w:rsidRPr="00F00002">
        <w:t xml:space="preserve"> is the member’s annual superannuation salary relevant to the benefit category on the first day of the financial year on which the member had a defined benefit interest in the scheme.</w:t>
      </w:r>
    </w:p>
    <w:p w:rsidR="00BB4501" w:rsidRPr="00F00002" w:rsidRDefault="00BB4501" w:rsidP="00D150ED">
      <w:pPr>
        <w:pStyle w:val="Definition"/>
      </w:pPr>
      <w:r w:rsidRPr="00F00002">
        <w:rPr>
          <w:b/>
          <w:i/>
        </w:rPr>
        <w:t>D</w:t>
      </w:r>
      <w:r w:rsidRPr="00F00002">
        <w:t xml:space="preserve"> is the number of days during the financial year that the member was an accruing member of the benefit category.</w:t>
      </w:r>
    </w:p>
    <w:p w:rsidR="00BB4501" w:rsidRPr="00F00002" w:rsidRDefault="00BB4501" w:rsidP="00D150ED">
      <w:pPr>
        <w:pStyle w:val="Definition"/>
      </w:pPr>
      <w:r w:rsidRPr="00F00002">
        <w:rPr>
          <w:b/>
          <w:i/>
        </w:rPr>
        <w:t>M</w:t>
      </w:r>
      <w:r w:rsidRPr="00F00002">
        <w:t xml:space="preserve"> is the amount of member contributions paid by or on behalf of the member in respect of the member’s defined benefit interest in the fund during that part of the financial year that the member was an accruing member of the benefit category, and which are not assessable income of the fund.</w:t>
      </w:r>
    </w:p>
    <w:p w:rsidR="00BB4501" w:rsidRPr="00F00002" w:rsidRDefault="00BB4501" w:rsidP="002F1818">
      <w:pPr>
        <w:pStyle w:val="Specials"/>
      </w:pPr>
      <w:r w:rsidRPr="00F00002">
        <w:tab/>
        <w:t>Standard method of working out total amount of notional taxed contributions for an accruing member of a defined benefit fund for a financial year</w:t>
      </w:r>
    </w:p>
    <w:p w:rsidR="00BB4501" w:rsidRPr="00F00002" w:rsidRDefault="00BB4501" w:rsidP="00D150ED">
      <w:pPr>
        <w:pStyle w:val="subsection"/>
      </w:pPr>
      <w:r w:rsidRPr="00F00002">
        <w:t>1.8</w:t>
      </w:r>
      <w:r w:rsidRPr="00F00002">
        <w:tab/>
      </w:r>
      <w:r w:rsidRPr="00F00002">
        <w:tab/>
        <w:t>The standard method for working out the total amount of notional taxed contributions for an accruing member of a defined benefit fund for a financial year is:</w:t>
      </w:r>
    </w:p>
    <w:p w:rsidR="00BB4501" w:rsidRPr="00F00002" w:rsidRDefault="008B79DF" w:rsidP="00D150ED">
      <w:pPr>
        <w:pStyle w:val="Formula"/>
        <w:spacing w:before="120" w:after="120"/>
      </w:pPr>
      <w:r w:rsidRPr="00F00002">
        <w:rPr>
          <w:noProof/>
        </w:rPr>
        <w:drawing>
          <wp:inline distT="0" distB="0" distL="0" distR="0" wp14:anchorId="0933842C" wp14:editId="18622F21">
            <wp:extent cx="188595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85950" cy="257175"/>
                    </a:xfrm>
                    <a:prstGeom prst="rect">
                      <a:avLst/>
                    </a:prstGeom>
                    <a:noFill/>
                    <a:ln>
                      <a:noFill/>
                    </a:ln>
                  </pic:spPr>
                </pic:pic>
              </a:graphicData>
            </a:graphic>
          </wp:inline>
        </w:drawing>
      </w:r>
    </w:p>
    <w:p w:rsidR="00BB4501" w:rsidRPr="00F00002" w:rsidRDefault="00BB4501" w:rsidP="006E0220">
      <w:pPr>
        <w:pStyle w:val="subsection2"/>
        <w:spacing w:before="120"/>
      </w:pPr>
      <w:r w:rsidRPr="00F00002">
        <w:t>where, for the financial year:</w:t>
      </w:r>
    </w:p>
    <w:p w:rsidR="00BB4501" w:rsidRPr="00F00002" w:rsidRDefault="00BB4501" w:rsidP="00D150ED">
      <w:pPr>
        <w:pStyle w:val="Definition"/>
      </w:pPr>
      <w:r w:rsidRPr="00F00002">
        <w:rPr>
          <w:b/>
          <w:i/>
          <w:color w:val="000000"/>
        </w:rPr>
        <w:t>T</w:t>
      </w:r>
      <w:r w:rsidRPr="00F00002">
        <w:rPr>
          <w:b/>
          <w:color w:val="000000"/>
        </w:rPr>
        <w:t xml:space="preserve"> </w:t>
      </w:r>
      <w:r w:rsidRPr="00F00002">
        <w:rPr>
          <w:color w:val="000000"/>
        </w:rPr>
        <w:t>is the sum of the amounts of notional taxed contributions for each benefit category that the member belongs to during the financial year calculated under sections</w:t>
      </w:r>
      <w:r w:rsidR="00F00002">
        <w:rPr>
          <w:color w:val="000000"/>
        </w:rPr>
        <w:t> </w:t>
      </w:r>
      <w:r w:rsidRPr="00F00002">
        <w:rPr>
          <w:color w:val="000000"/>
        </w:rPr>
        <w:t>1.6 and 1.7.</w:t>
      </w:r>
    </w:p>
    <w:p w:rsidR="00BB4501" w:rsidRPr="00F00002" w:rsidRDefault="00BB4501" w:rsidP="00D150ED">
      <w:pPr>
        <w:pStyle w:val="Definition"/>
      </w:pPr>
      <w:r w:rsidRPr="00F00002">
        <w:rPr>
          <w:b/>
          <w:i/>
        </w:rPr>
        <w:t>W</w:t>
      </w:r>
      <w:r w:rsidRPr="00F00002">
        <w:t xml:space="preserve"> is an amount worked out on advice from an actuary under </w:t>
      </w:r>
      <w:r w:rsidR="00D150ED" w:rsidRPr="00F00002">
        <w:t>Part</w:t>
      </w:r>
      <w:r w:rsidR="00F00002">
        <w:t> </w:t>
      </w:r>
      <w:r w:rsidRPr="00F00002">
        <w:t>4.</w:t>
      </w:r>
    </w:p>
    <w:p w:rsidR="00BB4501" w:rsidRPr="00F00002" w:rsidRDefault="00BB4501" w:rsidP="00D150ED">
      <w:pPr>
        <w:pStyle w:val="Definition"/>
      </w:pPr>
      <w:r w:rsidRPr="00F00002">
        <w:rPr>
          <w:b/>
          <w:i/>
        </w:rPr>
        <w:t>X</w:t>
      </w:r>
      <w:r w:rsidRPr="00F00002">
        <w:t xml:space="preserve"> is an amount worked out on advice from an actuary under </w:t>
      </w:r>
      <w:r w:rsidR="00D150ED" w:rsidRPr="00F00002">
        <w:t>Part</w:t>
      </w:r>
      <w:r w:rsidR="00F00002">
        <w:t> </w:t>
      </w:r>
      <w:r w:rsidRPr="00F00002">
        <w:t>5.</w:t>
      </w:r>
    </w:p>
    <w:p w:rsidR="00BB4501" w:rsidRPr="00F00002" w:rsidRDefault="00BB4501" w:rsidP="00D150ED">
      <w:pPr>
        <w:pStyle w:val="Definition"/>
      </w:pPr>
      <w:r w:rsidRPr="00F00002">
        <w:rPr>
          <w:b/>
          <w:i/>
        </w:rPr>
        <w:lastRenderedPageBreak/>
        <w:t>Y</w:t>
      </w:r>
      <w:r w:rsidRPr="00F00002">
        <w:t xml:space="preserve"> is an amount worked out on advice from an actuary under </w:t>
      </w:r>
      <w:r w:rsidR="00D150ED" w:rsidRPr="00F00002">
        <w:t>Part</w:t>
      </w:r>
      <w:r w:rsidR="00F00002">
        <w:t> </w:t>
      </w:r>
      <w:r w:rsidRPr="00F00002">
        <w:t>6.</w:t>
      </w:r>
    </w:p>
    <w:p w:rsidR="00BB4501" w:rsidRPr="00F00002" w:rsidRDefault="00BB4501" w:rsidP="00D150ED">
      <w:pPr>
        <w:pStyle w:val="Definition"/>
      </w:pPr>
      <w:r w:rsidRPr="00F00002">
        <w:rPr>
          <w:b/>
          <w:i/>
        </w:rPr>
        <w:t>Z</w:t>
      </w:r>
      <w:r w:rsidRPr="00F00002">
        <w:t xml:space="preserve"> is an amount worked out on advice from an actuary under </w:t>
      </w:r>
      <w:r w:rsidR="00D150ED" w:rsidRPr="00F00002">
        <w:t>Part</w:t>
      </w:r>
      <w:r w:rsidR="00F00002">
        <w:t> </w:t>
      </w:r>
      <w:r w:rsidRPr="00F00002">
        <w:t>7.</w:t>
      </w:r>
    </w:p>
    <w:p w:rsidR="00BB4501" w:rsidRPr="00F00002" w:rsidRDefault="00D150ED" w:rsidP="00D150ED">
      <w:pPr>
        <w:pStyle w:val="ActHead2"/>
        <w:pageBreakBefore/>
      </w:pPr>
      <w:bookmarkStart w:id="197" w:name="BK_S4P94L1C1"/>
      <w:bookmarkStart w:id="198" w:name="_Toc31109767"/>
      <w:bookmarkEnd w:id="197"/>
      <w:r w:rsidRPr="00A26088">
        <w:rPr>
          <w:rStyle w:val="CharPartNo"/>
        </w:rPr>
        <w:lastRenderedPageBreak/>
        <w:t>Part</w:t>
      </w:r>
      <w:r w:rsidR="00F00002" w:rsidRPr="00A26088">
        <w:rPr>
          <w:rStyle w:val="CharPartNo"/>
        </w:rPr>
        <w:t> </w:t>
      </w:r>
      <w:r w:rsidR="00BB4501" w:rsidRPr="00A26088">
        <w:rPr>
          <w:rStyle w:val="CharPartNo"/>
        </w:rPr>
        <w:t>2</w:t>
      </w:r>
      <w:r w:rsidRPr="00F00002">
        <w:rPr>
          <w:color w:val="000000"/>
        </w:rPr>
        <w:t>—</w:t>
      </w:r>
      <w:r w:rsidR="00BB4501" w:rsidRPr="00A26088">
        <w:rPr>
          <w:rStyle w:val="CharPartText"/>
        </w:rPr>
        <w:t>New entrant rate</w:t>
      </w:r>
      <w:bookmarkEnd w:id="198"/>
    </w:p>
    <w:p w:rsidR="00BB4501" w:rsidRPr="00F00002" w:rsidRDefault="00BB4501" w:rsidP="002F1818">
      <w:pPr>
        <w:pStyle w:val="Specials"/>
      </w:pPr>
      <w:r w:rsidRPr="00F00002">
        <w:tab/>
        <w:t>Method of working out new entrant rate for a benefit category</w:t>
      </w:r>
    </w:p>
    <w:p w:rsidR="00BB4501" w:rsidRPr="00F00002" w:rsidRDefault="00BB4501" w:rsidP="00D150ED">
      <w:pPr>
        <w:pStyle w:val="subsection"/>
      </w:pPr>
      <w:r w:rsidRPr="00F00002">
        <w:rPr>
          <w:color w:val="000000"/>
        </w:rPr>
        <w:t>2.1</w:t>
      </w:r>
      <w:r w:rsidRPr="00F00002">
        <w:rPr>
          <w:color w:val="000000"/>
        </w:rPr>
        <w:tab/>
        <w:t>(1)</w:t>
      </w:r>
      <w:r w:rsidRPr="00F00002">
        <w:rPr>
          <w:color w:val="000000"/>
        </w:rPr>
        <w:tab/>
        <w:t xml:space="preserve">The </w:t>
      </w:r>
      <w:r w:rsidRPr="00F00002">
        <w:rPr>
          <w:b/>
          <w:i/>
          <w:color w:val="000000"/>
        </w:rPr>
        <w:t>new entrant rate</w:t>
      </w:r>
      <w:r w:rsidRPr="00F00002">
        <w:rPr>
          <w:color w:val="000000"/>
        </w:rPr>
        <w:t xml:space="preserve"> for a benefit category is the rate calculated under this </w:t>
      </w:r>
      <w:r w:rsidR="00D150ED" w:rsidRPr="00F00002">
        <w:rPr>
          <w:color w:val="000000"/>
        </w:rPr>
        <w:t>Part</w:t>
      </w:r>
      <w:r w:rsidR="00672E95" w:rsidRPr="00F00002">
        <w:rPr>
          <w:color w:val="000000"/>
        </w:rPr>
        <w:t xml:space="preserve"> </w:t>
      </w:r>
      <w:r w:rsidRPr="00F00002">
        <w:rPr>
          <w:color w:val="000000"/>
        </w:rPr>
        <w:t xml:space="preserve">and using the assumptions set out in </w:t>
      </w:r>
      <w:r w:rsidR="00D150ED" w:rsidRPr="00F00002">
        <w:rPr>
          <w:color w:val="000000"/>
        </w:rPr>
        <w:t>Part</w:t>
      </w:r>
      <w:r w:rsidR="00F00002">
        <w:rPr>
          <w:color w:val="000000"/>
        </w:rPr>
        <w:t> </w:t>
      </w:r>
      <w:r w:rsidRPr="00F00002">
        <w:rPr>
          <w:color w:val="000000"/>
        </w:rPr>
        <w:t>3.</w:t>
      </w:r>
    </w:p>
    <w:p w:rsidR="00BB4501" w:rsidRPr="00F00002" w:rsidRDefault="00BB4501" w:rsidP="00D150ED">
      <w:pPr>
        <w:pStyle w:val="subsection"/>
      </w:pPr>
      <w:r w:rsidRPr="00F00002">
        <w:rPr>
          <w:color w:val="000000"/>
        </w:rPr>
        <w:tab/>
        <w:t>(2)</w:t>
      </w:r>
      <w:r w:rsidRPr="00F00002">
        <w:rPr>
          <w:color w:val="000000"/>
        </w:rPr>
        <w:tab/>
        <w:t>The new entrant rate for a benefit category is the rate that represents the long</w:t>
      </w:r>
      <w:r w:rsidR="00F00002">
        <w:rPr>
          <w:color w:val="000000"/>
        </w:rPr>
        <w:noBreakHyphen/>
      </w:r>
      <w:r w:rsidRPr="00F00002">
        <w:rPr>
          <w:color w:val="000000"/>
        </w:rPr>
        <w:t>term cost, expressed as a percentage of superannuation salary, of providing as much of the fund benefit as is payable on a voluntary exit to a hypothetical new entrant to the benefit category.</w:t>
      </w:r>
    </w:p>
    <w:p w:rsidR="00BB4501" w:rsidRPr="00F00002" w:rsidRDefault="00BB4501" w:rsidP="00D150ED">
      <w:pPr>
        <w:pStyle w:val="subsection"/>
      </w:pPr>
      <w:r w:rsidRPr="00F00002">
        <w:tab/>
        <w:t>(3)</w:t>
      </w:r>
      <w:r w:rsidRPr="00F00002">
        <w:tab/>
        <w:t>The new entrant rate is calculated as the present value of the fund benefit payable on voluntary exit (resignation, early retirement, or retirement) under the rules of the defined benefit fund which are applicable to a new entrant to the benefit category divided by the present value of future superannuation salaries payable to the new entrant.</w:t>
      </w:r>
    </w:p>
    <w:p w:rsidR="00BB4501" w:rsidRPr="00F00002" w:rsidRDefault="00BB4501" w:rsidP="00D150ED">
      <w:pPr>
        <w:pStyle w:val="subsection"/>
      </w:pPr>
      <w:r w:rsidRPr="00F00002">
        <w:tab/>
        <w:t>(4)</w:t>
      </w:r>
      <w:r w:rsidRPr="00F00002">
        <w:tab/>
        <w:t>To put the matter beyond doubt, the new entrant rate is calculated assuming that the fund benefit is to be wholly sourced from concessional contributions made into the fund at the new entrant rate and earnings on those contributions.</w:t>
      </w:r>
    </w:p>
    <w:p w:rsidR="00BB4501" w:rsidRPr="00F00002" w:rsidRDefault="00BB4501" w:rsidP="00D150ED">
      <w:pPr>
        <w:pStyle w:val="subsection"/>
      </w:pPr>
      <w:r w:rsidRPr="00F00002">
        <w:tab/>
        <w:t>(5)</w:t>
      </w:r>
      <w:r w:rsidRPr="00F00002">
        <w:tab/>
        <w:t xml:space="preserve">The present value of the fund benefit is to be calculated having regard to the rules and practice of the defined benefit fund including benefit structure, caps, member options, reasonably expected discretions and member contributions, and using the economic, decrement and other assumptions set out in </w:t>
      </w:r>
      <w:r w:rsidR="00D150ED" w:rsidRPr="00F00002">
        <w:t>Part</w:t>
      </w:r>
      <w:r w:rsidR="00F00002">
        <w:t> </w:t>
      </w:r>
      <w:r w:rsidRPr="00F00002">
        <w:t>3.</w:t>
      </w:r>
    </w:p>
    <w:p w:rsidR="00BB4501" w:rsidRPr="00F00002" w:rsidRDefault="00BB4501" w:rsidP="002F1818">
      <w:pPr>
        <w:pStyle w:val="Specials"/>
      </w:pPr>
      <w:r w:rsidRPr="00F00002">
        <w:tab/>
        <w:t>New entrant rate to be based on period of membership needed to reach maximum benefit accrual</w:t>
      </w:r>
    </w:p>
    <w:p w:rsidR="00BB4501" w:rsidRPr="00F00002" w:rsidRDefault="00BB4501" w:rsidP="00D150ED">
      <w:pPr>
        <w:pStyle w:val="subsection"/>
      </w:pPr>
      <w:r w:rsidRPr="00F00002">
        <w:rPr>
          <w:color w:val="000000"/>
        </w:rPr>
        <w:t>2.2</w:t>
      </w:r>
      <w:r w:rsidRPr="00F00002">
        <w:rPr>
          <w:color w:val="000000"/>
        </w:rPr>
        <w:tab/>
        <w:t>(1)</w:t>
      </w:r>
      <w:r w:rsidRPr="00F00002">
        <w:rPr>
          <w:color w:val="000000"/>
        </w:rPr>
        <w:tab/>
        <w:t>If the rules of the defined benefit fund applicable to the benefit category provide for a maximum benefit accrual, the new entrant rate is to be calculated on the basis that the benefit is funded over the period to when maximum accrual is attained.</w:t>
      </w:r>
    </w:p>
    <w:p w:rsidR="00BB4501" w:rsidRPr="00F00002" w:rsidRDefault="00BB4501" w:rsidP="00D150ED">
      <w:pPr>
        <w:pStyle w:val="subsection"/>
      </w:pPr>
      <w:r w:rsidRPr="00F00002">
        <w:rPr>
          <w:color w:val="000000"/>
        </w:rPr>
        <w:tab/>
        <w:t>(2)</w:t>
      </w:r>
      <w:r w:rsidRPr="00F00002">
        <w:rPr>
          <w:color w:val="000000"/>
        </w:rPr>
        <w:tab/>
        <w:t>For practical purposes this means that, for the purpose of calculating the present value of future salaries payable to the new entrant, the superannuation salary is to be assumed to be zero at those ages after reaching maximum benefit accrual.</w:t>
      </w:r>
    </w:p>
    <w:p w:rsidR="00BB4501" w:rsidRPr="00F00002" w:rsidRDefault="00BB4501" w:rsidP="007450AF">
      <w:pPr>
        <w:pStyle w:val="notetext"/>
      </w:pPr>
      <w:r w:rsidRPr="00F00002">
        <w:t>Example</w:t>
      </w:r>
      <w:r w:rsidR="007450AF" w:rsidRPr="00F00002">
        <w:t>:</w:t>
      </w:r>
      <w:r w:rsidR="007450AF" w:rsidRPr="00F00002">
        <w:tab/>
      </w:r>
      <w:r w:rsidRPr="00F00002">
        <w:rPr>
          <w:color w:val="000000"/>
        </w:rPr>
        <w:t>If maximum accrual is attained after 20 years of membership, the superannuation salary for a 30</w:t>
      </w:r>
      <w:r w:rsidR="00F00002">
        <w:rPr>
          <w:color w:val="000000"/>
        </w:rPr>
        <w:noBreakHyphen/>
      </w:r>
      <w:r w:rsidRPr="00F00002">
        <w:rPr>
          <w:color w:val="000000"/>
        </w:rPr>
        <w:t>year</w:t>
      </w:r>
      <w:r w:rsidR="00F00002">
        <w:rPr>
          <w:color w:val="000000"/>
        </w:rPr>
        <w:noBreakHyphen/>
      </w:r>
      <w:r w:rsidRPr="00F00002">
        <w:rPr>
          <w:color w:val="000000"/>
        </w:rPr>
        <w:t>old new entrant will be assumed to be zero at age 50 and above for the purpose of calculating the present value of future salaries payable to the new entrant.</w:t>
      </w:r>
    </w:p>
    <w:p w:rsidR="00BB4501" w:rsidRPr="00F00002" w:rsidRDefault="00BB4501" w:rsidP="002F1818">
      <w:pPr>
        <w:pStyle w:val="Specials"/>
      </w:pPr>
      <w:r w:rsidRPr="00F00002">
        <w:tab/>
        <w:t>New entrant rate to be rounded down</w:t>
      </w:r>
    </w:p>
    <w:p w:rsidR="00BB4501" w:rsidRPr="00F00002" w:rsidRDefault="00BB4501" w:rsidP="00D150ED">
      <w:pPr>
        <w:pStyle w:val="subsection"/>
      </w:pPr>
      <w:r w:rsidRPr="00F00002">
        <w:rPr>
          <w:color w:val="000000"/>
        </w:rPr>
        <w:t>2.3</w:t>
      </w:r>
      <w:r w:rsidRPr="00F00002">
        <w:rPr>
          <w:color w:val="000000"/>
        </w:rPr>
        <w:tab/>
      </w:r>
      <w:r w:rsidRPr="00F00002">
        <w:rPr>
          <w:color w:val="000000"/>
        </w:rPr>
        <w:tab/>
        <w:t>The new entrant rate is to be rounded down to the lower 1</w:t>
      </w:r>
      <w:r w:rsidR="00672E95" w:rsidRPr="00F00002">
        <w:rPr>
          <w:color w:val="000000"/>
        </w:rPr>
        <w:t xml:space="preserve"> </w:t>
      </w:r>
      <w:r w:rsidRPr="00F00002">
        <w:rPr>
          <w:color w:val="000000"/>
        </w:rPr>
        <w:t>percentage point.</w:t>
      </w:r>
    </w:p>
    <w:p w:rsidR="00BB4501" w:rsidRPr="00F00002" w:rsidRDefault="00BB4501" w:rsidP="007450AF">
      <w:pPr>
        <w:pStyle w:val="notetext"/>
      </w:pPr>
      <w:r w:rsidRPr="00F00002">
        <w:t>Example</w:t>
      </w:r>
      <w:r w:rsidR="007450AF" w:rsidRPr="00F00002">
        <w:t>:</w:t>
      </w:r>
      <w:r w:rsidR="007450AF" w:rsidRPr="00F00002">
        <w:rPr>
          <w:color w:val="000000"/>
        </w:rPr>
        <w:tab/>
      </w:r>
      <w:r w:rsidR="00206CD7" w:rsidRPr="00F00002">
        <w:t>10.6%</w:t>
      </w:r>
      <w:r w:rsidRPr="00F00002">
        <w:rPr>
          <w:color w:val="000000"/>
        </w:rPr>
        <w:t xml:space="preserve"> would be rounded down to 10%.</w:t>
      </w:r>
    </w:p>
    <w:p w:rsidR="00BB4501" w:rsidRPr="00F00002" w:rsidRDefault="00BB4501" w:rsidP="002F1818">
      <w:pPr>
        <w:pStyle w:val="Specials"/>
      </w:pPr>
      <w:r w:rsidRPr="00F00002">
        <w:lastRenderedPageBreak/>
        <w:tab/>
        <w:t>No allowance for administration expenses or income tax on assessable contributions</w:t>
      </w:r>
    </w:p>
    <w:p w:rsidR="00BB4501" w:rsidRPr="00F00002" w:rsidRDefault="00BB4501" w:rsidP="00D150ED">
      <w:pPr>
        <w:pStyle w:val="subsection"/>
      </w:pPr>
      <w:r w:rsidRPr="00F00002">
        <w:t>2.4</w:t>
      </w:r>
      <w:r w:rsidRPr="00F00002">
        <w:tab/>
      </w:r>
      <w:r w:rsidRPr="00F00002">
        <w:tab/>
        <w:t>The new entrant rate is to be calculated ignoring:</w:t>
      </w:r>
    </w:p>
    <w:p w:rsidR="00BB4501" w:rsidRPr="00F00002" w:rsidRDefault="00BB4501" w:rsidP="00D150ED">
      <w:pPr>
        <w:pStyle w:val="paragraph"/>
      </w:pPr>
      <w:r w:rsidRPr="00F00002">
        <w:tab/>
        <w:t>(a)</w:t>
      </w:r>
      <w:r w:rsidRPr="00F00002">
        <w:tab/>
        <w:t>administration expenses; and</w:t>
      </w:r>
    </w:p>
    <w:p w:rsidR="00BB4501" w:rsidRPr="00F00002" w:rsidRDefault="00BB4501" w:rsidP="00D150ED">
      <w:pPr>
        <w:pStyle w:val="paragraph"/>
      </w:pPr>
      <w:r w:rsidRPr="00F00002">
        <w:tab/>
        <w:t>(b)</w:t>
      </w:r>
      <w:r w:rsidRPr="00F00002">
        <w:tab/>
        <w:t>income tax on assessable contributions.</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These items are allowed for in the formula in section</w:t>
      </w:r>
      <w:r w:rsidR="00F00002">
        <w:rPr>
          <w:color w:val="000000"/>
        </w:rPr>
        <w:t> </w:t>
      </w:r>
      <w:r w:rsidR="00BB4501" w:rsidRPr="00F00002">
        <w:rPr>
          <w:color w:val="000000"/>
        </w:rPr>
        <w:t>1.7 by multiplying by 1.2.</w:t>
      </w:r>
    </w:p>
    <w:p w:rsidR="00BB4501" w:rsidRPr="00F00002" w:rsidRDefault="00BB4501" w:rsidP="002F1818">
      <w:pPr>
        <w:pStyle w:val="Specials"/>
      </w:pPr>
      <w:r w:rsidRPr="00F00002">
        <w:tab/>
        <w:t>Certain discretions to be allowed for</w:t>
      </w:r>
    </w:p>
    <w:p w:rsidR="00BB4501" w:rsidRPr="00F00002" w:rsidRDefault="00BB4501" w:rsidP="00D150ED">
      <w:pPr>
        <w:pStyle w:val="subsection"/>
      </w:pPr>
      <w:r w:rsidRPr="00F00002">
        <w:rPr>
          <w:color w:val="000000"/>
        </w:rPr>
        <w:t>2.5</w:t>
      </w:r>
      <w:r w:rsidRPr="00F00002">
        <w:rPr>
          <w:color w:val="000000"/>
        </w:rPr>
        <w:tab/>
        <w:t>(1)</w:t>
      </w:r>
      <w:r w:rsidRPr="00F00002">
        <w:rPr>
          <w:color w:val="000000"/>
        </w:rPr>
        <w:tab/>
        <w:t>The new entrant rate is to be calculated assuming that certain discretions are always exercised.</w:t>
      </w:r>
    </w:p>
    <w:p w:rsidR="00BB4501" w:rsidRPr="00F00002" w:rsidRDefault="00BB4501" w:rsidP="00D150ED">
      <w:pPr>
        <w:pStyle w:val="subsection"/>
      </w:pPr>
      <w:r w:rsidRPr="00F00002">
        <w:tab/>
        <w:t>(2)</w:t>
      </w:r>
      <w:r w:rsidRPr="00F00002">
        <w:tab/>
        <w:t xml:space="preserve">Subject to </w:t>
      </w:r>
      <w:r w:rsidR="00F00002">
        <w:t>subsection (</w:t>
      </w:r>
      <w:r w:rsidRPr="00F00002">
        <w:t>2A), if the fund rules provide a discretion to pay, on voluntary exit, a benefit that is higher than the standard benefit, the actuary must assume that a higher benefit is always paid on voluntary exit on or after age 55.</w:t>
      </w:r>
    </w:p>
    <w:p w:rsidR="00BB4501" w:rsidRPr="00F00002" w:rsidRDefault="00BB4501" w:rsidP="00D150ED">
      <w:pPr>
        <w:pStyle w:val="subsection"/>
      </w:pPr>
      <w:r w:rsidRPr="00F00002">
        <w:tab/>
      </w:r>
      <w:r w:rsidRPr="00F00002">
        <w:rPr>
          <w:color w:val="000000"/>
        </w:rPr>
        <w:t>(2A)</w:t>
      </w:r>
      <w:r w:rsidRPr="00F00002">
        <w:rPr>
          <w:color w:val="000000"/>
        </w:rPr>
        <w:tab/>
      </w:r>
      <w:r w:rsidRPr="00F00002">
        <w:t xml:space="preserve">If the higher benefit mentioned in </w:t>
      </w:r>
      <w:r w:rsidR="00F00002">
        <w:t>subsection (</w:t>
      </w:r>
      <w:r w:rsidRPr="00F00002">
        <w:t>2) exceeds the accrued retirement benefit, the actuary may assume that the benefit is an amount:</w:t>
      </w:r>
    </w:p>
    <w:p w:rsidR="00BB4501" w:rsidRPr="00F00002" w:rsidRDefault="00BB4501" w:rsidP="00D150ED">
      <w:pPr>
        <w:pStyle w:val="paragraph"/>
      </w:pPr>
      <w:r w:rsidRPr="00F00002">
        <w:tab/>
        <w:t>(a)</w:t>
      </w:r>
      <w:r w:rsidRPr="00F00002">
        <w:tab/>
        <w:t>greater than or equal to the accrued retirement benefit; and</w:t>
      </w:r>
    </w:p>
    <w:p w:rsidR="00BB4501" w:rsidRPr="00F00002" w:rsidRDefault="00BB4501" w:rsidP="00D150ED">
      <w:pPr>
        <w:pStyle w:val="paragraph"/>
        <w:rPr>
          <w:color w:val="000000"/>
        </w:rPr>
      </w:pPr>
      <w:r w:rsidRPr="00F00002">
        <w:tab/>
        <w:t>(b)</w:t>
      </w:r>
      <w:r w:rsidRPr="00F00002">
        <w:tab/>
        <w:t>less than or equal to the higher benefit.</w:t>
      </w:r>
    </w:p>
    <w:p w:rsidR="00BB4501" w:rsidRPr="00F00002" w:rsidRDefault="00BB4501" w:rsidP="00D150ED">
      <w:pPr>
        <w:pStyle w:val="subsection"/>
      </w:pPr>
      <w:r w:rsidRPr="00F00002">
        <w:rPr>
          <w:color w:val="000000"/>
        </w:rPr>
        <w:tab/>
        <w:t>(3)</w:t>
      </w:r>
      <w:r w:rsidRPr="00F00002">
        <w:rPr>
          <w:color w:val="000000"/>
        </w:rPr>
        <w:tab/>
        <w:t>If the actuary believes that there is a reasonable expectation that a higher benefit than either the standard benefit or the accrued retirement benefit will be paid, then the actuary should assume that the benefit paid on voluntary exit on or after age 55 is always equal to the benefit reasonably expected to be paid.</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In considering whether there is a reasonable expectation that a higher benefit will be paid, it would generally not be appropriate to assume payment unless such an assumption was adopted in the most recent actuarial review.</w:t>
      </w:r>
    </w:p>
    <w:p w:rsidR="00BB4501" w:rsidRPr="00F00002" w:rsidRDefault="00BB4501" w:rsidP="002F1818">
      <w:pPr>
        <w:pStyle w:val="Specials"/>
      </w:pPr>
      <w:r w:rsidRPr="00F00002">
        <w:tab/>
        <w:t>Method of working out new entrant rate for a member</w:t>
      </w:r>
    </w:p>
    <w:p w:rsidR="00BB4501" w:rsidRPr="00F00002" w:rsidRDefault="00BB4501" w:rsidP="00D150ED">
      <w:pPr>
        <w:pStyle w:val="subsection"/>
      </w:pPr>
      <w:r w:rsidRPr="00F00002">
        <w:rPr>
          <w:color w:val="000000"/>
        </w:rPr>
        <w:t>2.6</w:t>
      </w:r>
      <w:r w:rsidRPr="00F00002">
        <w:rPr>
          <w:color w:val="000000"/>
        </w:rPr>
        <w:tab/>
        <w:t>(1)</w:t>
      </w:r>
      <w:r w:rsidRPr="00F00002">
        <w:rPr>
          <w:color w:val="000000"/>
        </w:rPr>
        <w:tab/>
        <w:t>If a member belongs to exactly one benefit category at a particular time, the new entrant rate for the member at that time is the new entrant rate for that benefit category.</w:t>
      </w:r>
    </w:p>
    <w:p w:rsidR="00BB4501" w:rsidRPr="00F00002" w:rsidRDefault="00BB4501" w:rsidP="00D150ED">
      <w:pPr>
        <w:pStyle w:val="subsection"/>
      </w:pPr>
      <w:r w:rsidRPr="00F00002">
        <w:rPr>
          <w:color w:val="000000"/>
        </w:rPr>
        <w:tab/>
        <w:t>(2)</w:t>
      </w:r>
      <w:r w:rsidRPr="00F00002">
        <w:rPr>
          <w:color w:val="000000"/>
        </w:rPr>
        <w:tab/>
        <w:t>If a member belongs to more than one benefit category at a particular time, the new entrant rate for the member at that time is the sum of the new entrant rates for each benefit category to which the member belongs.</w:t>
      </w:r>
    </w:p>
    <w:p w:rsidR="00BB4501" w:rsidRPr="00F00002" w:rsidRDefault="00D150ED" w:rsidP="00D150ED">
      <w:pPr>
        <w:pStyle w:val="notetext"/>
      </w:pPr>
      <w:r w:rsidRPr="00F00002">
        <w:rPr>
          <w:color w:val="000000"/>
        </w:rPr>
        <w:t>Note:</w:t>
      </w:r>
      <w:r w:rsidRPr="00F00002">
        <w:rPr>
          <w:color w:val="000000"/>
        </w:rPr>
        <w:tab/>
      </w:r>
      <w:r w:rsidR="00BB4501" w:rsidRPr="00F00002">
        <w:rPr>
          <w:color w:val="000000"/>
        </w:rPr>
        <w:t>The new entrant rate for a member is relevant to regulations</w:t>
      </w:r>
      <w:r w:rsidR="00F00002">
        <w:rPr>
          <w:color w:val="000000"/>
        </w:rPr>
        <w:t> </w:t>
      </w:r>
      <w:r w:rsidR="00BB4501" w:rsidRPr="00F00002">
        <w:rPr>
          <w:color w:val="000000"/>
        </w:rPr>
        <w:t>292</w:t>
      </w:r>
      <w:r w:rsidR="00F00002">
        <w:rPr>
          <w:color w:val="000000"/>
        </w:rPr>
        <w:noBreakHyphen/>
      </w:r>
      <w:r w:rsidR="00BB4501" w:rsidRPr="00F00002">
        <w:rPr>
          <w:color w:val="000000"/>
        </w:rPr>
        <w:t>170.05 and 292</w:t>
      </w:r>
      <w:r w:rsidR="00F00002">
        <w:rPr>
          <w:color w:val="000000"/>
        </w:rPr>
        <w:noBreakHyphen/>
      </w:r>
      <w:r w:rsidR="00BB4501" w:rsidRPr="00F00002">
        <w:rPr>
          <w:color w:val="000000"/>
        </w:rPr>
        <w:t>170.06.</w:t>
      </w:r>
    </w:p>
    <w:p w:rsidR="00BB4501" w:rsidRPr="00F00002" w:rsidRDefault="00D150ED" w:rsidP="009C0941">
      <w:pPr>
        <w:pStyle w:val="ActHead2"/>
        <w:pageBreakBefore/>
      </w:pPr>
      <w:bookmarkStart w:id="199" w:name="BK_S4P96L1C1"/>
      <w:bookmarkStart w:id="200" w:name="_Toc31109768"/>
      <w:bookmarkEnd w:id="199"/>
      <w:r w:rsidRPr="00A26088">
        <w:rPr>
          <w:rStyle w:val="CharPartNo"/>
        </w:rPr>
        <w:lastRenderedPageBreak/>
        <w:t>Part</w:t>
      </w:r>
      <w:r w:rsidR="00F00002" w:rsidRPr="00A26088">
        <w:rPr>
          <w:rStyle w:val="CharPartNo"/>
        </w:rPr>
        <w:t> </w:t>
      </w:r>
      <w:r w:rsidR="00BB4501" w:rsidRPr="00A26088">
        <w:rPr>
          <w:rStyle w:val="CharPartNo"/>
        </w:rPr>
        <w:t>3</w:t>
      </w:r>
      <w:r w:rsidRPr="00F00002">
        <w:rPr>
          <w:color w:val="000000"/>
        </w:rPr>
        <w:t>—</w:t>
      </w:r>
      <w:r w:rsidR="00BB4501" w:rsidRPr="00A26088">
        <w:rPr>
          <w:rStyle w:val="CharPartText"/>
        </w:rPr>
        <w:t>Valuation parameters</w:t>
      </w:r>
      <w:bookmarkEnd w:id="200"/>
    </w:p>
    <w:p w:rsidR="00BB4501" w:rsidRPr="00F00002" w:rsidRDefault="00BB4501" w:rsidP="002F1818">
      <w:pPr>
        <w:pStyle w:val="Specials"/>
      </w:pPr>
      <w:r w:rsidRPr="00F00002">
        <w:tab/>
        <w:t>Application of economic, decrement and other parameters</w:t>
      </w:r>
    </w:p>
    <w:p w:rsidR="00BB4501" w:rsidRPr="00F00002" w:rsidRDefault="00BB4501" w:rsidP="00D150ED">
      <w:pPr>
        <w:pStyle w:val="subsection"/>
      </w:pPr>
      <w:r w:rsidRPr="00F00002">
        <w:rPr>
          <w:color w:val="000000"/>
        </w:rPr>
        <w:t>3.1</w:t>
      </w:r>
      <w:r w:rsidRPr="00F00002">
        <w:rPr>
          <w:color w:val="000000"/>
        </w:rPr>
        <w:tab/>
      </w:r>
      <w:r w:rsidRPr="00F00002">
        <w:rPr>
          <w:color w:val="000000"/>
        </w:rPr>
        <w:tab/>
        <w:t xml:space="preserve">For the purpose of working out the new entrant rate for a benefit category mentioned in </w:t>
      </w:r>
      <w:r w:rsidR="00D150ED" w:rsidRPr="00F00002">
        <w:rPr>
          <w:color w:val="000000"/>
        </w:rPr>
        <w:t>Part</w:t>
      </w:r>
      <w:r w:rsidR="00F00002">
        <w:rPr>
          <w:color w:val="000000"/>
        </w:rPr>
        <w:t> </w:t>
      </w:r>
      <w:r w:rsidRPr="00F00002">
        <w:rPr>
          <w:color w:val="000000"/>
        </w:rPr>
        <w:t>1 or 2, the actuary is to apply the economic, decrement and other parameters set out in this Part.</w:t>
      </w:r>
    </w:p>
    <w:p w:rsidR="00BB4501" w:rsidRPr="00F00002" w:rsidRDefault="00BB4501" w:rsidP="000A0E2F">
      <w:pPr>
        <w:pStyle w:val="Specials"/>
      </w:pPr>
      <w:r w:rsidRPr="00F00002">
        <w:tab/>
        <w:t>Discount rate</w:t>
      </w:r>
    </w:p>
    <w:p w:rsidR="00BB4501" w:rsidRPr="00F00002" w:rsidRDefault="00BB4501" w:rsidP="00D150ED">
      <w:pPr>
        <w:pStyle w:val="subsection"/>
      </w:pPr>
      <w:r w:rsidRPr="00F00002">
        <w:rPr>
          <w:color w:val="000000"/>
        </w:rPr>
        <w:t>3.2</w:t>
      </w:r>
      <w:r w:rsidRPr="00F00002">
        <w:rPr>
          <w:color w:val="000000"/>
        </w:rPr>
        <w:tab/>
        <w:t>(1)</w:t>
      </w:r>
      <w:r w:rsidRPr="00F00002">
        <w:rPr>
          <w:color w:val="000000"/>
        </w:rPr>
        <w:tab/>
        <w:t>The discount rate to be used to discount projected future benefits and salaries is 8% per year.</w:t>
      </w:r>
    </w:p>
    <w:p w:rsidR="00BB4501" w:rsidRPr="00F00002" w:rsidRDefault="00BB4501" w:rsidP="00D150ED">
      <w:pPr>
        <w:pStyle w:val="subsection"/>
      </w:pPr>
      <w:r w:rsidRPr="00F00002">
        <w:rPr>
          <w:color w:val="000000"/>
        </w:rPr>
        <w:tab/>
        <w:t>(2)</w:t>
      </w:r>
      <w:r w:rsidRPr="00F00002">
        <w:rPr>
          <w:color w:val="000000"/>
        </w:rPr>
        <w:tab/>
        <w:t>The discount rate is not to be adjusted for investment expenses or investment</w:t>
      </w:r>
      <w:r w:rsidR="00F00002">
        <w:rPr>
          <w:color w:val="000000"/>
        </w:rPr>
        <w:noBreakHyphen/>
      </w:r>
      <w:r w:rsidRPr="00F00002">
        <w:rPr>
          <w:color w:val="000000"/>
        </w:rPr>
        <w:t>related taxation or for any other reason.</w:t>
      </w:r>
    </w:p>
    <w:p w:rsidR="00BB4501" w:rsidRPr="00F00002" w:rsidRDefault="00BB4501" w:rsidP="000A0E2F">
      <w:pPr>
        <w:pStyle w:val="Specials"/>
      </w:pPr>
      <w:r w:rsidRPr="00F00002">
        <w:tab/>
        <w:t>Fund earning rate and crediting rate</w:t>
      </w:r>
    </w:p>
    <w:p w:rsidR="00BB4501" w:rsidRPr="00F00002" w:rsidRDefault="00BB4501" w:rsidP="00D150ED">
      <w:pPr>
        <w:pStyle w:val="subsection"/>
      </w:pPr>
      <w:r w:rsidRPr="00F00002">
        <w:t>3.3</w:t>
      </w:r>
      <w:r w:rsidRPr="00F00002">
        <w:tab/>
        <w:t>(1)</w:t>
      </w:r>
      <w:r w:rsidRPr="00F00002">
        <w:tab/>
        <w:t>If necessary, the fund earning rate to be assumed is 8% per year.</w:t>
      </w:r>
    </w:p>
    <w:p w:rsidR="00BB4501" w:rsidRPr="00F00002" w:rsidRDefault="00BB4501" w:rsidP="00D150ED">
      <w:pPr>
        <w:pStyle w:val="subsection"/>
      </w:pPr>
      <w:r w:rsidRPr="00F00002">
        <w:tab/>
        <w:t>(2)</w:t>
      </w:r>
      <w:r w:rsidRPr="00F00002">
        <w:tab/>
        <w:t>If necessary, the assumed crediting rate is to be based on the assumed fund earning rate.</w:t>
      </w:r>
    </w:p>
    <w:p w:rsidR="00BB4501" w:rsidRPr="00F00002" w:rsidRDefault="00BB4501" w:rsidP="000A0E2F">
      <w:pPr>
        <w:pStyle w:val="Specials"/>
      </w:pPr>
      <w:r w:rsidRPr="00F00002">
        <w:tab/>
        <w:t>Rate of future salary or wages growth</w:t>
      </w:r>
    </w:p>
    <w:p w:rsidR="00BB4501" w:rsidRPr="00F00002" w:rsidRDefault="00BB4501" w:rsidP="00D150ED">
      <w:pPr>
        <w:pStyle w:val="subsection"/>
      </w:pPr>
      <w:r w:rsidRPr="00F00002">
        <w:rPr>
          <w:color w:val="000000"/>
        </w:rPr>
        <w:t>3.4</w:t>
      </w:r>
      <w:r w:rsidRPr="00F00002">
        <w:rPr>
          <w:color w:val="000000"/>
        </w:rPr>
        <w:tab/>
        <w:t>(1)</w:t>
      </w:r>
      <w:r w:rsidRPr="00F00002">
        <w:rPr>
          <w:color w:val="000000"/>
        </w:rPr>
        <w:tab/>
        <w:t>The rate of salary or wages growth to be applied is 4.5% per year.</w:t>
      </w:r>
    </w:p>
    <w:p w:rsidR="00BB4501" w:rsidRPr="00F00002" w:rsidRDefault="00BB4501" w:rsidP="00D150ED">
      <w:pPr>
        <w:pStyle w:val="subsection"/>
      </w:pPr>
      <w:r w:rsidRPr="00F00002">
        <w:tab/>
        <w:t>(2)</w:t>
      </w:r>
      <w:r w:rsidRPr="00F00002">
        <w:tab/>
        <w:t>This rate is to be used:</w:t>
      </w:r>
    </w:p>
    <w:p w:rsidR="00BB4501" w:rsidRPr="00F00002" w:rsidRDefault="00BB4501" w:rsidP="00D150ED">
      <w:pPr>
        <w:pStyle w:val="paragraph"/>
      </w:pPr>
      <w:r w:rsidRPr="00F00002">
        <w:rPr>
          <w:color w:val="000000"/>
        </w:rPr>
        <w:tab/>
        <w:t>(a)</w:t>
      </w:r>
      <w:r w:rsidRPr="00F00002">
        <w:rPr>
          <w:color w:val="000000"/>
        </w:rPr>
        <w:tab/>
        <w:t>to project the value of future salary or wages; and</w:t>
      </w:r>
    </w:p>
    <w:p w:rsidR="00BB4501" w:rsidRPr="00F00002" w:rsidRDefault="00BB4501" w:rsidP="00D150ED">
      <w:pPr>
        <w:pStyle w:val="paragraph"/>
      </w:pPr>
      <w:r w:rsidRPr="00F00002">
        <w:tab/>
        <w:t>(b)</w:t>
      </w:r>
      <w:r w:rsidRPr="00F00002">
        <w:tab/>
        <w:t>to project benefits that increase in accordance with a general wage index (for example, average weekly earnings).</w:t>
      </w:r>
    </w:p>
    <w:p w:rsidR="00BB4501" w:rsidRPr="00F00002" w:rsidRDefault="00BB4501" w:rsidP="000A0E2F">
      <w:pPr>
        <w:pStyle w:val="Specials"/>
      </w:pPr>
      <w:r w:rsidRPr="00F00002">
        <w:tab/>
        <w:t>Rate of increase in price indices</w:t>
      </w:r>
    </w:p>
    <w:p w:rsidR="00BB4501" w:rsidRPr="00F00002" w:rsidRDefault="00BB4501" w:rsidP="00D150ED">
      <w:pPr>
        <w:pStyle w:val="subsection"/>
      </w:pPr>
      <w:r w:rsidRPr="00F00002">
        <w:rPr>
          <w:color w:val="000000"/>
        </w:rPr>
        <w:t>3.5</w:t>
      </w:r>
      <w:r w:rsidRPr="00F00002">
        <w:rPr>
          <w:color w:val="000000"/>
        </w:rPr>
        <w:tab/>
      </w:r>
      <w:r w:rsidRPr="00F00002">
        <w:rPr>
          <w:color w:val="000000"/>
        </w:rPr>
        <w:tab/>
        <w:t>If a benefit is linked to an increase in a price index (for example, the Consumer Price Index), the rate of increase in the price index to be applied is 2.5% per year.</w:t>
      </w:r>
    </w:p>
    <w:p w:rsidR="00BB4501" w:rsidRPr="00F00002" w:rsidRDefault="00BB4501" w:rsidP="000A0E2F">
      <w:pPr>
        <w:pStyle w:val="Specials"/>
      </w:pPr>
      <w:r w:rsidRPr="00F00002">
        <w:tab/>
        <w:t>New entrant age</w:t>
      </w:r>
    </w:p>
    <w:p w:rsidR="00BB4501" w:rsidRPr="00F00002" w:rsidRDefault="00BB4501" w:rsidP="00D150ED">
      <w:pPr>
        <w:pStyle w:val="subsection"/>
      </w:pPr>
      <w:r w:rsidRPr="00F00002">
        <w:rPr>
          <w:color w:val="000000"/>
        </w:rPr>
        <w:t>3.6</w:t>
      </w:r>
      <w:r w:rsidRPr="00F00002">
        <w:rPr>
          <w:color w:val="000000"/>
        </w:rPr>
        <w:tab/>
        <w:t>(1)</w:t>
      </w:r>
      <w:r w:rsidRPr="00F00002">
        <w:rPr>
          <w:color w:val="000000"/>
        </w:rPr>
        <w:tab/>
        <w:t>The age of new entrants to be assumed is based on the average age of entry to the fund of the persons who were defined benefit members of the fund at 1</w:t>
      </w:r>
      <w:r w:rsidR="00F00002">
        <w:rPr>
          <w:color w:val="000000"/>
        </w:rPr>
        <w:t> </w:t>
      </w:r>
      <w:r w:rsidRPr="00F00002">
        <w:rPr>
          <w:color w:val="000000"/>
        </w:rPr>
        <w:t>July 2007.</w:t>
      </w:r>
    </w:p>
    <w:p w:rsidR="00BB4501" w:rsidRPr="00F00002" w:rsidRDefault="00BB4501" w:rsidP="00D76754">
      <w:pPr>
        <w:pStyle w:val="subsection"/>
        <w:spacing w:after="120"/>
      </w:pPr>
      <w:r w:rsidRPr="00F00002">
        <w:rPr>
          <w:color w:val="000000"/>
        </w:rPr>
        <w:tab/>
        <w:t>(2)</w:t>
      </w:r>
      <w:r w:rsidRPr="00F00002">
        <w:rPr>
          <w:color w:val="000000"/>
        </w:rPr>
        <w:tab/>
        <w:t>The table sets out the age of new entrants that is to be assumed.</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6305"/>
        <w:gridCol w:w="2224"/>
      </w:tblGrid>
      <w:tr w:rsidR="00BB4501" w:rsidRPr="00F00002" w:rsidTr="000505B9">
        <w:trPr>
          <w:tblHeader/>
        </w:trPr>
        <w:tc>
          <w:tcPr>
            <w:tcW w:w="3696" w:type="pct"/>
            <w:tcBorders>
              <w:top w:val="single" w:sz="12" w:space="0" w:color="auto"/>
              <w:bottom w:val="single" w:sz="12" w:space="0" w:color="auto"/>
            </w:tcBorders>
            <w:shd w:val="clear" w:color="auto" w:fill="auto"/>
          </w:tcPr>
          <w:p w:rsidR="00BB4501" w:rsidRPr="00F00002" w:rsidRDefault="00BB4501" w:rsidP="009C0941">
            <w:pPr>
              <w:pStyle w:val="TableHeading"/>
            </w:pPr>
            <w:r w:rsidRPr="00F00002">
              <w:lastRenderedPageBreak/>
              <w:t>Average age last birthday at commencement in fund of defined benefit members of the fund at 1</w:t>
            </w:r>
            <w:r w:rsidR="00F00002">
              <w:t> </w:t>
            </w:r>
            <w:r w:rsidRPr="00F00002">
              <w:t>July 2007</w:t>
            </w:r>
          </w:p>
        </w:tc>
        <w:tc>
          <w:tcPr>
            <w:tcW w:w="1304" w:type="pct"/>
            <w:tcBorders>
              <w:top w:val="single" w:sz="12" w:space="0" w:color="auto"/>
              <w:bottom w:val="single" w:sz="12" w:space="0" w:color="auto"/>
            </w:tcBorders>
            <w:shd w:val="clear" w:color="auto" w:fill="auto"/>
          </w:tcPr>
          <w:p w:rsidR="00BB4501" w:rsidRPr="00F00002" w:rsidRDefault="00BB4501" w:rsidP="009C0941">
            <w:pPr>
              <w:pStyle w:val="TableHeading"/>
            </w:pPr>
            <w:r w:rsidRPr="00F00002">
              <w:t>New entrant age to be assumed</w:t>
            </w:r>
          </w:p>
        </w:tc>
      </w:tr>
      <w:tr w:rsidR="00BB4501" w:rsidRPr="00F00002" w:rsidTr="000505B9">
        <w:tc>
          <w:tcPr>
            <w:tcW w:w="3696" w:type="pct"/>
            <w:tcBorders>
              <w:top w:val="single" w:sz="12" w:space="0" w:color="auto"/>
            </w:tcBorders>
            <w:shd w:val="clear" w:color="auto" w:fill="auto"/>
          </w:tcPr>
          <w:p w:rsidR="00BB4501" w:rsidRPr="00F00002" w:rsidRDefault="00BB4501" w:rsidP="00D150ED">
            <w:pPr>
              <w:pStyle w:val="Tabletext"/>
            </w:pPr>
            <w:r w:rsidRPr="00F00002">
              <w:rPr>
                <w:color w:val="000000"/>
              </w:rPr>
              <w:t>&lt;30</w:t>
            </w:r>
          </w:p>
        </w:tc>
        <w:tc>
          <w:tcPr>
            <w:tcW w:w="1304" w:type="pct"/>
            <w:tcBorders>
              <w:top w:val="single" w:sz="12" w:space="0" w:color="auto"/>
            </w:tcBorders>
            <w:shd w:val="clear" w:color="auto" w:fill="auto"/>
          </w:tcPr>
          <w:p w:rsidR="00BB4501" w:rsidRPr="00F00002" w:rsidRDefault="00BB4501" w:rsidP="00D150ED">
            <w:pPr>
              <w:pStyle w:val="Tabletext"/>
            </w:pPr>
            <w:r w:rsidRPr="00F00002">
              <w:rPr>
                <w:color w:val="000000"/>
              </w:rPr>
              <w:t>25</w:t>
            </w:r>
          </w:p>
        </w:tc>
      </w:tr>
      <w:tr w:rsidR="00BB4501" w:rsidRPr="00F00002" w:rsidTr="000505B9">
        <w:tc>
          <w:tcPr>
            <w:tcW w:w="3696" w:type="pct"/>
            <w:shd w:val="clear" w:color="auto" w:fill="auto"/>
          </w:tcPr>
          <w:p w:rsidR="00BB4501" w:rsidRPr="00F00002" w:rsidRDefault="00BB4501" w:rsidP="00D150ED">
            <w:pPr>
              <w:pStyle w:val="Tabletext"/>
            </w:pPr>
            <w:r w:rsidRPr="00F00002">
              <w:rPr>
                <w:color w:val="000000"/>
              </w:rPr>
              <w:t>30</w:t>
            </w:r>
            <w:r w:rsidR="00F00002">
              <w:rPr>
                <w:color w:val="000000"/>
              </w:rPr>
              <w:noBreakHyphen/>
            </w:r>
            <w:r w:rsidRPr="00F00002">
              <w:rPr>
                <w:color w:val="000000"/>
              </w:rPr>
              <w:t>34</w:t>
            </w:r>
          </w:p>
        </w:tc>
        <w:tc>
          <w:tcPr>
            <w:tcW w:w="1304" w:type="pct"/>
            <w:shd w:val="clear" w:color="auto" w:fill="auto"/>
          </w:tcPr>
          <w:p w:rsidR="00BB4501" w:rsidRPr="00F00002" w:rsidRDefault="00BB4501" w:rsidP="00D150ED">
            <w:pPr>
              <w:pStyle w:val="Tabletext"/>
            </w:pPr>
            <w:r w:rsidRPr="00F00002">
              <w:rPr>
                <w:color w:val="000000"/>
              </w:rPr>
              <w:t>30</w:t>
            </w:r>
          </w:p>
        </w:tc>
      </w:tr>
      <w:tr w:rsidR="00BB4501" w:rsidRPr="00F00002" w:rsidTr="000505B9">
        <w:tc>
          <w:tcPr>
            <w:tcW w:w="3696" w:type="pct"/>
            <w:shd w:val="clear" w:color="auto" w:fill="auto"/>
          </w:tcPr>
          <w:p w:rsidR="00BB4501" w:rsidRPr="00F00002" w:rsidRDefault="00BB4501" w:rsidP="00D150ED">
            <w:pPr>
              <w:pStyle w:val="Tabletext"/>
            </w:pPr>
            <w:r w:rsidRPr="00F00002">
              <w:rPr>
                <w:color w:val="000000"/>
              </w:rPr>
              <w:t>35</w:t>
            </w:r>
            <w:r w:rsidR="00F00002">
              <w:rPr>
                <w:color w:val="000000"/>
              </w:rPr>
              <w:noBreakHyphen/>
            </w:r>
            <w:r w:rsidRPr="00F00002">
              <w:rPr>
                <w:color w:val="000000"/>
              </w:rPr>
              <w:t>39</w:t>
            </w:r>
          </w:p>
        </w:tc>
        <w:tc>
          <w:tcPr>
            <w:tcW w:w="1304" w:type="pct"/>
            <w:shd w:val="clear" w:color="auto" w:fill="auto"/>
          </w:tcPr>
          <w:p w:rsidR="00BB4501" w:rsidRPr="00F00002" w:rsidRDefault="00BB4501" w:rsidP="00D150ED">
            <w:pPr>
              <w:pStyle w:val="Tabletext"/>
            </w:pPr>
            <w:r w:rsidRPr="00F00002">
              <w:rPr>
                <w:color w:val="000000"/>
              </w:rPr>
              <w:t>35</w:t>
            </w:r>
          </w:p>
        </w:tc>
      </w:tr>
      <w:tr w:rsidR="00BB4501" w:rsidRPr="00F00002" w:rsidTr="000505B9">
        <w:tc>
          <w:tcPr>
            <w:tcW w:w="3696" w:type="pct"/>
            <w:shd w:val="clear" w:color="auto" w:fill="auto"/>
          </w:tcPr>
          <w:p w:rsidR="00BB4501" w:rsidRPr="00F00002" w:rsidRDefault="00BB4501" w:rsidP="00D150ED">
            <w:pPr>
              <w:pStyle w:val="Tabletext"/>
            </w:pPr>
            <w:r w:rsidRPr="00F00002">
              <w:rPr>
                <w:color w:val="000000"/>
              </w:rPr>
              <w:t>40</w:t>
            </w:r>
            <w:r w:rsidR="00F00002">
              <w:rPr>
                <w:color w:val="000000"/>
              </w:rPr>
              <w:noBreakHyphen/>
            </w:r>
            <w:r w:rsidRPr="00F00002">
              <w:rPr>
                <w:color w:val="000000"/>
              </w:rPr>
              <w:t>44</w:t>
            </w:r>
          </w:p>
        </w:tc>
        <w:tc>
          <w:tcPr>
            <w:tcW w:w="1304" w:type="pct"/>
            <w:shd w:val="clear" w:color="auto" w:fill="auto"/>
          </w:tcPr>
          <w:p w:rsidR="00BB4501" w:rsidRPr="00F00002" w:rsidRDefault="00BB4501" w:rsidP="00D150ED">
            <w:pPr>
              <w:pStyle w:val="Tabletext"/>
            </w:pPr>
            <w:r w:rsidRPr="00F00002">
              <w:rPr>
                <w:color w:val="000000"/>
              </w:rPr>
              <w:t>40</w:t>
            </w:r>
          </w:p>
        </w:tc>
      </w:tr>
      <w:tr w:rsidR="00BB4501" w:rsidRPr="00F00002" w:rsidTr="000505B9">
        <w:tc>
          <w:tcPr>
            <w:tcW w:w="3696" w:type="pct"/>
            <w:tcBorders>
              <w:bottom w:val="single" w:sz="4" w:space="0" w:color="auto"/>
            </w:tcBorders>
            <w:shd w:val="clear" w:color="auto" w:fill="auto"/>
          </w:tcPr>
          <w:p w:rsidR="00BB4501" w:rsidRPr="00F00002" w:rsidRDefault="00BB4501" w:rsidP="00D150ED">
            <w:pPr>
              <w:pStyle w:val="Tabletext"/>
            </w:pPr>
            <w:r w:rsidRPr="00F00002">
              <w:rPr>
                <w:color w:val="000000"/>
              </w:rPr>
              <w:t>45</w:t>
            </w:r>
            <w:r w:rsidR="00F00002">
              <w:rPr>
                <w:color w:val="000000"/>
              </w:rPr>
              <w:noBreakHyphen/>
            </w:r>
            <w:r w:rsidRPr="00F00002">
              <w:rPr>
                <w:color w:val="000000"/>
              </w:rPr>
              <w:t>49</w:t>
            </w:r>
          </w:p>
        </w:tc>
        <w:tc>
          <w:tcPr>
            <w:tcW w:w="1304" w:type="pct"/>
            <w:tcBorders>
              <w:bottom w:val="single" w:sz="4" w:space="0" w:color="auto"/>
            </w:tcBorders>
            <w:shd w:val="clear" w:color="auto" w:fill="auto"/>
          </w:tcPr>
          <w:p w:rsidR="00BB4501" w:rsidRPr="00F00002" w:rsidRDefault="00BB4501" w:rsidP="00D150ED">
            <w:pPr>
              <w:pStyle w:val="Tabletext"/>
            </w:pPr>
            <w:r w:rsidRPr="00F00002">
              <w:rPr>
                <w:color w:val="000000"/>
              </w:rPr>
              <w:t>45</w:t>
            </w:r>
          </w:p>
        </w:tc>
      </w:tr>
      <w:tr w:rsidR="00BB4501" w:rsidRPr="00F00002" w:rsidTr="000505B9">
        <w:tc>
          <w:tcPr>
            <w:tcW w:w="3696" w:type="pct"/>
            <w:tcBorders>
              <w:bottom w:val="single" w:sz="12" w:space="0" w:color="auto"/>
            </w:tcBorders>
            <w:shd w:val="clear" w:color="auto" w:fill="auto"/>
          </w:tcPr>
          <w:p w:rsidR="00BB4501" w:rsidRPr="00F00002" w:rsidRDefault="00BB4501" w:rsidP="00D150ED">
            <w:pPr>
              <w:pStyle w:val="Tabletext"/>
            </w:pPr>
            <w:r w:rsidRPr="00F00002">
              <w:rPr>
                <w:color w:val="000000"/>
              </w:rPr>
              <w:t>50+</w:t>
            </w:r>
          </w:p>
        </w:tc>
        <w:tc>
          <w:tcPr>
            <w:tcW w:w="1304" w:type="pct"/>
            <w:tcBorders>
              <w:bottom w:val="single" w:sz="12" w:space="0" w:color="auto"/>
            </w:tcBorders>
            <w:shd w:val="clear" w:color="auto" w:fill="auto"/>
          </w:tcPr>
          <w:p w:rsidR="00BB4501" w:rsidRPr="00F00002" w:rsidRDefault="00BB4501" w:rsidP="00D150ED">
            <w:pPr>
              <w:pStyle w:val="Tabletext"/>
            </w:pPr>
            <w:r w:rsidRPr="00F00002">
              <w:rPr>
                <w:color w:val="000000"/>
              </w:rPr>
              <w:t>50</w:t>
            </w:r>
          </w:p>
        </w:tc>
      </w:tr>
    </w:tbl>
    <w:p w:rsidR="000F5826" w:rsidRPr="00F00002" w:rsidRDefault="000F5826" w:rsidP="00D150ED">
      <w:pPr>
        <w:pStyle w:val="subsection"/>
      </w:pPr>
      <w:r w:rsidRPr="00F00002">
        <w:tab/>
        <w:t>(2A)</w:t>
      </w:r>
      <w:r w:rsidRPr="00F00002">
        <w:tab/>
        <w:t>If:</w:t>
      </w:r>
    </w:p>
    <w:p w:rsidR="000F5826" w:rsidRPr="00F00002" w:rsidRDefault="000F5826" w:rsidP="00D150ED">
      <w:pPr>
        <w:pStyle w:val="paragraph"/>
      </w:pPr>
      <w:r w:rsidRPr="00F00002">
        <w:tab/>
        <w:t>(a)</w:t>
      </w:r>
      <w:r w:rsidRPr="00F00002">
        <w:tab/>
        <w:t>there has been a transfer of defined benefit members from a predecessor fund into the fund, or a sub</w:t>
      </w:r>
      <w:r w:rsidR="00F00002">
        <w:noBreakHyphen/>
      </w:r>
      <w:r w:rsidRPr="00F00002">
        <w:t>fund of the fund; and</w:t>
      </w:r>
    </w:p>
    <w:p w:rsidR="000F5826" w:rsidRPr="00F00002" w:rsidRDefault="000F5826" w:rsidP="00D150ED">
      <w:pPr>
        <w:pStyle w:val="paragraph"/>
      </w:pPr>
      <w:r w:rsidRPr="00F00002">
        <w:tab/>
        <w:t>(b)</w:t>
      </w:r>
      <w:r w:rsidRPr="00F00002">
        <w:tab/>
        <w:t>the actuary considers it reasonable to do so;</w:t>
      </w:r>
    </w:p>
    <w:p w:rsidR="000F5826" w:rsidRPr="00F00002" w:rsidRDefault="000F5826" w:rsidP="00D150ED">
      <w:pPr>
        <w:pStyle w:val="subsection2"/>
      </w:pPr>
      <w:r w:rsidRPr="00F00002">
        <w:t>the actuary may determine a new entrant age for the fund or sub</w:t>
      </w:r>
      <w:r w:rsidR="00F00002">
        <w:noBreakHyphen/>
      </w:r>
      <w:r w:rsidRPr="00F00002">
        <w:t>fund taking account of the average age of entry used for or relevant for those members in the predecessor fund.</w:t>
      </w:r>
      <w:r w:rsidR="00672E95" w:rsidRPr="00F00002">
        <w:t xml:space="preserve"> </w:t>
      </w:r>
      <w:r w:rsidRPr="00F00002">
        <w:t xml:space="preserve"> </w:t>
      </w:r>
    </w:p>
    <w:p w:rsidR="00BB4501" w:rsidRPr="00F00002" w:rsidRDefault="00BB4501" w:rsidP="00D150ED">
      <w:pPr>
        <w:pStyle w:val="subsection"/>
      </w:pPr>
      <w:r w:rsidRPr="00F00002">
        <w:tab/>
        <w:t>(2B)</w:t>
      </w:r>
      <w:r w:rsidRPr="00F00002">
        <w:tab/>
        <w:t>For this section:</w:t>
      </w:r>
    </w:p>
    <w:p w:rsidR="00BB4501" w:rsidRPr="00F00002" w:rsidRDefault="00BB4501" w:rsidP="00D150ED">
      <w:pPr>
        <w:pStyle w:val="Definition"/>
      </w:pPr>
      <w:r w:rsidRPr="00F00002">
        <w:rPr>
          <w:b/>
          <w:i/>
        </w:rPr>
        <w:t>defined benefit member</w:t>
      </w:r>
      <w:r w:rsidRPr="00F00002">
        <w:t xml:space="preserve"> does not include a person who:</w:t>
      </w:r>
    </w:p>
    <w:p w:rsidR="00BB4501" w:rsidRPr="00F00002" w:rsidRDefault="00BB4501" w:rsidP="00D150ED">
      <w:pPr>
        <w:pStyle w:val="paragraph"/>
      </w:pPr>
      <w:r w:rsidRPr="00F00002">
        <w:tab/>
        <w:t>(a)</w:t>
      </w:r>
      <w:r w:rsidRPr="00F00002">
        <w:tab/>
        <w:t>is receiving only a pension benefit from the fund; or</w:t>
      </w:r>
    </w:p>
    <w:p w:rsidR="00BB4501" w:rsidRPr="00F00002" w:rsidRDefault="00BB4501" w:rsidP="00D150ED">
      <w:pPr>
        <w:pStyle w:val="paragraph"/>
      </w:pPr>
      <w:r w:rsidRPr="00F00002">
        <w:tab/>
        <w:t>(b)</w:t>
      </w:r>
      <w:r w:rsidRPr="00F00002">
        <w:tab/>
        <w:t>has deferred his or her benefit entitlement in the fund.</w:t>
      </w:r>
    </w:p>
    <w:p w:rsidR="00BB4501" w:rsidRPr="00F00002" w:rsidRDefault="00BB4501" w:rsidP="00D150ED">
      <w:pPr>
        <w:pStyle w:val="subsection"/>
      </w:pPr>
      <w:r w:rsidRPr="00F00002">
        <w:rPr>
          <w:color w:val="000000"/>
        </w:rPr>
        <w:tab/>
        <w:t>(3)</w:t>
      </w:r>
      <w:r w:rsidRPr="00F00002">
        <w:rPr>
          <w:color w:val="000000"/>
        </w:rPr>
        <w:tab/>
        <w:t>If the actuary believes that there is insufficient information available to calculate the average age of entry, the actuary is to assume that the age of a new entrant is 40.</w:t>
      </w:r>
    </w:p>
    <w:p w:rsidR="00BB4501" w:rsidRPr="00F00002" w:rsidRDefault="00BB4501" w:rsidP="000A0E2F">
      <w:pPr>
        <w:pStyle w:val="Specials"/>
      </w:pPr>
      <w:r w:rsidRPr="00F00002">
        <w:tab/>
        <w:t>Exit rates</w:t>
      </w:r>
    </w:p>
    <w:p w:rsidR="00BB4501" w:rsidRPr="00F00002" w:rsidRDefault="00BB4501" w:rsidP="00D150ED">
      <w:pPr>
        <w:pStyle w:val="subsection"/>
      </w:pPr>
      <w:r w:rsidRPr="00F00002">
        <w:rPr>
          <w:color w:val="000000"/>
        </w:rPr>
        <w:t>3.7</w:t>
      </w:r>
      <w:r w:rsidRPr="00F00002">
        <w:rPr>
          <w:color w:val="000000"/>
        </w:rPr>
        <w:tab/>
        <w:t>(1)</w:t>
      </w:r>
      <w:r w:rsidRPr="00F00002">
        <w:rPr>
          <w:color w:val="000000"/>
        </w:rPr>
        <w:tab/>
        <w:t>The table sets out the rates of voluntary exit from the fund that are to be assumed.</w:t>
      </w:r>
    </w:p>
    <w:p w:rsidR="00BB4501" w:rsidRPr="00F00002" w:rsidRDefault="00BB4501" w:rsidP="00BB4501">
      <w:pPr>
        <w:rPr>
          <w:sz w:val="6"/>
          <w:szCs w:val="6"/>
        </w:rPr>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4264"/>
        <w:gridCol w:w="4265"/>
      </w:tblGrid>
      <w:tr w:rsidR="00BB4501" w:rsidRPr="00F00002" w:rsidTr="000505B9">
        <w:trPr>
          <w:tblHeader/>
        </w:trPr>
        <w:tc>
          <w:tcPr>
            <w:tcW w:w="2500" w:type="pct"/>
            <w:tcBorders>
              <w:top w:val="single" w:sz="12" w:space="0" w:color="auto"/>
              <w:bottom w:val="single" w:sz="12" w:space="0" w:color="auto"/>
            </w:tcBorders>
            <w:shd w:val="clear" w:color="auto" w:fill="auto"/>
          </w:tcPr>
          <w:p w:rsidR="00BB4501" w:rsidRPr="00F00002" w:rsidRDefault="00BB4501" w:rsidP="00FB01A9">
            <w:pPr>
              <w:pStyle w:val="TableHeading"/>
            </w:pPr>
            <w:r w:rsidRPr="00F00002">
              <w:t>Age Band</w:t>
            </w:r>
          </w:p>
        </w:tc>
        <w:tc>
          <w:tcPr>
            <w:tcW w:w="2500" w:type="pct"/>
            <w:tcBorders>
              <w:top w:val="single" w:sz="12" w:space="0" w:color="auto"/>
              <w:bottom w:val="single" w:sz="12" w:space="0" w:color="auto"/>
            </w:tcBorders>
            <w:shd w:val="clear" w:color="auto" w:fill="auto"/>
          </w:tcPr>
          <w:p w:rsidR="00BB4501" w:rsidRPr="00F00002" w:rsidRDefault="00BB4501" w:rsidP="00FB01A9">
            <w:pPr>
              <w:pStyle w:val="TableHeading"/>
            </w:pPr>
            <w:r w:rsidRPr="00F00002">
              <w:t>Exit rate</w:t>
            </w:r>
          </w:p>
        </w:tc>
      </w:tr>
      <w:tr w:rsidR="00BB4501" w:rsidRPr="00F00002" w:rsidTr="000505B9">
        <w:tc>
          <w:tcPr>
            <w:tcW w:w="2500" w:type="pct"/>
            <w:tcBorders>
              <w:top w:val="single" w:sz="12" w:space="0" w:color="auto"/>
            </w:tcBorders>
            <w:shd w:val="clear" w:color="auto" w:fill="auto"/>
          </w:tcPr>
          <w:p w:rsidR="00BB4501" w:rsidRPr="00F00002" w:rsidRDefault="00BB4501" w:rsidP="00D150ED">
            <w:pPr>
              <w:pStyle w:val="Tabletext"/>
            </w:pPr>
            <w:r w:rsidRPr="00F00002">
              <w:rPr>
                <w:color w:val="000000"/>
              </w:rPr>
              <w:t>&lt;40</w:t>
            </w:r>
          </w:p>
        </w:tc>
        <w:tc>
          <w:tcPr>
            <w:tcW w:w="2500" w:type="pct"/>
            <w:tcBorders>
              <w:top w:val="single" w:sz="12" w:space="0" w:color="auto"/>
            </w:tcBorders>
            <w:shd w:val="clear" w:color="auto" w:fill="auto"/>
          </w:tcPr>
          <w:p w:rsidR="00BB4501" w:rsidRPr="00F00002" w:rsidRDefault="00BB4501" w:rsidP="00D150ED">
            <w:pPr>
              <w:pStyle w:val="Tabletext"/>
            </w:pPr>
            <w:r w:rsidRPr="00F00002">
              <w:rPr>
                <w:color w:val="000000"/>
              </w:rPr>
              <w:t>0.05</w:t>
            </w:r>
          </w:p>
        </w:tc>
      </w:tr>
      <w:tr w:rsidR="00BB4501" w:rsidRPr="00F00002" w:rsidTr="000505B9">
        <w:tc>
          <w:tcPr>
            <w:tcW w:w="2500" w:type="pct"/>
            <w:shd w:val="clear" w:color="auto" w:fill="auto"/>
          </w:tcPr>
          <w:p w:rsidR="00BB4501" w:rsidRPr="00F00002" w:rsidRDefault="00BB4501" w:rsidP="00D150ED">
            <w:pPr>
              <w:pStyle w:val="Tabletext"/>
            </w:pPr>
            <w:r w:rsidRPr="00F00002">
              <w:rPr>
                <w:color w:val="000000"/>
              </w:rPr>
              <w:t>40</w:t>
            </w:r>
            <w:r w:rsidR="00F00002">
              <w:rPr>
                <w:color w:val="000000"/>
              </w:rPr>
              <w:noBreakHyphen/>
            </w:r>
            <w:r w:rsidRPr="00F00002">
              <w:rPr>
                <w:color w:val="000000"/>
              </w:rPr>
              <w:t>44</w:t>
            </w:r>
          </w:p>
        </w:tc>
        <w:tc>
          <w:tcPr>
            <w:tcW w:w="2500" w:type="pct"/>
            <w:shd w:val="clear" w:color="auto" w:fill="auto"/>
          </w:tcPr>
          <w:p w:rsidR="00BB4501" w:rsidRPr="00F00002" w:rsidRDefault="00BB4501" w:rsidP="00D150ED">
            <w:pPr>
              <w:pStyle w:val="Tabletext"/>
            </w:pPr>
            <w:r w:rsidRPr="00F00002">
              <w:rPr>
                <w:color w:val="000000"/>
              </w:rPr>
              <w:t>0.04</w:t>
            </w:r>
          </w:p>
        </w:tc>
      </w:tr>
      <w:tr w:rsidR="00BB4501" w:rsidRPr="00F00002" w:rsidTr="000505B9">
        <w:tc>
          <w:tcPr>
            <w:tcW w:w="2500" w:type="pct"/>
            <w:shd w:val="clear" w:color="auto" w:fill="auto"/>
          </w:tcPr>
          <w:p w:rsidR="00BB4501" w:rsidRPr="00F00002" w:rsidRDefault="00BB4501" w:rsidP="00D150ED">
            <w:pPr>
              <w:pStyle w:val="Tabletext"/>
            </w:pPr>
            <w:r w:rsidRPr="00F00002">
              <w:rPr>
                <w:color w:val="000000"/>
              </w:rPr>
              <w:t>45</w:t>
            </w:r>
            <w:r w:rsidR="00F00002">
              <w:rPr>
                <w:color w:val="000000"/>
              </w:rPr>
              <w:noBreakHyphen/>
            </w:r>
            <w:r w:rsidRPr="00F00002">
              <w:rPr>
                <w:color w:val="000000"/>
              </w:rPr>
              <w:t>49</w:t>
            </w:r>
          </w:p>
        </w:tc>
        <w:tc>
          <w:tcPr>
            <w:tcW w:w="2500" w:type="pct"/>
            <w:shd w:val="clear" w:color="auto" w:fill="auto"/>
          </w:tcPr>
          <w:p w:rsidR="00BB4501" w:rsidRPr="00F00002" w:rsidRDefault="00BB4501" w:rsidP="00D150ED">
            <w:pPr>
              <w:pStyle w:val="Tabletext"/>
            </w:pPr>
            <w:r w:rsidRPr="00F00002">
              <w:rPr>
                <w:color w:val="000000"/>
              </w:rPr>
              <w:t>0.04</w:t>
            </w:r>
          </w:p>
        </w:tc>
      </w:tr>
      <w:tr w:rsidR="00BB4501" w:rsidRPr="00F00002" w:rsidTr="000505B9">
        <w:tc>
          <w:tcPr>
            <w:tcW w:w="2500" w:type="pct"/>
            <w:shd w:val="clear" w:color="auto" w:fill="auto"/>
          </w:tcPr>
          <w:p w:rsidR="00BB4501" w:rsidRPr="00F00002" w:rsidRDefault="00BB4501" w:rsidP="00D150ED">
            <w:pPr>
              <w:pStyle w:val="Tabletext"/>
            </w:pPr>
            <w:r w:rsidRPr="00F00002">
              <w:rPr>
                <w:color w:val="000000"/>
              </w:rPr>
              <w:t>50</w:t>
            </w:r>
            <w:r w:rsidR="00F00002">
              <w:rPr>
                <w:color w:val="000000"/>
              </w:rPr>
              <w:noBreakHyphen/>
            </w:r>
            <w:r w:rsidRPr="00F00002">
              <w:rPr>
                <w:color w:val="000000"/>
              </w:rPr>
              <w:t>54</w:t>
            </w:r>
          </w:p>
        </w:tc>
        <w:tc>
          <w:tcPr>
            <w:tcW w:w="2500" w:type="pct"/>
            <w:shd w:val="clear" w:color="auto" w:fill="auto"/>
          </w:tcPr>
          <w:p w:rsidR="00BB4501" w:rsidRPr="00F00002" w:rsidRDefault="00BB4501" w:rsidP="00D150ED">
            <w:pPr>
              <w:pStyle w:val="Tabletext"/>
            </w:pPr>
            <w:r w:rsidRPr="00F00002">
              <w:rPr>
                <w:color w:val="000000"/>
              </w:rPr>
              <w:t>0.04</w:t>
            </w:r>
          </w:p>
        </w:tc>
      </w:tr>
      <w:tr w:rsidR="00BB4501" w:rsidRPr="00F00002" w:rsidTr="000505B9">
        <w:tc>
          <w:tcPr>
            <w:tcW w:w="2500" w:type="pct"/>
            <w:shd w:val="clear" w:color="auto" w:fill="auto"/>
          </w:tcPr>
          <w:p w:rsidR="00BB4501" w:rsidRPr="00F00002" w:rsidRDefault="00BB4501" w:rsidP="00D150ED">
            <w:pPr>
              <w:pStyle w:val="Tabletext"/>
            </w:pPr>
            <w:r w:rsidRPr="00F00002">
              <w:rPr>
                <w:color w:val="000000"/>
              </w:rPr>
              <w:t>55</w:t>
            </w:r>
            <w:r w:rsidR="00F00002">
              <w:rPr>
                <w:color w:val="000000"/>
              </w:rPr>
              <w:noBreakHyphen/>
            </w:r>
            <w:r w:rsidRPr="00F00002">
              <w:rPr>
                <w:color w:val="000000"/>
              </w:rPr>
              <w:t>59</w:t>
            </w:r>
          </w:p>
        </w:tc>
        <w:tc>
          <w:tcPr>
            <w:tcW w:w="2500" w:type="pct"/>
            <w:shd w:val="clear" w:color="auto" w:fill="auto"/>
          </w:tcPr>
          <w:p w:rsidR="00BB4501" w:rsidRPr="00F00002" w:rsidRDefault="00BB4501" w:rsidP="00D150ED">
            <w:pPr>
              <w:pStyle w:val="Tabletext"/>
            </w:pPr>
            <w:r w:rsidRPr="00F00002">
              <w:rPr>
                <w:color w:val="000000"/>
              </w:rPr>
              <w:t>0.08</w:t>
            </w:r>
          </w:p>
        </w:tc>
      </w:tr>
      <w:tr w:rsidR="00BB4501" w:rsidRPr="00F00002" w:rsidTr="000505B9">
        <w:tc>
          <w:tcPr>
            <w:tcW w:w="2500" w:type="pct"/>
            <w:shd w:val="clear" w:color="auto" w:fill="auto"/>
          </w:tcPr>
          <w:p w:rsidR="00BB4501" w:rsidRPr="00F00002" w:rsidRDefault="00BB4501" w:rsidP="00D150ED">
            <w:pPr>
              <w:pStyle w:val="Tabletext"/>
            </w:pPr>
            <w:r w:rsidRPr="00F00002">
              <w:rPr>
                <w:color w:val="000000"/>
              </w:rPr>
              <w:t>60</w:t>
            </w:r>
          </w:p>
        </w:tc>
        <w:tc>
          <w:tcPr>
            <w:tcW w:w="2500" w:type="pct"/>
            <w:shd w:val="clear" w:color="auto" w:fill="auto"/>
          </w:tcPr>
          <w:p w:rsidR="00BB4501" w:rsidRPr="00F00002" w:rsidRDefault="00BB4501" w:rsidP="00D150ED">
            <w:pPr>
              <w:pStyle w:val="Tabletext"/>
            </w:pPr>
            <w:r w:rsidRPr="00F00002">
              <w:rPr>
                <w:color w:val="000000"/>
              </w:rPr>
              <w:t>0.12</w:t>
            </w:r>
          </w:p>
        </w:tc>
      </w:tr>
      <w:tr w:rsidR="00BB4501" w:rsidRPr="00F00002" w:rsidTr="000505B9">
        <w:tc>
          <w:tcPr>
            <w:tcW w:w="2500" w:type="pct"/>
            <w:tcBorders>
              <w:bottom w:val="single" w:sz="4" w:space="0" w:color="auto"/>
            </w:tcBorders>
            <w:shd w:val="clear" w:color="auto" w:fill="auto"/>
          </w:tcPr>
          <w:p w:rsidR="00BB4501" w:rsidRPr="00F00002" w:rsidRDefault="00BB4501" w:rsidP="00D150ED">
            <w:pPr>
              <w:pStyle w:val="Tabletext"/>
            </w:pPr>
            <w:r w:rsidRPr="00F00002">
              <w:rPr>
                <w:color w:val="000000"/>
              </w:rPr>
              <w:t>61</w:t>
            </w:r>
            <w:r w:rsidR="00F00002">
              <w:rPr>
                <w:color w:val="000000"/>
              </w:rPr>
              <w:noBreakHyphen/>
            </w:r>
            <w:r w:rsidRPr="00F00002">
              <w:rPr>
                <w:color w:val="000000"/>
              </w:rPr>
              <w:t>64</w:t>
            </w:r>
          </w:p>
        </w:tc>
        <w:tc>
          <w:tcPr>
            <w:tcW w:w="2500" w:type="pct"/>
            <w:tcBorders>
              <w:bottom w:val="single" w:sz="4" w:space="0" w:color="auto"/>
            </w:tcBorders>
            <w:shd w:val="clear" w:color="auto" w:fill="auto"/>
          </w:tcPr>
          <w:p w:rsidR="00BB4501" w:rsidRPr="00F00002" w:rsidRDefault="00BB4501" w:rsidP="00D150ED">
            <w:pPr>
              <w:pStyle w:val="Tabletext"/>
            </w:pPr>
            <w:r w:rsidRPr="00F00002">
              <w:rPr>
                <w:color w:val="000000"/>
              </w:rPr>
              <w:t>0.10</w:t>
            </w:r>
          </w:p>
        </w:tc>
      </w:tr>
      <w:tr w:rsidR="00BB4501" w:rsidRPr="00F00002" w:rsidTr="000505B9">
        <w:tc>
          <w:tcPr>
            <w:tcW w:w="2500" w:type="pct"/>
            <w:tcBorders>
              <w:bottom w:val="single" w:sz="12" w:space="0" w:color="auto"/>
            </w:tcBorders>
            <w:shd w:val="clear" w:color="auto" w:fill="auto"/>
          </w:tcPr>
          <w:p w:rsidR="00BB4501" w:rsidRPr="00F00002" w:rsidRDefault="00BB4501" w:rsidP="00D150ED">
            <w:pPr>
              <w:pStyle w:val="Tabletext"/>
            </w:pPr>
            <w:r w:rsidRPr="00F00002">
              <w:rPr>
                <w:color w:val="000000"/>
              </w:rPr>
              <w:t>65</w:t>
            </w:r>
          </w:p>
        </w:tc>
        <w:tc>
          <w:tcPr>
            <w:tcW w:w="2500" w:type="pct"/>
            <w:tcBorders>
              <w:bottom w:val="single" w:sz="12" w:space="0" w:color="auto"/>
            </w:tcBorders>
            <w:shd w:val="clear" w:color="auto" w:fill="auto"/>
          </w:tcPr>
          <w:p w:rsidR="00BB4501" w:rsidRPr="00F00002" w:rsidRDefault="00BB4501" w:rsidP="00D150ED">
            <w:pPr>
              <w:pStyle w:val="Tabletext"/>
            </w:pPr>
            <w:r w:rsidRPr="00F00002">
              <w:rPr>
                <w:color w:val="000000"/>
              </w:rPr>
              <w:t>1.00</w:t>
            </w:r>
          </w:p>
        </w:tc>
      </w:tr>
    </w:tbl>
    <w:p w:rsidR="00BB4501" w:rsidRPr="00F00002" w:rsidRDefault="00BB4501" w:rsidP="00D150ED">
      <w:pPr>
        <w:pStyle w:val="subsection"/>
      </w:pPr>
      <w:r w:rsidRPr="00F00002">
        <w:rPr>
          <w:color w:val="000000"/>
        </w:rPr>
        <w:lastRenderedPageBreak/>
        <w:tab/>
        <w:t>(2)</w:t>
      </w:r>
      <w:r w:rsidRPr="00F00002">
        <w:rPr>
          <w:color w:val="000000"/>
        </w:rPr>
        <w:tab/>
        <w:t>The rate of involuntary exit (including by redundancy, death or invalidity) to be assumed is zero.</w:t>
      </w:r>
    </w:p>
    <w:p w:rsidR="00BB4501" w:rsidRPr="00F00002" w:rsidRDefault="00BB4501" w:rsidP="000A0E2F">
      <w:pPr>
        <w:pStyle w:val="Specials"/>
      </w:pPr>
      <w:r w:rsidRPr="00F00002">
        <w:tab/>
        <w:t>Pensions</w:t>
      </w:r>
    </w:p>
    <w:p w:rsidR="00BB4501" w:rsidRPr="00F00002" w:rsidRDefault="00BB4501" w:rsidP="00D150ED">
      <w:pPr>
        <w:pStyle w:val="subsection"/>
      </w:pPr>
      <w:r w:rsidRPr="00F00002">
        <w:rPr>
          <w:color w:val="000000"/>
        </w:rPr>
        <w:t>3.8</w:t>
      </w:r>
      <w:r w:rsidRPr="00F00002">
        <w:rPr>
          <w:color w:val="000000"/>
        </w:rPr>
        <w:tab/>
        <w:t>(1)</w:t>
      </w:r>
      <w:r w:rsidRPr="00F00002">
        <w:rPr>
          <w:color w:val="000000"/>
        </w:rPr>
        <w:tab/>
        <w:t>If the fund benefit is a single life pension, the pension is to be valued using the assumptions set out in this Part.</w:t>
      </w:r>
    </w:p>
    <w:p w:rsidR="00BB4501" w:rsidRPr="00F00002" w:rsidRDefault="00BB4501" w:rsidP="00D150ED">
      <w:pPr>
        <w:pStyle w:val="subsection"/>
      </w:pPr>
      <w:r w:rsidRPr="00F00002">
        <w:rPr>
          <w:color w:val="000000"/>
        </w:rPr>
        <w:tab/>
        <w:t>(2)</w:t>
      </w:r>
      <w:r w:rsidRPr="00F00002">
        <w:rPr>
          <w:color w:val="000000"/>
        </w:rPr>
        <w:tab/>
        <w:t>If the fund benefit is a reversionary pension, the value of the pension is to be taken as the value of the pension assuming it is a single life pension, increased by 10 %.</w:t>
      </w:r>
    </w:p>
    <w:p w:rsidR="00BB4501" w:rsidRPr="00F00002" w:rsidRDefault="00BB4501" w:rsidP="000A0E2F">
      <w:pPr>
        <w:pStyle w:val="Specials"/>
      </w:pPr>
      <w:r w:rsidRPr="00F00002">
        <w:tab/>
        <w:t>Mortality of pensioners</w:t>
      </w:r>
    </w:p>
    <w:p w:rsidR="00BB4501" w:rsidRPr="00F00002" w:rsidRDefault="00BB4501" w:rsidP="00D12E1C">
      <w:pPr>
        <w:pStyle w:val="subsection"/>
        <w:spacing w:after="120"/>
        <w:rPr>
          <w:color w:val="000000"/>
        </w:rPr>
      </w:pPr>
      <w:r w:rsidRPr="00F00002">
        <w:rPr>
          <w:color w:val="000000"/>
        </w:rPr>
        <w:t>3.9</w:t>
      </w:r>
      <w:r w:rsidRPr="00F00002">
        <w:rPr>
          <w:color w:val="000000"/>
        </w:rPr>
        <w:tab/>
      </w:r>
      <w:r w:rsidRPr="00F00002">
        <w:rPr>
          <w:color w:val="000000"/>
        </w:rPr>
        <w:tab/>
        <w:t>The table sets out the rates of pensioner mortality (</w:t>
      </w:r>
      <w:r w:rsidRPr="00F00002">
        <w:rPr>
          <w:b/>
          <w:i/>
          <w:color w:val="000000"/>
        </w:rPr>
        <w:t>qx</w:t>
      </w:r>
      <w:r w:rsidRPr="00F00002">
        <w:rPr>
          <w:color w:val="000000"/>
        </w:rPr>
        <w:t>) that are to be assumed.</w:t>
      </w:r>
    </w:p>
    <w:p w:rsidR="00444DB5" w:rsidRPr="00F00002" w:rsidRDefault="00444DB5" w:rsidP="00A757D6">
      <w:pPr>
        <w:sectPr w:rsidR="00444DB5" w:rsidRPr="00F00002" w:rsidSect="008035BA">
          <w:headerReference w:type="even" r:id="rId35"/>
          <w:headerReference w:type="default" r:id="rId36"/>
          <w:footerReference w:type="even" r:id="rId37"/>
          <w:footerReference w:type="default" r:id="rId38"/>
          <w:headerReference w:type="first" r:id="rId39"/>
          <w:footerReference w:type="first" r:id="rId40"/>
          <w:pgSz w:w="11907" w:h="16839" w:code="9"/>
          <w:pgMar w:top="2325" w:right="1797" w:bottom="1440" w:left="1797" w:header="720" w:footer="709" w:gutter="0"/>
          <w:cols w:space="720"/>
          <w:docGrid w:linePitch="299"/>
        </w:sectPr>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2006"/>
        <w:gridCol w:w="2006"/>
      </w:tblGrid>
      <w:tr w:rsidR="00BB4501" w:rsidRPr="00F00002" w:rsidTr="000505B9">
        <w:trPr>
          <w:cantSplit/>
          <w:tblHeader/>
        </w:trPr>
        <w:tc>
          <w:tcPr>
            <w:tcW w:w="2500" w:type="pct"/>
            <w:tcBorders>
              <w:top w:val="single" w:sz="12" w:space="0" w:color="auto"/>
              <w:bottom w:val="single" w:sz="12" w:space="0" w:color="auto"/>
            </w:tcBorders>
            <w:shd w:val="clear" w:color="auto" w:fill="auto"/>
          </w:tcPr>
          <w:p w:rsidR="00BB4501" w:rsidRPr="00F00002" w:rsidRDefault="00BB4501" w:rsidP="00444DB5">
            <w:pPr>
              <w:pStyle w:val="TableHeading"/>
              <w:keepNext w:val="0"/>
              <w:jc w:val="center"/>
            </w:pPr>
            <w:r w:rsidRPr="00F00002">
              <w:lastRenderedPageBreak/>
              <w:t>Age</w:t>
            </w:r>
          </w:p>
        </w:tc>
        <w:tc>
          <w:tcPr>
            <w:tcW w:w="2500" w:type="pct"/>
            <w:tcBorders>
              <w:top w:val="single" w:sz="12" w:space="0" w:color="auto"/>
              <w:bottom w:val="single" w:sz="12" w:space="0" w:color="auto"/>
            </w:tcBorders>
            <w:shd w:val="clear" w:color="auto" w:fill="auto"/>
          </w:tcPr>
          <w:p w:rsidR="00BB4501" w:rsidRPr="00F00002" w:rsidRDefault="00BB4501" w:rsidP="00444DB5">
            <w:pPr>
              <w:pStyle w:val="TableHeading"/>
              <w:keepNext w:val="0"/>
              <w:jc w:val="center"/>
            </w:pPr>
            <w:r w:rsidRPr="00F00002">
              <w:t>qx</w:t>
            </w:r>
          </w:p>
        </w:tc>
      </w:tr>
      <w:tr w:rsidR="00BB4501" w:rsidRPr="00F00002" w:rsidTr="000505B9">
        <w:trPr>
          <w:cantSplit/>
        </w:trPr>
        <w:tc>
          <w:tcPr>
            <w:tcW w:w="2500" w:type="pct"/>
            <w:tcBorders>
              <w:top w:val="single" w:sz="12" w:space="0" w:color="auto"/>
            </w:tcBorders>
            <w:shd w:val="clear" w:color="auto" w:fill="auto"/>
          </w:tcPr>
          <w:p w:rsidR="00BB4501" w:rsidRPr="00F00002" w:rsidRDefault="00BB4501" w:rsidP="00444DB5">
            <w:pPr>
              <w:pStyle w:val="Tabletext"/>
            </w:pPr>
            <w:r w:rsidRPr="00F00002">
              <w:rPr>
                <w:color w:val="000000"/>
              </w:rPr>
              <w:t>35</w:t>
            </w:r>
            <w:r w:rsidR="00F00002">
              <w:rPr>
                <w:color w:val="000000"/>
              </w:rPr>
              <w:noBreakHyphen/>
            </w:r>
            <w:r w:rsidRPr="00F00002">
              <w:rPr>
                <w:color w:val="000000"/>
              </w:rPr>
              <w:t>49</w:t>
            </w:r>
          </w:p>
        </w:tc>
        <w:tc>
          <w:tcPr>
            <w:tcW w:w="2500" w:type="pct"/>
            <w:tcBorders>
              <w:top w:val="single" w:sz="12" w:space="0" w:color="auto"/>
            </w:tcBorders>
            <w:shd w:val="clear" w:color="auto" w:fill="auto"/>
          </w:tcPr>
          <w:p w:rsidR="00BB4501" w:rsidRPr="00F00002" w:rsidRDefault="00BB4501" w:rsidP="00444DB5">
            <w:pPr>
              <w:pStyle w:val="Tabletext"/>
            </w:pPr>
            <w:r w:rsidRPr="00F00002">
              <w:rPr>
                <w:color w:val="000000"/>
              </w:rPr>
              <w:t>0.003</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50</w:t>
            </w:r>
            <w:r w:rsidR="00F00002">
              <w:rPr>
                <w:color w:val="000000"/>
              </w:rPr>
              <w:noBreakHyphen/>
            </w:r>
            <w:r w:rsidRPr="00F00002">
              <w:rPr>
                <w:color w:val="000000"/>
              </w:rPr>
              <w:t>54</w:t>
            </w:r>
          </w:p>
        </w:tc>
        <w:tc>
          <w:tcPr>
            <w:tcW w:w="2500" w:type="pct"/>
            <w:shd w:val="clear" w:color="auto" w:fill="auto"/>
          </w:tcPr>
          <w:p w:rsidR="00BB4501" w:rsidRPr="00F00002" w:rsidRDefault="00BB4501" w:rsidP="00444DB5">
            <w:pPr>
              <w:pStyle w:val="Tabletext"/>
            </w:pPr>
            <w:r w:rsidRPr="00F00002">
              <w:rPr>
                <w:color w:val="000000"/>
              </w:rPr>
              <w:t>0.004</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55</w:t>
            </w:r>
          </w:p>
        </w:tc>
        <w:tc>
          <w:tcPr>
            <w:tcW w:w="2500" w:type="pct"/>
            <w:shd w:val="clear" w:color="auto" w:fill="auto"/>
          </w:tcPr>
          <w:p w:rsidR="00BB4501" w:rsidRPr="00F00002" w:rsidRDefault="00BB4501" w:rsidP="00444DB5">
            <w:pPr>
              <w:pStyle w:val="Tabletext"/>
            </w:pPr>
            <w:r w:rsidRPr="00F00002">
              <w:rPr>
                <w:color w:val="000000"/>
              </w:rPr>
              <w:t>0.005</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56</w:t>
            </w:r>
          </w:p>
        </w:tc>
        <w:tc>
          <w:tcPr>
            <w:tcW w:w="2500" w:type="pct"/>
            <w:shd w:val="clear" w:color="auto" w:fill="auto"/>
          </w:tcPr>
          <w:p w:rsidR="00BB4501" w:rsidRPr="00F00002" w:rsidRDefault="00BB4501" w:rsidP="00444DB5">
            <w:pPr>
              <w:pStyle w:val="Tabletext"/>
            </w:pPr>
            <w:r w:rsidRPr="00F00002">
              <w:rPr>
                <w:color w:val="000000"/>
              </w:rPr>
              <w:t>0.006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57</w:t>
            </w:r>
          </w:p>
        </w:tc>
        <w:tc>
          <w:tcPr>
            <w:tcW w:w="2500" w:type="pct"/>
            <w:shd w:val="clear" w:color="auto" w:fill="auto"/>
          </w:tcPr>
          <w:p w:rsidR="00BB4501" w:rsidRPr="00F00002" w:rsidRDefault="00BB4501" w:rsidP="00444DB5">
            <w:pPr>
              <w:pStyle w:val="Tabletext"/>
            </w:pPr>
            <w:r w:rsidRPr="00F00002">
              <w:rPr>
                <w:color w:val="000000"/>
              </w:rPr>
              <w:t>0.006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58</w:t>
            </w:r>
          </w:p>
        </w:tc>
        <w:tc>
          <w:tcPr>
            <w:tcW w:w="2500" w:type="pct"/>
            <w:shd w:val="clear" w:color="auto" w:fill="auto"/>
          </w:tcPr>
          <w:p w:rsidR="00BB4501" w:rsidRPr="00F00002" w:rsidRDefault="00BB4501" w:rsidP="00444DB5">
            <w:pPr>
              <w:pStyle w:val="Tabletext"/>
            </w:pPr>
            <w:r w:rsidRPr="00F00002">
              <w:rPr>
                <w:color w:val="000000"/>
              </w:rPr>
              <w:t>0.007</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59</w:t>
            </w:r>
          </w:p>
        </w:tc>
        <w:tc>
          <w:tcPr>
            <w:tcW w:w="2500" w:type="pct"/>
            <w:shd w:val="clear" w:color="auto" w:fill="auto"/>
          </w:tcPr>
          <w:p w:rsidR="00BB4501" w:rsidRPr="00F00002" w:rsidRDefault="00BB4501" w:rsidP="00444DB5">
            <w:pPr>
              <w:pStyle w:val="Tabletext"/>
            </w:pPr>
            <w:r w:rsidRPr="00F00002">
              <w:rPr>
                <w:color w:val="000000"/>
              </w:rPr>
              <w:t>0.008</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60</w:t>
            </w:r>
          </w:p>
        </w:tc>
        <w:tc>
          <w:tcPr>
            <w:tcW w:w="2500" w:type="pct"/>
            <w:shd w:val="clear" w:color="auto" w:fill="auto"/>
          </w:tcPr>
          <w:p w:rsidR="00BB4501" w:rsidRPr="00F00002" w:rsidRDefault="00BB4501" w:rsidP="00444DB5">
            <w:pPr>
              <w:pStyle w:val="Tabletext"/>
            </w:pPr>
            <w:r w:rsidRPr="00F00002">
              <w:rPr>
                <w:color w:val="000000"/>
              </w:rPr>
              <w:t>0.008</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61</w:t>
            </w:r>
          </w:p>
        </w:tc>
        <w:tc>
          <w:tcPr>
            <w:tcW w:w="2500" w:type="pct"/>
            <w:shd w:val="clear" w:color="auto" w:fill="auto"/>
          </w:tcPr>
          <w:p w:rsidR="00BB4501" w:rsidRPr="00F00002" w:rsidRDefault="00BB4501" w:rsidP="00444DB5">
            <w:pPr>
              <w:pStyle w:val="Tabletext"/>
            </w:pPr>
            <w:r w:rsidRPr="00F00002">
              <w:rPr>
                <w:color w:val="000000"/>
              </w:rPr>
              <w:t>0.009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62</w:t>
            </w:r>
          </w:p>
        </w:tc>
        <w:tc>
          <w:tcPr>
            <w:tcW w:w="2500" w:type="pct"/>
            <w:shd w:val="clear" w:color="auto" w:fill="auto"/>
          </w:tcPr>
          <w:p w:rsidR="00BB4501" w:rsidRPr="00F00002" w:rsidRDefault="00BB4501" w:rsidP="00444DB5">
            <w:pPr>
              <w:pStyle w:val="Tabletext"/>
            </w:pPr>
            <w:r w:rsidRPr="00F00002">
              <w:rPr>
                <w:color w:val="000000"/>
              </w:rPr>
              <w:t>0.010</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63</w:t>
            </w:r>
          </w:p>
        </w:tc>
        <w:tc>
          <w:tcPr>
            <w:tcW w:w="2500" w:type="pct"/>
            <w:shd w:val="clear" w:color="auto" w:fill="auto"/>
          </w:tcPr>
          <w:p w:rsidR="00BB4501" w:rsidRPr="00F00002" w:rsidRDefault="00BB4501" w:rsidP="00444DB5">
            <w:pPr>
              <w:pStyle w:val="Tabletext"/>
            </w:pPr>
            <w:r w:rsidRPr="00F00002">
              <w:rPr>
                <w:color w:val="000000"/>
              </w:rPr>
              <w:t>0.012</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64</w:t>
            </w:r>
          </w:p>
        </w:tc>
        <w:tc>
          <w:tcPr>
            <w:tcW w:w="2500" w:type="pct"/>
            <w:shd w:val="clear" w:color="auto" w:fill="auto"/>
          </w:tcPr>
          <w:p w:rsidR="00BB4501" w:rsidRPr="00F00002" w:rsidRDefault="00BB4501" w:rsidP="00444DB5">
            <w:pPr>
              <w:pStyle w:val="Tabletext"/>
            </w:pPr>
            <w:r w:rsidRPr="00F00002">
              <w:rPr>
                <w:color w:val="000000"/>
              </w:rPr>
              <w:t>0.013</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65</w:t>
            </w:r>
          </w:p>
        </w:tc>
        <w:tc>
          <w:tcPr>
            <w:tcW w:w="2500" w:type="pct"/>
            <w:shd w:val="clear" w:color="auto" w:fill="auto"/>
          </w:tcPr>
          <w:p w:rsidR="00BB4501" w:rsidRPr="00F00002" w:rsidRDefault="00BB4501" w:rsidP="00444DB5">
            <w:pPr>
              <w:pStyle w:val="Tabletext"/>
            </w:pPr>
            <w:r w:rsidRPr="00F00002">
              <w:rPr>
                <w:color w:val="000000"/>
              </w:rPr>
              <w:t>0.014</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66</w:t>
            </w:r>
          </w:p>
        </w:tc>
        <w:tc>
          <w:tcPr>
            <w:tcW w:w="2500" w:type="pct"/>
            <w:shd w:val="clear" w:color="auto" w:fill="auto"/>
          </w:tcPr>
          <w:p w:rsidR="00BB4501" w:rsidRPr="00F00002" w:rsidRDefault="00BB4501" w:rsidP="00444DB5">
            <w:pPr>
              <w:pStyle w:val="Tabletext"/>
            </w:pPr>
            <w:r w:rsidRPr="00F00002">
              <w:rPr>
                <w:color w:val="000000"/>
              </w:rPr>
              <w:t>0.016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67</w:t>
            </w:r>
          </w:p>
        </w:tc>
        <w:tc>
          <w:tcPr>
            <w:tcW w:w="2500" w:type="pct"/>
            <w:shd w:val="clear" w:color="auto" w:fill="auto"/>
          </w:tcPr>
          <w:p w:rsidR="00BB4501" w:rsidRPr="00F00002" w:rsidRDefault="00BB4501" w:rsidP="00444DB5">
            <w:pPr>
              <w:pStyle w:val="Tabletext"/>
            </w:pPr>
            <w:r w:rsidRPr="00F00002">
              <w:rPr>
                <w:color w:val="000000"/>
              </w:rPr>
              <w:t>0.017</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68</w:t>
            </w:r>
          </w:p>
        </w:tc>
        <w:tc>
          <w:tcPr>
            <w:tcW w:w="2500" w:type="pct"/>
            <w:shd w:val="clear" w:color="auto" w:fill="auto"/>
          </w:tcPr>
          <w:p w:rsidR="00BB4501" w:rsidRPr="00F00002" w:rsidRDefault="00BB4501" w:rsidP="00444DB5">
            <w:pPr>
              <w:pStyle w:val="Tabletext"/>
            </w:pPr>
            <w:r w:rsidRPr="00F00002">
              <w:rPr>
                <w:color w:val="000000"/>
              </w:rPr>
              <w:t>0.019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69</w:t>
            </w:r>
          </w:p>
        </w:tc>
        <w:tc>
          <w:tcPr>
            <w:tcW w:w="2500" w:type="pct"/>
            <w:shd w:val="clear" w:color="auto" w:fill="auto"/>
          </w:tcPr>
          <w:p w:rsidR="00BB4501" w:rsidRPr="00F00002" w:rsidRDefault="00BB4501" w:rsidP="00444DB5">
            <w:pPr>
              <w:pStyle w:val="Tabletext"/>
            </w:pPr>
            <w:r w:rsidRPr="00F00002">
              <w:rPr>
                <w:color w:val="000000"/>
              </w:rPr>
              <w:t>0.021</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70</w:t>
            </w:r>
          </w:p>
        </w:tc>
        <w:tc>
          <w:tcPr>
            <w:tcW w:w="2500" w:type="pct"/>
            <w:shd w:val="clear" w:color="auto" w:fill="auto"/>
          </w:tcPr>
          <w:p w:rsidR="00BB4501" w:rsidRPr="00F00002" w:rsidRDefault="00BB4501" w:rsidP="00444DB5">
            <w:pPr>
              <w:pStyle w:val="Tabletext"/>
            </w:pPr>
            <w:r w:rsidRPr="00F00002">
              <w:rPr>
                <w:color w:val="000000"/>
              </w:rPr>
              <w:t>0.023</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71</w:t>
            </w:r>
          </w:p>
        </w:tc>
        <w:tc>
          <w:tcPr>
            <w:tcW w:w="2500" w:type="pct"/>
            <w:shd w:val="clear" w:color="auto" w:fill="auto"/>
          </w:tcPr>
          <w:p w:rsidR="00BB4501" w:rsidRPr="00F00002" w:rsidRDefault="00BB4501" w:rsidP="00444DB5">
            <w:pPr>
              <w:pStyle w:val="Tabletext"/>
            </w:pPr>
            <w:r w:rsidRPr="00F00002">
              <w:rPr>
                <w:color w:val="000000"/>
              </w:rPr>
              <w:t>0.026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72</w:t>
            </w:r>
          </w:p>
        </w:tc>
        <w:tc>
          <w:tcPr>
            <w:tcW w:w="2500" w:type="pct"/>
            <w:shd w:val="clear" w:color="auto" w:fill="auto"/>
          </w:tcPr>
          <w:p w:rsidR="00BB4501" w:rsidRPr="00F00002" w:rsidRDefault="00BB4501" w:rsidP="00444DB5">
            <w:pPr>
              <w:pStyle w:val="Tabletext"/>
            </w:pPr>
            <w:r w:rsidRPr="00F00002">
              <w:rPr>
                <w:color w:val="000000"/>
              </w:rPr>
              <w:t>0.029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73</w:t>
            </w:r>
          </w:p>
        </w:tc>
        <w:tc>
          <w:tcPr>
            <w:tcW w:w="2500" w:type="pct"/>
            <w:shd w:val="clear" w:color="auto" w:fill="auto"/>
          </w:tcPr>
          <w:p w:rsidR="00BB4501" w:rsidRPr="00F00002" w:rsidRDefault="00BB4501" w:rsidP="00444DB5">
            <w:pPr>
              <w:pStyle w:val="Tabletext"/>
            </w:pPr>
            <w:r w:rsidRPr="00F00002">
              <w:rPr>
                <w:color w:val="000000"/>
              </w:rPr>
              <w:t>0.032</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74</w:t>
            </w:r>
          </w:p>
        </w:tc>
        <w:tc>
          <w:tcPr>
            <w:tcW w:w="2500" w:type="pct"/>
            <w:shd w:val="clear" w:color="auto" w:fill="auto"/>
          </w:tcPr>
          <w:p w:rsidR="00BB4501" w:rsidRPr="00F00002" w:rsidRDefault="00BB4501" w:rsidP="00444DB5">
            <w:pPr>
              <w:pStyle w:val="Tabletext"/>
            </w:pPr>
            <w:r w:rsidRPr="00F00002">
              <w:rPr>
                <w:color w:val="000000"/>
              </w:rPr>
              <w:t>0.035</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75</w:t>
            </w:r>
          </w:p>
        </w:tc>
        <w:tc>
          <w:tcPr>
            <w:tcW w:w="2500" w:type="pct"/>
            <w:shd w:val="clear" w:color="auto" w:fill="auto"/>
          </w:tcPr>
          <w:p w:rsidR="00BB4501" w:rsidRPr="00F00002" w:rsidRDefault="00BB4501" w:rsidP="00444DB5">
            <w:pPr>
              <w:pStyle w:val="Tabletext"/>
            </w:pPr>
            <w:r w:rsidRPr="00F00002">
              <w:rPr>
                <w:color w:val="000000"/>
              </w:rPr>
              <w:t>0.039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76</w:t>
            </w:r>
          </w:p>
        </w:tc>
        <w:tc>
          <w:tcPr>
            <w:tcW w:w="2500" w:type="pct"/>
            <w:shd w:val="clear" w:color="auto" w:fill="auto"/>
          </w:tcPr>
          <w:p w:rsidR="00BB4501" w:rsidRPr="00F00002" w:rsidRDefault="00BB4501" w:rsidP="00444DB5">
            <w:pPr>
              <w:pStyle w:val="Tabletext"/>
            </w:pPr>
            <w:r w:rsidRPr="00F00002">
              <w:rPr>
                <w:color w:val="000000"/>
              </w:rPr>
              <w:t>0.043</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lastRenderedPageBreak/>
              <w:t>77</w:t>
            </w:r>
          </w:p>
        </w:tc>
        <w:tc>
          <w:tcPr>
            <w:tcW w:w="2500" w:type="pct"/>
            <w:shd w:val="clear" w:color="auto" w:fill="auto"/>
          </w:tcPr>
          <w:p w:rsidR="00BB4501" w:rsidRPr="00F00002" w:rsidRDefault="00BB4501" w:rsidP="00444DB5">
            <w:pPr>
              <w:pStyle w:val="Tabletext"/>
            </w:pPr>
            <w:r w:rsidRPr="00F00002">
              <w:rPr>
                <w:color w:val="000000"/>
              </w:rPr>
              <w:t>0.048</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78</w:t>
            </w:r>
          </w:p>
        </w:tc>
        <w:tc>
          <w:tcPr>
            <w:tcW w:w="2500" w:type="pct"/>
            <w:shd w:val="clear" w:color="auto" w:fill="auto"/>
          </w:tcPr>
          <w:p w:rsidR="00BB4501" w:rsidRPr="00F00002" w:rsidRDefault="00BB4501" w:rsidP="00444DB5">
            <w:pPr>
              <w:pStyle w:val="Tabletext"/>
            </w:pPr>
            <w:r w:rsidRPr="00F00002">
              <w:rPr>
                <w:color w:val="000000"/>
              </w:rPr>
              <w:t>0.053</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79</w:t>
            </w:r>
          </w:p>
        </w:tc>
        <w:tc>
          <w:tcPr>
            <w:tcW w:w="2500" w:type="pct"/>
            <w:shd w:val="clear" w:color="auto" w:fill="auto"/>
          </w:tcPr>
          <w:p w:rsidR="00BB4501" w:rsidRPr="00F00002" w:rsidRDefault="00BB4501" w:rsidP="00444DB5">
            <w:pPr>
              <w:pStyle w:val="Tabletext"/>
            </w:pPr>
            <w:r w:rsidRPr="00F00002">
              <w:rPr>
                <w:color w:val="000000"/>
              </w:rPr>
              <w:t>0.059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80</w:t>
            </w:r>
          </w:p>
        </w:tc>
        <w:tc>
          <w:tcPr>
            <w:tcW w:w="2500" w:type="pct"/>
            <w:shd w:val="clear" w:color="auto" w:fill="auto"/>
          </w:tcPr>
          <w:p w:rsidR="00BB4501" w:rsidRPr="00F00002" w:rsidRDefault="00BB4501" w:rsidP="00444DB5">
            <w:pPr>
              <w:pStyle w:val="Tabletext"/>
            </w:pPr>
            <w:r w:rsidRPr="00F00002">
              <w:rPr>
                <w:color w:val="000000"/>
              </w:rPr>
              <w:t>0.064</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81</w:t>
            </w:r>
          </w:p>
        </w:tc>
        <w:tc>
          <w:tcPr>
            <w:tcW w:w="2500" w:type="pct"/>
            <w:shd w:val="clear" w:color="auto" w:fill="auto"/>
          </w:tcPr>
          <w:p w:rsidR="00BB4501" w:rsidRPr="00F00002" w:rsidRDefault="00BB4501" w:rsidP="00444DB5">
            <w:pPr>
              <w:pStyle w:val="Tabletext"/>
            </w:pPr>
            <w:r w:rsidRPr="00F00002">
              <w:rPr>
                <w:color w:val="000000"/>
              </w:rPr>
              <w:t>0.070</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82</w:t>
            </w:r>
          </w:p>
        </w:tc>
        <w:tc>
          <w:tcPr>
            <w:tcW w:w="2500" w:type="pct"/>
            <w:shd w:val="clear" w:color="auto" w:fill="auto"/>
          </w:tcPr>
          <w:p w:rsidR="00BB4501" w:rsidRPr="00F00002" w:rsidRDefault="00BB4501" w:rsidP="00444DB5">
            <w:pPr>
              <w:pStyle w:val="Tabletext"/>
            </w:pPr>
            <w:r w:rsidRPr="00F00002">
              <w:rPr>
                <w:color w:val="000000"/>
              </w:rPr>
              <w:t>0.077</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83</w:t>
            </w:r>
          </w:p>
        </w:tc>
        <w:tc>
          <w:tcPr>
            <w:tcW w:w="2500" w:type="pct"/>
            <w:shd w:val="clear" w:color="auto" w:fill="auto"/>
          </w:tcPr>
          <w:p w:rsidR="00BB4501" w:rsidRPr="00F00002" w:rsidRDefault="00BB4501" w:rsidP="00444DB5">
            <w:pPr>
              <w:pStyle w:val="Tabletext"/>
            </w:pPr>
            <w:r w:rsidRPr="00F00002">
              <w:rPr>
                <w:color w:val="000000"/>
              </w:rPr>
              <w:t>0.085</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84</w:t>
            </w:r>
          </w:p>
        </w:tc>
        <w:tc>
          <w:tcPr>
            <w:tcW w:w="2500" w:type="pct"/>
            <w:shd w:val="clear" w:color="auto" w:fill="auto"/>
          </w:tcPr>
          <w:p w:rsidR="00BB4501" w:rsidRPr="00F00002" w:rsidRDefault="00BB4501" w:rsidP="00444DB5">
            <w:pPr>
              <w:pStyle w:val="Tabletext"/>
            </w:pPr>
            <w:r w:rsidRPr="00F00002">
              <w:rPr>
                <w:color w:val="000000"/>
              </w:rPr>
              <w:t>0.095</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85</w:t>
            </w:r>
          </w:p>
        </w:tc>
        <w:tc>
          <w:tcPr>
            <w:tcW w:w="2500" w:type="pct"/>
            <w:shd w:val="clear" w:color="auto" w:fill="auto"/>
          </w:tcPr>
          <w:p w:rsidR="00BB4501" w:rsidRPr="00F00002" w:rsidRDefault="00BB4501" w:rsidP="00444DB5">
            <w:pPr>
              <w:pStyle w:val="Tabletext"/>
            </w:pPr>
            <w:r w:rsidRPr="00F00002">
              <w:rPr>
                <w:color w:val="000000"/>
              </w:rPr>
              <w:t>0.106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86</w:t>
            </w:r>
          </w:p>
        </w:tc>
        <w:tc>
          <w:tcPr>
            <w:tcW w:w="2500" w:type="pct"/>
            <w:shd w:val="clear" w:color="auto" w:fill="auto"/>
          </w:tcPr>
          <w:p w:rsidR="00BB4501" w:rsidRPr="00F00002" w:rsidRDefault="00BB4501" w:rsidP="00444DB5">
            <w:pPr>
              <w:pStyle w:val="Tabletext"/>
            </w:pPr>
            <w:r w:rsidRPr="00F00002">
              <w:rPr>
                <w:color w:val="000000"/>
              </w:rPr>
              <w:t>0.116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87</w:t>
            </w:r>
          </w:p>
        </w:tc>
        <w:tc>
          <w:tcPr>
            <w:tcW w:w="2500" w:type="pct"/>
            <w:shd w:val="clear" w:color="auto" w:fill="auto"/>
          </w:tcPr>
          <w:p w:rsidR="00BB4501" w:rsidRPr="00F00002" w:rsidRDefault="00BB4501" w:rsidP="00444DB5">
            <w:pPr>
              <w:pStyle w:val="Tabletext"/>
            </w:pPr>
            <w:r w:rsidRPr="00F00002">
              <w:rPr>
                <w:color w:val="000000"/>
              </w:rPr>
              <w:t>0.128</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88</w:t>
            </w:r>
          </w:p>
        </w:tc>
        <w:tc>
          <w:tcPr>
            <w:tcW w:w="2500" w:type="pct"/>
            <w:shd w:val="clear" w:color="auto" w:fill="auto"/>
          </w:tcPr>
          <w:p w:rsidR="00BB4501" w:rsidRPr="00F00002" w:rsidRDefault="00BB4501" w:rsidP="00444DB5">
            <w:pPr>
              <w:pStyle w:val="Tabletext"/>
            </w:pPr>
            <w:r w:rsidRPr="00F00002">
              <w:rPr>
                <w:color w:val="000000"/>
              </w:rPr>
              <w:t>0.139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89</w:t>
            </w:r>
          </w:p>
        </w:tc>
        <w:tc>
          <w:tcPr>
            <w:tcW w:w="2500" w:type="pct"/>
            <w:shd w:val="clear" w:color="auto" w:fill="auto"/>
          </w:tcPr>
          <w:p w:rsidR="00BB4501" w:rsidRPr="00F00002" w:rsidRDefault="00BB4501" w:rsidP="00444DB5">
            <w:pPr>
              <w:pStyle w:val="Tabletext"/>
            </w:pPr>
            <w:r w:rsidRPr="00F00002">
              <w:rPr>
                <w:color w:val="000000"/>
              </w:rPr>
              <w:t>0.149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90</w:t>
            </w:r>
          </w:p>
        </w:tc>
        <w:tc>
          <w:tcPr>
            <w:tcW w:w="2500" w:type="pct"/>
            <w:shd w:val="clear" w:color="auto" w:fill="auto"/>
          </w:tcPr>
          <w:p w:rsidR="00BB4501" w:rsidRPr="00F00002" w:rsidRDefault="00BB4501" w:rsidP="00444DB5">
            <w:pPr>
              <w:pStyle w:val="Tabletext"/>
            </w:pPr>
            <w:r w:rsidRPr="00F00002">
              <w:rPr>
                <w:color w:val="000000"/>
              </w:rPr>
              <w:t>0.159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91</w:t>
            </w:r>
          </w:p>
        </w:tc>
        <w:tc>
          <w:tcPr>
            <w:tcW w:w="2500" w:type="pct"/>
            <w:shd w:val="clear" w:color="auto" w:fill="auto"/>
          </w:tcPr>
          <w:p w:rsidR="00BB4501" w:rsidRPr="00F00002" w:rsidRDefault="00BB4501" w:rsidP="00444DB5">
            <w:pPr>
              <w:pStyle w:val="Tabletext"/>
            </w:pPr>
            <w:r w:rsidRPr="00F00002">
              <w:rPr>
                <w:color w:val="000000"/>
              </w:rPr>
              <w:t>0.168</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92</w:t>
            </w:r>
          </w:p>
        </w:tc>
        <w:tc>
          <w:tcPr>
            <w:tcW w:w="2500" w:type="pct"/>
            <w:shd w:val="clear" w:color="auto" w:fill="auto"/>
          </w:tcPr>
          <w:p w:rsidR="00BB4501" w:rsidRPr="00F00002" w:rsidRDefault="00BB4501" w:rsidP="00444DB5">
            <w:pPr>
              <w:pStyle w:val="Tabletext"/>
            </w:pPr>
            <w:r w:rsidRPr="00F00002">
              <w:rPr>
                <w:color w:val="000000"/>
              </w:rPr>
              <w:t>0.176</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93</w:t>
            </w:r>
          </w:p>
        </w:tc>
        <w:tc>
          <w:tcPr>
            <w:tcW w:w="2500" w:type="pct"/>
            <w:shd w:val="clear" w:color="auto" w:fill="auto"/>
          </w:tcPr>
          <w:p w:rsidR="00BB4501" w:rsidRPr="00F00002" w:rsidRDefault="00BB4501" w:rsidP="00444DB5">
            <w:pPr>
              <w:pStyle w:val="Tabletext"/>
            </w:pPr>
            <w:r w:rsidRPr="00F00002">
              <w:rPr>
                <w:color w:val="000000"/>
              </w:rPr>
              <w:t>0.184</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94</w:t>
            </w:r>
          </w:p>
        </w:tc>
        <w:tc>
          <w:tcPr>
            <w:tcW w:w="2500" w:type="pct"/>
            <w:shd w:val="clear" w:color="auto" w:fill="auto"/>
          </w:tcPr>
          <w:p w:rsidR="00BB4501" w:rsidRPr="00F00002" w:rsidRDefault="00BB4501" w:rsidP="00444DB5">
            <w:pPr>
              <w:pStyle w:val="Tabletext"/>
            </w:pPr>
            <w:r w:rsidRPr="00F00002">
              <w:rPr>
                <w:color w:val="000000"/>
              </w:rPr>
              <w:t>0.193</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95</w:t>
            </w:r>
          </w:p>
        </w:tc>
        <w:tc>
          <w:tcPr>
            <w:tcW w:w="2500" w:type="pct"/>
            <w:shd w:val="clear" w:color="auto" w:fill="auto"/>
          </w:tcPr>
          <w:p w:rsidR="00BB4501" w:rsidRPr="00F00002" w:rsidRDefault="00BB4501" w:rsidP="00444DB5">
            <w:pPr>
              <w:pStyle w:val="Tabletext"/>
            </w:pPr>
            <w:r w:rsidRPr="00F00002">
              <w:rPr>
                <w:color w:val="000000"/>
              </w:rPr>
              <w:t>0.202</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96</w:t>
            </w:r>
          </w:p>
        </w:tc>
        <w:tc>
          <w:tcPr>
            <w:tcW w:w="2500" w:type="pct"/>
            <w:shd w:val="clear" w:color="auto" w:fill="auto"/>
          </w:tcPr>
          <w:p w:rsidR="00BB4501" w:rsidRPr="00F00002" w:rsidRDefault="00BB4501" w:rsidP="00444DB5">
            <w:pPr>
              <w:pStyle w:val="Tabletext"/>
            </w:pPr>
            <w:r w:rsidRPr="00F00002">
              <w:rPr>
                <w:color w:val="000000"/>
              </w:rPr>
              <w:t>0.211</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97</w:t>
            </w:r>
          </w:p>
        </w:tc>
        <w:tc>
          <w:tcPr>
            <w:tcW w:w="2500" w:type="pct"/>
            <w:shd w:val="clear" w:color="auto" w:fill="auto"/>
          </w:tcPr>
          <w:p w:rsidR="00BB4501" w:rsidRPr="00F00002" w:rsidRDefault="00BB4501" w:rsidP="00444DB5">
            <w:pPr>
              <w:pStyle w:val="Tabletext"/>
            </w:pPr>
            <w:r w:rsidRPr="00F00002">
              <w:rPr>
                <w:color w:val="000000"/>
              </w:rPr>
              <w:t>0.219</w:t>
            </w:r>
          </w:p>
        </w:tc>
      </w:tr>
      <w:tr w:rsidR="00BB4501" w:rsidRPr="00F00002" w:rsidTr="000505B9">
        <w:trPr>
          <w:cantSplit/>
        </w:trPr>
        <w:tc>
          <w:tcPr>
            <w:tcW w:w="2500" w:type="pct"/>
            <w:shd w:val="clear" w:color="auto" w:fill="auto"/>
          </w:tcPr>
          <w:p w:rsidR="00BB4501" w:rsidRPr="00F00002" w:rsidRDefault="00BB4501" w:rsidP="00444DB5">
            <w:pPr>
              <w:pStyle w:val="Tabletext"/>
            </w:pPr>
            <w:r w:rsidRPr="00F00002">
              <w:rPr>
                <w:color w:val="000000"/>
              </w:rPr>
              <w:t>98</w:t>
            </w:r>
          </w:p>
        </w:tc>
        <w:tc>
          <w:tcPr>
            <w:tcW w:w="2500" w:type="pct"/>
            <w:shd w:val="clear" w:color="auto" w:fill="auto"/>
          </w:tcPr>
          <w:p w:rsidR="00BB4501" w:rsidRPr="00F00002" w:rsidRDefault="00BB4501" w:rsidP="00444DB5">
            <w:pPr>
              <w:pStyle w:val="Tabletext"/>
            </w:pPr>
            <w:r w:rsidRPr="00F00002">
              <w:rPr>
                <w:color w:val="000000"/>
              </w:rPr>
              <w:t>0.228</w:t>
            </w:r>
          </w:p>
        </w:tc>
      </w:tr>
      <w:tr w:rsidR="00BB4501" w:rsidRPr="00F00002" w:rsidTr="000505B9">
        <w:trPr>
          <w:cantSplit/>
        </w:trPr>
        <w:tc>
          <w:tcPr>
            <w:tcW w:w="2500" w:type="pct"/>
            <w:tcBorders>
              <w:bottom w:val="single" w:sz="4" w:space="0" w:color="auto"/>
            </w:tcBorders>
            <w:shd w:val="clear" w:color="auto" w:fill="auto"/>
          </w:tcPr>
          <w:p w:rsidR="00BB4501" w:rsidRPr="00F00002" w:rsidRDefault="00BB4501" w:rsidP="00444DB5">
            <w:pPr>
              <w:pStyle w:val="Tabletext"/>
            </w:pPr>
            <w:r w:rsidRPr="00F00002">
              <w:rPr>
                <w:color w:val="000000"/>
              </w:rPr>
              <w:t>99</w:t>
            </w:r>
          </w:p>
        </w:tc>
        <w:tc>
          <w:tcPr>
            <w:tcW w:w="2500" w:type="pct"/>
            <w:tcBorders>
              <w:bottom w:val="single" w:sz="4" w:space="0" w:color="auto"/>
            </w:tcBorders>
            <w:shd w:val="clear" w:color="auto" w:fill="auto"/>
          </w:tcPr>
          <w:p w:rsidR="00BB4501" w:rsidRPr="00F00002" w:rsidRDefault="00BB4501" w:rsidP="00444DB5">
            <w:pPr>
              <w:pStyle w:val="Tabletext"/>
            </w:pPr>
            <w:r w:rsidRPr="00F00002">
              <w:rPr>
                <w:color w:val="000000"/>
              </w:rPr>
              <w:t>0.236</w:t>
            </w:r>
          </w:p>
        </w:tc>
      </w:tr>
      <w:tr w:rsidR="00BB4501" w:rsidRPr="00F00002" w:rsidTr="000505B9">
        <w:trPr>
          <w:cantSplit/>
        </w:trPr>
        <w:tc>
          <w:tcPr>
            <w:tcW w:w="2500" w:type="pct"/>
            <w:tcBorders>
              <w:bottom w:val="single" w:sz="12" w:space="0" w:color="auto"/>
            </w:tcBorders>
            <w:shd w:val="clear" w:color="auto" w:fill="auto"/>
          </w:tcPr>
          <w:p w:rsidR="00BB4501" w:rsidRPr="00F00002" w:rsidRDefault="00BB4501" w:rsidP="00444DB5">
            <w:pPr>
              <w:pStyle w:val="Tabletext"/>
            </w:pPr>
            <w:r w:rsidRPr="00F00002">
              <w:rPr>
                <w:color w:val="000000"/>
              </w:rPr>
              <w:t>100</w:t>
            </w:r>
          </w:p>
        </w:tc>
        <w:tc>
          <w:tcPr>
            <w:tcW w:w="2500" w:type="pct"/>
            <w:tcBorders>
              <w:bottom w:val="single" w:sz="12" w:space="0" w:color="auto"/>
            </w:tcBorders>
            <w:shd w:val="clear" w:color="auto" w:fill="auto"/>
          </w:tcPr>
          <w:p w:rsidR="00BB4501" w:rsidRPr="00F00002" w:rsidRDefault="00BB4501" w:rsidP="00444DB5">
            <w:pPr>
              <w:pStyle w:val="Tabletext"/>
            </w:pPr>
            <w:r w:rsidRPr="00F00002">
              <w:rPr>
                <w:color w:val="000000"/>
              </w:rPr>
              <w:t>1.000</w:t>
            </w:r>
          </w:p>
        </w:tc>
      </w:tr>
    </w:tbl>
    <w:p w:rsidR="00444DB5" w:rsidRPr="00F00002" w:rsidRDefault="00444DB5" w:rsidP="00A757D6">
      <w:pPr>
        <w:sectPr w:rsidR="00444DB5" w:rsidRPr="00F00002" w:rsidSect="008035BA">
          <w:type w:val="continuous"/>
          <w:pgSz w:w="11907" w:h="16839" w:code="9"/>
          <w:pgMar w:top="2325" w:right="1797" w:bottom="1440" w:left="1797" w:header="720" w:footer="709" w:gutter="0"/>
          <w:cols w:num="2" w:space="720"/>
          <w:docGrid w:linePitch="299"/>
        </w:sectPr>
      </w:pPr>
    </w:p>
    <w:p w:rsidR="00BB4501" w:rsidRPr="00F00002" w:rsidRDefault="00BB4501" w:rsidP="000A0E2F">
      <w:pPr>
        <w:pStyle w:val="Specials"/>
      </w:pPr>
      <w:r w:rsidRPr="00F00002">
        <w:lastRenderedPageBreak/>
        <w:tab/>
        <w:t>Taxed and untaxed benefits</w:t>
      </w:r>
    </w:p>
    <w:p w:rsidR="00BB4501" w:rsidRPr="00F00002" w:rsidRDefault="00BB4501" w:rsidP="00D150ED">
      <w:pPr>
        <w:pStyle w:val="subsection"/>
      </w:pPr>
      <w:r w:rsidRPr="00F00002">
        <w:t>3.10</w:t>
      </w:r>
      <w:r w:rsidRPr="00F00002">
        <w:tab/>
      </w:r>
      <w:r w:rsidRPr="00F00002">
        <w:tab/>
        <w:t>If the rules of the fund provide for benefits to be paid on either a taxed or an untaxed basis, the actuary is to assume that the employer component of the fund benefit is paid as a taxed benefit.</w:t>
      </w:r>
    </w:p>
    <w:p w:rsidR="00BB4501" w:rsidRPr="00F00002" w:rsidRDefault="00D150ED" w:rsidP="00D150ED">
      <w:pPr>
        <w:pStyle w:val="notetext"/>
      </w:pPr>
      <w:r w:rsidRPr="00F00002">
        <w:t>Note:</w:t>
      </w:r>
      <w:r w:rsidRPr="00F00002">
        <w:tab/>
      </w:r>
      <w:r w:rsidR="00BB4501" w:rsidRPr="00F00002">
        <w:t>This situation applies to a small number of funds where the employer component of the fund benefit is generally met by a last minute contribution to the superannuation fund.</w:t>
      </w:r>
    </w:p>
    <w:p w:rsidR="00BB4501" w:rsidRPr="00F00002" w:rsidRDefault="00BB4501" w:rsidP="000A0E2F">
      <w:pPr>
        <w:pStyle w:val="Specials"/>
      </w:pPr>
      <w:r w:rsidRPr="00F00002">
        <w:tab/>
        <w:t>Other assumptions to be set by the actuary</w:t>
      </w:r>
    </w:p>
    <w:p w:rsidR="00BB4501" w:rsidRPr="00F00002" w:rsidRDefault="00BB4501" w:rsidP="00D150ED">
      <w:pPr>
        <w:pStyle w:val="subsection"/>
      </w:pPr>
      <w:r w:rsidRPr="00F00002">
        <w:rPr>
          <w:color w:val="000000"/>
        </w:rPr>
        <w:t>3.11</w:t>
      </w:r>
      <w:r w:rsidRPr="00F00002">
        <w:rPr>
          <w:color w:val="000000"/>
        </w:rPr>
        <w:tab/>
        <w:t>(1)</w:t>
      </w:r>
      <w:r w:rsidRPr="00F00002">
        <w:rPr>
          <w:color w:val="000000"/>
        </w:rPr>
        <w:tab/>
        <w:t>Any other assumptions which may be necessary are to be set by the actuary responsible for calculating the new entrant rate.</w:t>
      </w:r>
    </w:p>
    <w:p w:rsidR="00BB4501" w:rsidRPr="00F00002" w:rsidRDefault="00BB4501" w:rsidP="00D150ED">
      <w:pPr>
        <w:pStyle w:val="subsection"/>
      </w:pPr>
      <w:r w:rsidRPr="00F00002">
        <w:rPr>
          <w:color w:val="000000"/>
        </w:rPr>
        <w:tab/>
        <w:t>(2)</w:t>
      </w:r>
      <w:r w:rsidRPr="00F00002">
        <w:rPr>
          <w:color w:val="000000"/>
        </w:rPr>
        <w:tab/>
        <w:t>The assumptions are to be based on the assumptions used in the most recent actuarial valuation of the fund, unless the actuary believes, having regard to the expected future experience of the fund, that they are no longer appropriate.</w:t>
      </w:r>
    </w:p>
    <w:p w:rsidR="00BB4501" w:rsidRPr="00F00002" w:rsidRDefault="00BB4501" w:rsidP="00D150ED">
      <w:pPr>
        <w:pStyle w:val="subsection"/>
      </w:pPr>
      <w:r w:rsidRPr="00F00002">
        <w:tab/>
        <w:t>(3)</w:t>
      </w:r>
      <w:r w:rsidRPr="00F00002">
        <w:tab/>
        <w:t>If the actuary believes that the assumptions used in the most recent actuarial valuation are no longer appropriate, the assumptions should be set on a best estimate basis.</w:t>
      </w:r>
    </w:p>
    <w:p w:rsidR="00BB4501" w:rsidRPr="00F00002" w:rsidRDefault="00D150ED" w:rsidP="00665E73">
      <w:pPr>
        <w:pStyle w:val="ActHead2"/>
        <w:pageBreakBefore/>
      </w:pPr>
      <w:bookmarkStart w:id="201" w:name="BK_S6P100L1C1"/>
      <w:bookmarkStart w:id="202" w:name="_Toc31109769"/>
      <w:bookmarkEnd w:id="201"/>
      <w:r w:rsidRPr="00A26088">
        <w:rPr>
          <w:rStyle w:val="CharPartNo"/>
        </w:rPr>
        <w:lastRenderedPageBreak/>
        <w:t>Part</w:t>
      </w:r>
      <w:r w:rsidR="00F00002" w:rsidRPr="00A26088">
        <w:rPr>
          <w:rStyle w:val="CharPartNo"/>
        </w:rPr>
        <w:t> </w:t>
      </w:r>
      <w:r w:rsidR="00BB4501" w:rsidRPr="00A26088">
        <w:rPr>
          <w:rStyle w:val="CharPartNo"/>
        </w:rPr>
        <w:t>4</w:t>
      </w:r>
      <w:r w:rsidRPr="00F00002">
        <w:rPr>
          <w:color w:val="000000"/>
        </w:rPr>
        <w:t>—</w:t>
      </w:r>
      <w:r w:rsidR="00BB4501" w:rsidRPr="00A26088">
        <w:rPr>
          <w:rStyle w:val="CharPartText"/>
        </w:rPr>
        <w:t>Exercise of discretion to pay a benefit greater than the benefit assumed in calculating the new entrant rate</w:t>
      </w:r>
      <w:bookmarkEnd w:id="202"/>
    </w:p>
    <w:p w:rsidR="00BB4501" w:rsidRPr="00F00002" w:rsidRDefault="00BB4501" w:rsidP="000A0E2F">
      <w:pPr>
        <w:pStyle w:val="Specials"/>
      </w:pPr>
      <w:r w:rsidRPr="00F00002">
        <w:tab/>
        <w:t xml:space="preserve">Method of working out </w:t>
      </w:r>
      <w:r w:rsidRPr="00F00002">
        <w:rPr>
          <w:i/>
        </w:rPr>
        <w:t>W</w:t>
      </w:r>
      <w:r w:rsidRPr="00F00002">
        <w:t xml:space="preserve"> in the formula in section</w:t>
      </w:r>
      <w:r w:rsidR="00F00002">
        <w:t> </w:t>
      </w:r>
      <w:r w:rsidRPr="00F00002">
        <w:t>1.8</w:t>
      </w:r>
    </w:p>
    <w:p w:rsidR="00BB4501" w:rsidRPr="00F00002" w:rsidRDefault="00BB4501" w:rsidP="00D150ED">
      <w:pPr>
        <w:pStyle w:val="subsection"/>
      </w:pPr>
      <w:r w:rsidRPr="00F00002">
        <w:t>4.1</w:t>
      </w:r>
      <w:r w:rsidRPr="00F00002">
        <w:tab/>
        <w:t>(1)</w:t>
      </w:r>
      <w:r w:rsidRPr="00F00002">
        <w:tab/>
        <w:t>If a discretion is exercised to pay a benefit upon:</w:t>
      </w:r>
    </w:p>
    <w:p w:rsidR="00BB4501" w:rsidRPr="00F00002" w:rsidRDefault="00BB4501" w:rsidP="00D150ED">
      <w:pPr>
        <w:pStyle w:val="paragraph"/>
      </w:pPr>
      <w:r w:rsidRPr="00F00002">
        <w:tab/>
        <w:t>(a)</w:t>
      </w:r>
      <w:r w:rsidRPr="00F00002">
        <w:tab/>
        <w:t>voluntary exit; or</w:t>
      </w:r>
    </w:p>
    <w:p w:rsidR="00BB4501" w:rsidRPr="00F00002" w:rsidRDefault="00BB4501" w:rsidP="00D150ED">
      <w:pPr>
        <w:pStyle w:val="paragraph"/>
      </w:pPr>
      <w:r w:rsidRPr="00F00002">
        <w:tab/>
        <w:t>(b)</w:t>
      </w:r>
      <w:r w:rsidRPr="00F00002">
        <w:tab/>
        <w:t>redundancy that is not bona fide;</w:t>
      </w:r>
    </w:p>
    <w:p w:rsidR="00BB4501" w:rsidRPr="00F00002" w:rsidRDefault="00BB4501" w:rsidP="00D150ED">
      <w:pPr>
        <w:pStyle w:val="subsection2"/>
      </w:pPr>
      <w:r w:rsidRPr="00F00002">
        <w:t>which is greater than the benefit assumed in calculating the new entrant rate, the excess of the actual benefit paid over the amount of the assumed benefit at the time the actual benefit is paid (</w:t>
      </w:r>
      <w:r w:rsidRPr="00F00002">
        <w:rPr>
          <w:b/>
          <w:i/>
        </w:rPr>
        <w:t>W</w:t>
      </w:r>
      <w:r w:rsidRPr="00F00002">
        <w:t>) forms part of the amount of notional taxed contributions for the member for the financial year in which the benefit is paid.</w:t>
      </w:r>
    </w:p>
    <w:p w:rsidR="00BB4501" w:rsidRPr="00F00002" w:rsidRDefault="00BB4501" w:rsidP="00D150ED">
      <w:pPr>
        <w:pStyle w:val="subsection"/>
      </w:pPr>
      <w:r w:rsidRPr="00F00002">
        <w:tab/>
        <w:t>(2)</w:t>
      </w:r>
      <w:r w:rsidRPr="00F00002">
        <w:tab/>
        <w:t>For the formula in section</w:t>
      </w:r>
      <w:r w:rsidR="00F00002">
        <w:t> </w:t>
      </w:r>
      <w:r w:rsidRPr="00F00002">
        <w:t>1.8:</w:t>
      </w:r>
    </w:p>
    <w:p w:rsidR="00BB4501" w:rsidRPr="00F00002" w:rsidRDefault="00BB4501" w:rsidP="00D150ED">
      <w:pPr>
        <w:pStyle w:val="paragraph"/>
      </w:pPr>
      <w:r w:rsidRPr="00F00002">
        <w:rPr>
          <w:color w:val="000000"/>
        </w:rPr>
        <w:tab/>
        <w:t>(a)</w:t>
      </w:r>
      <w:r w:rsidRPr="00F00002">
        <w:rPr>
          <w:color w:val="000000"/>
        </w:rPr>
        <w:tab/>
        <w:t xml:space="preserve">in a financial year in which the trustee does not exercise a discretion to pay a benefit to the member which is greater than the assumed benefit, </w:t>
      </w:r>
      <w:r w:rsidRPr="00F00002">
        <w:rPr>
          <w:b/>
          <w:i/>
          <w:color w:val="000000"/>
        </w:rPr>
        <w:t>W</w:t>
      </w:r>
      <w:r w:rsidRPr="00F00002">
        <w:rPr>
          <w:color w:val="000000"/>
        </w:rPr>
        <w:t xml:space="preserve"> equals zero; and</w:t>
      </w:r>
    </w:p>
    <w:p w:rsidR="00BB4501" w:rsidRPr="00F00002" w:rsidRDefault="00BB4501" w:rsidP="00D150ED">
      <w:pPr>
        <w:pStyle w:val="paragraph"/>
      </w:pPr>
      <w:r w:rsidRPr="00F00002">
        <w:tab/>
        <w:t>(b)</w:t>
      </w:r>
      <w:r w:rsidRPr="00F00002">
        <w:tab/>
        <w:t xml:space="preserve">in any other financial year, </w:t>
      </w:r>
      <w:r w:rsidRPr="00F00002">
        <w:rPr>
          <w:b/>
          <w:i/>
        </w:rPr>
        <w:t>W</w:t>
      </w:r>
      <w:r w:rsidRPr="00F00002">
        <w:t xml:space="preserve"> equals an amount worked out on advice from an actuary that represents the excess of the actual benefit paid to the member over the amount of the assumed benefit at the time the actual benefit is paid.</w:t>
      </w:r>
    </w:p>
    <w:p w:rsidR="00BB4501" w:rsidRPr="00F00002" w:rsidRDefault="00D150ED" w:rsidP="00D150ED">
      <w:pPr>
        <w:pStyle w:val="notetext"/>
      </w:pPr>
      <w:r w:rsidRPr="00F00002">
        <w:t>Note:</w:t>
      </w:r>
      <w:r w:rsidRPr="00F00002">
        <w:tab/>
      </w:r>
      <w:r w:rsidR="00BB4501" w:rsidRPr="00F00002">
        <w:t xml:space="preserve">If the trustee decides to pay an untaxed benefit rather than a taxed benefit, any excess of the amount of the untaxed benefit over the amount of the taxed benefit that would otherwise have been payable is not to be included in </w:t>
      </w:r>
      <w:r w:rsidR="00BB4501" w:rsidRPr="00F00002">
        <w:rPr>
          <w:b/>
          <w:i/>
        </w:rPr>
        <w:t>W</w:t>
      </w:r>
      <w:r w:rsidR="00BB4501" w:rsidRPr="00F00002">
        <w:t>.</w:t>
      </w:r>
    </w:p>
    <w:p w:rsidR="00BB4501" w:rsidRPr="00F00002" w:rsidRDefault="00D150ED" w:rsidP="00D150ED">
      <w:pPr>
        <w:pStyle w:val="ActHead2"/>
        <w:pageBreakBefore/>
      </w:pPr>
      <w:bookmarkStart w:id="203" w:name="BK_S6P101L1C1"/>
      <w:bookmarkStart w:id="204" w:name="_Toc31109770"/>
      <w:bookmarkEnd w:id="203"/>
      <w:r w:rsidRPr="00A26088">
        <w:rPr>
          <w:rStyle w:val="CharPartNo"/>
        </w:rPr>
        <w:lastRenderedPageBreak/>
        <w:t>Part</w:t>
      </w:r>
      <w:r w:rsidR="00F00002" w:rsidRPr="00A26088">
        <w:rPr>
          <w:rStyle w:val="CharPartNo"/>
        </w:rPr>
        <w:t> </w:t>
      </w:r>
      <w:r w:rsidR="00BB4501" w:rsidRPr="00A26088">
        <w:rPr>
          <w:rStyle w:val="CharPartNo"/>
        </w:rPr>
        <w:t>5</w:t>
      </w:r>
      <w:r w:rsidRPr="00F00002">
        <w:rPr>
          <w:color w:val="000000"/>
        </w:rPr>
        <w:t>—</w:t>
      </w:r>
      <w:r w:rsidR="00BB4501" w:rsidRPr="00A26088">
        <w:rPr>
          <w:rStyle w:val="CharPartText"/>
        </w:rPr>
        <w:t>Member has changed benefit category</w:t>
      </w:r>
      <w:bookmarkEnd w:id="204"/>
    </w:p>
    <w:p w:rsidR="00BB4501" w:rsidRPr="00F00002" w:rsidRDefault="00BB4501" w:rsidP="000A0E2F">
      <w:pPr>
        <w:pStyle w:val="Specials"/>
      </w:pPr>
      <w:r w:rsidRPr="00F00002">
        <w:tab/>
        <w:t xml:space="preserve">Method of working out </w:t>
      </w:r>
      <w:r w:rsidRPr="00F00002">
        <w:rPr>
          <w:i/>
        </w:rPr>
        <w:t>X</w:t>
      </w:r>
      <w:r w:rsidRPr="00F00002">
        <w:t xml:space="preserve"> in the formula in section</w:t>
      </w:r>
      <w:r w:rsidR="00F00002">
        <w:t> </w:t>
      </w:r>
      <w:r w:rsidRPr="00F00002">
        <w:t>1.8</w:t>
      </w:r>
    </w:p>
    <w:p w:rsidR="00BB4501" w:rsidRPr="00F00002" w:rsidRDefault="00BB4501" w:rsidP="00D150ED">
      <w:pPr>
        <w:pStyle w:val="subsection"/>
      </w:pPr>
      <w:r w:rsidRPr="00F00002">
        <w:rPr>
          <w:color w:val="000000"/>
        </w:rPr>
        <w:t>5.1</w:t>
      </w:r>
      <w:r w:rsidRPr="00F00002">
        <w:rPr>
          <w:color w:val="000000"/>
        </w:rPr>
        <w:tab/>
        <w:t>(1)</w:t>
      </w:r>
      <w:r w:rsidRPr="00F00002">
        <w:rPr>
          <w:color w:val="000000"/>
        </w:rPr>
        <w:tab/>
        <w:t>If a member’s accrued retirement benefit increases during a financial year as a result of a change of benefit category or as a result of an exercise of discretion, an additional amount (</w:t>
      </w:r>
      <w:r w:rsidRPr="00F00002">
        <w:rPr>
          <w:b/>
          <w:i/>
          <w:color w:val="000000"/>
        </w:rPr>
        <w:t>X</w:t>
      </w:r>
      <w:r w:rsidRPr="00F00002">
        <w:rPr>
          <w:color w:val="000000"/>
        </w:rPr>
        <w:t>) may need to be included in the amount of notional taxed contributions for the financial year.</w:t>
      </w:r>
    </w:p>
    <w:p w:rsidR="00BB4501" w:rsidRPr="00F00002" w:rsidRDefault="00BB4501" w:rsidP="00D150ED">
      <w:pPr>
        <w:pStyle w:val="subsection"/>
      </w:pPr>
      <w:r w:rsidRPr="00F00002">
        <w:tab/>
        <w:t>(2)</w:t>
      </w:r>
      <w:r w:rsidRPr="00F00002">
        <w:tab/>
        <w:t>For the formula in section</w:t>
      </w:r>
      <w:r w:rsidR="00F00002">
        <w:t> </w:t>
      </w:r>
      <w:r w:rsidRPr="00F00002">
        <w:t>1.8:</w:t>
      </w:r>
    </w:p>
    <w:p w:rsidR="00BB4501" w:rsidRPr="00F00002" w:rsidRDefault="00BB4501" w:rsidP="00D150ED">
      <w:pPr>
        <w:pStyle w:val="paragraph"/>
      </w:pPr>
      <w:r w:rsidRPr="00F00002">
        <w:rPr>
          <w:color w:val="000000"/>
        </w:rPr>
        <w:tab/>
        <w:t>(a)</w:t>
      </w:r>
      <w:r w:rsidRPr="00F00002">
        <w:rPr>
          <w:color w:val="000000"/>
        </w:rPr>
        <w:tab/>
        <w:t xml:space="preserve">in a financial year in which the member’s accrued retirement benefit does not increase as a result of a change in benefit category or as a result of an exercise of discretion, </w:t>
      </w:r>
      <w:r w:rsidRPr="00F00002">
        <w:rPr>
          <w:b/>
          <w:i/>
          <w:color w:val="000000"/>
        </w:rPr>
        <w:t>X</w:t>
      </w:r>
      <w:r w:rsidRPr="00F00002">
        <w:rPr>
          <w:color w:val="000000"/>
        </w:rPr>
        <w:t xml:space="preserve"> equals zero; and</w:t>
      </w:r>
    </w:p>
    <w:p w:rsidR="00BB4501" w:rsidRPr="00F00002" w:rsidRDefault="00BB4501" w:rsidP="00D150ED">
      <w:pPr>
        <w:pStyle w:val="paragraph"/>
      </w:pPr>
      <w:r w:rsidRPr="00F00002">
        <w:tab/>
        <w:t>(b)</w:t>
      </w:r>
      <w:r w:rsidRPr="00F00002">
        <w:tab/>
        <w:t xml:space="preserve">in any other financial year, </w:t>
      </w:r>
      <w:r w:rsidRPr="00F00002">
        <w:rPr>
          <w:b/>
          <w:i/>
        </w:rPr>
        <w:t>X</w:t>
      </w:r>
      <w:r w:rsidRPr="00F00002">
        <w:t xml:space="preserve"> equals an amount worked out on advice from an actuary that represents the increase in the value of the accrued retirement benefit, if any, that accrued to the member as a result of the change in benefit category or as a result of the exercise of the discretion.</w:t>
      </w:r>
    </w:p>
    <w:p w:rsidR="00BB4501" w:rsidRPr="00F00002" w:rsidRDefault="00BB4501" w:rsidP="00D150ED">
      <w:pPr>
        <w:pStyle w:val="subsection"/>
      </w:pPr>
      <w:r w:rsidRPr="00F00002">
        <w:t>5.2</w:t>
      </w:r>
      <w:r w:rsidRPr="00F00002">
        <w:tab/>
      </w:r>
      <w:r w:rsidRPr="00F00002">
        <w:tab/>
        <w:t xml:space="preserve">The economic and other assumptions to be used are set out in </w:t>
      </w:r>
      <w:r w:rsidR="00D150ED" w:rsidRPr="00F00002">
        <w:t>Part</w:t>
      </w:r>
      <w:r w:rsidR="00F00002">
        <w:t> </w:t>
      </w:r>
      <w:r w:rsidRPr="00F00002">
        <w:t>3.</w:t>
      </w:r>
    </w:p>
    <w:p w:rsidR="00BB4501" w:rsidRPr="00F00002" w:rsidRDefault="00D150ED" w:rsidP="00D150ED">
      <w:pPr>
        <w:pStyle w:val="ActHead2"/>
        <w:pageBreakBefore/>
      </w:pPr>
      <w:bookmarkStart w:id="205" w:name="BK_S6P102L1C1"/>
      <w:bookmarkStart w:id="206" w:name="_Toc31109771"/>
      <w:bookmarkEnd w:id="205"/>
      <w:r w:rsidRPr="00A26088">
        <w:rPr>
          <w:rStyle w:val="CharPartNo"/>
        </w:rPr>
        <w:lastRenderedPageBreak/>
        <w:t>Part</w:t>
      </w:r>
      <w:r w:rsidR="00F00002" w:rsidRPr="00A26088">
        <w:rPr>
          <w:rStyle w:val="CharPartNo"/>
        </w:rPr>
        <w:t> </w:t>
      </w:r>
      <w:r w:rsidR="00BB4501" w:rsidRPr="00A26088">
        <w:rPr>
          <w:rStyle w:val="CharPartNo"/>
        </w:rPr>
        <w:t>6</w:t>
      </w:r>
      <w:r w:rsidRPr="00F00002">
        <w:rPr>
          <w:color w:val="000000"/>
        </w:rPr>
        <w:t>—</w:t>
      </w:r>
      <w:r w:rsidR="00BB4501" w:rsidRPr="00A26088">
        <w:rPr>
          <w:rStyle w:val="CharPartText"/>
        </w:rPr>
        <w:t>Governing rules have changed</w:t>
      </w:r>
      <w:bookmarkEnd w:id="206"/>
    </w:p>
    <w:p w:rsidR="00BB4501" w:rsidRPr="00F00002" w:rsidRDefault="00BB4501" w:rsidP="000A0E2F">
      <w:pPr>
        <w:pStyle w:val="Specials"/>
      </w:pPr>
      <w:r w:rsidRPr="00F00002">
        <w:tab/>
        <w:t xml:space="preserve">Method of working out </w:t>
      </w:r>
      <w:r w:rsidRPr="00F00002">
        <w:rPr>
          <w:i/>
        </w:rPr>
        <w:t>Y</w:t>
      </w:r>
      <w:r w:rsidRPr="00F00002">
        <w:t xml:space="preserve"> in the formula in section</w:t>
      </w:r>
      <w:r w:rsidR="00F00002">
        <w:t> </w:t>
      </w:r>
      <w:r w:rsidRPr="00F00002">
        <w:t>1.8</w:t>
      </w:r>
    </w:p>
    <w:p w:rsidR="00BB4501" w:rsidRPr="00F00002" w:rsidRDefault="00BB4501" w:rsidP="00D150ED">
      <w:pPr>
        <w:pStyle w:val="subsection"/>
      </w:pPr>
      <w:r w:rsidRPr="00F00002">
        <w:t>6.1</w:t>
      </w:r>
      <w:r w:rsidRPr="00F00002">
        <w:tab/>
        <w:t>(1)</w:t>
      </w:r>
      <w:r w:rsidRPr="00F00002">
        <w:tab/>
        <w:t>If:</w:t>
      </w:r>
    </w:p>
    <w:p w:rsidR="00BB4501" w:rsidRPr="00F00002" w:rsidRDefault="00BB4501" w:rsidP="00D150ED">
      <w:pPr>
        <w:pStyle w:val="paragraph"/>
      </w:pPr>
      <w:r w:rsidRPr="00F00002">
        <w:tab/>
        <w:t>(a)</w:t>
      </w:r>
      <w:r w:rsidRPr="00F00002">
        <w:tab/>
        <w:t>the governing rules of the defined benefit fund are amended in a way that may result in an increase in a member’s benefit; and</w:t>
      </w:r>
    </w:p>
    <w:p w:rsidR="00BB4501" w:rsidRPr="00F00002" w:rsidRDefault="00BB4501" w:rsidP="00D150ED">
      <w:pPr>
        <w:pStyle w:val="paragraph"/>
      </w:pPr>
      <w:r w:rsidRPr="00F00002">
        <w:tab/>
        <w:t>(b)</w:t>
      </w:r>
      <w:r w:rsidRPr="00F00002">
        <w:tab/>
        <w:t>the amendment is made for a reason other than to satisfy a legislative requirement;</w:t>
      </w:r>
    </w:p>
    <w:p w:rsidR="00BB4501" w:rsidRPr="00F00002" w:rsidRDefault="00BB4501" w:rsidP="00D150ED">
      <w:pPr>
        <w:pStyle w:val="subsection2"/>
      </w:pPr>
      <w:r w:rsidRPr="00F00002">
        <w:t>an additional amount (</w:t>
      </w:r>
      <w:r w:rsidRPr="00F00002">
        <w:rPr>
          <w:b/>
          <w:i/>
        </w:rPr>
        <w:t>Y</w:t>
      </w:r>
      <w:r w:rsidRPr="00F00002">
        <w:t>) may need to be included in the amount of notional taxed contributions for the financial year.</w:t>
      </w:r>
    </w:p>
    <w:p w:rsidR="00BB4501" w:rsidRPr="00F00002" w:rsidRDefault="00BB4501" w:rsidP="00D150ED">
      <w:pPr>
        <w:pStyle w:val="subsection"/>
      </w:pPr>
      <w:r w:rsidRPr="00F00002">
        <w:tab/>
        <w:t>(2)</w:t>
      </w:r>
      <w:r w:rsidRPr="00F00002">
        <w:tab/>
        <w:t>For the formula in section</w:t>
      </w:r>
      <w:r w:rsidR="00F00002">
        <w:t> </w:t>
      </w:r>
      <w:r w:rsidRPr="00F00002">
        <w:t>1.8:</w:t>
      </w:r>
    </w:p>
    <w:p w:rsidR="00BB4501" w:rsidRPr="00F00002" w:rsidRDefault="00BB4501" w:rsidP="00D150ED">
      <w:pPr>
        <w:pStyle w:val="paragraph"/>
      </w:pPr>
      <w:r w:rsidRPr="00F00002">
        <w:rPr>
          <w:color w:val="000000"/>
        </w:rPr>
        <w:tab/>
        <w:t>(a)</w:t>
      </w:r>
      <w:r w:rsidRPr="00F00002">
        <w:rPr>
          <w:color w:val="000000"/>
        </w:rPr>
        <w:tab/>
        <w:t xml:space="preserve">in a financial year in which the fund rules are not changed in a way that may result in an increase in a member’s benefit, </w:t>
      </w:r>
      <w:r w:rsidRPr="00F00002">
        <w:rPr>
          <w:b/>
          <w:i/>
          <w:color w:val="000000"/>
        </w:rPr>
        <w:t>Y</w:t>
      </w:r>
      <w:r w:rsidRPr="00F00002">
        <w:rPr>
          <w:color w:val="000000"/>
        </w:rPr>
        <w:t xml:space="preserve"> equals zero; and</w:t>
      </w:r>
    </w:p>
    <w:p w:rsidR="00BB4501" w:rsidRPr="00F00002" w:rsidRDefault="00BB4501" w:rsidP="00D150ED">
      <w:pPr>
        <w:pStyle w:val="paragraph"/>
      </w:pPr>
      <w:r w:rsidRPr="00F00002">
        <w:tab/>
        <w:t>(b)</w:t>
      </w:r>
      <w:r w:rsidRPr="00F00002">
        <w:tab/>
        <w:t>in any other financial year:</w:t>
      </w:r>
    </w:p>
    <w:p w:rsidR="00BB4501" w:rsidRPr="00F00002" w:rsidRDefault="00BB4501" w:rsidP="00D150ED">
      <w:pPr>
        <w:pStyle w:val="paragraphsub"/>
      </w:pPr>
      <w:r w:rsidRPr="00F00002">
        <w:tab/>
        <w:t>(i)</w:t>
      </w:r>
      <w:r w:rsidRPr="00F00002">
        <w:tab/>
        <w:t xml:space="preserve">if the reason for the change in fund rules is to satisfy a legislative requirement, </w:t>
      </w:r>
      <w:r w:rsidRPr="00F00002">
        <w:rPr>
          <w:b/>
          <w:i/>
        </w:rPr>
        <w:t>Y</w:t>
      </w:r>
      <w:r w:rsidRPr="00F00002">
        <w:t xml:space="preserve"> equals zero; and</w:t>
      </w:r>
    </w:p>
    <w:p w:rsidR="00BB4501" w:rsidRPr="00F00002" w:rsidRDefault="00BB4501" w:rsidP="00D150ED">
      <w:pPr>
        <w:pStyle w:val="paragraphsub"/>
      </w:pPr>
      <w:r w:rsidRPr="00F00002">
        <w:rPr>
          <w:color w:val="000000"/>
        </w:rPr>
        <w:tab/>
        <w:t>(ii)</w:t>
      </w:r>
      <w:r w:rsidRPr="00F00002">
        <w:rPr>
          <w:color w:val="000000"/>
        </w:rPr>
        <w:tab/>
        <w:t xml:space="preserve">if the change is for any other reason, </w:t>
      </w:r>
      <w:r w:rsidRPr="00F00002">
        <w:rPr>
          <w:b/>
          <w:i/>
          <w:color w:val="000000"/>
        </w:rPr>
        <w:t>Y</w:t>
      </w:r>
      <w:r w:rsidRPr="00F00002">
        <w:rPr>
          <w:color w:val="000000"/>
        </w:rPr>
        <w:t xml:space="preserve"> equals an amount worked out on advice from an actuary that represents the increase in the value of the accrued retirement benefit, if any, that accrued to the member as a result of the change in fund rules.</w:t>
      </w:r>
    </w:p>
    <w:p w:rsidR="00BB4501" w:rsidRPr="00F00002" w:rsidRDefault="00BB4501" w:rsidP="00D150ED">
      <w:pPr>
        <w:pStyle w:val="subsection"/>
      </w:pPr>
      <w:r w:rsidRPr="00F00002">
        <w:t>6.2</w:t>
      </w:r>
      <w:r w:rsidRPr="00F00002">
        <w:tab/>
      </w:r>
      <w:r w:rsidRPr="00F00002">
        <w:tab/>
        <w:t xml:space="preserve">The economic and other assumptions to be used are set out in </w:t>
      </w:r>
      <w:r w:rsidR="00D150ED" w:rsidRPr="00F00002">
        <w:t>Part</w:t>
      </w:r>
      <w:r w:rsidR="00F00002">
        <w:t> </w:t>
      </w:r>
      <w:r w:rsidRPr="00F00002">
        <w:t>3.</w:t>
      </w:r>
    </w:p>
    <w:p w:rsidR="00BB4501" w:rsidRPr="00F00002" w:rsidRDefault="00D150ED" w:rsidP="00D76754">
      <w:pPr>
        <w:pStyle w:val="ActHead2"/>
        <w:pageBreakBefore/>
      </w:pPr>
      <w:bookmarkStart w:id="207" w:name="BK_S6P103L1C1"/>
      <w:bookmarkStart w:id="208" w:name="_Toc31109772"/>
      <w:bookmarkEnd w:id="207"/>
      <w:r w:rsidRPr="00A26088">
        <w:rPr>
          <w:rStyle w:val="CharPartNo"/>
        </w:rPr>
        <w:lastRenderedPageBreak/>
        <w:t>Part</w:t>
      </w:r>
      <w:r w:rsidR="00F00002" w:rsidRPr="00A26088">
        <w:rPr>
          <w:rStyle w:val="CharPartNo"/>
        </w:rPr>
        <w:t> </w:t>
      </w:r>
      <w:r w:rsidR="00BB4501" w:rsidRPr="00A26088">
        <w:rPr>
          <w:rStyle w:val="CharPartNo"/>
        </w:rPr>
        <w:t>7</w:t>
      </w:r>
      <w:r w:rsidRPr="00F00002">
        <w:rPr>
          <w:color w:val="000000"/>
        </w:rPr>
        <w:t>—</w:t>
      </w:r>
      <w:r w:rsidR="00BB4501" w:rsidRPr="00A26088">
        <w:rPr>
          <w:rStyle w:val="CharPartText"/>
        </w:rPr>
        <w:t>Non</w:t>
      </w:r>
      <w:r w:rsidR="00F00002" w:rsidRPr="00A26088">
        <w:rPr>
          <w:rStyle w:val="CharPartText"/>
        </w:rPr>
        <w:noBreakHyphen/>
      </w:r>
      <w:r w:rsidR="00BB4501" w:rsidRPr="00A26088">
        <w:rPr>
          <w:rStyle w:val="CharPartText"/>
        </w:rPr>
        <w:t>arm’s length increase in superannuation salary</w:t>
      </w:r>
      <w:bookmarkEnd w:id="208"/>
    </w:p>
    <w:p w:rsidR="00BB4501" w:rsidRPr="00F00002" w:rsidRDefault="00BB4501" w:rsidP="000A0E2F">
      <w:pPr>
        <w:pStyle w:val="Specials"/>
      </w:pPr>
      <w:r w:rsidRPr="00F00002">
        <w:tab/>
        <w:t xml:space="preserve">Method of working out </w:t>
      </w:r>
      <w:r w:rsidRPr="00F00002">
        <w:rPr>
          <w:i/>
        </w:rPr>
        <w:t>Z</w:t>
      </w:r>
      <w:r w:rsidRPr="00F00002">
        <w:t xml:space="preserve"> in the formula in section</w:t>
      </w:r>
      <w:r w:rsidR="00F00002">
        <w:t> </w:t>
      </w:r>
      <w:r w:rsidRPr="00F00002">
        <w:t>1.8</w:t>
      </w:r>
    </w:p>
    <w:p w:rsidR="00BB4501" w:rsidRPr="00F00002" w:rsidRDefault="00BB4501" w:rsidP="00D150ED">
      <w:pPr>
        <w:pStyle w:val="subsection"/>
      </w:pPr>
      <w:r w:rsidRPr="00F00002">
        <w:rPr>
          <w:color w:val="000000"/>
        </w:rPr>
        <w:t>7.1</w:t>
      </w:r>
      <w:r w:rsidRPr="00F00002">
        <w:rPr>
          <w:color w:val="000000"/>
        </w:rPr>
        <w:tab/>
        <w:t>(1)</w:t>
      </w:r>
      <w:r w:rsidRPr="00F00002">
        <w:rPr>
          <w:color w:val="000000"/>
        </w:rPr>
        <w:tab/>
        <w:t>If a member’s superannuation salary is increased in a non</w:t>
      </w:r>
      <w:r w:rsidR="00F00002">
        <w:rPr>
          <w:color w:val="000000"/>
        </w:rPr>
        <w:noBreakHyphen/>
      </w:r>
      <w:r w:rsidRPr="00F00002">
        <w:rPr>
          <w:color w:val="000000"/>
        </w:rPr>
        <w:t>arm’s length way with the primary purpose being to achieve an increase in superannuation benefit, an additional amount (</w:t>
      </w:r>
      <w:r w:rsidRPr="00F00002">
        <w:rPr>
          <w:b/>
          <w:i/>
          <w:color w:val="000000"/>
        </w:rPr>
        <w:t>Z</w:t>
      </w:r>
      <w:r w:rsidRPr="00F00002">
        <w:rPr>
          <w:color w:val="000000"/>
        </w:rPr>
        <w:t>) may need to be included in the amount of notional taxed contributions for the financial year.</w:t>
      </w:r>
    </w:p>
    <w:p w:rsidR="00BB4501" w:rsidRPr="00F00002" w:rsidRDefault="00BB4501" w:rsidP="00D150ED">
      <w:pPr>
        <w:pStyle w:val="subsection"/>
      </w:pPr>
      <w:r w:rsidRPr="00F00002">
        <w:tab/>
        <w:t>(2)</w:t>
      </w:r>
      <w:r w:rsidRPr="00F00002">
        <w:tab/>
        <w:t>For the formula in section</w:t>
      </w:r>
      <w:r w:rsidR="00F00002">
        <w:t> </w:t>
      </w:r>
      <w:r w:rsidRPr="00F00002">
        <w:t>1.8:</w:t>
      </w:r>
    </w:p>
    <w:p w:rsidR="00BB4501" w:rsidRPr="00F00002" w:rsidRDefault="00BB4501" w:rsidP="00D150ED">
      <w:pPr>
        <w:pStyle w:val="paragraph"/>
      </w:pPr>
      <w:r w:rsidRPr="00F00002">
        <w:rPr>
          <w:color w:val="000000"/>
        </w:rPr>
        <w:tab/>
        <w:t>(a)</w:t>
      </w:r>
      <w:r w:rsidRPr="00F00002">
        <w:rPr>
          <w:color w:val="000000"/>
        </w:rPr>
        <w:tab/>
        <w:t>in a financial year where the member’s superannuation salary is not increased in a non</w:t>
      </w:r>
      <w:r w:rsidR="00F00002">
        <w:rPr>
          <w:color w:val="000000"/>
        </w:rPr>
        <w:noBreakHyphen/>
      </w:r>
      <w:r w:rsidRPr="00F00002">
        <w:rPr>
          <w:color w:val="000000"/>
        </w:rPr>
        <w:t xml:space="preserve">arm’s length way, </w:t>
      </w:r>
      <w:r w:rsidRPr="00F00002">
        <w:rPr>
          <w:b/>
          <w:i/>
          <w:color w:val="000000"/>
        </w:rPr>
        <w:t>Z</w:t>
      </w:r>
      <w:r w:rsidRPr="00F00002">
        <w:rPr>
          <w:color w:val="000000"/>
        </w:rPr>
        <w:t xml:space="preserve"> equals zero; and</w:t>
      </w:r>
    </w:p>
    <w:p w:rsidR="00BB4501" w:rsidRPr="00F00002" w:rsidRDefault="00BB4501" w:rsidP="00D150ED">
      <w:pPr>
        <w:pStyle w:val="paragraph"/>
      </w:pPr>
      <w:r w:rsidRPr="00F00002">
        <w:tab/>
        <w:t>(b)</w:t>
      </w:r>
      <w:r w:rsidRPr="00F00002">
        <w:tab/>
        <w:t xml:space="preserve">in any other financial year, </w:t>
      </w:r>
      <w:r w:rsidRPr="00F00002">
        <w:rPr>
          <w:b/>
          <w:i/>
        </w:rPr>
        <w:t>Z</w:t>
      </w:r>
      <w:r w:rsidRPr="00F00002">
        <w:t xml:space="preserve"> equals an amount worked out on advice from an actuary that represents the increase in the value of the accrued retirement benefit, if any, that accrued to the member as a result of the change in superannuation salary.</w:t>
      </w:r>
    </w:p>
    <w:p w:rsidR="00BB4501" w:rsidRPr="00F00002" w:rsidRDefault="00BB4501" w:rsidP="00D150ED">
      <w:pPr>
        <w:pStyle w:val="subsection"/>
      </w:pPr>
      <w:r w:rsidRPr="00F00002">
        <w:t>7.2</w:t>
      </w:r>
      <w:r w:rsidRPr="00F00002">
        <w:tab/>
      </w:r>
      <w:r w:rsidRPr="00F00002">
        <w:tab/>
        <w:t xml:space="preserve">The economic and other assumptions to be used are set out in </w:t>
      </w:r>
      <w:r w:rsidR="00D150ED" w:rsidRPr="00F00002">
        <w:t>Part</w:t>
      </w:r>
      <w:r w:rsidR="00F00002">
        <w:t> </w:t>
      </w:r>
      <w:r w:rsidRPr="00F00002">
        <w:t>3.</w:t>
      </w:r>
    </w:p>
    <w:p w:rsidR="00206CD7" w:rsidRPr="00F00002" w:rsidRDefault="00206CD7" w:rsidP="004476AF">
      <w:pPr>
        <w:pStyle w:val="ActHead1"/>
        <w:pageBreakBefore/>
      </w:pPr>
      <w:bookmarkStart w:id="209" w:name="_Toc31109773"/>
      <w:r w:rsidRPr="00A26088">
        <w:rPr>
          <w:rStyle w:val="CharChapNo"/>
        </w:rPr>
        <w:lastRenderedPageBreak/>
        <w:t>Schedule</w:t>
      </w:r>
      <w:r w:rsidR="00F00002" w:rsidRPr="00A26088">
        <w:rPr>
          <w:rStyle w:val="CharChapNo"/>
        </w:rPr>
        <w:t> </w:t>
      </w:r>
      <w:r w:rsidRPr="00A26088">
        <w:rPr>
          <w:rStyle w:val="CharChapNo"/>
        </w:rPr>
        <w:t>1AA</w:t>
      </w:r>
      <w:r w:rsidRPr="00F00002">
        <w:t>—</w:t>
      </w:r>
      <w:r w:rsidRPr="00A26088">
        <w:rPr>
          <w:rStyle w:val="CharChapText"/>
        </w:rPr>
        <w:t>Working out defined benefit contributions</w:t>
      </w:r>
      <w:bookmarkEnd w:id="209"/>
    </w:p>
    <w:p w:rsidR="00206CD7" w:rsidRPr="00F00002" w:rsidRDefault="00206CD7" w:rsidP="00206CD7">
      <w:pPr>
        <w:pStyle w:val="notemargin"/>
      </w:pPr>
      <w:r w:rsidRPr="00F00002">
        <w:t>Note:</w:t>
      </w:r>
      <w:r w:rsidRPr="00F00002">
        <w:tab/>
        <w:t>See subregulation</w:t>
      </w:r>
      <w:r w:rsidR="00F00002">
        <w:t> </w:t>
      </w:r>
      <w:r w:rsidRPr="00F00002">
        <w:t>293</w:t>
      </w:r>
      <w:r w:rsidR="00F00002">
        <w:noBreakHyphen/>
      </w:r>
      <w:r w:rsidRPr="00F00002">
        <w:t>115.20(2).</w:t>
      </w:r>
    </w:p>
    <w:p w:rsidR="00206CD7" w:rsidRPr="00F00002" w:rsidRDefault="00206CD7" w:rsidP="00206CD7">
      <w:pPr>
        <w:pStyle w:val="ActHead2"/>
      </w:pPr>
      <w:bookmarkStart w:id="210" w:name="_Toc31109774"/>
      <w:r w:rsidRPr="00A26088">
        <w:rPr>
          <w:rStyle w:val="CharPartNo"/>
        </w:rPr>
        <w:t>Part</w:t>
      </w:r>
      <w:r w:rsidR="00F00002" w:rsidRPr="00A26088">
        <w:rPr>
          <w:rStyle w:val="CharPartNo"/>
        </w:rPr>
        <w:t> </w:t>
      </w:r>
      <w:r w:rsidRPr="00A26088">
        <w:rPr>
          <w:rStyle w:val="CharPartNo"/>
        </w:rPr>
        <w:t>1</w:t>
      </w:r>
      <w:r w:rsidRPr="00F00002">
        <w:t>—</w:t>
      </w:r>
      <w:r w:rsidRPr="00A26088">
        <w:rPr>
          <w:rStyle w:val="CharPartText"/>
        </w:rPr>
        <w:t>Preliminary</w:t>
      </w:r>
      <w:bookmarkEnd w:id="210"/>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2F133C">
      <w:pPr>
        <w:pStyle w:val="Specials"/>
      </w:pPr>
      <w:r w:rsidRPr="00F00002">
        <w:t>1  Meaning of accruing member</w:t>
      </w:r>
    </w:p>
    <w:p w:rsidR="00206CD7" w:rsidRPr="00F00002" w:rsidRDefault="00206CD7" w:rsidP="00206CD7">
      <w:pPr>
        <w:pStyle w:val="subsection"/>
      </w:pPr>
      <w:r w:rsidRPr="00F00002">
        <w:tab/>
      </w:r>
      <w:r w:rsidRPr="00F00002">
        <w:tab/>
        <w:t xml:space="preserve">An </w:t>
      </w:r>
      <w:r w:rsidRPr="00F00002">
        <w:rPr>
          <w:b/>
          <w:i/>
        </w:rPr>
        <w:t>accruing member</w:t>
      </w:r>
      <w:r w:rsidRPr="00F00002">
        <w:t xml:space="preserve"> of a superannuation fund for a financial year, is an accruing member within the meaning given by subregulation</w:t>
      </w:r>
      <w:r w:rsidR="00F00002">
        <w:t> </w:t>
      </w:r>
      <w:r w:rsidRPr="00F00002">
        <w:t>293</w:t>
      </w:r>
      <w:r w:rsidR="00F00002">
        <w:noBreakHyphen/>
      </w:r>
      <w:r w:rsidRPr="00F00002">
        <w:t>115.05(2).</w:t>
      </w:r>
    </w:p>
    <w:p w:rsidR="00206CD7" w:rsidRPr="00F00002" w:rsidRDefault="00206CD7" w:rsidP="002F133C">
      <w:pPr>
        <w:pStyle w:val="Specials"/>
      </w:pPr>
      <w:r w:rsidRPr="00F00002">
        <w:t>2  Meaning of benefit category</w:t>
      </w:r>
    </w:p>
    <w:p w:rsidR="00206CD7" w:rsidRPr="00F00002" w:rsidRDefault="00206CD7" w:rsidP="00206CD7">
      <w:pPr>
        <w:pStyle w:val="subsection"/>
      </w:pPr>
      <w:r w:rsidRPr="00F00002">
        <w:rPr>
          <w:color w:val="000000"/>
        </w:rPr>
        <w:tab/>
        <w:t>(1)</w:t>
      </w:r>
      <w:r w:rsidRPr="00F00002">
        <w:rPr>
          <w:color w:val="000000"/>
        </w:rPr>
        <w:tab/>
        <w:t xml:space="preserve">A </w:t>
      </w:r>
      <w:r w:rsidRPr="00F00002">
        <w:rPr>
          <w:b/>
          <w:i/>
          <w:color w:val="000000"/>
        </w:rPr>
        <w:t>benefit category</w:t>
      </w:r>
      <w:r w:rsidRPr="00F00002">
        <w:rPr>
          <w:color w:val="000000"/>
        </w:rPr>
        <w:t xml:space="preserve"> is a category of membership of a defined benefit fund as certified by an actuary.</w:t>
      </w:r>
    </w:p>
    <w:p w:rsidR="00206CD7" w:rsidRPr="00F00002" w:rsidRDefault="00206CD7" w:rsidP="00206CD7">
      <w:pPr>
        <w:pStyle w:val="subsection"/>
      </w:pPr>
      <w:r w:rsidRPr="00F00002">
        <w:tab/>
        <w:t>(2)</w:t>
      </w:r>
      <w:r w:rsidRPr="00F00002">
        <w:tab/>
        <w:t>An actuary must not certify a category of membership to be a benefit category unless the actuary is satisfied that:</w:t>
      </w:r>
    </w:p>
    <w:p w:rsidR="00206CD7" w:rsidRPr="00F00002" w:rsidRDefault="00206CD7" w:rsidP="00206CD7">
      <w:pPr>
        <w:pStyle w:val="paragraph"/>
      </w:pPr>
      <w:r w:rsidRPr="00F00002">
        <w:rPr>
          <w:color w:val="000000"/>
        </w:rPr>
        <w:tab/>
        <w:t>(a)</w:t>
      </w:r>
      <w:r w:rsidRPr="00F00002">
        <w:rPr>
          <w:color w:val="000000"/>
        </w:rPr>
        <w:tab/>
        <w:t>each hypothetical new entrant to the benefit category with the same entry age would accrue retirement benefits on substantially the same basis</w:t>
      </w:r>
      <w:r w:rsidRPr="00F00002">
        <w:t>; or</w:t>
      </w:r>
    </w:p>
    <w:p w:rsidR="00206CD7" w:rsidRPr="00F00002" w:rsidRDefault="00206CD7" w:rsidP="00206CD7">
      <w:pPr>
        <w:pStyle w:val="paragraph"/>
      </w:pPr>
      <w:r w:rsidRPr="00F00002">
        <w:tab/>
        <w:t>(b)</w:t>
      </w:r>
      <w:r w:rsidRPr="00F00002">
        <w:tab/>
        <w:t>if any 2 hypothetical new entrants to the benefit category accrued retirement benefits on a different basis, the new entrant rates for each member calculated under Parts</w:t>
      </w:r>
      <w:r w:rsidR="00F00002">
        <w:t> </w:t>
      </w:r>
      <w:r w:rsidRPr="00F00002">
        <w:t>2 and 3 would be equal.</w:t>
      </w:r>
    </w:p>
    <w:p w:rsidR="00206CD7" w:rsidRPr="00F00002" w:rsidRDefault="00206CD7" w:rsidP="002F133C">
      <w:pPr>
        <w:pStyle w:val="Specials"/>
      </w:pPr>
      <w:r w:rsidRPr="00F00002">
        <w:t>3  Accruing member must not belong to more than one benefit category at the same time unless certified by an actuary</w:t>
      </w:r>
    </w:p>
    <w:p w:rsidR="00206CD7" w:rsidRPr="00F00002" w:rsidRDefault="00206CD7" w:rsidP="00206CD7">
      <w:pPr>
        <w:pStyle w:val="subsection"/>
      </w:pPr>
      <w:r w:rsidRPr="00F00002">
        <w:rPr>
          <w:color w:val="000000"/>
        </w:rPr>
        <w:tab/>
        <w:t>(1)</w:t>
      </w:r>
      <w:r w:rsidRPr="00F00002">
        <w:rPr>
          <w:color w:val="000000"/>
        </w:rPr>
        <w:tab/>
        <w:t>An accruing member must not belong to more than one benefit category of the same defined benefit fund on the same day unless certified by an actuary.</w:t>
      </w:r>
    </w:p>
    <w:p w:rsidR="00206CD7" w:rsidRPr="00F00002" w:rsidRDefault="00206CD7" w:rsidP="00206CD7">
      <w:pPr>
        <w:pStyle w:val="subsection"/>
      </w:pPr>
      <w:r w:rsidRPr="00F00002">
        <w:rPr>
          <w:color w:val="000000"/>
        </w:rPr>
        <w:tab/>
        <w:t>(2)</w:t>
      </w:r>
      <w:r w:rsidRPr="00F00002">
        <w:rPr>
          <w:color w:val="000000"/>
        </w:rPr>
        <w:tab/>
        <w:t>An actuary must not certify that a member belongs to more than one benefit category on the same day unless the actuary is satisfied that the amount of defined benefit contributions to be reported will not be materially different from the amount of defined benefit contributions that would have been reported had the member belonged to only one benefit category on each relevant day.</w:t>
      </w:r>
    </w:p>
    <w:p w:rsidR="00206CD7" w:rsidRPr="00F00002" w:rsidRDefault="00206CD7" w:rsidP="00206CD7">
      <w:pPr>
        <w:pStyle w:val="notetext"/>
      </w:pPr>
      <w:r w:rsidRPr="00F00002">
        <w:rPr>
          <w:color w:val="000000"/>
        </w:rPr>
        <w:t>Note:</w:t>
      </w:r>
      <w:r w:rsidRPr="00F00002">
        <w:rPr>
          <w:color w:val="000000"/>
        </w:rPr>
        <w:tab/>
        <w:t>An accruing member would be ordinarily expected to belong to only one benefit category at a time. However, there might be circumstances in certain funds where it is materially more practical for the purpose of calculating the total amount of defined benefit contributions to deem that some members belong to more than one benefit category from time to time.</w:t>
      </w:r>
    </w:p>
    <w:p w:rsidR="00206CD7" w:rsidRPr="00F00002" w:rsidRDefault="00206CD7" w:rsidP="002F133C">
      <w:pPr>
        <w:pStyle w:val="Specials"/>
      </w:pPr>
      <w:r w:rsidRPr="00F00002">
        <w:lastRenderedPageBreak/>
        <w:t>4  Method for determining amount of defined benefit contributions</w:t>
      </w:r>
    </w:p>
    <w:p w:rsidR="00206CD7" w:rsidRPr="00F00002" w:rsidRDefault="00206CD7" w:rsidP="00206CD7">
      <w:pPr>
        <w:pStyle w:val="subsection"/>
      </w:pPr>
      <w:r w:rsidRPr="00F00002">
        <w:tab/>
        <w:t>(1)</w:t>
      </w:r>
      <w:r w:rsidRPr="00F00002">
        <w:tab/>
        <w:t xml:space="preserve">The </w:t>
      </w:r>
      <w:r w:rsidRPr="00F00002">
        <w:rPr>
          <w:b/>
          <w:i/>
        </w:rPr>
        <w:t>defined benefit contributions</w:t>
      </w:r>
      <w:r w:rsidRPr="00F00002">
        <w:t xml:space="preserve"> for an accruing member for a financial year is the amount worked out as follows:</w:t>
      </w:r>
    </w:p>
    <w:p w:rsidR="00206CD7" w:rsidRPr="00F00002" w:rsidRDefault="008035BA" w:rsidP="00206CD7">
      <w:pPr>
        <w:pStyle w:val="subsection2"/>
      </w:pPr>
      <w:r>
        <w:rPr>
          <w:position w:val="-24"/>
        </w:rPr>
        <w:pict>
          <v:shape id="_x0000_i1028" type="#_x0000_t75" style="width:132pt;height:27.75pt">
            <v:imagedata r:id="rId41" o:title=""/>
          </v:shape>
        </w:pict>
      </w:r>
    </w:p>
    <w:p w:rsidR="00206CD7" w:rsidRPr="00F00002" w:rsidRDefault="00206CD7" w:rsidP="00206CD7">
      <w:pPr>
        <w:pStyle w:val="subsection2"/>
      </w:pPr>
      <w:r w:rsidRPr="00F00002">
        <w:t>where, for the financial year:</w:t>
      </w:r>
    </w:p>
    <w:p w:rsidR="00206CD7" w:rsidRPr="00F00002" w:rsidRDefault="00206CD7" w:rsidP="00206CD7">
      <w:pPr>
        <w:pStyle w:val="Definition"/>
      </w:pPr>
      <w:r w:rsidRPr="00F00002">
        <w:rPr>
          <w:b/>
          <w:i/>
        </w:rPr>
        <w:t>BC</w:t>
      </w:r>
      <w:r w:rsidRPr="00F00002">
        <w:t xml:space="preserve"> is the notional employer contribution calculated for the member under </w:t>
      </w:r>
      <w:r w:rsidR="00F00002">
        <w:t>subclause (</w:t>
      </w:r>
      <w:r w:rsidRPr="00F00002">
        <w:t>2).</w:t>
      </w:r>
    </w:p>
    <w:p w:rsidR="00206CD7" w:rsidRPr="00F00002" w:rsidRDefault="00206CD7" w:rsidP="00206CD7">
      <w:pPr>
        <w:pStyle w:val="Definition"/>
      </w:pPr>
      <w:r w:rsidRPr="00F00002">
        <w:rPr>
          <w:b/>
          <w:i/>
        </w:rPr>
        <w:t>NTC</w:t>
      </w:r>
      <w:r w:rsidRPr="00F00002">
        <w:t xml:space="preserve"> is the notional taxed contributions calculated for the member for the financial year under Schedule</w:t>
      </w:r>
      <w:r w:rsidR="00F00002">
        <w:t> </w:t>
      </w:r>
      <w:r w:rsidRPr="00F00002">
        <w:t>1A to these Regulations, disregarding Subdivision</w:t>
      </w:r>
      <w:r w:rsidR="00F00002">
        <w:t> </w:t>
      </w:r>
      <w:r w:rsidRPr="00F00002">
        <w:t>291</w:t>
      </w:r>
      <w:r w:rsidR="00F00002">
        <w:noBreakHyphen/>
      </w:r>
      <w:r w:rsidRPr="00F00002">
        <w:t xml:space="preserve">C of the </w:t>
      </w:r>
      <w:r w:rsidRPr="00F00002">
        <w:rPr>
          <w:i/>
        </w:rPr>
        <w:t>Income Tax (Transitional Provisions) Act 1997</w:t>
      </w:r>
      <w:r w:rsidRPr="00F00002">
        <w:t xml:space="preserve">. If </w:t>
      </w:r>
      <w:r w:rsidRPr="00F00002">
        <w:rPr>
          <w:b/>
          <w:i/>
        </w:rPr>
        <w:t>NTC</w:t>
      </w:r>
      <w:r w:rsidRPr="00F00002">
        <w:t xml:space="preserve"> has not been calculated for the member for the financial year because the member is a member of a constitutionally protected fund, </w:t>
      </w:r>
      <w:r w:rsidRPr="00F00002">
        <w:rPr>
          <w:b/>
          <w:i/>
        </w:rPr>
        <w:t>NTC</w:t>
      </w:r>
      <w:r w:rsidRPr="00F00002">
        <w:t xml:space="preserve"> is zero.</w:t>
      </w:r>
    </w:p>
    <w:p w:rsidR="00206CD7" w:rsidRPr="00F00002" w:rsidRDefault="00206CD7" w:rsidP="00206CD7">
      <w:pPr>
        <w:pStyle w:val="notetext"/>
      </w:pPr>
      <w:r w:rsidRPr="00F00002">
        <w:t>Note 1:</w:t>
      </w:r>
      <w:r w:rsidRPr="00F00002">
        <w:tab/>
        <w:t>Section</w:t>
      </w:r>
      <w:r w:rsidR="00F00002">
        <w:t> </w:t>
      </w:r>
      <w:r w:rsidRPr="00F00002">
        <w:t>291</w:t>
      </w:r>
      <w:r w:rsidR="00F00002">
        <w:noBreakHyphen/>
      </w:r>
      <w:r w:rsidRPr="00F00002">
        <w:t>160 of the Act excludes superannuation interests in constitutionally protected funds from the provisions which explain how notional taxed contributions are to be calculated for defined benefit interests.</w:t>
      </w:r>
    </w:p>
    <w:p w:rsidR="00206CD7" w:rsidRPr="00F00002" w:rsidRDefault="00206CD7" w:rsidP="00206CD7">
      <w:pPr>
        <w:pStyle w:val="notetext"/>
      </w:pPr>
      <w:r w:rsidRPr="00F00002">
        <w:t>Note 2:</w:t>
      </w:r>
      <w:r w:rsidRPr="00F00002">
        <w:tab/>
        <w:t>Salary packaged contributions which do not contribute towards funding the defined benefit interest are included in the amount calculated under step 1 of the method statement set out in section</w:t>
      </w:r>
      <w:r w:rsidR="00F00002">
        <w:t> </w:t>
      </w:r>
      <w:r w:rsidRPr="00F00002">
        <w:t>293</w:t>
      </w:r>
      <w:r w:rsidR="00F00002">
        <w:noBreakHyphen/>
      </w:r>
      <w:r w:rsidRPr="00F00002">
        <w:t>105 of the Act and do not form any part of the method of determining defined benefit contributions.</w:t>
      </w:r>
    </w:p>
    <w:p w:rsidR="00206CD7" w:rsidRPr="00F00002" w:rsidRDefault="00206CD7" w:rsidP="00206CD7">
      <w:pPr>
        <w:pStyle w:val="subsection"/>
      </w:pPr>
      <w:r w:rsidRPr="00F00002">
        <w:tab/>
        <w:t>(2)</w:t>
      </w:r>
      <w:r w:rsidRPr="00F00002">
        <w:tab/>
        <w:t xml:space="preserve">The </w:t>
      </w:r>
      <w:r w:rsidRPr="00F00002">
        <w:rPr>
          <w:b/>
          <w:i/>
        </w:rPr>
        <w:t>notional employer contribution</w:t>
      </w:r>
      <w:r w:rsidRPr="00F00002">
        <w:t xml:space="preserve"> for an accruing member for a financial year is the amount worked out as follows:</w:t>
      </w:r>
    </w:p>
    <w:p w:rsidR="00206CD7" w:rsidRPr="00F00002" w:rsidRDefault="008035BA" w:rsidP="00206CD7">
      <w:pPr>
        <w:pStyle w:val="subsection2"/>
      </w:pPr>
      <w:r>
        <w:rPr>
          <w:position w:val="-26"/>
        </w:rPr>
        <w:pict>
          <v:shape id="_x0000_i1029" type="#_x0000_t75" style="width:148.5pt;height:30.75pt">
            <v:imagedata r:id="rId42" o:title=""/>
          </v:shape>
        </w:pict>
      </w:r>
    </w:p>
    <w:p w:rsidR="00206CD7" w:rsidRPr="00F00002" w:rsidRDefault="00206CD7" w:rsidP="00206CD7">
      <w:pPr>
        <w:pStyle w:val="subsection2"/>
      </w:pPr>
      <w:r w:rsidRPr="00F00002">
        <w:t>where, for the financial year:</w:t>
      </w:r>
    </w:p>
    <w:p w:rsidR="00206CD7" w:rsidRPr="00F00002" w:rsidRDefault="00206CD7" w:rsidP="00206CD7">
      <w:pPr>
        <w:pStyle w:val="Definition"/>
      </w:pPr>
      <w:r w:rsidRPr="00F00002">
        <w:rPr>
          <w:b/>
          <w:bCs/>
          <w:i/>
          <w:iCs/>
        </w:rPr>
        <w:t xml:space="preserve">T </w:t>
      </w:r>
      <w:r w:rsidRPr="00F00002">
        <w:t xml:space="preserve">is the sum of the amounts of notional employer financed contributions for each benefit category that the member belongs to during the financial year calculated under </w:t>
      </w:r>
      <w:r w:rsidR="00F00002">
        <w:t>subclause (</w:t>
      </w:r>
      <w:r w:rsidRPr="00F00002">
        <w:t>3).</w:t>
      </w:r>
    </w:p>
    <w:p w:rsidR="00206CD7" w:rsidRPr="00F00002" w:rsidRDefault="00206CD7" w:rsidP="00206CD7">
      <w:pPr>
        <w:pStyle w:val="Definition"/>
      </w:pPr>
      <w:r w:rsidRPr="00F00002">
        <w:rPr>
          <w:b/>
          <w:i/>
        </w:rPr>
        <w:t>W</w:t>
      </w:r>
      <w:r w:rsidRPr="00F00002">
        <w:t xml:space="preserve"> is an amount worked out on advice from an actuary under Part</w:t>
      </w:r>
      <w:r w:rsidR="00F00002">
        <w:t> </w:t>
      </w:r>
      <w:r w:rsidRPr="00F00002">
        <w:t>4.</w:t>
      </w:r>
    </w:p>
    <w:p w:rsidR="00206CD7" w:rsidRPr="00F00002" w:rsidRDefault="00206CD7" w:rsidP="00206CD7">
      <w:pPr>
        <w:pStyle w:val="Definition"/>
      </w:pPr>
      <w:r w:rsidRPr="00F00002">
        <w:rPr>
          <w:b/>
          <w:i/>
        </w:rPr>
        <w:t>X</w:t>
      </w:r>
      <w:r w:rsidRPr="00F00002">
        <w:t xml:space="preserve"> is an amount worked out on advice from an actuary under Part</w:t>
      </w:r>
      <w:r w:rsidR="00F00002">
        <w:t> </w:t>
      </w:r>
      <w:r w:rsidRPr="00F00002">
        <w:t>5.</w:t>
      </w:r>
    </w:p>
    <w:p w:rsidR="00206CD7" w:rsidRPr="00F00002" w:rsidRDefault="00206CD7" w:rsidP="00206CD7">
      <w:pPr>
        <w:pStyle w:val="Definition"/>
      </w:pPr>
      <w:r w:rsidRPr="00F00002">
        <w:rPr>
          <w:b/>
          <w:i/>
        </w:rPr>
        <w:t>Y</w:t>
      </w:r>
      <w:r w:rsidRPr="00F00002">
        <w:t xml:space="preserve"> is an amount worked out on advice from an actuary under Part</w:t>
      </w:r>
      <w:r w:rsidR="00F00002">
        <w:t> </w:t>
      </w:r>
      <w:r w:rsidRPr="00F00002">
        <w:t>6.</w:t>
      </w:r>
    </w:p>
    <w:p w:rsidR="00206CD7" w:rsidRPr="00F00002" w:rsidRDefault="00206CD7" w:rsidP="00206CD7">
      <w:pPr>
        <w:pStyle w:val="Definition"/>
      </w:pPr>
      <w:r w:rsidRPr="00F00002">
        <w:rPr>
          <w:b/>
          <w:i/>
        </w:rPr>
        <w:t>Z</w:t>
      </w:r>
      <w:r w:rsidRPr="00F00002">
        <w:t xml:space="preserve"> is an amount worked out on advice from an actuary under Part</w:t>
      </w:r>
      <w:r w:rsidR="00F00002">
        <w:t> </w:t>
      </w:r>
      <w:r w:rsidRPr="00F00002">
        <w:t>7.</w:t>
      </w:r>
    </w:p>
    <w:p w:rsidR="00206CD7" w:rsidRPr="00F00002" w:rsidRDefault="00206CD7" w:rsidP="00206CD7">
      <w:pPr>
        <w:pStyle w:val="subsection"/>
      </w:pPr>
      <w:r w:rsidRPr="00F00002">
        <w:tab/>
        <w:t>(3)</w:t>
      </w:r>
      <w:r w:rsidRPr="00F00002">
        <w:tab/>
        <w:t xml:space="preserve">The </w:t>
      </w:r>
      <w:r w:rsidRPr="00F00002">
        <w:rPr>
          <w:b/>
          <w:i/>
        </w:rPr>
        <w:t>notional employer financed contributions</w:t>
      </w:r>
      <w:r w:rsidRPr="00F00002">
        <w:t xml:space="preserve"> for an accruing member for a benefit category of a defined benefit fund for a financial year is the amount worked out as follows:</w:t>
      </w:r>
    </w:p>
    <w:p w:rsidR="00206CD7" w:rsidRPr="00F00002" w:rsidRDefault="008035BA" w:rsidP="00206CD7">
      <w:pPr>
        <w:pStyle w:val="subsection2"/>
      </w:pPr>
      <w:r>
        <w:rPr>
          <w:position w:val="-36"/>
        </w:rPr>
        <w:lastRenderedPageBreak/>
        <w:pict>
          <v:shape id="_x0000_i1030" type="#_x0000_t75" style="width:181.5pt;height:41.25pt">
            <v:imagedata r:id="rId43" o:title=""/>
          </v:shape>
        </w:pict>
      </w:r>
    </w:p>
    <w:p w:rsidR="00206CD7" w:rsidRPr="00F00002" w:rsidRDefault="00206CD7" w:rsidP="00206CD7">
      <w:pPr>
        <w:pStyle w:val="subsection2"/>
      </w:pPr>
      <w:r w:rsidRPr="00F00002">
        <w:t>where, for the financial year:</w:t>
      </w:r>
    </w:p>
    <w:p w:rsidR="00206CD7" w:rsidRPr="00F00002" w:rsidRDefault="00206CD7" w:rsidP="00206CD7">
      <w:pPr>
        <w:pStyle w:val="Definition"/>
      </w:pPr>
      <w:r w:rsidRPr="00F00002">
        <w:rPr>
          <w:b/>
          <w:bCs/>
          <w:i/>
          <w:iCs/>
        </w:rPr>
        <w:t xml:space="preserve">D </w:t>
      </w:r>
      <w:r w:rsidRPr="00F00002">
        <w:t>is the number of days during the financial year that the member was an accruing member of the benefit category.</w:t>
      </w:r>
    </w:p>
    <w:p w:rsidR="00206CD7" w:rsidRPr="00F00002" w:rsidRDefault="00206CD7" w:rsidP="00206CD7">
      <w:pPr>
        <w:pStyle w:val="Definition"/>
      </w:pPr>
      <w:r w:rsidRPr="00F00002">
        <w:rPr>
          <w:b/>
          <w:bCs/>
          <w:i/>
          <w:iCs/>
        </w:rPr>
        <w:t xml:space="preserve">M </w:t>
      </w:r>
      <w:r w:rsidRPr="00F00002">
        <w:t>is the amount of member contributions:</w:t>
      </w:r>
    </w:p>
    <w:p w:rsidR="00206CD7" w:rsidRPr="00F00002" w:rsidRDefault="00206CD7" w:rsidP="00206CD7">
      <w:pPr>
        <w:pStyle w:val="paragraph"/>
      </w:pPr>
      <w:r w:rsidRPr="00F00002">
        <w:tab/>
        <w:t>(a)</w:t>
      </w:r>
      <w:r w:rsidRPr="00F00002">
        <w:tab/>
        <w:t>paid by or on behalf of the member in respect of the member’s defined benefit interest in the fund during that part of the financial year that the member was an accruing member of the benefit category; and</w:t>
      </w:r>
    </w:p>
    <w:p w:rsidR="00206CD7" w:rsidRPr="00F00002" w:rsidRDefault="00206CD7" w:rsidP="00206CD7">
      <w:pPr>
        <w:pStyle w:val="paragraph"/>
      </w:pPr>
      <w:r w:rsidRPr="00F00002">
        <w:tab/>
        <w:t>(b)</w:t>
      </w:r>
      <w:r w:rsidRPr="00F00002">
        <w:tab/>
        <w:t>which are not assessable income of the fund;</w:t>
      </w:r>
    </w:p>
    <w:p w:rsidR="00206CD7" w:rsidRPr="00F00002" w:rsidRDefault="00206CD7" w:rsidP="00206CD7">
      <w:pPr>
        <w:pStyle w:val="subsection2"/>
      </w:pPr>
      <w:r w:rsidRPr="00F00002">
        <w:t>but excluding any amounts which are not assessable income of the fund because of:</w:t>
      </w:r>
    </w:p>
    <w:p w:rsidR="00206CD7" w:rsidRPr="00F00002" w:rsidRDefault="00206CD7" w:rsidP="00206CD7">
      <w:pPr>
        <w:pStyle w:val="paragraph"/>
      </w:pPr>
      <w:r w:rsidRPr="00F00002">
        <w:tab/>
        <w:t>(c)</w:t>
      </w:r>
      <w:r w:rsidRPr="00F00002">
        <w:tab/>
        <w:t>item</w:t>
      </w:r>
      <w:r w:rsidR="00F00002">
        <w:t> </w:t>
      </w:r>
      <w:r w:rsidRPr="00F00002">
        <w:t>5.3 of the table in section</w:t>
      </w:r>
      <w:r w:rsidR="00F00002">
        <w:t> </w:t>
      </w:r>
      <w:r w:rsidRPr="00F00002">
        <w:t>50</w:t>
      </w:r>
      <w:r w:rsidR="00F00002">
        <w:noBreakHyphen/>
      </w:r>
      <w:r w:rsidRPr="00F00002">
        <w:t>25 of the Act; or</w:t>
      </w:r>
    </w:p>
    <w:p w:rsidR="00206CD7" w:rsidRPr="00F00002" w:rsidRDefault="00206CD7" w:rsidP="00206CD7">
      <w:pPr>
        <w:pStyle w:val="paragraph"/>
      </w:pPr>
      <w:r w:rsidRPr="00F00002">
        <w:tab/>
        <w:t>(d)</w:t>
      </w:r>
      <w:r w:rsidRPr="00F00002">
        <w:tab/>
        <w:t>a choice made under section</w:t>
      </w:r>
      <w:r w:rsidR="00F00002">
        <w:t> </w:t>
      </w:r>
      <w:r w:rsidRPr="00F00002">
        <w:t>295</w:t>
      </w:r>
      <w:r w:rsidR="00F00002">
        <w:noBreakHyphen/>
      </w:r>
      <w:r w:rsidRPr="00F00002">
        <w:t>180 of the Act.</w:t>
      </w:r>
    </w:p>
    <w:p w:rsidR="00206CD7" w:rsidRPr="00F00002" w:rsidRDefault="00206CD7" w:rsidP="00206CD7">
      <w:pPr>
        <w:pStyle w:val="Definition"/>
      </w:pPr>
      <w:r w:rsidRPr="00F00002">
        <w:rPr>
          <w:b/>
          <w:bCs/>
          <w:i/>
          <w:iCs/>
        </w:rPr>
        <w:t xml:space="preserve">new entrant rate </w:t>
      </w:r>
      <w:r w:rsidRPr="00F00002">
        <w:t>is the new entrant rate for the benefit category worked out by an actuary under Parts</w:t>
      </w:r>
      <w:r w:rsidR="00F00002">
        <w:t> </w:t>
      </w:r>
      <w:r w:rsidRPr="00F00002">
        <w:t>2 and 3.</w:t>
      </w:r>
    </w:p>
    <w:p w:rsidR="00206CD7" w:rsidRPr="00F00002" w:rsidRDefault="00206CD7" w:rsidP="00206CD7">
      <w:pPr>
        <w:pStyle w:val="Definition"/>
      </w:pPr>
      <w:r w:rsidRPr="00F00002">
        <w:rPr>
          <w:b/>
          <w:bCs/>
          <w:i/>
          <w:iCs/>
        </w:rPr>
        <w:t xml:space="preserve">S </w:t>
      </w:r>
      <w:r w:rsidRPr="00F00002">
        <w:t>is the member’s annual superannuation salary relevant to the benefit category on the first day of the financial year on which the member had a defined benefit interest in the scheme.</w:t>
      </w:r>
    </w:p>
    <w:p w:rsidR="00206CD7" w:rsidRPr="00F00002" w:rsidRDefault="00206CD7" w:rsidP="00350487">
      <w:pPr>
        <w:pStyle w:val="ActHead2"/>
        <w:pageBreakBefore/>
      </w:pPr>
      <w:bookmarkStart w:id="211" w:name="_Toc31109775"/>
      <w:r w:rsidRPr="00A26088">
        <w:rPr>
          <w:rStyle w:val="CharPartNo"/>
        </w:rPr>
        <w:lastRenderedPageBreak/>
        <w:t>Part</w:t>
      </w:r>
      <w:r w:rsidR="00F00002" w:rsidRPr="00A26088">
        <w:rPr>
          <w:rStyle w:val="CharPartNo"/>
        </w:rPr>
        <w:t> </w:t>
      </w:r>
      <w:r w:rsidRPr="00A26088">
        <w:rPr>
          <w:rStyle w:val="CharPartNo"/>
        </w:rPr>
        <w:t>2</w:t>
      </w:r>
      <w:r w:rsidRPr="00F00002">
        <w:rPr>
          <w:color w:val="000000"/>
        </w:rPr>
        <w:t>—</w:t>
      </w:r>
      <w:r w:rsidRPr="00A26088">
        <w:rPr>
          <w:rStyle w:val="CharPartText"/>
        </w:rPr>
        <w:t>New entrant rate</w:t>
      </w:r>
      <w:bookmarkEnd w:id="211"/>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14237E">
      <w:pPr>
        <w:pStyle w:val="Specials"/>
      </w:pPr>
      <w:r w:rsidRPr="00F00002">
        <w:t>5  Method of working out new entrant rate for a benefit category</w:t>
      </w:r>
    </w:p>
    <w:p w:rsidR="00206CD7" w:rsidRPr="00F00002" w:rsidRDefault="00206CD7" w:rsidP="00206CD7">
      <w:pPr>
        <w:pStyle w:val="subsection"/>
      </w:pPr>
      <w:r w:rsidRPr="00F00002">
        <w:rPr>
          <w:color w:val="000000"/>
        </w:rPr>
        <w:tab/>
        <w:t>(1)</w:t>
      </w:r>
      <w:r w:rsidRPr="00F00002">
        <w:rPr>
          <w:color w:val="000000"/>
        </w:rPr>
        <w:tab/>
        <w:t>The new entrant rate for a benefit category is the rate calculated under this Part and using the assumptions set out in Part</w:t>
      </w:r>
      <w:r w:rsidR="00F00002">
        <w:rPr>
          <w:color w:val="000000"/>
        </w:rPr>
        <w:t> </w:t>
      </w:r>
      <w:r w:rsidRPr="00F00002">
        <w:rPr>
          <w:color w:val="000000"/>
        </w:rPr>
        <w:t>3.</w:t>
      </w:r>
    </w:p>
    <w:p w:rsidR="00206CD7" w:rsidRPr="00F00002" w:rsidRDefault="00206CD7" w:rsidP="00206CD7">
      <w:pPr>
        <w:pStyle w:val="subsection"/>
      </w:pPr>
      <w:r w:rsidRPr="00F00002">
        <w:tab/>
        <w:t>(2)</w:t>
      </w:r>
      <w:r w:rsidRPr="00F00002">
        <w:tab/>
        <w:t>The new entrant rate for a benefit category is the rate that represents the long</w:t>
      </w:r>
      <w:r w:rsidR="00F00002">
        <w:noBreakHyphen/>
      </w:r>
      <w:r w:rsidRPr="00F00002">
        <w:t>term cost, expressed as a percentage of superannuation salary, of providing the benefits payable on a voluntary exit to a hypothetical new entrant to the benefit category.</w:t>
      </w:r>
    </w:p>
    <w:p w:rsidR="00206CD7" w:rsidRPr="00F00002" w:rsidRDefault="00206CD7" w:rsidP="00206CD7">
      <w:pPr>
        <w:pStyle w:val="subsection"/>
      </w:pPr>
      <w:r w:rsidRPr="00F00002">
        <w:tab/>
        <w:t>(3)</w:t>
      </w:r>
      <w:r w:rsidRPr="00F00002">
        <w:tab/>
        <w:t>The new entrant rate is calculated as the present value of the benefits payable on voluntary exit (resignation, early retirement, or retirement) under the rules of the defined benefit fund which are applicable to a new entrant to the benefit category divided by the present value of future superannuation salaries payable to the new entrant.</w:t>
      </w:r>
    </w:p>
    <w:p w:rsidR="00206CD7" w:rsidRPr="00F00002" w:rsidRDefault="00206CD7" w:rsidP="00206CD7">
      <w:pPr>
        <w:pStyle w:val="subsection"/>
      </w:pPr>
      <w:r w:rsidRPr="00F00002">
        <w:tab/>
        <w:t>(4)</w:t>
      </w:r>
      <w:r w:rsidRPr="00F00002">
        <w:tab/>
        <w:t>The present value of the benefits payable is to be calculated having regard to the rules and practice of the defined benefit fund including benefit structure, caps, member options, reasonably expected discretions and member contributions, and using the economic, decrement and other assumptions set out in Part</w:t>
      </w:r>
      <w:r w:rsidR="00F00002">
        <w:t> </w:t>
      </w:r>
      <w:r w:rsidRPr="00F00002">
        <w:t>3.</w:t>
      </w:r>
    </w:p>
    <w:p w:rsidR="00206CD7" w:rsidRPr="00F00002" w:rsidRDefault="00206CD7" w:rsidP="0014237E">
      <w:pPr>
        <w:pStyle w:val="Specials"/>
      </w:pPr>
      <w:r w:rsidRPr="00F00002">
        <w:t>6  New entrant rate to be based on period of membership needed to reach maximum benefit accrual</w:t>
      </w:r>
    </w:p>
    <w:p w:rsidR="00206CD7" w:rsidRPr="00F00002" w:rsidRDefault="00206CD7" w:rsidP="00206CD7">
      <w:pPr>
        <w:pStyle w:val="subsection"/>
      </w:pPr>
      <w:r w:rsidRPr="00F00002">
        <w:tab/>
        <w:t>(1)</w:t>
      </w:r>
      <w:r w:rsidRPr="00F00002">
        <w:tab/>
        <w:t>If the rules of the defined benefit fund applicable to the benefit category provide for a maximum benefit accrual, the new entrant rate is to be calculated on the basis that the benefit is funded over the period to when maximum accrual is attained.</w:t>
      </w:r>
    </w:p>
    <w:p w:rsidR="00374442" w:rsidRPr="00F00002" w:rsidRDefault="00374442" w:rsidP="00374442">
      <w:pPr>
        <w:pStyle w:val="subsection"/>
      </w:pPr>
      <w:r w:rsidRPr="00F00002">
        <w:tab/>
        <w:t>(1A)</w:t>
      </w:r>
      <w:r w:rsidRPr="00F00002">
        <w:tab/>
        <w:t>For the Governor</w:t>
      </w:r>
      <w:r w:rsidR="00F00002">
        <w:noBreakHyphen/>
      </w:r>
      <w:r w:rsidRPr="00F00002">
        <w:t>General Pension Scheme, the period to when maximum benefit accrual is attained for a member of the Scheme is taken to be the period:</w:t>
      </w:r>
    </w:p>
    <w:p w:rsidR="00374442" w:rsidRPr="00F00002" w:rsidRDefault="00374442" w:rsidP="00374442">
      <w:pPr>
        <w:pStyle w:val="paragraph"/>
      </w:pPr>
      <w:r w:rsidRPr="00F00002">
        <w:tab/>
        <w:t>(a)</w:t>
      </w:r>
      <w:r w:rsidRPr="00F00002">
        <w:tab/>
        <w:t>starting on the day the member starts his or her appointment as Governor</w:t>
      </w:r>
      <w:r w:rsidR="00F00002">
        <w:noBreakHyphen/>
      </w:r>
      <w:r w:rsidRPr="00F00002">
        <w:t>General; and</w:t>
      </w:r>
    </w:p>
    <w:p w:rsidR="00374442" w:rsidRPr="00F00002" w:rsidRDefault="00374442" w:rsidP="00374442">
      <w:pPr>
        <w:pStyle w:val="paragraph"/>
      </w:pPr>
      <w:r w:rsidRPr="00F00002">
        <w:tab/>
        <w:t>(b)</w:t>
      </w:r>
      <w:r w:rsidRPr="00F00002">
        <w:tab/>
        <w:t>ending at the end of the financial year in which the member started his or her appointment.</w:t>
      </w:r>
    </w:p>
    <w:p w:rsidR="00206CD7" w:rsidRPr="00F00002" w:rsidRDefault="00206CD7" w:rsidP="00206CD7">
      <w:pPr>
        <w:pStyle w:val="subsection"/>
      </w:pPr>
      <w:r w:rsidRPr="00F00002">
        <w:tab/>
        <w:t>(2)</w:t>
      </w:r>
      <w:r w:rsidRPr="00F00002">
        <w:tab/>
        <w:t>For practical purposes this means that, for the purpose of calculating the present value of future salaries payable to the new entrant, the superannuation salary is to be assumed to be zero at those ages after reaching maximum benefit accrual.</w:t>
      </w:r>
    </w:p>
    <w:p w:rsidR="00206CD7" w:rsidRPr="00F00002" w:rsidRDefault="00206CD7" w:rsidP="00206CD7">
      <w:pPr>
        <w:pStyle w:val="notetext"/>
      </w:pPr>
      <w:r w:rsidRPr="00F00002">
        <w:t>Example:</w:t>
      </w:r>
      <w:r w:rsidRPr="00F00002">
        <w:tab/>
        <w:t>If maximum accrual is attained after 20 years of membership, the superannuation salary for a 30</w:t>
      </w:r>
      <w:r w:rsidR="00F00002">
        <w:noBreakHyphen/>
      </w:r>
      <w:r w:rsidRPr="00F00002">
        <w:t>year</w:t>
      </w:r>
      <w:r w:rsidR="00F00002">
        <w:noBreakHyphen/>
      </w:r>
      <w:r w:rsidRPr="00F00002">
        <w:t>old new entrant will be assumed to be zero at age 50 and above for the purpose of calculating the present value of future salaries payable to the new entrant.</w:t>
      </w:r>
    </w:p>
    <w:p w:rsidR="00206CD7" w:rsidRPr="00F00002" w:rsidRDefault="00206CD7" w:rsidP="0014237E">
      <w:pPr>
        <w:pStyle w:val="Specials"/>
      </w:pPr>
      <w:r w:rsidRPr="00F00002">
        <w:lastRenderedPageBreak/>
        <w:t>7  New entrant rate to be rounded down</w:t>
      </w:r>
    </w:p>
    <w:p w:rsidR="00206CD7" w:rsidRPr="00F00002" w:rsidRDefault="00206CD7" w:rsidP="00206CD7">
      <w:pPr>
        <w:pStyle w:val="subsection"/>
      </w:pPr>
      <w:r w:rsidRPr="00F00002">
        <w:tab/>
      </w:r>
      <w:r w:rsidRPr="00F00002">
        <w:tab/>
        <w:t>The new entrant rate is to be rounded down to the lower 1 percentage point.</w:t>
      </w:r>
    </w:p>
    <w:p w:rsidR="00206CD7" w:rsidRPr="00F00002" w:rsidRDefault="00206CD7" w:rsidP="00206CD7">
      <w:pPr>
        <w:pStyle w:val="notetext"/>
      </w:pPr>
      <w:r w:rsidRPr="00F00002">
        <w:t>Example:</w:t>
      </w:r>
      <w:r w:rsidRPr="00F00002">
        <w:tab/>
        <w:t>10.6% would be rounded down to 10%.</w:t>
      </w:r>
    </w:p>
    <w:p w:rsidR="00206CD7" w:rsidRPr="00F00002" w:rsidRDefault="00206CD7" w:rsidP="0014237E">
      <w:pPr>
        <w:pStyle w:val="Specials"/>
      </w:pPr>
      <w:r w:rsidRPr="00F00002">
        <w:t>8  No allowance for administration expenses or income tax on assessable contributions</w:t>
      </w:r>
    </w:p>
    <w:p w:rsidR="00206CD7" w:rsidRPr="00F00002" w:rsidRDefault="00206CD7" w:rsidP="00206CD7">
      <w:pPr>
        <w:pStyle w:val="subsection"/>
      </w:pPr>
      <w:r w:rsidRPr="00F00002">
        <w:tab/>
      </w:r>
      <w:r w:rsidRPr="00F00002">
        <w:tab/>
        <w:t>The new entrant rate is to be calculated ignoring:</w:t>
      </w:r>
    </w:p>
    <w:p w:rsidR="00206CD7" w:rsidRPr="00F00002" w:rsidRDefault="00206CD7" w:rsidP="00206CD7">
      <w:pPr>
        <w:pStyle w:val="paragraph"/>
      </w:pPr>
      <w:r w:rsidRPr="00F00002">
        <w:tab/>
        <w:t>(a)</w:t>
      </w:r>
      <w:r w:rsidRPr="00F00002">
        <w:tab/>
        <w:t>administration expenses; and</w:t>
      </w:r>
    </w:p>
    <w:p w:rsidR="00206CD7" w:rsidRPr="00F00002" w:rsidRDefault="00206CD7" w:rsidP="00206CD7">
      <w:pPr>
        <w:pStyle w:val="paragraph"/>
      </w:pPr>
      <w:r w:rsidRPr="00F00002">
        <w:tab/>
        <w:t>(b)</w:t>
      </w:r>
      <w:r w:rsidRPr="00F00002">
        <w:tab/>
        <w:t>income tax on assessable contributions.</w:t>
      </w:r>
    </w:p>
    <w:p w:rsidR="00206CD7" w:rsidRPr="00F00002" w:rsidRDefault="00206CD7" w:rsidP="00206CD7">
      <w:pPr>
        <w:pStyle w:val="notetext"/>
      </w:pPr>
      <w:r w:rsidRPr="00F00002">
        <w:t>Note:</w:t>
      </w:r>
      <w:r w:rsidRPr="00F00002">
        <w:tab/>
        <w:t>These items are allowed for in the formula in subclause</w:t>
      </w:r>
      <w:r w:rsidR="00F00002">
        <w:t> </w:t>
      </w:r>
      <w:r w:rsidRPr="00F00002">
        <w:t>4(3) by multiplying by 1.2.</w:t>
      </w:r>
    </w:p>
    <w:p w:rsidR="00206CD7" w:rsidRPr="00F00002" w:rsidRDefault="00206CD7" w:rsidP="0014237E">
      <w:pPr>
        <w:pStyle w:val="Specials"/>
      </w:pPr>
      <w:r w:rsidRPr="00F00002">
        <w:t>9  Certain discretions to be allowed for</w:t>
      </w:r>
    </w:p>
    <w:p w:rsidR="00206CD7" w:rsidRPr="00F00002" w:rsidRDefault="00206CD7" w:rsidP="00206CD7">
      <w:pPr>
        <w:pStyle w:val="subsection"/>
      </w:pPr>
      <w:r w:rsidRPr="00F00002">
        <w:tab/>
        <w:t>(1)</w:t>
      </w:r>
      <w:r w:rsidRPr="00F00002">
        <w:tab/>
        <w:t>The new entrant rate is to be calculated assuming that certain discretions are always exercised.</w:t>
      </w:r>
    </w:p>
    <w:p w:rsidR="00206CD7" w:rsidRPr="00F00002" w:rsidRDefault="00206CD7" w:rsidP="00206CD7">
      <w:pPr>
        <w:pStyle w:val="subsection"/>
      </w:pPr>
      <w:r w:rsidRPr="00F00002">
        <w:tab/>
        <w:t>(2)</w:t>
      </w:r>
      <w:r w:rsidRPr="00F00002">
        <w:tab/>
        <w:t xml:space="preserve">Subject to </w:t>
      </w:r>
      <w:r w:rsidR="00F00002">
        <w:t>subclause (</w:t>
      </w:r>
      <w:r w:rsidRPr="00F00002">
        <w:t>3), if the fund rules provide a discretion to pay, on voluntary exit, a benefit that is higher than the standard benefit, the actuary must assume that a higher benefit is always paid on voluntary exit on or after age 55.</w:t>
      </w:r>
    </w:p>
    <w:p w:rsidR="00206CD7" w:rsidRPr="00F00002" w:rsidRDefault="00206CD7" w:rsidP="00206CD7">
      <w:pPr>
        <w:pStyle w:val="subsection"/>
      </w:pPr>
      <w:r w:rsidRPr="00F00002">
        <w:tab/>
        <w:t>(3)</w:t>
      </w:r>
      <w:r w:rsidRPr="00F00002">
        <w:tab/>
        <w:t xml:space="preserve">If the higher benefit mentioned in </w:t>
      </w:r>
      <w:r w:rsidR="00F00002">
        <w:t>subclause (</w:t>
      </w:r>
      <w:r w:rsidRPr="00F00002">
        <w:t>2) exceeds the accrued retirement benefit, the actuary may assume that the benefit is an amount:</w:t>
      </w:r>
    </w:p>
    <w:p w:rsidR="00206CD7" w:rsidRPr="00F00002" w:rsidRDefault="00206CD7" w:rsidP="00206CD7">
      <w:pPr>
        <w:pStyle w:val="paragraph"/>
      </w:pPr>
      <w:r w:rsidRPr="00F00002">
        <w:tab/>
        <w:t>(a)</w:t>
      </w:r>
      <w:r w:rsidRPr="00F00002">
        <w:tab/>
        <w:t>greater than or equal to the accrued retirement benefit; and</w:t>
      </w:r>
    </w:p>
    <w:p w:rsidR="00206CD7" w:rsidRPr="00F00002" w:rsidRDefault="00206CD7" w:rsidP="00206CD7">
      <w:pPr>
        <w:pStyle w:val="paragraph"/>
        <w:rPr>
          <w:color w:val="000000"/>
        </w:rPr>
      </w:pPr>
      <w:r w:rsidRPr="00F00002">
        <w:tab/>
        <w:t>(b)</w:t>
      </w:r>
      <w:r w:rsidRPr="00F00002">
        <w:tab/>
        <w:t>less than or equal to the higher benefit.</w:t>
      </w:r>
    </w:p>
    <w:p w:rsidR="00206CD7" w:rsidRPr="00F00002" w:rsidRDefault="00206CD7" w:rsidP="00206CD7">
      <w:pPr>
        <w:pStyle w:val="subsection"/>
      </w:pPr>
      <w:r w:rsidRPr="00F00002">
        <w:tab/>
        <w:t>(4)</w:t>
      </w:r>
      <w:r w:rsidRPr="00F00002">
        <w:tab/>
        <w:t>If the actuary believes that there is a reasonable expectation that a higher benefit than either the standard benefit or the accrued retirement benefit will be paid, then the actuary should assume that the benefit paid on voluntary exit on or after age 55 is always equal to the benefit reasonably expected to be paid.</w:t>
      </w:r>
    </w:p>
    <w:p w:rsidR="00206CD7" w:rsidRPr="00F00002" w:rsidRDefault="00206CD7" w:rsidP="00206CD7">
      <w:pPr>
        <w:pStyle w:val="notetext"/>
      </w:pPr>
      <w:r w:rsidRPr="00F00002">
        <w:t>Note:</w:t>
      </w:r>
      <w:r w:rsidRPr="00F00002">
        <w:tab/>
        <w:t>In considering whether there is a reasonable expectation that a higher benefit will be paid, it would generally not be appropriate to assume payment unless such an assumption was adopted in the most recent actuarial review.</w:t>
      </w:r>
    </w:p>
    <w:p w:rsidR="00206CD7" w:rsidRPr="00F00002" w:rsidRDefault="00206CD7" w:rsidP="00350487">
      <w:pPr>
        <w:pStyle w:val="ActHead2"/>
        <w:pageBreakBefore/>
      </w:pPr>
      <w:bookmarkStart w:id="212" w:name="_Toc31109776"/>
      <w:r w:rsidRPr="00A26088">
        <w:rPr>
          <w:rStyle w:val="CharPartNo"/>
        </w:rPr>
        <w:lastRenderedPageBreak/>
        <w:t>Part</w:t>
      </w:r>
      <w:r w:rsidR="00F00002" w:rsidRPr="00A26088">
        <w:rPr>
          <w:rStyle w:val="CharPartNo"/>
        </w:rPr>
        <w:t> </w:t>
      </w:r>
      <w:r w:rsidRPr="00A26088">
        <w:rPr>
          <w:rStyle w:val="CharPartNo"/>
        </w:rPr>
        <w:t>3</w:t>
      </w:r>
      <w:r w:rsidRPr="00F00002">
        <w:rPr>
          <w:color w:val="000000"/>
        </w:rPr>
        <w:t>—</w:t>
      </w:r>
      <w:r w:rsidRPr="00A26088">
        <w:rPr>
          <w:rStyle w:val="CharPartText"/>
        </w:rPr>
        <w:t>Valuation parameters</w:t>
      </w:r>
      <w:bookmarkEnd w:id="212"/>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14237E">
      <w:pPr>
        <w:pStyle w:val="Specials"/>
      </w:pPr>
      <w:r w:rsidRPr="00F00002">
        <w:t>10  Application of economic, decrement and other parameters</w:t>
      </w:r>
    </w:p>
    <w:p w:rsidR="00206CD7" w:rsidRPr="00F00002" w:rsidRDefault="00206CD7" w:rsidP="00206CD7">
      <w:pPr>
        <w:pStyle w:val="subsection"/>
      </w:pPr>
      <w:r w:rsidRPr="00F00002">
        <w:tab/>
      </w:r>
      <w:r w:rsidRPr="00F00002">
        <w:tab/>
        <w:t>For the purpose of working out the new entrant rate for a benefit category mentioned in Part</w:t>
      </w:r>
      <w:r w:rsidR="00F00002">
        <w:t> </w:t>
      </w:r>
      <w:r w:rsidRPr="00F00002">
        <w:t>1 or 2, the actuary is to apply the economic, decrement and other parameters set out in this Part.</w:t>
      </w:r>
    </w:p>
    <w:p w:rsidR="00206CD7" w:rsidRPr="00F00002" w:rsidRDefault="00206CD7" w:rsidP="0014237E">
      <w:pPr>
        <w:pStyle w:val="Specials"/>
      </w:pPr>
      <w:r w:rsidRPr="00F00002">
        <w:t>11  Discount rate</w:t>
      </w:r>
    </w:p>
    <w:p w:rsidR="00206CD7" w:rsidRPr="00F00002" w:rsidRDefault="00206CD7" w:rsidP="00206CD7">
      <w:pPr>
        <w:pStyle w:val="subsection"/>
      </w:pPr>
      <w:r w:rsidRPr="00F00002">
        <w:tab/>
        <w:t>(1)</w:t>
      </w:r>
      <w:r w:rsidRPr="00F00002">
        <w:tab/>
        <w:t>The discount rate to be used to discount projected future benefits and salaries is 8% per year.</w:t>
      </w:r>
    </w:p>
    <w:p w:rsidR="00206CD7" w:rsidRPr="00F00002" w:rsidRDefault="00206CD7" w:rsidP="00206CD7">
      <w:pPr>
        <w:pStyle w:val="subsection"/>
      </w:pPr>
      <w:r w:rsidRPr="00F00002">
        <w:tab/>
        <w:t>(2)</w:t>
      </w:r>
      <w:r w:rsidRPr="00F00002">
        <w:tab/>
        <w:t>The discount rate is not to be adjusted for investment expenses or investment</w:t>
      </w:r>
      <w:r w:rsidR="00F00002">
        <w:noBreakHyphen/>
      </w:r>
      <w:r w:rsidRPr="00F00002">
        <w:t>related taxation or for any other reason.</w:t>
      </w:r>
    </w:p>
    <w:p w:rsidR="00206CD7" w:rsidRPr="00F00002" w:rsidRDefault="00206CD7" w:rsidP="0014237E">
      <w:pPr>
        <w:pStyle w:val="Specials"/>
      </w:pPr>
      <w:r w:rsidRPr="00F00002">
        <w:t>12  Fund earning rate and crediting rate</w:t>
      </w:r>
    </w:p>
    <w:p w:rsidR="00206CD7" w:rsidRPr="00F00002" w:rsidRDefault="00206CD7" w:rsidP="00206CD7">
      <w:pPr>
        <w:pStyle w:val="subsection"/>
      </w:pPr>
      <w:r w:rsidRPr="00F00002">
        <w:tab/>
        <w:t>(1)</w:t>
      </w:r>
      <w:r w:rsidRPr="00F00002">
        <w:tab/>
        <w:t>If necessary, the fund earning rate to be assumed is 8% per year.</w:t>
      </w:r>
    </w:p>
    <w:p w:rsidR="00206CD7" w:rsidRPr="00F00002" w:rsidRDefault="00206CD7" w:rsidP="00206CD7">
      <w:pPr>
        <w:pStyle w:val="subsection"/>
      </w:pPr>
      <w:r w:rsidRPr="00F00002">
        <w:tab/>
        <w:t>(2)</w:t>
      </w:r>
      <w:r w:rsidRPr="00F00002">
        <w:tab/>
        <w:t>If necessary, the assumed crediting rate is to be based on the assumed fund earning rate.</w:t>
      </w:r>
    </w:p>
    <w:p w:rsidR="00206CD7" w:rsidRPr="00F00002" w:rsidRDefault="00206CD7" w:rsidP="0014237E">
      <w:pPr>
        <w:pStyle w:val="Specials"/>
      </w:pPr>
      <w:r w:rsidRPr="00F00002">
        <w:t>13  Rate of future salary or wages growth</w:t>
      </w:r>
    </w:p>
    <w:p w:rsidR="00206CD7" w:rsidRPr="00F00002" w:rsidRDefault="00206CD7" w:rsidP="00206CD7">
      <w:pPr>
        <w:pStyle w:val="subsection"/>
      </w:pPr>
      <w:r w:rsidRPr="00F00002">
        <w:tab/>
        <w:t>(1)</w:t>
      </w:r>
      <w:r w:rsidRPr="00F00002">
        <w:tab/>
        <w:t>The rate of salary or wages growth to be applied is 4.5% per year.</w:t>
      </w:r>
    </w:p>
    <w:p w:rsidR="00206CD7" w:rsidRPr="00F00002" w:rsidRDefault="00206CD7" w:rsidP="00206CD7">
      <w:pPr>
        <w:pStyle w:val="subsection"/>
      </w:pPr>
      <w:r w:rsidRPr="00F00002">
        <w:tab/>
        <w:t>(2)</w:t>
      </w:r>
      <w:r w:rsidRPr="00F00002">
        <w:tab/>
        <w:t>This rate is to be used:</w:t>
      </w:r>
    </w:p>
    <w:p w:rsidR="00206CD7" w:rsidRPr="00F00002" w:rsidRDefault="00206CD7" w:rsidP="00206CD7">
      <w:pPr>
        <w:pStyle w:val="paragraph"/>
      </w:pPr>
      <w:r w:rsidRPr="00F00002">
        <w:tab/>
        <w:t>(a)</w:t>
      </w:r>
      <w:r w:rsidRPr="00F00002">
        <w:tab/>
        <w:t>to project the value of future salary or wages; and</w:t>
      </w:r>
    </w:p>
    <w:p w:rsidR="00206CD7" w:rsidRPr="00F00002" w:rsidRDefault="00206CD7" w:rsidP="00206CD7">
      <w:pPr>
        <w:pStyle w:val="paragraph"/>
      </w:pPr>
      <w:r w:rsidRPr="00F00002">
        <w:tab/>
        <w:t>(b)</w:t>
      </w:r>
      <w:r w:rsidRPr="00F00002">
        <w:tab/>
        <w:t>to project benefits that increase in accordance with a general wage index (for example, average weekly earnings).</w:t>
      </w:r>
    </w:p>
    <w:p w:rsidR="00206CD7" w:rsidRPr="00F00002" w:rsidRDefault="00206CD7" w:rsidP="0014237E">
      <w:pPr>
        <w:pStyle w:val="Specials"/>
      </w:pPr>
      <w:r w:rsidRPr="00F00002">
        <w:t>14  Rate of increase in price indices</w:t>
      </w:r>
    </w:p>
    <w:p w:rsidR="00206CD7" w:rsidRPr="00F00002" w:rsidRDefault="00206CD7" w:rsidP="00206CD7">
      <w:pPr>
        <w:pStyle w:val="subsection"/>
      </w:pPr>
      <w:r w:rsidRPr="00F00002">
        <w:tab/>
      </w:r>
      <w:r w:rsidRPr="00F00002">
        <w:tab/>
        <w:t>If a benefit is linked to an increase in a price index (for example, the Consumer Price Index), the rate of increase in the price index to be applied is 2.5% per year.</w:t>
      </w:r>
    </w:p>
    <w:p w:rsidR="00206CD7" w:rsidRPr="00F00002" w:rsidRDefault="00206CD7" w:rsidP="0014237E">
      <w:pPr>
        <w:pStyle w:val="Specials"/>
      </w:pPr>
      <w:r w:rsidRPr="00F00002">
        <w:t>15  New entrant age</w:t>
      </w:r>
    </w:p>
    <w:p w:rsidR="00206CD7" w:rsidRPr="00F00002" w:rsidRDefault="00206CD7" w:rsidP="00206CD7">
      <w:pPr>
        <w:pStyle w:val="subsection"/>
      </w:pPr>
      <w:r w:rsidRPr="00F00002">
        <w:tab/>
        <w:t>(1)</w:t>
      </w:r>
      <w:r w:rsidRPr="00F00002">
        <w:tab/>
        <w:t>The age of new entrants to be assumed is based on the average age of entry to the fund of the persons who were defined benefit members of the fund at 1</w:t>
      </w:r>
      <w:r w:rsidR="00F00002">
        <w:t> </w:t>
      </w:r>
      <w:r w:rsidRPr="00F00002">
        <w:t>July 2007.</w:t>
      </w:r>
    </w:p>
    <w:p w:rsidR="00206CD7" w:rsidRPr="00F00002" w:rsidRDefault="00206CD7" w:rsidP="00206CD7">
      <w:pPr>
        <w:pStyle w:val="subsection"/>
      </w:pPr>
      <w:r w:rsidRPr="00F00002">
        <w:tab/>
        <w:t>(2)</w:t>
      </w:r>
      <w:r w:rsidRPr="00F00002">
        <w:tab/>
        <w:t>The following table sets out the age of new entrants that is to be assumed.</w:t>
      </w:r>
    </w:p>
    <w:p w:rsidR="00206CD7" w:rsidRPr="00F00002" w:rsidRDefault="00206CD7" w:rsidP="00206CD7">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422"/>
        <w:gridCol w:w="4195"/>
        <w:gridCol w:w="2912"/>
      </w:tblGrid>
      <w:tr w:rsidR="00206CD7" w:rsidRPr="00F00002" w:rsidTr="000505B9">
        <w:trPr>
          <w:tblHeader/>
        </w:trPr>
        <w:tc>
          <w:tcPr>
            <w:tcW w:w="5000" w:type="pct"/>
            <w:gridSpan w:val="3"/>
            <w:tcBorders>
              <w:top w:val="single" w:sz="12" w:space="0" w:color="auto"/>
              <w:bottom w:val="single" w:sz="6" w:space="0" w:color="auto"/>
            </w:tcBorders>
          </w:tcPr>
          <w:p w:rsidR="00206CD7" w:rsidRPr="00F00002" w:rsidRDefault="00206CD7" w:rsidP="00206CD7">
            <w:pPr>
              <w:pStyle w:val="TableHeading"/>
            </w:pPr>
            <w:r w:rsidRPr="00F00002">
              <w:t>New entrant ages</w:t>
            </w:r>
          </w:p>
        </w:tc>
      </w:tr>
      <w:tr w:rsidR="00206CD7" w:rsidRPr="00F00002" w:rsidTr="000505B9">
        <w:trPr>
          <w:tblHeader/>
        </w:trPr>
        <w:tc>
          <w:tcPr>
            <w:tcW w:w="834" w:type="pct"/>
            <w:tcBorders>
              <w:top w:val="single" w:sz="6" w:space="0" w:color="auto"/>
              <w:bottom w:val="single" w:sz="12" w:space="0" w:color="auto"/>
            </w:tcBorders>
          </w:tcPr>
          <w:p w:rsidR="00206CD7" w:rsidRPr="00F00002" w:rsidRDefault="00206CD7" w:rsidP="00206CD7">
            <w:pPr>
              <w:pStyle w:val="TableHeading"/>
            </w:pPr>
            <w:r w:rsidRPr="00F00002">
              <w:t>Item</w:t>
            </w:r>
          </w:p>
        </w:tc>
        <w:tc>
          <w:tcPr>
            <w:tcW w:w="2459" w:type="pct"/>
            <w:tcBorders>
              <w:top w:val="single" w:sz="6" w:space="0" w:color="auto"/>
              <w:bottom w:val="single" w:sz="12" w:space="0" w:color="auto"/>
            </w:tcBorders>
            <w:shd w:val="clear" w:color="auto" w:fill="auto"/>
          </w:tcPr>
          <w:p w:rsidR="00206CD7" w:rsidRPr="00F00002" w:rsidRDefault="00206CD7" w:rsidP="00206CD7">
            <w:pPr>
              <w:pStyle w:val="TableHeading"/>
              <w:jc w:val="right"/>
            </w:pPr>
            <w:r w:rsidRPr="00F00002">
              <w:t>Average age last birthday at commencement in fund of defined benefit members of the fund at 1</w:t>
            </w:r>
            <w:r w:rsidR="00F00002">
              <w:t> </w:t>
            </w:r>
            <w:r w:rsidRPr="00F00002">
              <w:t>July 2007</w:t>
            </w:r>
          </w:p>
        </w:tc>
        <w:tc>
          <w:tcPr>
            <w:tcW w:w="1707" w:type="pct"/>
            <w:tcBorders>
              <w:top w:val="single" w:sz="6" w:space="0" w:color="auto"/>
              <w:bottom w:val="single" w:sz="12" w:space="0" w:color="auto"/>
            </w:tcBorders>
            <w:shd w:val="clear" w:color="auto" w:fill="auto"/>
          </w:tcPr>
          <w:p w:rsidR="00206CD7" w:rsidRPr="00F00002" w:rsidRDefault="00206CD7" w:rsidP="00206CD7">
            <w:pPr>
              <w:pStyle w:val="TableHeading"/>
              <w:jc w:val="right"/>
            </w:pPr>
            <w:r w:rsidRPr="00F00002">
              <w:t>New entrant age to be assumed</w:t>
            </w:r>
          </w:p>
        </w:tc>
      </w:tr>
      <w:tr w:rsidR="00206CD7" w:rsidRPr="00F00002" w:rsidTr="000505B9">
        <w:tc>
          <w:tcPr>
            <w:tcW w:w="834" w:type="pct"/>
            <w:tcBorders>
              <w:top w:val="single" w:sz="12" w:space="0" w:color="auto"/>
            </w:tcBorders>
          </w:tcPr>
          <w:p w:rsidR="00206CD7" w:rsidRPr="00F00002" w:rsidRDefault="00206CD7" w:rsidP="00206CD7">
            <w:pPr>
              <w:pStyle w:val="Tabletext"/>
              <w:rPr>
                <w:color w:val="000000"/>
              </w:rPr>
            </w:pPr>
            <w:r w:rsidRPr="00F00002">
              <w:rPr>
                <w:color w:val="000000"/>
              </w:rPr>
              <w:t>1</w:t>
            </w:r>
          </w:p>
        </w:tc>
        <w:tc>
          <w:tcPr>
            <w:tcW w:w="2459" w:type="pct"/>
            <w:tcBorders>
              <w:top w:val="single" w:sz="12" w:space="0" w:color="auto"/>
            </w:tcBorders>
            <w:shd w:val="clear" w:color="auto" w:fill="auto"/>
          </w:tcPr>
          <w:p w:rsidR="00206CD7" w:rsidRPr="00F00002" w:rsidRDefault="00206CD7" w:rsidP="00206CD7">
            <w:pPr>
              <w:pStyle w:val="Tabletext"/>
              <w:jc w:val="right"/>
            </w:pPr>
            <w:r w:rsidRPr="00F00002">
              <w:rPr>
                <w:color w:val="000000"/>
              </w:rPr>
              <w:t>&lt;30</w:t>
            </w:r>
          </w:p>
        </w:tc>
        <w:tc>
          <w:tcPr>
            <w:tcW w:w="1707" w:type="pct"/>
            <w:tcBorders>
              <w:top w:val="single" w:sz="12" w:space="0" w:color="auto"/>
            </w:tcBorders>
            <w:shd w:val="clear" w:color="auto" w:fill="auto"/>
          </w:tcPr>
          <w:p w:rsidR="00206CD7" w:rsidRPr="00F00002" w:rsidRDefault="00206CD7" w:rsidP="00206CD7">
            <w:pPr>
              <w:pStyle w:val="Tabletext"/>
              <w:ind w:left="720"/>
              <w:jc w:val="right"/>
            </w:pPr>
            <w:r w:rsidRPr="00F00002">
              <w:rPr>
                <w:color w:val="000000"/>
              </w:rPr>
              <w:t>25</w:t>
            </w:r>
          </w:p>
        </w:tc>
      </w:tr>
      <w:tr w:rsidR="00206CD7" w:rsidRPr="00F00002" w:rsidTr="000505B9">
        <w:tc>
          <w:tcPr>
            <w:tcW w:w="834" w:type="pct"/>
          </w:tcPr>
          <w:p w:rsidR="00206CD7" w:rsidRPr="00F00002" w:rsidRDefault="00206CD7" w:rsidP="00206CD7">
            <w:pPr>
              <w:pStyle w:val="Tabletext"/>
              <w:rPr>
                <w:color w:val="000000"/>
              </w:rPr>
            </w:pPr>
            <w:r w:rsidRPr="00F00002">
              <w:rPr>
                <w:color w:val="000000"/>
              </w:rPr>
              <w:t>2</w:t>
            </w:r>
          </w:p>
        </w:tc>
        <w:tc>
          <w:tcPr>
            <w:tcW w:w="2459" w:type="pct"/>
            <w:shd w:val="clear" w:color="auto" w:fill="auto"/>
          </w:tcPr>
          <w:p w:rsidR="00206CD7" w:rsidRPr="00F00002" w:rsidRDefault="00206CD7" w:rsidP="00206CD7">
            <w:pPr>
              <w:pStyle w:val="Tabletext"/>
              <w:jc w:val="right"/>
            </w:pPr>
            <w:r w:rsidRPr="00F00002">
              <w:rPr>
                <w:color w:val="000000"/>
              </w:rPr>
              <w:t>30</w:t>
            </w:r>
            <w:r w:rsidR="00F00002">
              <w:rPr>
                <w:color w:val="000000"/>
              </w:rPr>
              <w:noBreakHyphen/>
            </w:r>
            <w:r w:rsidRPr="00F00002">
              <w:rPr>
                <w:color w:val="000000"/>
              </w:rPr>
              <w:t>34</w:t>
            </w:r>
          </w:p>
        </w:tc>
        <w:tc>
          <w:tcPr>
            <w:tcW w:w="1707" w:type="pct"/>
            <w:shd w:val="clear" w:color="auto" w:fill="auto"/>
          </w:tcPr>
          <w:p w:rsidR="00206CD7" w:rsidRPr="00F00002" w:rsidRDefault="00206CD7" w:rsidP="00206CD7">
            <w:pPr>
              <w:pStyle w:val="Tabletext"/>
              <w:ind w:left="720"/>
              <w:jc w:val="right"/>
            </w:pPr>
            <w:r w:rsidRPr="00F00002">
              <w:rPr>
                <w:color w:val="000000"/>
              </w:rPr>
              <w:t>30</w:t>
            </w:r>
          </w:p>
        </w:tc>
      </w:tr>
      <w:tr w:rsidR="00206CD7" w:rsidRPr="00F00002" w:rsidTr="000505B9">
        <w:tc>
          <w:tcPr>
            <w:tcW w:w="834" w:type="pct"/>
          </w:tcPr>
          <w:p w:rsidR="00206CD7" w:rsidRPr="00F00002" w:rsidRDefault="00206CD7" w:rsidP="00206CD7">
            <w:pPr>
              <w:pStyle w:val="Tabletext"/>
              <w:rPr>
                <w:color w:val="000000"/>
              </w:rPr>
            </w:pPr>
            <w:r w:rsidRPr="00F00002">
              <w:rPr>
                <w:color w:val="000000"/>
              </w:rPr>
              <w:t>3</w:t>
            </w:r>
          </w:p>
        </w:tc>
        <w:tc>
          <w:tcPr>
            <w:tcW w:w="2459" w:type="pct"/>
            <w:shd w:val="clear" w:color="auto" w:fill="auto"/>
          </w:tcPr>
          <w:p w:rsidR="00206CD7" w:rsidRPr="00F00002" w:rsidRDefault="00206CD7" w:rsidP="00206CD7">
            <w:pPr>
              <w:pStyle w:val="Tabletext"/>
              <w:jc w:val="right"/>
            </w:pPr>
            <w:r w:rsidRPr="00F00002">
              <w:rPr>
                <w:color w:val="000000"/>
              </w:rPr>
              <w:t>35</w:t>
            </w:r>
            <w:r w:rsidR="00F00002">
              <w:rPr>
                <w:color w:val="000000"/>
              </w:rPr>
              <w:noBreakHyphen/>
            </w:r>
            <w:r w:rsidRPr="00F00002">
              <w:rPr>
                <w:color w:val="000000"/>
              </w:rPr>
              <w:t>39</w:t>
            </w:r>
          </w:p>
        </w:tc>
        <w:tc>
          <w:tcPr>
            <w:tcW w:w="1707" w:type="pct"/>
            <w:shd w:val="clear" w:color="auto" w:fill="auto"/>
          </w:tcPr>
          <w:p w:rsidR="00206CD7" w:rsidRPr="00F00002" w:rsidRDefault="00206CD7" w:rsidP="00206CD7">
            <w:pPr>
              <w:pStyle w:val="Tabletext"/>
              <w:ind w:left="720"/>
              <w:jc w:val="right"/>
            </w:pPr>
            <w:r w:rsidRPr="00F00002">
              <w:rPr>
                <w:color w:val="000000"/>
              </w:rPr>
              <w:t>35</w:t>
            </w:r>
          </w:p>
        </w:tc>
      </w:tr>
      <w:tr w:rsidR="00206CD7" w:rsidRPr="00F00002" w:rsidTr="000505B9">
        <w:tc>
          <w:tcPr>
            <w:tcW w:w="834" w:type="pct"/>
          </w:tcPr>
          <w:p w:rsidR="00206CD7" w:rsidRPr="00F00002" w:rsidRDefault="00206CD7" w:rsidP="00206CD7">
            <w:pPr>
              <w:pStyle w:val="Tabletext"/>
              <w:rPr>
                <w:color w:val="000000"/>
              </w:rPr>
            </w:pPr>
            <w:r w:rsidRPr="00F00002">
              <w:rPr>
                <w:color w:val="000000"/>
              </w:rPr>
              <w:t>4</w:t>
            </w:r>
          </w:p>
        </w:tc>
        <w:tc>
          <w:tcPr>
            <w:tcW w:w="2459" w:type="pct"/>
            <w:shd w:val="clear" w:color="auto" w:fill="auto"/>
          </w:tcPr>
          <w:p w:rsidR="00206CD7" w:rsidRPr="00F00002" w:rsidRDefault="00206CD7" w:rsidP="00206CD7">
            <w:pPr>
              <w:pStyle w:val="Tabletext"/>
              <w:jc w:val="right"/>
            </w:pPr>
            <w:r w:rsidRPr="00F00002">
              <w:rPr>
                <w:color w:val="000000"/>
              </w:rPr>
              <w:t>40</w:t>
            </w:r>
            <w:r w:rsidR="00F00002">
              <w:rPr>
                <w:color w:val="000000"/>
              </w:rPr>
              <w:noBreakHyphen/>
            </w:r>
            <w:r w:rsidRPr="00F00002">
              <w:rPr>
                <w:color w:val="000000"/>
              </w:rPr>
              <w:t>44</w:t>
            </w:r>
          </w:p>
        </w:tc>
        <w:tc>
          <w:tcPr>
            <w:tcW w:w="1707" w:type="pct"/>
            <w:shd w:val="clear" w:color="auto" w:fill="auto"/>
          </w:tcPr>
          <w:p w:rsidR="00206CD7" w:rsidRPr="00F00002" w:rsidRDefault="00206CD7" w:rsidP="00206CD7">
            <w:pPr>
              <w:pStyle w:val="Tabletext"/>
              <w:ind w:left="720"/>
              <w:jc w:val="right"/>
            </w:pPr>
            <w:r w:rsidRPr="00F00002">
              <w:rPr>
                <w:color w:val="000000"/>
              </w:rPr>
              <w:t>40</w:t>
            </w:r>
          </w:p>
        </w:tc>
      </w:tr>
      <w:tr w:rsidR="00206CD7" w:rsidRPr="00F00002" w:rsidTr="000505B9">
        <w:tc>
          <w:tcPr>
            <w:tcW w:w="834" w:type="pct"/>
            <w:tcBorders>
              <w:bottom w:val="single" w:sz="4" w:space="0" w:color="auto"/>
            </w:tcBorders>
          </w:tcPr>
          <w:p w:rsidR="00206CD7" w:rsidRPr="00F00002" w:rsidRDefault="00206CD7" w:rsidP="00206CD7">
            <w:pPr>
              <w:pStyle w:val="Tabletext"/>
              <w:rPr>
                <w:color w:val="000000"/>
              </w:rPr>
            </w:pPr>
            <w:r w:rsidRPr="00F00002">
              <w:rPr>
                <w:color w:val="000000"/>
              </w:rPr>
              <w:t>5</w:t>
            </w:r>
          </w:p>
        </w:tc>
        <w:tc>
          <w:tcPr>
            <w:tcW w:w="2459"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45</w:t>
            </w:r>
            <w:r w:rsidR="00F00002">
              <w:rPr>
                <w:color w:val="000000"/>
              </w:rPr>
              <w:noBreakHyphen/>
            </w:r>
            <w:r w:rsidRPr="00F00002">
              <w:rPr>
                <w:color w:val="000000"/>
              </w:rPr>
              <w:t>49</w:t>
            </w:r>
          </w:p>
        </w:tc>
        <w:tc>
          <w:tcPr>
            <w:tcW w:w="1707" w:type="pct"/>
            <w:tcBorders>
              <w:bottom w:val="single" w:sz="4" w:space="0" w:color="auto"/>
            </w:tcBorders>
            <w:shd w:val="clear" w:color="auto" w:fill="auto"/>
          </w:tcPr>
          <w:p w:rsidR="00206CD7" w:rsidRPr="00F00002" w:rsidRDefault="00206CD7" w:rsidP="00206CD7">
            <w:pPr>
              <w:pStyle w:val="Tabletext"/>
              <w:ind w:left="720"/>
              <w:jc w:val="right"/>
            </w:pPr>
            <w:r w:rsidRPr="00F00002">
              <w:rPr>
                <w:color w:val="000000"/>
              </w:rPr>
              <w:t>45</w:t>
            </w:r>
          </w:p>
        </w:tc>
      </w:tr>
      <w:tr w:rsidR="00206CD7" w:rsidRPr="00F00002" w:rsidTr="000505B9">
        <w:tc>
          <w:tcPr>
            <w:tcW w:w="834" w:type="pct"/>
            <w:tcBorders>
              <w:bottom w:val="single" w:sz="12" w:space="0" w:color="auto"/>
            </w:tcBorders>
          </w:tcPr>
          <w:p w:rsidR="00206CD7" w:rsidRPr="00F00002" w:rsidRDefault="00206CD7" w:rsidP="00206CD7">
            <w:pPr>
              <w:pStyle w:val="Tabletext"/>
              <w:rPr>
                <w:color w:val="000000"/>
              </w:rPr>
            </w:pPr>
            <w:r w:rsidRPr="00F00002">
              <w:rPr>
                <w:color w:val="000000"/>
              </w:rPr>
              <w:t>6</w:t>
            </w:r>
          </w:p>
        </w:tc>
        <w:tc>
          <w:tcPr>
            <w:tcW w:w="2459" w:type="pct"/>
            <w:tcBorders>
              <w:bottom w:val="single" w:sz="12" w:space="0" w:color="auto"/>
            </w:tcBorders>
            <w:shd w:val="clear" w:color="auto" w:fill="auto"/>
          </w:tcPr>
          <w:p w:rsidR="00206CD7" w:rsidRPr="00F00002" w:rsidRDefault="00206CD7" w:rsidP="00206CD7">
            <w:pPr>
              <w:pStyle w:val="Tabletext"/>
              <w:jc w:val="right"/>
            </w:pPr>
            <w:r w:rsidRPr="00F00002">
              <w:rPr>
                <w:color w:val="000000"/>
              </w:rPr>
              <w:t>50+</w:t>
            </w:r>
          </w:p>
        </w:tc>
        <w:tc>
          <w:tcPr>
            <w:tcW w:w="1707" w:type="pct"/>
            <w:tcBorders>
              <w:bottom w:val="single" w:sz="12" w:space="0" w:color="auto"/>
            </w:tcBorders>
            <w:shd w:val="clear" w:color="auto" w:fill="auto"/>
          </w:tcPr>
          <w:p w:rsidR="00206CD7" w:rsidRPr="00F00002" w:rsidRDefault="00206CD7" w:rsidP="00206CD7">
            <w:pPr>
              <w:pStyle w:val="Tabletext"/>
              <w:ind w:left="720"/>
              <w:jc w:val="right"/>
            </w:pPr>
            <w:r w:rsidRPr="00F00002">
              <w:rPr>
                <w:color w:val="000000"/>
              </w:rPr>
              <w:t>50</w:t>
            </w:r>
          </w:p>
        </w:tc>
      </w:tr>
    </w:tbl>
    <w:p w:rsidR="00206CD7" w:rsidRPr="00F00002" w:rsidRDefault="00206CD7" w:rsidP="00206CD7">
      <w:pPr>
        <w:pStyle w:val="subsection"/>
      </w:pPr>
      <w:r w:rsidRPr="00F00002">
        <w:tab/>
        <w:t>(3)</w:t>
      </w:r>
      <w:r w:rsidRPr="00F00002">
        <w:tab/>
        <w:t>If:</w:t>
      </w:r>
    </w:p>
    <w:p w:rsidR="00206CD7" w:rsidRPr="00F00002" w:rsidRDefault="00206CD7" w:rsidP="00206CD7">
      <w:pPr>
        <w:pStyle w:val="paragraph"/>
      </w:pPr>
      <w:r w:rsidRPr="00F00002">
        <w:tab/>
        <w:t>(a)</w:t>
      </w:r>
      <w:r w:rsidRPr="00F00002">
        <w:tab/>
        <w:t>there has been a transfer of defined benefit members from a predecessor fund into the fund, or a sub</w:t>
      </w:r>
      <w:r w:rsidR="00F00002">
        <w:noBreakHyphen/>
      </w:r>
      <w:r w:rsidRPr="00F00002">
        <w:t>fund of the fund; and</w:t>
      </w:r>
    </w:p>
    <w:p w:rsidR="00206CD7" w:rsidRPr="00F00002" w:rsidRDefault="00206CD7" w:rsidP="00206CD7">
      <w:pPr>
        <w:pStyle w:val="paragraph"/>
      </w:pPr>
      <w:r w:rsidRPr="00F00002">
        <w:tab/>
        <w:t>(b)</w:t>
      </w:r>
      <w:r w:rsidRPr="00F00002">
        <w:tab/>
        <w:t>the actuary considers it reasonable to do so;</w:t>
      </w:r>
    </w:p>
    <w:p w:rsidR="00206CD7" w:rsidRPr="00F00002" w:rsidRDefault="00206CD7" w:rsidP="00206CD7">
      <w:pPr>
        <w:pStyle w:val="subsection2"/>
      </w:pPr>
      <w:r w:rsidRPr="00F00002">
        <w:t>the actuary may determine a new entrant age for the fund or sub</w:t>
      </w:r>
      <w:r w:rsidR="00F00002">
        <w:noBreakHyphen/>
      </w:r>
      <w:r w:rsidRPr="00F00002">
        <w:t>fund taking account of the average age of entry used for or relevant for those members in the predecessor fund.</w:t>
      </w:r>
    </w:p>
    <w:p w:rsidR="00206CD7" w:rsidRPr="00F00002" w:rsidRDefault="00206CD7" w:rsidP="00206CD7">
      <w:pPr>
        <w:pStyle w:val="subsection"/>
      </w:pPr>
      <w:r w:rsidRPr="00F00002">
        <w:tab/>
        <w:t>(4)</w:t>
      </w:r>
      <w:r w:rsidRPr="00F00002">
        <w:tab/>
        <w:t xml:space="preserve">In this clause, </w:t>
      </w:r>
      <w:r w:rsidRPr="00F00002">
        <w:rPr>
          <w:b/>
          <w:i/>
        </w:rPr>
        <w:t>defined benefit member</w:t>
      </w:r>
      <w:r w:rsidRPr="00F00002">
        <w:t xml:space="preserve"> does not include a person who:</w:t>
      </w:r>
    </w:p>
    <w:p w:rsidR="00206CD7" w:rsidRPr="00F00002" w:rsidRDefault="00206CD7" w:rsidP="00206CD7">
      <w:pPr>
        <w:pStyle w:val="paragraph"/>
      </w:pPr>
      <w:r w:rsidRPr="00F00002">
        <w:tab/>
        <w:t>(a)</w:t>
      </w:r>
      <w:r w:rsidRPr="00F00002">
        <w:tab/>
        <w:t>is receiving only a pension benefit from the fund; or</w:t>
      </w:r>
    </w:p>
    <w:p w:rsidR="00206CD7" w:rsidRPr="00F00002" w:rsidRDefault="00206CD7" w:rsidP="00206CD7">
      <w:pPr>
        <w:pStyle w:val="paragraph"/>
      </w:pPr>
      <w:r w:rsidRPr="00F00002">
        <w:tab/>
        <w:t>(b)</w:t>
      </w:r>
      <w:r w:rsidRPr="00F00002">
        <w:tab/>
        <w:t>has deferred his or her benefit entitlement in the fund.</w:t>
      </w:r>
    </w:p>
    <w:p w:rsidR="00206CD7" w:rsidRPr="00F00002" w:rsidRDefault="00206CD7" w:rsidP="00206CD7">
      <w:pPr>
        <w:pStyle w:val="subsection"/>
      </w:pPr>
      <w:r w:rsidRPr="00F00002">
        <w:tab/>
        <w:t>(5)</w:t>
      </w:r>
      <w:r w:rsidRPr="00F00002">
        <w:tab/>
        <w:t>If the actuary believes that there is insufficient information available to calculate the average age of entry, the actuary is to assume that the age of a new entrant is 40.</w:t>
      </w:r>
    </w:p>
    <w:p w:rsidR="00E83B52" w:rsidRPr="00F00002" w:rsidRDefault="00E83B52" w:rsidP="00E83B52">
      <w:pPr>
        <w:pStyle w:val="subsection"/>
      </w:pPr>
      <w:r w:rsidRPr="00F00002">
        <w:tab/>
        <w:t>(6)</w:t>
      </w:r>
      <w:r w:rsidRPr="00F00002">
        <w:tab/>
        <w:t>If an actuary certifies a benefit category for the purposes of subclause</w:t>
      </w:r>
      <w:r w:rsidR="00F00002">
        <w:t> </w:t>
      </w:r>
      <w:r w:rsidRPr="00F00002">
        <w:t>2(1) in relation to a person’s membership of the Governor</w:t>
      </w:r>
      <w:r w:rsidR="00F00002">
        <w:noBreakHyphen/>
      </w:r>
      <w:r w:rsidRPr="00F00002">
        <w:t xml:space="preserve">General Pension Scheme, then, despite </w:t>
      </w:r>
      <w:r w:rsidR="00F00002">
        <w:t>subclauses (</w:t>
      </w:r>
      <w:r w:rsidRPr="00F00002">
        <w:t>1) to (5) of this clause, the new entrant age to be assumed for the benefit category is:</w:t>
      </w:r>
    </w:p>
    <w:p w:rsidR="00E83B52" w:rsidRPr="00F00002" w:rsidRDefault="00E83B52" w:rsidP="00E83B52">
      <w:pPr>
        <w:pStyle w:val="paragraph"/>
      </w:pPr>
      <w:r w:rsidRPr="00F00002">
        <w:tab/>
        <w:t>(a)</w:t>
      </w:r>
      <w:r w:rsidRPr="00F00002">
        <w:tab/>
        <w:t xml:space="preserve">the new entrant age specified by the </w:t>
      </w:r>
      <w:r w:rsidRPr="00F00002">
        <w:rPr>
          <w:i/>
        </w:rPr>
        <w:t>Governor</w:t>
      </w:r>
      <w:r w:rsidR="00F00002">
        <w:rPr>
          <w:i/>
        </w:rPr>
        <w:noBreakHyphen/>
      </w:r>
      <w:r w:rsidRPr="00F00002">
        <w:rPr>
          <w:i/>
        </w:rPr>
        <w:t>General Act 1974</w:t>
      </w:r>
      <w:r w:rsidRPr="00F00002">
        <w:t>; or</w:t>
      </w:r>
    </w:p>
    <w:p w:rsidR="00E83B52" w:rsidRPr="00F00002" w:rsidRDefault="00E83B52" w:rsidP="00E83B52">
      <w:pPr>
        <w:pStyle w:val="paragraph"/>
      </w:pPr>
      <w:r w:rsidRPr="00F00002">
        <w:tab/>
        <w:t>(b)</w:t>
      </w:r>
      <w:r w:rsidRPr="00F00002">
        <w:tab/>
        <w:t>if that Act does not specify a new entrant age—the person’s age when he or she commences his or her appointment as Governor</w:t>
      </w:r>
      <w:r w:rsidR="00F00002">
        <w:noBreakHyphen/>
      </w:r>
      <w:r w:rsidRPr="00F00002">
        <w:t>General.</w:t>
      </w:r>
    </w:p>
    <w:p w:rsidR="00206CD7" w:rsidRPr="00F00002" w:rsidRDefault="00206CD7" w:rsidP="0014237E">
      <w:pPr>
        <w:pStyle w:val="Specials"/>
      </w:pPr>
      <w:r w:rsidRPr="00F00002">
        <w:t>16  Exit rates</w:t>
      </w:r>
    </w:p>
    <w:p w:rsidR="00206CD7" w:rsidRPr="00F00002" w:rsidRDefault="00206CD7" w:rsidP="00206CD7">
      <w:pPr>
        <w:pStyle w:val="subsection"/>
      </w:pPr>
      <w:r w:rsidRPr="00F00002">
        <w:tab/>
        <w:t>(1)</w:t>
      </w:r>
      <w:r w:rsidRPr="00F00002">
        <w:tab/>
        <w:t>The following table sets out the rates of voluntary exit from the fund that are to be assumed.</w:t>
      </w:r>
    </w:p>
    <w:p w:rsidR="00206CD7" w:rsidRPr="00F00002" w:rsidRDefault="00206CD7" w:rsidP="00206CD7">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2297"/>
        <w:gridCol w:w="2624"/>
        <w:gridCol w:w="3608"/>
      </w:tblGrid>
      <w:tr w:rsidR="00206CD7" w:rsidRPr="00F00002" w:rsidTr="000505B9">
        <w:trPr>
          <w:tblHeader/>
        </w:trPr>
        <w:tc>
          <w:tcPr>
            <w:tcW w:w="5000" w:type="pct"/>
            <w:gridSpan w:val="3"/>
            <w:tcBorders>
              <w:top w:val="single" w:sz="12" w:space="0" w:color="auto"/>
              <w:bottom w:val="single" w:sz="6" w:space="0" w:color="auto"/>
            </w:tcBorders>
          </w:tcPr>
          <w:p w:rsidR="00206CD7" w:rsidRPr="00F00002" w:rsidRDefault="00206CD7" w:rsidP="00206CD7">
            <w:pPr>
              <w:pStyle w:val="TableHeading"/>
            </w:pPr>
            <w:r w:rsidRPr="00F00002">
              <w:lastRenderedPageBreak/>
              <w:t>Voluntary exit rates</w:t>
            </w:r>
          </w:p>
        </w:tc>
      </w:tr>
      <w:tr w:rsidR="00206CD7" w:rsidRPr="00F00002" w:rsidTr="000505B9">
        <w:trPr>
          <w:tblHeader/>
        </w:trPr>
        <w:tc>
          <w:tcPr>
            <w:tcW w:w="1347" w:type="pct"/>
            <w:tcBorders>
              <w:top w:val="single" w:sz="6" w:space="0" w:color="auto"/>
              <w:bottom w:val="single" w:sz="12" w:space="0" w:color="auto"/>
            </w:tcBorders>
          </w:tcPr>
          <w:p w:rsidR="00206CD7" w:rsidRPr="00F00002" w:rsidRDefault="00206CD7" w:rsidP="00206CD7">
            <w:pPr>
              <w:pStyle w:val="TableHeading"/>
            </w:pPr>
            <w:r w:rsidRPr="00F00002">
              <w:t>Item</w:t>
            </w:r>
          </w:p>
        </w:tc>
        <w:tc>
          <w:tcPr>
            <w:tcW w:w="1538" w:type="pct"/>
            <w:tcBorders>
              <w:top w:val="single" w:sz="6" w:space="0" w:color="auto"/>
              <w:bottom w:val="single" w:sz="12" w:space="0" w:color="auto"/>
            </w:tcBorders>
            <w:shd w:val="clear" w:color="auto" w:fill="auto"/>
          </w:tcPr>
          <w:p w:rsidR="00206CD7" w:rsidRPr="00F00002" w:rsidRDefault="00206CD7" w:rsidP="00206CD7">
            <w:pPr>
              <w:pStyle w:val="TableHeading"/>
              <w:jc w:val="right"/>
            </w:pPr>
            <w:r w:rsidRPr="00F00002">
              <w:t>Age Band</w:t>
            </w:r>
          </w:p>
        </w:tc>
        <w:tc>
          <w:tcPr>
            <w:tcW w:w="2115" w:type="pct"/>
            <w:tcBorders>
              <w:top w:val="single" w:sz="6" w:space="0" w:color="auto"/>
              <w:bottom w:val="single" w:sz="12" w:space="0" w:color="auto"/>
            </w:tcBorders>
            <w:shd w:val="clear" w:color="auto" w:fill="auto"/>
          </w:tcPr>
          <w:p w:rsidR="00206CD7" w:rsidRPr="00F00002" w:rsidRDefault="00206CD7" w:rsidP="00206CD7">
            <w:pPr>
              <w:pStyle w:val="TableHeading"/>
              <w:jc w:val="right"/>
            </w:pPr>
            <w:r w:rsidRPr="00F00002">
              <w:t>Exit rate</w:t>
            </w:r>
          </w:p>
        </w:tc>
      </w:tr>
      <w:tr w:rsidR="00206CD7" w:rsidRPr="00F00002" w:rsidTr="000505B9">
        <w:tc>
          <w:tcPr>
            <w:tcW w:w="1347" w:type="pct"/>
            <w:tcBorders>
              <w:top w:val="single" w:sz="12" w:space="0" w:color="auto"/>
            </w:tcBorders>
          </w:tcPr>
          <w:p w:rsidR="00206CD7" w:rsidRPr="00F00002" w:rsidRDefault="00206CD7" w:rsidP="00206CD7">
            <w:pPr>
              <w:pStyle w:val="Tabletext"/>
              <w:rPr>
                <w:color w:val="000000"/>
              </w:rPr>
            </w:pPr>
            <w:r w:rsidRPr="00F00002">
              <w:rPr>
                <w:color w:val="000000"/>
              </w:rPr>
              <w:t>1</w:t>
            </w:r>
          </w:p>
        </w:tc>
        <w:tc>
          <w:tcPr>
            <w:tcW w:w="1538" w:type="pct"/>
            <w:tcBorders>
              <w:top w:val="single" w:sz="12" w:space="0" w:color="auto"/>
            </w:tcBorders>
            <w:shd w:val="clear" w:color="auto" w:fill="auto"/>
          </w:tcPr>
          <w:p w:rsidR="00206CD7" w:rsidRPr="00F00002" w:rsidRDefault="00206CD7" w:rsidP="00206CD7">
            <w:pPr>
              <w:pStyle w:val="Tabletext"/>
              <w:jc w:val="right"/>
            </w:pPr>
            <w:r w:rsidRPr="00F00002">
              <w:rPr>
                <w:color w:val="000000"/>
              </w:rPr>
              <w:t>&lt;40</w:t>
            </w:r>
          </w:p>
        </w:tc>
        <w:tc>
          <w:tcPr>
            <w:tcW w:w="2115" w:type="pct"/>
            <w:tcBorders>
              <w:top w:val="single" w:sz="12" w:space="0" w:color="auto"/>
            </w:tcBorders>
            <w:shd w:val="clear" w:color="auto" w:fill="auto"/>
          </w:tcPr>
          <w:p w:rsidR="00206CD7" w:rsidRPr="00F00002" w:rsidRDefault="00206CD7" w:rsidP="00206CD7">
            <w:pPr>
              <w:pStyle w:val="Tabletext"/>
              <w:jc w:val="right"/>
            </w:pPr>
            <w:r w:rsidRPr="00F00002">
              <w:rPr>
                <w:color w:val="000000"/>
              </w:rPr>
              <w:t>0.05</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w:t>
            </w:r>
          </w:p>
        </w:tc>
        <w:tc>
          <w:tcPr>
            <w:tcW w:w="1538" w:type="pct"/>
            <w:shd w:val="clear" w:color="auto" w:fill="auto"/>
          </w:tcPr>
          <w:p w:rsidR="00206CD7" w:rsidRPr="00F00002" w:rsidRDefault="00206CD7" w:rsidP="00206CD7">
            <w:pPr>
              <w:pStyle w:val="Tabletext"/>
              <w:jc w:val="right"/>
            </w:pPr>
            <w:r w:rsidRPr="00F00002">
              <w:rPr>
                <w:color w:val="000000"/>
              </w:rPr>
              <w:t>40</w:t>
            </w:r>
            <w:r w:rsidR="00F00002">
              <w:rPr>
                <w:color w:val="000000"/>
              </w:rPr>
              <w:noBreakHyphen/>
            </w:r>
            <w:r w:rsidRPr="00F00002">
              <w:rPr>
                <w:color w:val="000000"/>
              </w:rPr>
              <w:t>44</w:t>
            </w:r>
          </w:p>
        </w:tc>
        <w:tc>
          <w:tcPr>
            <w:tcW w:w="2115" w:type="pct"/>
            <w:shd w:val="clear" w:color="auto" w:fill="auto"/>
          </w:tcPr>
          <w:p w:rsidR="00206CD7" w:rsidRPr="00F00002" w:rsidRDefault="00206CD7" w:rsidP="00206CD7">
            <w:pPr>
              <w:pStyle w:val="Tabletext"/>
              <w:jc w:val="right"/>
            </w:pPr>
            <w:r w:rsidRPr="00F00002">
              <w:rPr>
                <w:color w:val="000000"/>
              </w:rPr>
              <w:t>0.04</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w:t>
            </w:r>
          </w:p>
        </w:tc>
        <w:tc>
          <w:tcPr>
            <w:tcW w:w="1538" w:type="pct"/>
            <w:shd w:val="clear" w:color="auto" w:fill="auto"/>
          </w:tcPr>
          <w:p w:rsidR="00206CD7" w:rsidRPr="00F00002" w:rsidRDefault="00206CD7" w:rsidP="00206CD7">
            <w:pPr>
              <w:pStyle w:val="Tabletext"/>
              <w:jc w:val="right"/>
            </w:pPr>
            <w:r w:rsidRPr="00F00002">
              <w:rPr>
                <w:color w:val="000000"/>
              </w:rPr>
              <w:t>45</w:t>
            </w:r>
            <w:r w:rsidR="00F00002">
              <w:rPr>
                <w:color w:val="000000"/>
              </w:rPr>
              <w:noBreakHyphen/>
            </w:r>
            <w:r w:rsidRPr="00F00002">
              <w:rPr>
                <w:color w:val="000000"/>
              </w:rPr>
              <w:t>49</w:t>
            </w:r>
          </w:p>
        </w:tc>
        <w:tc>
          <w:tcPr>
            <w:tcW w:w="2115" w:type="pct"/>
            <w:shd w:val="clear" w:color="auto" w:fill="auto"/>
          </w:tcPr>
          <w:p w:rsidR="00206CD7" w:rsidRPr="00F00002" w:rsidRDefault="00206CD7" w:rsidP="00206CD7">
            <w:pPr>
              <w:pStyle w:val="Tabletext"/>
              <w:jc w:val="right"/>
            </w:pPr>
            <w:r w:rsidRPr="00F00002">
              <w:rPr>
                <w:color w:val="000000"/>
              </w:rPr>
              <w:t>0.04</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w:t>
            </w:r>
          </w:p>
        </w:tc>
        <w:tc>
          <w:tcPr>
            <w:tcW w:w="1538" w:type="pct"/>
            <w:shd w:val="clear" w:color="auto" w:fill="auto"/>
          </w:tcPr>
          <w:p w:rsidR="00206CD7" w:rsidRPr="00F00002" w:rsidRDefault="00206CD7" w:rsidP="00206CD7">
            <w:pPr>
              <w:pStyle w:val="Tabletext"/>
              <w:jc w:val="right"/>
            </w:pPr>
            <w:r w:rsidRPr="00F00002">
              <w:rPr>
                <w:color w:val="000000"/>
              </w:rPr>
              <w:t>50</w:t>
            </w:r>
            <w:r w:rsidR="00F00002">
              <w:rPr>
                <w:color w:val="000000"/>
              </w:rPr>
              <w:noBreakHyphen/>
            </w:r>
            <w:r w:rsidRPr="00F00002">
              <w:rPr>
                <w:color w:val="000000"/>
              </w:rPr>
              <w:t>54</w:t>
            </w:r>
          </w:p>
        </w:tc>
        <w:tc>
          <w:tcPr>
            <w:tcW w:w="2115" w:type="pct"/>
            <w:shd w:val="clear" w:color="auto" w:fill="auto"/>
          </w:tcPr>
          <w:p w:rsidR="00206CD7" w:rsidRPr="00F00002" w:rsidRDefault="00206CD7" w:rsidP="00206CD7">
            <w:pPr>
              <w:pStyle w:val="Tabletext"/>
              <w:jc w:val="right"/>
            </w:pPr>
            <w:r w:rsidRPr="00F00002">
              <w:rPr>
                <w:color w:val="000000"/>
              </w:rPr>
              <w:t>0.04</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5</w:t>
            </w:r>
          </w:p>
        </w:tc>
        <w:tc>
          <w:tcPr>
            <w:tcW w:w="1538" w:type="pct"/>
            <w:shd w:val="clear" w:color="auto" w:fill="auto"/>
          </w:tcPr>
          <w:p w:rsidR="00206CD7" w:rsidRPr="00F00002" w:rsidRDefault="00206CD7" w:rsidP="00206CD7">
            <w:pPr>
              <w:pStyle w:val="Tabletext"/>
              <w:jc w:val="right"/>
            </w:pPr>
            <w:r w:rsidRPr="00F00002">
              <w:rPr>
                <w:color w:val="000000"/>
              </w:rPr>
              <w:t>55</w:t>
            </w:r>
            <w:r w:rsidR="00F00002">
              <w:rPr>
                <w:color w:val="000000"/>
              </w:rPr>
              <w:noBreakHyphen/>
            </w:r>
            <w:r w:rsidRPr="00F00002">
              <w:rPr>
                <w:color w:val="000000"/>
              </w:rPr>
              <w:t>59</w:t>
            </w:r>
          </w:p>
        </w:tc>
        <w:tc>
          <w:tcPr>
            <w:tcW w:w="2115" w:type="pct"/>
            <w:shd w:val="clear" w:color="auto" w:fill="auto"/>
          </w:tcPr>
          <w:p w:rsidR="00206CD7" w:rsidRPr="00F00002" w:rsidRDefault="00206CD7" w:rsidP="00206CD7">
            <w:pPr>
              <w:pStyle w:val="Tabletext"/>
              <w:jc w:val="right"/>
            </w:pPr>
            <w:r w:rsidRPr="00F00002">
              <w:rPr>
                <w:color w:val="000000"/>
              </w:rPr>
              <w:t>0.08</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6</w:t>
            </w:r>
          </w:p>
        </w:tc>
        <w:tc>
          <w:tcPr>
            <w:tcW w:w="1538" w:type="pct"/>
            <w:shd w:val="clear" w:color="auto" w:fill="auto"/>
          </w:tcPr>
          <w:p w:rsidR="00206CD7" w:rsidRPr="00F00002" w:rsidRDefault="00206CD7" w:rsidP="00206CD7">
            <w:pPr>
              <w:pStyle w:val="Tabletext"/>
              <w:jc w:val="right"/>
            </w:pPr>
            <w:r w:rsidRPr="00F00002">
              <w:rPr>
                <w:color w:val="000000"/>
              </w:rPr>
              <w:t>60</w:t>
            </w:r>
          </w:p>
        </w:tc>
        <w:tc>
          <w:tcPr>
            <w:tcW w:w="2115" w:type="pct"/>
            <w:shd w:val="clear" w:color="auto" w:fill="auto"/>
          </w:tcPr>
          <w:p w:rsidR="00206CD7" w:rsidRPr="00F00002" w:rsidRDefault="00206CD7" w:rsidP="00206CD7">
            <w:pPr>
              <w:pStyle w:val="Tabletext"/>
              <w:jc w:val="right"/>
            </w:pPr>
            <w:r w:rsidRPr="00F00002">
              <w:rPr>
                <w:color w:val="000000"/>
              </w:rPr>
              <w:t>0.12</w:t>
            </w:r>
          </w:p>
        </w:tc>
      </w:tr>
      <w:tr w:rsidR="00206CD7" w:rsidRPr="00F00002" w:rsidTr="000505B9">
        <w:tc>
          <w:tcPr>
            <w:tcW w:w="1347" w:type="pct"/>
            <w:tcBorders>
              <w:bottom w:val="single" w:sz="4" w:space="0" w:color="auto"/>
            </w:tcBorders>
          </w:tcPr>
          <w:p w:rsidR="00206CD7" w:rsidRPr="00F00002" w:rsidRDefault="00206CD7" w:rsidP="00206CD7">
            <w:pPr>
              <w:pStyle w:val="Tabletext"/>
              <w:rPr>
                <w:color w:val="000000"/>
              </w:rPr>
            </w:pPr>
            <w:r w:rsidRPr="00F00002">
              <w:rPr>
                <w:color w:val="000000"/>
              </w:rPr>
              <w:t>7</w:t>
            </w:r>
          </w:p>
        </w:tc>
        <w:tc>
          <w:tcPr>
            <w:tcW w:w="1538"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61</w:t>
            </w:r>
            <w:r w:rsidR="00F00002">
              <w:rPr>
                <w:color w:val="000000"/>
              </w:rPr>
              <w:noBreakHyphen/>
            </w:r>
            <w:r w:rsidRPr="00F00002">
              <w:rPr>
                <w:color w:val="000000"/>
              </w:rPr>
              <w:t>64</w:t>
            </w:r>
          </w:p>
        </w:tc>
        <w:tc>
          <w:tcPr>
            <w:tcW w:w="2115"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0.10</w:t>
            </w:r>
          </w:p>
        </w:tc>
      </w:tr>
      <w:tr w:rsidR="00206CD7" w:rsidRPr="00F00002" w:rsidTr="000505B9">
        <w:tc>
          <w:tcPr>
            <w:tcW w:w="1347" w:type="pct"/>
            <w:tcBorders>
              <w:bottom w:val="single" w:sz="12" w:space="0" w:color="auto"/>
            </w:tcBorders>
          </w:tcPr>
          <w:p w:rsidR="00206CD7" w:rsidRPr="00F00002" w:rsidRDefault="00206CD7" w:rsidP="00206CD7">
            <w:pPr>
              <w:pStyle w:val="Tabletext"/>
              <w:rPr>
                <w:color w:val="000000"/>
              </w:rPr>
            </w:pPr>
            <w:r w:rsidRPr="00F00002">
              <w:rPr>
                <w:color w:val="000000"/>
              </w:rPr>
              <w:t>8</w:t>
            </w:r>
          </w:p>
        </w:tc>
        <w:tc>
          <w:tcPr>
            <w:tcW w:w="1538" w:type="pct"/>
            <w:tcBorders>
              <w:bottom w:val="single" w:sz="12" w:space="0" w:color="auto"/>
            </w:tcBorders>
            <w:shd w:val="clear" w:color="auto" w:fill="auto"/>
          </w:tcPr>
          <w:p w:rsidR="00206CD7" w:rsidRPr="00F00002" w:rsidRDefault="00206CD7" w:rsidP="00206CD7">
            <w:pPr>
              <w:pStyle w:val="Tabletext"/>
              <w:jc w:val="right"/>
            </w:pPr>
            <w:r w:rsidRPr="00F00002">
              <w:rPr>
                <w:color w:val="000000"/>
              </w:rPr>
              <w:t>65</w:t>
            </w:r>
          </w:p>
        </w:tc>
        <w:tc>
          <w:tcPr>
            <w:tcW w:w="2115" w:type="pct"/>
            <w:tcBorders>
              <w:bottom w:val="single" w:sz="12" w:space="0" w:color="auto"/>
            </w:tcBorders>
            <w:shd w:val="clear" w:color="auto" w:fill="auto"/>
          </w:tcPr>
          <w:p w:rsidR="00206CD7" w:rsidRPr="00F00002" w:rsidRDefault="00206CD7" w:rsidP="00206CD7">
            <w:pPr>
              <w:pStyle w:val="Tabletext"/>
              <w:jc w:val="right"/>
            </w:pPr>
            <w:r w:rsidRPr="00F00002">
              <w:rPr>
                <w:color w:val="000000"/>
              </w:rPr>
              <w:t>1.00</w:t>
            </w:r>
          </w:p>
        </w:tc>
      </w:tr>
    </w:tbl>
    <w:p w:rsidR="00360B03" w:rsidRPr="00F00002" w:rsidRDefault="00360B03" w:rsidP="00360B03">
      <w:pPr>
        <w:pStyle w:val="subsection"/>
      </w:pPr>
      <w:r w:rsidRPr="00F00002">
        <w:tab/>
        <w:t>(1A)</w:t>
      </w:r>
      <w:r w:rsidRPr="00F00002">
        <w:tab/>
        <w:t>However, if an actuary certifies a benefit category under subclause</w:t>
      </w:r>
      <w:r w:rsidR="00F00002">
        <w:t> </w:t>
      </w:r>
      <w:r w:rsidRPr="00F00002">
        <w:t>2(1) in relation to a person’s membership of the Governor</w:t>
      </w:r>
      <w:r w:rsidR="00F00002">
        <w:noBreakHyphen/>
      </w:r>
      <w:r w:rsidRPr="00F00002">
        <w:t xml:space="preserve">General Pension Scheme, then, despite </w:t>
      </w:r>
      <w:r w:rsidR="00F00002">
        <w:t>subclause (</w:t>
      </w:r>
      <w:r w:rsidRPr="00F00002">
        <w:t>1) of this clause, the voluntary exit rates to be assumed for the benefit category are:</w:t>
      </w:r>
    </w:p>
    <w:p w:rsidR="00360B03" w:rsidRPr="00F00002" w:rsidRDefault="00360B03" w:rsidP="00360B03">
      <w:pPr>
        <w:pStyle w:val="paragraph"/>
      </w:pPr>
      <w:r w:rsidRPr="00F00002">
        <w:tab/>
        <w:t>(a)</w:t>
      </w:r>
      <w:r w:rsidRPr="00F00002">
        <w:tab/>
        <w:t xml:space="preserve">the voluntary exit rates specified by the </w:t>
      </w:r>
      <w:r w:rsidRPr="00F00002">
        <w:rPr>
          <w:i/>
        </w:rPr>
        <w:t>Governor</w:t>
      </w:r>
      <w:r w:rsidR="00F00002">
        <w:rPr>
          <w:i/>
        </w:rPr>
        <w:noBreakHyphen/>
      </w:r>
      <w:r w:rsidRPr="00F00002">
        <w:rPr>
          <w:i/>
        </w:rPr>
        <w:t>General Act 1974</w:t>
      </w:r>
      <w:r w:rsidRPr="00F00002">
        <w:t>; or</w:t>
      </w:r>
    </w:p>
    <w:p w:rsidR="00360B03" w:rsidRPr="00F00002" w:rsidRDefault="00360B03" w:rsidP="00360B03">
      <w:pPr>
        <w:pStyle w:val="paragraph"/>
      </w:pPr>
      <w:r w:rsidRPr="00F00002">
        <w:tab/>
        <w:t>(b)</w:t>
      </w:r>
      <w:r w:rsidRPr="00F00002">
        <w:tab/>
        <w:t>if that Act does not specify voluntary exit rates—the following rates:</w:t>
      </w:r>
    </w:p>
    <w:p w:rsidR="00360B03" w:rsidRPr="00F00002" w:rsidRDefault="00360B03" w:rsidP="00360B03">
      <w:pPr>
        <w:pStyle w:val="paragraphsub"/>
      </w:pPr>
      <w:r w:rsidRPr="00F00002">
        <w:tab/>
        <w:t>(i)</w:t>
      </w:r>
      <w:r w:rsidRPr="00F00002">
        <w:tab/>
        <w:t>from the age of the person on the day he or she commences his or her appointment as Governor</w:t>
      </w:r>
      <w:r w:rsidR="00F00002">
        <w:noBreakHyphen/>
      </w:r>
      <w:r w:rsidRPr="00F00002">
        <w:t xml:space="preserve">General (the </w:t>
      </w:r>
      <w:r w:rsidRPr="00F00002">
        <w:rPr>
          <w:b/>
          <w:i/>
        </w:rPr>
        <w:t>appointment day</w:t>
      </w:r>
      <w:r w:rsidRPr="00F00002">
        <w:t>), to his or her age on the fourth anniversary of the appointment day—0.00;</w:t>
      </w:r>
    </w:p>
    <w:p w:rsidR="00360B03" w:rsidRPr="00F00002" w:rsidRDefault="00360B03" w:rsidP="00360B03">
      <w:pPr>
        <w:pStyle w:val="paragraphsub"/>
      </w:pPr>
      <w:r w:rsidRPr="00F00002">
        <w:tab/>
        <w:t>(ii)</w:t>
      </w:r>
      <w:r w:rsidRPr="00F00002">
        <w:tab/>
        <w:t>from the age of the person on his or her next birthday after the fourth anniversary of the appointment day to any later age—1.00.</w:t>
      </w:r>
    </w:p>
    <w:p w:rsidR="00206CD7" w:rsidRPr="00F00002" w:rsidRDefault="00206CD7" w:rsidP="00206CD7">
      <w:pPr>
        <w:pStyle w:val="subsection"/>
      </w:pPr>
      <w:r w:rsidRPr="00F00002">
        <w:tab/>
        <w:t>(2)</w:t>
      </w:r>
      <w:r w:rsidRPr="00F00002">
        <w:tab/>
        <w:t>The rate of involuntary exit (including by redundancy, death or invalidity) to be assumed is zero.</w:t>
      </w:r>
    </w:p>
    <w:p w:rsidR="00206CD7" w:rsidRPr="00F00002" w:rsidRDefault="00206CD7" w:rsidP="0014237E">
      <w:pPr>
        <w:pStyle w:val="Specials"/>
      </w:pPr>
      <w:r w:rsidRPr="00F00002">
        <w:t>17  Pensions</w:t>
      </w:r>
    </w:p>
    <w:p w:rsidR="00206CD7" w:rsidRPr="00F00002" w:rsidRDefault="00206CD7" w:rsidP="00206CD7">
      <w:pPr>
        <w:pStyle w:val="subsection"/>
      </w:pPr>
      <w:r w:rsidRPr="00F00002">
        <w:rPr>
          <w:color w:val="000000"/>
        </w:rPr>
        <w:tab/>
        <w:t>(1)</w:t>
      </w:r>
      <w:r w:rsidRPr="00F00002">
        <w:rPr>
          <w:color w:val="000000"/>
        </w:rPr>
        <w:tab/>
        <w:t>If the benefit is a single life pension, the pension is to be valued using the assumptions set out in this Part.</w:t>
      </w:r>
    </w:p>
    <w:p w:rsidR="00206CD7" w:rsidRPr="00F00002" w:rsidRDefault="00206CD7" w:rsidP="00206CD7">
      <w:pPr>
        <w:pStyle w:val="subsection"/>
      </w:pPr>
      <w:r w:rsidRPr="00F00002">
        <w:tab/>
        <w:t>(2)</w:t>
      </w:r>
      <w:r w:rsidRPr="00F00002">
        <w:tab/>
        <w:t xml:space="preserve">If the </w:t>
      </w:r>
      <w:r w:rsidRPr="00F00002">
        <w:rPr>
          <w:color w:val="000000"/>
        </w:rPr>
        <w:t xml:space="preserve">benefit </w:t>
      </w:r>
      <w:r w:rsidRPr="00F00002">
        <w:t>is a reversionary pension, the value of the pension is to be taken as the value of the pension assuming it is a single life pension, increased by 10%.</w:t>
      </w:r>
    </w:p>
    <w:p w:rsidR="00206CD7" w:rsidRPr="00F00002" w:rsidRDefault="00206CD7" w:rsidP="0014237E">
      <w:pPr>
        <w:pStyle w:val="Specials"/>
      </w:pPr>
      <w:r w:rsidRPr="00F00002">
        <w:t>18  Mortality of pensioners</w:t>
      </w:r>
    </w:p>
    <w:p w:rsidR="00206CD7" w:rsidRPr="00F00002" w:rsidRDefault="00206CD7" w:rsidP="00206CD7">
      <w:pPr>
        <w:pStyle w:val="subsection"/>
      </w:pPr>
      <w:r w:rsidRPr="00F00002">
        <w:tab/>
      </w:r>
      <w:r w:rsidRPr="00F00002">
        <w:tab/>
        <w:t>The following table sets out the rates of pensioner mortality (</w:t>
      </w:r>
      <w:r w:rsidRPr="00F00002">
        <w:rPr>
          <w:b/>
          <w:i/>
        </w:rPr>
        <w:t>qx</w:t>
      </w:r>
      <w:r w:rsidRPr="00F00002">
        <w:t>) that are to be assumed.</w:t>
      </w:r>
    </w:p>
    <w:p w:rsidR="00206CD7" w:rsidRPr="00F00002" w:rsidRDefault="00206CD7" w:rsidP="00206CD7">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2297"/>
        <w:gridCol w:w="2624"/>
        <w:gridCol w:w="3608"/>
      </w:tblGrid>
      <w:tr w:rsidR="00206CD7" w:rsidRPr="00F00002" w:rsidTr="000505B9">
        <w:trPr>
          <w:tblHeader/>
        </w:trPr>
        <w:tc>
          <w:tcPr>
            <w:tcW w:w="5000" w:type="pct"/>
            <w:gridSpan w:val="3"/>
            <w:tcBorders>
              <w:top w:val="single" w:sz="12" w:space="0" w:color="auto"/>
              <w:bottom w:val="single" w:sz="6" w:space="0" w:color="auto"/>
            </w:tcBorders>
          </w:tcPr>
          <w:p w:rsidR="00206CD7" w:rsidRPr="00F00002" w:rsidRDefault="00206CD7" w:rsidP="00206CD7">
            <w:pPr>
              <w:pStyle w:val="TableHeading"/>
              <w:keepNext w:val="0"/>
            </w:pPr>
            <w:r w:rsidRPr="00F00002">
              <w:t>Pensioner mortality rates</w:t>
            </w:r>
          </w:p>
        </w:tc>
      </w:tr>
      <w:tr w:rsidR="00206CD7" w:rsidRPr="00F00002" w:rsidTr="000505B9">
        <w:trPr>
          <w:tblHeader/>
        </w:trPr>
        <w:tc>
          <w:tcPr>
            <w:tcW w:w="1347" w:type="pct"/>
            <w:tcBorders>
              <w:top w:val="single" w:sz="6" w:space="0" w:color="auto"/>
              <w:bottom w:val="single" w:sz="12" w:space="0" w:color="auto"/>
            </w:tcBorders>
          </w:tcPr>
          <w:p w:rsidR="00206CD7" w:rsidRPr="00F00002" w:rsidRDefault="00206CD7" w:rsidP="00206CD7">
            <w:pPr>
              <w:pStyle w:val="TableHeading"/>
              <w:keepNext w:val="0"/>
            </w:pPr>
            <w:r w:rsidRPr="00F00002">
              <w:t>Item</w:t>
            </w:r>
          </w:p>
        </w:tc>
        <w:tc>
          <w:tcPr>
            <w:tcW w:w="1538" w:type="pct"/>
            <w:tcBorders>
              <w:top w:val="single" w:sz="6" w:space="0" w:color="auto"/>
              <w:bottom w:val="single" w:sz="12" w:space="0" w:color="auto"/>
            </w:tcBorders>
            <w:shd w:val="clear" w:color="auto" w:fill="auto"/>
          </w:tcPr>
          <w:p w:rsidR="00206CD7" w:rsidRPr="00F00002" w:rsidRDefault="00206CD7" w:rsidP="00206CD7">
            <w:pPr>
              <w:pStyle w:val="TableHeading"/>
              <w:keepNext w:val="0"/>
              <w:jc w:val="right"/>
            </w:pPr>
            <w:r w:rsidRPr="00F00002">
              <w:t>Age</w:t>
            </w:r>
          </w:p>
        </w:tc>
        <w:tc>
          <w:tcPr>
            <w:tcW w:w="2115" w:type="pct"/>
            <w:tcBorders>
              <w:top w:val="single" w:sz="6" w:space="0" w:color="auto"/>
              <w:bottom w:val="single" w:sz="12" w:space="0" w:color="auto"/>
            </w:tcBorders>
            <w:shd w:val="clear" w:color="auto" w:fill="auto"/>
          </w:tcPr>
          <w:p w:rsidR="00206CD7" w:rsidRPr="00F00002" w:rsidRDefault="00206CD7" w:rsidP="00206CD7">
            <w:pPr>
              <w:pStyle w:val="TableHeading"/>
              <w:keepNext w:val="0"/>
              <w:jc w:val="right"/>
            </w:pPr>
            <w:r w:rsidRPr="00F00002">
              <w:t>qx</w:t>
            </w:r>
          </w:p>
        </w:tc>
      </w:tr>
      <w:tr w:rsidR="00206CD7" w:rsidRPr="00F00002" w:rsidTr="000505B9">
        <w:tc>
          <w:tcPr>
            <w:tcW w:w="1347" w:type="pct"/>
            <w:tcBorders>
              <w:top w:val="single" w:sz="12" w:space="0" w:color="auto"/>
              <w:bottom w:val="single" w:sz="4" w:space="0" w:color="auto"/>
            </w:tcBorders>
          </w:tcPr>
          <w:p w:rsidR="00206CD7" w:rsidRPr="00F00002" w:rsidRDefault="00206CD7" w:rsidP="00206CD7">
            <w:pPr>
              <w:pStyle w:val="Tabletext"/>
              <w:rPr>
                <w:color w:val="000000"/>
              </w:rPr>
            </w:pPr>
            <w:r w:rsidRPr="00F00002">
              <w:rPr>
                <w:color w:val="000000"/>
              </w:rPr>
              <w:t>1</w:t>
            </w:r>
          </w:p>
        </w:tc>
        <w:tc>
          <w:tcPr>
            <w:tcW w:w="1538" w:type="pct"/>
            <w:tcBorders>
              <w:top w:val="single" w:sz="12" w:space="0" w:color="auto"/>
              <w:bottom w:val="single" w:sz="4" w:space="0" w:color="auto"/>
            </w:tcBorders>
            <w:shd w:val="clear" w:color="auto" w:fill="auto"/>
          </w:tcPr>
          <w:p w:rsidR="00206CD7" w:rsidRPr="00F00002" w:rsidRDefault="00206CD7" w:rsidP="00206CD7">
            <w:pPr>
              <w:pStyle w:val="Tabletext"/>
              <w:jc w:val="right"/>
            </w:pPr>
            <w:r w:rsidRPr="00F00002">
              <w:rPr>
                <w:color w:val="000000"/>
              </w:rPr>
              <w:t>35</w:t>
            </w:r>
            <w:r w:rsidR="00F00002">
              <w:rPr>
                <w:color w:val="000000"/>
              </w:rPr>
              <w:noBreakHyphen/>
            </w:r>
            <w:r w:rsidRPr="00F00002">
              <w:rPr>
                <w:color w:val="000000"/>
              </w:rPr>
              <w:t>49</w:t>
            </w:r>
          </w:p>
        </w:tc>
        <w:tc>
          <w:tcPr>
            <w:tcW w:w="2115" w:type="pct"/>
            <w:tcBorders>
              <w:top w:val="single" w:sz="12" w:space="0" w:color="auto"/>
              <w:bottom w:val="single" w:sz="4" w:space="0" w:color="auto"/>
            </w:tcBorders>
            <w:shd w:val="clear" w:color="auto" w:fill="auto"/>
          </w:tcPr>
          <w:p w:rsidR="00206CD7" w:rsidRPr="00F00002" w:rsidRDefault="00206CD7" w:rsidP="00206CD7">
            <w:pPr>
              <w:pStyle w:val="Tabletext"/>
              <w:jc w:val="right"/>
            </w:pPr>
            <w:r w:rsidRPr="00F00002">
              <w:rPr>
                <w:color w:val="000000"/>
              </w:rPr>
              <w:t>0.003</w:t>
            </w:r>
          </w:p>
        </w:tc>
      </w:tr>
      <w:tr w:rsidR="00206CD7" w:rsidRPr="00F00002" w:rsidTr="000505B9">
        <w:tc>
          <w:tcPr>
            <w:tcW w:w="1347" w:type="pct"/>
            <w:tcBorders>
              <w:bottom w:val="single" w:sz="4" w:space="0" w:color="auto"/>
            </w:tcBorders>
            <w:shd w:val="clear" w:color="auto" w:fill="auto"/>
          </w:tcPr>
          <w:p w:rsidR="00206CD7" w:rsidRPr="00F00002" w:rsidRDefault="00206CD7" w:rsidP="00206CD7">
            <w:pPr>
              <w:pStyle w:val="Tabletext"/>
              <w:rPr>
                <w:color w:val="000000"/>
              </w:rPr>
            </w:pPr>
            <w:bookmarkStart w:id="213" w:name="CU_4203613"/>
            <w:bookmarkStart w:id="214" w:name="CU_4200567"/>
            <w:bookmarkEnd w:id="213"/>
            <w:bookmarkEnd w:id="214"/>
            <w:r w:rsidRPr="00F00002">
              <w:rPr>
                <w:color w:val="000000"/>
              </w:rPr>
              <w:lastRenderedPageBreak/>
              <w:t>2</w:t>
            </w:r>
          </w:p>
        </w:tc>
        <w:tc>
          <w:tcPr>
            <w:tcW w:w="1538"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50</w:t>
            </w:r>
            <w:r w:rsidR="00F00002">
              <w:rPr>
                <w:color w:val="000000"/>
              </w:rPr>
              <w:noBreakHyphen/>
            </w:r>
            <w:r w:rsidRPr="00F00002">
              <w:rPr>
                <w:color w:val="000000"/>
              </w:rPr>
              <w:t>54</w:t>
            </w:r>
          </w:p>
        </w:tc>
        <w:tc>
          <w:tcPr>
            <w:tcW w:w="2115"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0.004</w:t>
            </w:r>
          </w:p>
        </w:tc>
      </w:tr>
      <w:tr w:rsidR="00206CD7" w:rsidRPr="00F00002" w:rsidTr="000505B9">
        <w:tc>
          <w:tcPr>
            <w:tcW w:w="1347" w:type="pct"/>
            <w:tcBorders>
              <w:top w:val="single" w:sz="4" w:space="0" w:color="auto"/>
            </w:tcBorders>
          </w:tcPr>
          <w:p w:rsidR="00206CD7" w:rsidRPr="00F00002" w:rsidRDefault="00206CD7" w:rsidP="00206CD7">
            <w:pPr>
              <w:pStyle w:val="Tabletext"/>
              <w:rPr>
                <w:color w:val="000000"/>
              </w:rPr>
            </w:pPr>
            <w:r w:rsidRPr="00F00002">
              <w:rPr>
                <w:color w:val="000000"/>
              </w:rPr>
              <w:t>3</w:t>
            </w:r>
          </w:p>
        </w:tc>
        <w:tc>
          <w:tcPr>
            <w:tcW w:w="1538" w:type="pct"/>
            <w:tcBorders>
              <w:top w:val="single" w:sz="4" w:space="0" w:color="auto"/>
            </w:tcBorders>
            <w:shd w:val="clear" w:color="auto" w:fill="auto"/>
          </w:tcPr>
          <w:p w:rsidR="00206CD7" w:rsidRPr="00F00002" w:rsidRDefault="00206CD7" w:rsidP="00206CD7">
            <w:pPr>
              <w:pStyle w:val="Tabletext"/>
              <w:jc w:val="right"/>
            </w:pPr>
            <w:r w:rsidRPr="00F00002">
              <w:rPr>
                <w:color w:val="000000"/>
              </w:rPr>
              <w:t>55</w:t>
            </w:r>
          </w:p>
        </w:tc>
        <w:tc>
          <w:tcPr>
            <w:tcW w:w="2115" w:type="pct"/>
            <w:tcBorders>
              <w:top w:val="single" w:sz="4" w:space="0" w:color="auto"/>
            </w:tcBorders>
            <w:shd w:val="clear" w:color="auto" w:fill="auto"/>
          </w:tcPr>
          <w:p w:rsidR="00206CD7" w:rsidRPr="00F00002" w:rsidRDefault="00206CD7" w:rsidP="00206CD7">
            <w:pPr>
              <w:pStyle w:val="Tabletext"/>
              <w:jc w:val="right"/>
            </w:pPr>
            <w:r w:rsidRPr="00F00002">
              <w:rPr>
                <w:color w:val="000000"/>
              </w:rPr>
              <w:t>0.005</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w:t>
            </w:r>
          </w:p>
        </w:tc>
        <w:tc>
          <w:tcPr>
            <w:tcW w:w="1538" w:type="pct"/>
            <w:shd w:val="clear" w:color="auto" w:fill="auto"/>
          </w:tcPr>
          <w:p w:rsidR="00206CD7" w:rsidRPr="00F00002" w:rsidRDefault="00206CD7" w:rsidP="00206CD7">
            <w:pPr>
              <w:pStyle w:val="Tabletext"/>
              <w:jc w:val="right"/>
            </w:pPr>
            <w:r w:rsidRPr="00F00002">
              <w:rPr>
                <w:color w:val="000000"/>
              </w:rPr>
              <w:t>56</w:t>
            </w:r>
          </w:p>
        </w:tc>
        <w:tc>
          <w:tcPr>
            <w:tcW w:w="2115" w:type="pct"/>
            <w:shd w:val="clear" w:color="auto" w:fill="auto"/>
          </w:tcPr>
          <w:p w:rsidR="00206CD7" w:rsidRPr="00F00002" w:rsidRDefault="00206CD7" w:rsidP="00206CD7">
            <w:pPr>
              <w:pStyle w:val="Tabletext"/>
              <w:jc w:val="right"/>
            </w:pPr>
            <w:r w:rsidRPr="00F00002">
              <w:rPr>
                <w:color w:val="000000"/>
              </w:rPr>
              <w:t>0.006</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5</w:t>
            </w:r>
          </w:p>
        </w:tc>
        <w:tc>
          <w:tcPr>
            <w:tcW w:w="1538" w:type="pct"/>
            <w:shd w:val="clear" w:color="auto" w:fill="auto"/>
          </w:tcPr>
          <w:p w:rsidR="00206CD7" w:rsidRPr="00F00002" w:rsidRDefault="00206CD7" w:rsidP="00206CD7">
            <w:pPr>
              <w:pStyle w:val="Tabletext"/>
              <w:jc w:val="right"/>
            </w:pPr>
            <w:r w:rsidRPr="00F00002">
              <w:rPr>
                <w:color w:val="000000"/>
              </w:rPr>
              <w:t>57</w:t>
            </w:r>
          </w:p>
        </w:tc>
        <w:tc>
          <w:tcPr>
            <w:tcW w:w="2115" w:type="pct"/>
            <w:shd w:val="clear" w:color="auto" w:fill="auto"/>
          </w:tcPr>
          <w:p w:rsidR="00206CD7" w:rsidRPr="00F00002" w:rsidRDefault="00206CD7" w:rsidP="00206CD7">
            <w:pPr>
              <w:pStyle w:val="Tabletext"/>
              <w:jc w:val="right"/>
            </w:pPr>
            <w:r w:rsidRPr="00F00002">
              <w:rPr>
                <w:color w:val="000000"/>
              </w:rPr>
              <w:t>0.006</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6</w:t>
            </w:r>
          </w:p>
        </w:tc>
        <w:tc>
          <w:tcPr>
            <w:tcW w:w="1538" w:type="pct"/>
            <w:shd w:val="clear" w:color="auto" w:fill="auto"/>
          </w:tcPr>
          <w:p w:rsidR="00206CD7" w:rsidRPr="00F00002" w:rsidRDefault="00206CD7" w:rsidP="00206CD7">
            <w:pPr>
              <w:pStyle w:val="Tabletext"/>
              <w:jc w:val="right"/>
            </w:pPr>
            <w:r w:rsidRPr="00F00002">
              <w:rPr>
                <w:color w:val="000000"/>
              </w:rPr>
              <w:t>58</w:t>
            </w:r>
          </w:p>
        </w:tc>
        <w:tc>
          <w:tcPr>
            <w:tcW w:w="2115" w:type="pct"/>
            <w:shd w:val="clear" w:color="auto" w:fill="auto"/>
          </w:tcPr>
          <w:p w:rsidR="00206CD7" w:rsidRPr="00F00002" w:rsidRDefault="00206CD7" w:rsidP="00206CD7">
            <w:pPr>
              <w:pStyle w:val="Tabletext"/>
              <w:jc w:val="right"/>
            </w:pPr>
            <w:r w:rsidRPr="00F00002">
              <w:rPr>
                <w:color w:val="000000"/>
              </w:rPr>
              <w:t>0.007</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7</w:t>
            </w:r>
          </w:p>
        </w:tc>
        <w:tc>
          <w:tcPr>
            <w:tcW w:w="1538" w:type="pct"/>
            <w:shd w:val="clear" w:color="auto" w:fill="auto"/>
          </w:tcPr>
          <w:p w:rsidR="00206CD7" w:rsidRPr="00F00002" w:rsidRDefault="00206CD7" w:rsidP="00206CD7">
            <w:pPr>
              <w:pStyle w:val="Tabletext"/>
              <w:jc w:val="right"/>
            </w:pPr>
            <w:r w:rsidRPr="00F00002">
              <w:rPr>
                <w:color w:val="000000"/>
              </w:rPr>
              <w:t>59</w:t>
            </w:r>
          </w:p>
        </w:tc>
        <w:tc>
          <w:tcPr>
            <w:tcW w:w="2115" w:type="pct"/>
            <w:shd w:val="clear" w:color="auto" w:fill="auto"/>
          </w:tcPr>
          <w:p w:rsidR="00206CD7" w:rsidRPr="00F00002" w:rsidRDefault="00206CD7" w:rsidP="00206CD7">
            <w:pPr>
              <w:pStyle w:val="Tabletext"/>
              <w:jc w:val="right"/>
            </w:pPr>
            <w:r w:rsidRPr="00F00002">
              <w:rPr>
                <w:color w:val="000000"/>
              </w:rPr>
              <w:t>0.008</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8</w:t>
            </w:r>
          </w:p>
        </w:tc>
        <w:tc>
          <w:tcPr>
            <w:tcW w:w="1538" w:type="pct"/>
            <w:shd w:val="clear" w:color="auto" w:fill="auto"/>
          </w:tcPr>
          <w:p w:rsidR="00206CD7" w:rsidRPr="00F00002" w:rsidRDefault="00206CD7" w:rsidP="00206CD7">
            <w:pPr>
              <w:pStyle w:val="Tabletext"/>
              <w:jc w:val="right"/>
            </w:pPr>
            <w:r w:rsidRPr="00F00002">
              <w:rPr>
                <w:color w:val="000000"/>
              </w:rPr>
              <w:t>60</w:t>
            </w:r>
          </w:p>
        </w:tc>
        <w:tc>
          <w:tcPr>
            <w:tcW w:w="2115" w:type="pct"/>
            <w:shd w:val="clear" w:color="auto" w:fill="auto"/>
          </w:tcPr>
          <w:p w:rsidR="00206CD7" w:rsidRPr="00F00002" w:rsidRDefault="00206CD7" w:rsidP="00206CD7">
            <w:pPr>
              <w:pStyle w:val="Tabletext"/>
              <w:jc w:val="right"/>
            </w:pPr>
            <w:r w:rsidRPr="00F00002">
              <w:rPr>
                <w:color w:val="000000"/>
              </w:rPr>
              <w:t>0.008</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9</w:t>
            </w:r>
          </w:p>
        </w:tc>
        <w:tc>
          <w:tcPr>
            <w:tcW w:w="1538" w:type="pct"/>
            <w:shd w:val="clear" w:color="auto" w:fill="auto"/>
          </w:tcPr>
          <w:p w:rsidR="00206CD7" w:rsidRPr="00F00002" w:rsidRDefault="00206CD7" w:rsidP="00206CD7">
            <w:pPr>
              <w:pStyle w:val="Tabletext"/>
              <w:jc w:val="right"/>
            </w:pPr>
            <w:r w:rsidRPr="00F00002">
              <w:rPr>
                <w:color w:val="000000"/>
              </w:rPr>
              <w:t>61</w:t>
            </w:r>
          </w:p>
        </w:tc>
        <w:tc>
          <w:tcPr>
            <w:tcW w:w="2115" w:type="pct"/>
            <w:shd w:val="clear" w:color="auto" w:fill="auto"/>
          </w:tcPr>
          <w:p w:rsidR="00206CD7" w:rsidRPr="00F00002" w:rsidRDefault="00206CD7" w:rsidP="00206CD7">
            <w:pPr>
              <w:pStyle w:val="Tabletext"/>
              <w:jc w:val="right"/>
            </w:pPr>
            <w:r w:rsidRPr="00F00002">
              <w:rPr>
                <w:color w:val="000000"/>
              </w:rPr>
              <w:t>0.009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10</w:t>
            </w:r>
          </w:p>
        </w:tc>
        <w:tc>
          <w:tcPr>
            <w:tcW w:w="1538" w:type="pct"/>
            <w:shd w:val="clear" w:color="auto" w:fill="auto"/>
          </w:tcPr>
          <w:p w:rsidR="00206CD7" w:rsidRPr="00F00002" w:rsidRDefault="00206CD7" w:rsidP="00206CD7">
            <w:pPr>
              <w:pStyle w:val="Tabletext"/>
              <w:jc w:val="right"/>
            </w:pPr>
            <w:r w:rsidRPr="00F00002">
              <w:rPr>
                <w:color w:val="000000"/>
              </w:rPr>
              <w:t>62</w:t>
            </w:r>
          </w:p>
        </w:tc>
        <w:tc>
          <w:tcPr>
            <w:tcW w:w="2115" w:type="pct"/>
            <w:shd w:val="clear" w:color="auto" w:fill="auto"/>
          </w:tcPr>
          <w:p w:rsidR="00206CD7" w:rsidRPr="00F00002" w:rsidRDefault="00206CD7" w:rsidP="00206CD7">
            <w:pPr>
              <w:pStyle w:val="Tabletext"/>
              <w:jc w:val="right"/>
            </w:pPr>
            <w:r w:rsidRPr="00F00002">
              <w:rPr>
                <w:color w:val="000000"/>
              </w:rPr>
              <w:t>0.010</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11</w:t>
            </w:r>
          </w:p>
        </w:tc>
        <w:tc>
          <w:tcPr>
            <w:tcW w:w="1538" w:type="pct"/>
            <w:shd w:val="clear" w:color="auto" w:fill="auto"/>
          </w:tcPr>
          <w:p w:rsidR="00206CD7" w:rsidRPr="00F00002" w:rsidRDefault="00206CD7" w:rsidP="00206CD7">
            <w:pPr>
              <w:pStyle w:val="Tabletext"/>
              <w:jc w:val="right"/>
            </w:pPr>
            <w:r w:rsidRPr="00F00002">
              <w:rPr>
                <w:color w:val="000000"/>
              </w:rPr>
              <w:t>63</w:t>
            </w:r>
          </w:p>
        </w:tc>
        <w:tc>
          <w:tcPr>
            <w:tcW w:w="2115" w:type="pct"/>
            <w:shd w:val="clear" w:color="auto" w:fill="auto"/>
          </w:tcPr>
          <w:p w:rsidR="00206CD7" w:rsidRPr="00F00002" w:rsidRDefault="00206CD7" w:rsidP="00206CD7">
            <w:pPr>
              <w:pStyle w:val="Tabletext"/>
              <w:jc w:val="right"/>
            </w:pPr>
            <w:r w:rsidRPr="00F00002">
              <w:rPr>
                <w:color w:val="000000"/>
              </w:rPr>
              <w:t>0.012</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12</w:t>
            </w:r>
          </w:p>
        </w:tc>
        <w:tc>
          <w:tcPr>
            <w:tcW w:w="1538" w:type="pct"/>
            <w:shd w:val="clear" w:color="auto" w:fill="auto"/>
          </w:tcPr>
          <w:p w:rsidR="00206CD7" w:rsidRPr="00F00002" w:rsidRDefault="00206CD7" w:rsidP="00206CD7">
            <w:pPr>
              <w:pStyle w:val="Tabletext"/>
              <w:jc w:val="right"/>
            </w:pPr>
            <w:r w:rsidRPr="00F00002">
              <w:rPr>
                <w:color w:val="000000"/>
              </w:rPr>
              <w:t>64</w:t>
            </w:r>
          </w:p>
        </w:tc>
        <w:tc>
          <w:tcPr>
            <w:tcW w:w="2115" w:type="pct"/>
            <w:shd w:val="clear" w:color="auto" w:fill="auto"/>
          </w:tcPr>
          <w:p w:rsidR="00206CD7" w:rsidRPr="00F00002" w:rsidRDefault="00206CD7" w:rsidP="00206CD7">
            <w:pPr>
              <w:pStyle w:val="Tabletext"/>
              <w:jc w:val="right"/>
            </w:pPr>
            <w:r w:rsidRPr="00F00002">
              <w:rPr>
                <w:color w:val="000000"/>
              </w:rPr>
              <w:t>0.013</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13</w:t>
            </w:r>
          </w:p>
        </w:tc>
        <w:tc>
          <w:tcPr>
            <w:tcW w:w="1538" w:type="pct"/>
            <w:shd w:val="clear" w:color="auto" w:fill="auto"/>
          </w:tcPr>
          <w:p w:rsidR="00206CD7" w:rsidRPr="00F00002" w:rsidRDefault="00206CD7" w:rsidP="00206CD7">
            <w:pPr>
              <w:pStyle w:val="Tabletext"/>
              <w:jc w:val="right"/>
            </w:pPr>
            <w:r w:rsidRPr="00F00002">
              <w:rPr>
                <w:color w:val="000000"/>
              </w:rPr>
              <w:t>65</w:t>
            </w:r>
          </w:p>
        </w:tc>
        <w:tc>
          <w:tcPr>
            <w:tcW w:w="2115" w:type="pct"/>
            <w:shd w:val="clear" w:color="auto" w:fill="auto"/>
          </w:tcPr>
          <w:p w:rsidR="00206CD7" w:rsidRPr="00F00002" w:rsidRDefault="00206CD7" w:rsidP="00206CD7">
            <w:pPr>
              <w:pStyle w:val="Tabletext"/>
              <w:jc w:val="right"/>
            </w:pPr>
            <w:r w:rsidRPr="00F00002">
              <w:rPr>
                <w:color w:val="000000"/>
              </w:rPr>
              <w:t>0.014</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14</w:t>
            </w:r>
          </w:p>
        </w:tc>
        <w:tc>
          <w:tcPr>
            <w:tcW w:w="1538" w:type="pct"/>
            <w:shd w:val="clear" w:color="auto" w:fill="auto"/>
          </w:tcPr>
          <w:p w:rsidR="00206CD7" w:rsidRPr="00F00002" w:rsidRDefault="00206CD7" w:rsidP="00206CD7">
            <w:pPr>
              <w:pStyle w:val="Tabletext"/>
              <w:jc w:val="right"/>
            </w:pPr>
            <w:r w:rsidRPr="00F00002">
              <w:rPr>
                <w:color w:val="000000"/>
              </w:rPr>
              <w:t>66</w:t>
            </w:r>
          </w:p>
        </w:tc>
        <w:tc>
          <w:tcPr>
            <w:tcW w:w="2115" w:type="pct"/>
            <w:shd w:val="clear" w:color="auto" w:fill="auto"/>
          </w:tcPr>
          <w:p w:rsidR="00206CD7" w:rsidRPr="00F00002" w:rsidRDefault="00206CD7" w:rsidP="00206CD7">
            <w:pPr>
              <w:pStyle w:val="Tabletext"/>
              <w:jc w:val="right"/>
            </w:pPr>
            <w:r w:rsidRPr="00F00002">
              <w:rPr>
                <w:color w:val="000000"/>
              </w:rPr>
              <w:t>0.016</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15</w:t>
            </w:r>
          </w:p>
        </w:tc>
        <w:tc>
          <w:tcPr>
            <w:tcW w:w="1538" w:type="pct"/>
            <w:shd w:val="clear" w:color="auto" w:fill="auto"/>
          </w:tcPr>
          <w:p w:rsidR="00206CD7" w:rsidRPr="00F00002" w:rsidRDefault="00206CD7" w:rsidP="00206CD7">
            <w:pPr>
              <w:pStyle w:val="Tabletext"/>
              <w:jc w:val="right"/>
            </w:pPr>
            <w:r w:rsidRPr="00F00002">
              <w:rPr>
                <w:color w:val="000000"/>
              </w:rPr>
              <w:t>67</w:t>
            </w:r>
          </w:p>
        </w:tc>
        <w:tc>
          <w:tcPr>
            <w:tcW w:w="2115" w:type="pct"/>
            <w:shd w:val="clear" w:color="auto" w:fill="auto"/>
          </w:tcPr>
          <w:p w:rsidR="00206CD7" w:rsidRPr="00F00002" w:rsidRDefault="00206CD7" w:rsidP="00206CD7">
            <w:pPr>
              <w:pStyle w:val="Tabletext"/>
              <w:jc w:val="right"/>
            </w:pPr>
            <w:r w:rsidRPr="00F00002">
              <w:rPr>
                <w:color w:val="000000"/>
              </w:rPr>
              <w:t>0.017</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16</w:t>
            </w:r>
          </w:p>
        </w:tc>
        <w:tc>
          <w:tcPr>
            <w:tcW w:w="1538" w:type="pct"/>
            <w:shd w:val="clear" w:color="auto" w:fill="auto"/>
          </w:tcPr>
          <w:p w:rsidR="00206CD7" w:rsidRPr="00F00002" w:rsidRDefault="00206CD7" w:rsidP="00206CD7">
            <w:pPr>
              <w:pStyle w:val="Tabletext"/>
              <w:jc w:val="right"/>
            </w:pPr>
            <w:r w:rsidRPr="00F00002">
              <w:rPr>
                <w:color w:val="000000"/>
              </w:rPr>
              <w:t>68</w:t>
            </w:r>
          </w:p>
        </w:tc>
        <w:tc>
          <w:tcPr>
            <w:tcW w:w="2115" w:type="pct"/>
            <w:shd w:val="clear" w:color="auto" w:fill="auto"/>
          </w:tcPr>
          <w:p w:rsidR="00206CD7" w:rsidRPr="00F00002" w:rsidRDefault="00206CD7" w:rsidP="00206CD7">
            <w:pPr>
              <w:pStyle w:val="Tabletext"/>
              <w:jc w:val="right"/>
            </w:pPr>
            <w:r w:rsidRPr="00F00002">
              <w:rPr>
                <w:color w:val="000000"/>
              </w:rPr>
              <w:t>0.019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17</w:t>
            </w:r>
          </w:p>
        </w:tc>
        <w:tc>
          <w:tcPr>
            <w:tcW w:w="1538" w:type="pct"/>
            <w:shd w:val="clear" w:color="auto" w:fill="auto"/>
          </w:tcPr>
          <w:p w:rsidR="00206CD7" w:rsidRPr="00F00002" w:rsidRDefault="00206CD7" w:rsidP="00206CD7">
            <w:pPr>
              <w:pStyle w:val="Tabletext"/>
              <w:jc w:val="right"/>
            </w:pPr>
            <w:r w:rsidRPr="00F00002">
              <w:rPr>
                <w:color w:val="000000"/>
              </w:rPr>
              <w:t>69</w:t>
            </w:r>
          </w:p>
        </w:tc>
        <w:tc>
          <w:tcPr>
            <w:tcW w:w="2115" w:type="pct"/>
            <w:shd w:val="clear" w:color="auto" w:fill="auto"/>
          </w:tcPr>
          <w:p w:rsidR="00206CD7" w:rsidRPr="00F00002" w:rsidRDefault="00206CD7" w:rsidP="00206CD7">
            <w:pPr>
              <w:pStyle w:val="Tabletext"/>
              <w:jc w:val="right"/>
            </w:pPr>
            <w:r w:rsidRPr="00F00002">
              <w:rPr>
                <w:color w:val="000000"/>
              </w:rPr>
              <w:t>0.021</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18</w:t>
            </w:r>
          </w:p>
        </w:tc>
        <w:tc>
          <w:tcPr>
            <w:tcW w:w="1538" w:type="pct"/>
            <w:shd w:val="clear" w:color="auto" w:fill="auto"/>
          </w:tcPr>
          <w:p w:rsidR="00206CD7" w:rsidRPr="00F00002" w:rsidRDefault="00206CD7" w:rsidP="00206CD7">
            <w:pPr>
              <w:pStyle w:val="Tabletext"/>
              <w:jc w:val="right"/>
            </w:pPr>
            <w:r w:rsidRPr="00F00002">
              <w:rPr>
                <w:color w:val="000000"/>
              </w:rPr>
              <w:t>70</w:t>
            </w:r>
          </w:p>
        </w:tc>
        <w:tc>
          <w:tcPr>
            <w:tcW w:w="2115" w:type="pct"/>
            <w:shd w:val="clear" w:color="auto" w:fill="auto"/>
          </w:tcPr>
          <w:p w:rsidR="00206CD7" w:rsidRPr="00F00002" w:rsidRDefault="00206CD7" w:rsidP="00206CD7">
            <w:pPr>
              <w:pStyle w:val="Tabletext"/>
              <w:jc w:val="right"/>
            </w:pPr>
            <w:r w:rsidRPr="00F00002">
              <w:rPr>
                <w:color w:val="000000"/>
              </w:rPr>
              <w:t>0.023</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19</w:t>
            </w:r>
          </w:p>
        </w:tc>
        <w:tc>
          <w:tcPr>
            <w:tcW w:w="1538" w:type="pct"/>
            <w:shd w:val="clear" w:color="auto" w:fill="auto"/>
          </w:tcPr>
          <w:p w:rsidR="00206CD7" w:rsidRPr="00F00002" w:rsidRDefault="00206CD7" w:rsidP="00206CD7">
            <w:pPr>
              <w:pStyle w:val="Tabletext"/>
              <w:jc w:val="right"/>
            </w:pPr>
            <w:r w:rsidRPr="00F00002">
              <w:rPr>
                <w:color w:val="000000"/>
              </w:rPr>
              <w:t>71</w:t>
            </w:r>
          </w:p>
        </w:tc>
        <w:tc>
          <w:tcPr>
            <w:tcW w:w="2115" w:type="pct"/>
            <w:shd w:val="clear" w:color="auto" w:fill="auto"/>
          </w:tcPr>
          <w:p w:rsidR="00206CD7" w:rsidRPr="00F00002" w:rsidRDefault="00206CD7" w:rsidP="00206CD7">
            <w:pPr>
              <w:pStyle w:val="Tabletext"/>
              <w:jc w:val="right"/>
            </w:pPr>
            <w:r w:rsidRPr="00F00002">
              <w:rPr>
                <w:color w:val="000000"/>
              </w:rPr>
              <w:t>0.026</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20</w:t>
            </w:r>
          </w:p>
        </w:tc>
        <w:tc>
          <w:tcPr>
            <w:tcW w:w="1538" w:type="pct"/>
            <w:shd w:val="clear" w:color="auto" w:fill="auto"/>
          </w:tcPr>
          <w:p w:rsidR="00206CD7" w:rsidRPr="00F00002" w:rsidRDefault="00206CD7" w:rsidP="00206CD7">
            <w:pPr>
              <w:pStyle w:val="Tabletext"/>
              <w:jc w:val="right"/>
            </w:pPr>
            <w:r w:rsidRPr="00F00002">
              <w:rPr>
                <w:color w:val="000000"/>
              </w:rPr>
              <w:t>72</w:t>
            </w:r>
          </w:p>
        </w:tc>
        <w:tc>
          <w:tcPr>
            <w:tcW w:w="2115" w:type="pct"/>
            <w:shd w:val="clear" w:color="auto" w:fill="auto"/>
          </w:tcPr>
          <w:p w:rsidR="00206CD7" w:rsidRPr="00F00002" w:rsidRDefault="00206CD7" w:rsidP="00206CD7">
            <w:pPr>
              <w:pStyle w:val="Tabletext"/>
              <w:jc w:val="right"/>
            </w:pPr>
            <w:r w:rsidRPr="00F00002">
              <w:rPr>
                <w:color w:val="000000"/>
              </w:rPr>
              <w:t>0.029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21</w:t>
            </w:r>
          </w:p>
        </w:tc>
        <w:tc>
          <w:tcPr>
            <w:tcW w:w="1538" w:type="pct"/>
            <w:shd w:val="clear" w:color="auto" w:fill="auto"/>
          </w:tcPr>
          <w:p w:rsidR="00206CD7" w:rsidRPr="00F00002" w:rsidRDefault="00206CD7" w:rsidP="00206CD7">
            <w:pPr>
              <w:pStyle w:val="Tabletext"/>
              <w:jc w:val="right"/>
            </w:pPr>
            <w:r w:rsidRPr="00F00002">
              <w:rPr>
                <w:color w:val="000000"/>
              </w:rPr>
              <w:t>73</w:t>
            </w:r>
          </w:p>
        </w:tc>
        <w:tc>
          <w:tcPr>
            <w:tcW w:w="2115" w:type="pct"/>
            <w:shd w:val="clear" w:color="auto" w:fill="auto"/>
          </w:tcPr>
          <w:p w:rsidR="00206CD7" w:rsidRPr="00F00002" w:rsidRDefault="00206CD7" w:rsidP="00206CD7">
            <w:pPr>
              <w:pStyle w:val="Tabletext"/>
              <w:jc w:val="right"/>
            </w:pPr>
            <w:r w:rsidRPr="00F00002">
              <w:rPr>
                <w:color w:val="000000"/>
              </w:rPr>
              <w:t>0.032</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22</w:t>
            </w:r>
          </w:p>
        </w:tc>
        <w:tc>
          <w:tcPr>
            <w:tcW w:w="1538" w:type="pct"/>
            <w:shd w:val="clear" w:color="auto" w:fill="auto"/>
          </w:tcPr>
          <w:p w:rsidR="00206CD7" w:rsidRPr="00F00002" w:rsidRDefault="00206CD7" w:rsidP="00206CD7">
            <w:pPr>
              <w:pStyle w:val="Tabletext"/>
              <w:jc w:val="right"/>
            </w:pPr>
            <w:r w:rsidRPr="00F00002">
              <w:rPr>
                <w:color w:val="000000"/>
              </w:rPr>
              <w:t>74</w:t>
            </w:r>
          </w:p>
        </w:tc>
        <w:tc>
          <w:tcPr>
            <w:tcW w:w="2115" w:type="pct"/>
            <w:shd w:val="clear" w:color="auto" w:fill="auto"/>
          </w:tcPr>
          <w:p w:rsidR="00206CD7" w:rsidRPr="00F00002" w:rsidRDefault="00206CD7" w:rsidP="00206CD7">
            <w:pPr>
              <w:pStyle w:val="Tabletext"/>
              <w:jc w:val="right"/>
            </w:pPr>
            <w:r w:rsidRPr="00F00002">
              <w:rPr>
                <w:color w:val="000000"/>
              </w:rPr>
              <w:t>0.035</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23</w:t>
            </w:r>
          </w:p>
        </w:tc>
        <w:tc>
          <w:tcPr>
            <w:tcW w:w="1538" w:type="pct"/>
            <w:shd w:val="clear" w:color="auto" w:fill="auto"/>
          </w:tcPr>
          <w:p w:rsidR="00206CD7" w:rsidRPr="00F00002" w:rsidRDefault="00206CD7" w:rsidP="00206CD7">
            <w:pPr>
              <w:pStyle w:val="Tabletext"/>
              <w:jc w:val="right"/>
            </w:pPr>
            <w:r w:rsidRPr="00F00002">
              <w:rPr>
                <w:color w:val="000000"/>
              </w:rPr>
              <w:t>75</w:t>
            </w:r>
          </w:p>
        </w:tc>
        <w:tc>
          <w:tcPr>
            <w:tcW w:w="2115" w:type="pct"/>
            <w:shd w:val="clear" w:color="auto" w:fill="auto"/>
          </w:tcPr>
          <w:p w:rsidR="00206CD7" w:rsidRPr="00F00002" w:rsidRDefault="00206CD7" w:rsidP="00206CD7">
            <w:pPr>
              <w:pStyle w:val="Tabletext"/>
              <w:jc w:val="right"/>
            </w:pPr>
            <w:r w:rsidRPr="00F00002">
              <w:rPr>
                <w:color w:val="000000"/>
              </w:rPr>
              <w:t>0.039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24</w:t>
            </w:r>
          </w:p>
        </w:tc>
        <w:tc>
          <w:tcPr>
            <w:tcW w:w="1538" w:type="pct"/>
            <w:shd w:val="clear" w:color="auto" w:fill="auto"/>
          </w:tcPr>
          <w:p w:rsidR="00206CD7" w:rsidRPr="00F00002" w:rsidRDefault="00206CD7" w:rsidP="00206CD7">
            <w:pPr>
              <w:pStyle w:val="Tabletext"/>
              <w:jc w:val="right"/>
            </w:pPr>
            <w:r w:rsidRPr="00F00002">
              <w:rPr>
                <w:color w:val="000000"/>
              </w:rPr>
              <w:t>76</w:t>
            </w:r>
          </w:p>
        </w:tc>
        <w:tc>
          <w:tcPr>
            <w:tcW w:w="2115" w:type="pct"/>
            <w:shd w:val="clear" w:color="auto" w:fill="auto"/>
          </w:tcPr>
          <w:p w:rsidR="00206CD7" w:rsidRPr="00F00002" w:rsidRDefault="00206CD7" w:rsidP="00206CD7">
            <w:pPr>
              <w:pStyle w:val="Tabletext"/>
              <w:jc w:val="right"/>
            </w:pPr>
            <w:r w:rsidRPr="00F00002">
              <w:rPr>
                <w:color w:val="000000"/>
              </w:rPr>
              <w:t>0.043</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25</w:t>
            </w:r>
          </w:p>
        </w:tc>
        <w:tc>
          <w:tcPr>
            <w:tcW w:w="1538" w:type="pct"/>
            <w:shd w:val="clear" w:color="auto" w:fill="auto"/>
          </w:tcPr>
          <w:p w:rsidR="00206CD7" w:rsidRPr="00F00002" w:rsidRDefault="00206CD7" w:rsidP="00206CD7">
            <w:pPr>
              <w:pStyle w:val="Tabletext"/>
              <w:jc w:val="right"/>
            </w:pPr>
            <w:r w:rsidRPr="00F00002">
              <w:rPr>
                <w:color w:val="000000"/>
              </w:rPr>
              <w:t>77</w:t>
            </w:r>
          </w:p>
        </w:tc>
        <w:tc>
          <w:tcPr>
            <w:tcW w:w="2115" w:type="pct"/>
            <w:shd w:val="clear" w:color="auto" w:fill="auto"/>
          </w:tcPr>
          <w:p w:rsidR="00206CD7" w:rsidRPr="00F00002" w:rsidRDefault="00206CD7" w:rsidP="00206CD7">
            <w:pPr>
              <w:pStyle w:val="Tabletext"/>
              <w:jc w:val="right"/>
            </w:pPr>
            <w:r w:rsidRPr="00F00002">
              <w:rPr>
                <w:color w:val="000000"/>
              </w:rPr>
              <w:t>0.048</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26</w:t>
            </w:r>
          </w:p>
        </w:tc>
        <w:tc>
          <w:tcPr>
            <w:tcW w:w="1538" w:type="pct"/>
            <w:shd w:val="clear" w:color="auto" w:fill="auto"/>
          </w:tcPr>
          <w:p w:rsidR="00206CD7" w:rsidRPr="00F00002" w:rsidRDefault="00206CD7" w:rsidP="00206CD7">
            <w:pPr>
              <w:pStyle w:val="Tabletext"/>
              <w:jc w:val="right"/>
            </w:pPr>
            <w:r w:rsidRPr="00F00002">
              <w:rPr>
                <w:color w:val="000000"/>
              </w:rPr>
              <w:t>78</w:t>
            </w:r>
          </w:p>
        </w:tc>
        <w:tc>
          <w:tcPr>
            <w:tcW w:w="2115" w:type="pct"/>
            <w:shd w:val="clear" w:color="auto" w:fill="auto"/>
          </w:tcPr>
          <w:p w:rsidR="00206CD7" w:rsidRPr="00F00002" w:rsidRDefault="00206CD7" w:rsidP="00206CD7">
            <w:pPr>
              <w:pStyle w:val="Tabletext"/>
              <w:jc w:val="right"/>
            </w:pPr>
            <w:r w:rsidRPr="00F00002">
              <w:rPr>
                <w:color w:val="000000"/>
              </w:rPr>
              <w:t>0.053</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27</w:t>
            </w:r>
          </w:p>
        </w:tc>
        <w:tc>
          <w:tcPr>
            <w:tcW w:w="1538" w:type="pct"/>
            <w:shd w:val="clear" w:color="auto" w:fill="auto"/>
          </w:tcPr>
          <w:p w:rsidR="00206CD7" w:rsidRPr="00F00002" w:rsidRDefault="00206CD7" w:rsidP="00206CD7">
            <w:pPr>
              <w:pStyle w:val="Tabletext"/>
              <w:jc w:val="right"/>
            </w:pPr>
            <w:r w:rsidRPr="00F00002">
              <w:rPr>
                <w:color w:val="000000"/>
              </w:rPr>
              <w:t>79</w:t>
            </w:r>
          </w:p>
        </w:tc>
        <w:tc>
          <w:tcPr>
            <w:tcW w:w="2115" w:type="pct"/>
            <w:shd w:val="clear" w:color="auto" w:fill="auto"/>
          </w:tcPr>
          <w:p w:rsidR="00206CD7" w:rsidRPr="00F00002" w:rsidRDefault="00206CD7" w:rsidP="00206CD7">
            <w:pPr>
              <w:pStyle w:val="Tabletext"/>
              <w:jc w:val="right"/>
            </w:pPr>
            <w:r w:rsidRPr="00F00002">
              <w:rPr>
                <w:color w:val="000000"/>
              </w:rPr>
              <w:t>0.059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28</w:t>
            </w:r>
          </w:p>
        </w:tc>
        <w:tc>
          <w:tcPr>
            <w:tcW w:w="1538" w:type="pct"/>
            <w:shd w:val="clear" w:color="auto" w:fill="auto"/>
          </w:tcPr>
          <w:p w:rsidR="00206CD7" w:rsidRPr="00F00002" w:rsidRDefault="00206CD7" w:rsidP="00206CD7">
            <w:pPr>
              <w:pStyle w:val="Tabletext"/>
              <w:jc w:val="right"/>
            </w:pPr>
            <w:r w:rsidRPr="00F00002">
              <w:rPr>
                <w:color w:val="000000"/>
              </w:rPr>
              <w:t>80</w:t>
            </w:r>
          </w:p>
        </w:tc>
        <w:tc>
          <w:tcPr>
            <w:tcW w:w="2115" w:type="pct"/>
            <w:shd w:val="clear" w:color="auto" w:fill="auto"/>
          </w:tcPr>
          <w:p w:rsidR="00206CD7" w:rsidRPr="00F00002" w:rsidRDefault="00206CD7" w:rsidP="00206CD7">
            <w:pPr>
              <w:pStyle w:val="Tabletext"/>
              <w:jc w:val="right"/>
            </w:pPr>
            <w:r w:rsidRPr="00F00002">
              <w:rPr>
                <w:color w:val="000000"/>
              </w:rPr>
              <w:t>0.064</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29</w:t>
            </w:r>
          </w:p>
        </w:tc>
        <w:tc>
          <w:tcPr>
            <w:tcW w:w="1538" w:type="pct"/>
            <w:shd w:val="clear" w:color="auto" w:fill="auto"/>
          </w:tcPr>
          <w:p w:rsidR="00206CD7" w:rsidRPr="00F00002" w:rsidRDefault="00206CD7" w:rsidP="00206CD7">
            <w:pPr>
              <w:pStyle w:val="Tabletext"/>
              <w:jc w:val="right"/>
            </w:pPr>
            <w:r w:rsidRPr="00F00002">
              <w:rPr>
                <w:color w:val="000000"/>
              </w:rPr>
              <w:t>81</w:t>
            </w:r>
          </w:p>
        </w:tc>
        <w:tc>
          <w:tcPr>
            <w:tcW w:w="2115" w:type="pct"/>
            <w:shd w:val="clear" w:color="auto" w:fill="auto"/>
          </w:tcPr>
          <w:p w:rsidR="00206CD7" w:rsidRPr="00F00002" w:rsidRDefault="00206CD7" w:rsidP="00206CD7">
            <w:pPr>
              <w:pStyle w:val="Tabletext"/>
              <w:jc w:val="right"/>
            </w:pPr>
            <w:r w:rsidRPr="00F00002">
              <w:rPr>
                <w:color w:val="000000"/>
              </w:rPr>
              <w:t>0.070</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30</w:t>
            </w:r>
          </w:p>
        </w:tc>
        <w:tc>
          <w:tcPr>
            <w:tcW w:w="1538" w:type="pct"/>
            <w:shd w:val="clear" w:color="auto" w:fill="auto"/>
          </w:tcPr>
          <w:p w:rsidR="00206CD7" w:rsidRPr="00F00002" w:rsidRDefault="00206CD7" w:rsidP="00206CD7">
            <w:pPr>
              <w:pStyle w:val="Tabletext"/>
              <w:jc w:val="right"/>
            </w:pPr>
            <w:r w:rsidRPr="00F00002">
              <w:rPr>
                <w:color w:val="000000"/>
              </w:rPr>
              <w:t>82</w:t>
            </w:r>
          </w:p>
        </w:tc>
        <w:tc>
          <w:tcPr>
            <w:tcW w:w="2115" w:type="pct"/>
            <w:shd w:val="clear" w:color="auto" w:fill="auto"/>
          </w:tcPr>
          <w:p w:rsidR="00206CD7" w:rsidRPr="00F00002" w:rsidRDefault="00206CD7" w:rsidP="00206CD7">
            <w:pPr>
              <w:pStyle w:val="Tabletext"/>
              <w:jc w:val="right"/>
            </w:pPr>
            <w:r w:rsidRPr="00F00002">
              <w:rPr>
                <w:color w:val="000000"/>
              </w:rPr>
              <w:t>0.077</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31</w:t>
            </w:r>
          </w:p>
        </w:tc>
        <w:tc>
          <w:tcPr>
            <w:tcW w:w="1538" w:type="pct"/>
            <w:shd w:val="clear" w:color="auto" w:fill="auto"/>
          </w:tcPr>
          <w:p w:rsidR="00206CD7" w:rsidRPr="00F00002" w:rsidRDefault="00206CD7" w:rsidP="00206CD7">
            <w:pPr>
              <w:pStyle w:val="Tabletext"/>
              <w:jc w:val="right"/>
            </w:pPr>
            <w:r w:rsidRPr="00F00002">
              <w:rPr>
                <w:color w:val="000000"/>
              </w:rPr>
              <w:t>83</w:t>
            </w:r>
          </w:p>
        </w:tc>
        <w:tc>
          <w:tcPr>
            <w:tcW w:w="2115" w:type="pct"/>
            <w:shd w:val="clear" w:color="auto" w:fill="auto"/>
          </w:tcPr>
          <w:p w:rsidR="00206CD7" w:rsidRPr="00F00002" w:rsidRDefault="00206CD7" w:rsidP="00206CD7">
            <w:pPr>
              <w:pStyle w:val="Tabletext"/>
              <w:jc w:val="right"/>
            </w:pPr>
            <w:r w:rsidRPr="00F00002">
              <w:rPr>
                <w:color w:val="000000"/>
              </w:rPr>
              <w:t>0.085</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32</w:t>
            </w:r>
          </w:p>
        </w:tc>
        <w:tc>
          <w:tcPr>
            <w:tcW w:w="1538" w:type="pct"/>
            <w:shd w:val="clear" w:color="auto" w:fill="auto"/>
          </w:tcPr>
          <w:p w:rsidR="00206CD7" w:rsidRPr="00F00002" w:rsidRDefault="00206CD7" w:rsidP="00206CD7">
            <w:pPr>
              <w:pStyle w:val="Tabletext"/>
              <w:jc w:val="right"/>
            </w:pPr>
            <w:r w:rsidRPr="00F00002">
              <w:rPr>
                <w:color w:val="000000"/>
              </w:rPr>
              <w:t>84</w:t>
            </w:r>
          </w:p>
        </w:tc>
        <w:tc>
          <w:tcPr>
            <w:tcW w:w="2115" w:type="pct"/>
            <w:shd w:val="clear" w:color="auto" w:fill="auto"/>
          </w:tcPr>
          <w:p w:rsidR="00206CD7" w:rsidRPr="00F00002" w:rsidRDefault="00206CD7" w:rsidP="00206CD7">
            <w:pPr>
              <w:pStyle w:val="Tabletext"/>
              <w:jc w:val="right"/>
            </w:pPr>
            <w:r w:rsidRPr="00F00002">
              <w:rPr>
                <w:color w:val="000000"/>
              </w:rPr>
              <w:t>0.095</w:t>
            </w:r>
          </w:p>
        </w:tc>
      </w:tr>
      <w:tr w:rsidR="00206CD7" w:rsidRPr="00F00002" w:rsidTr="000505B9">
        <w:tc>
          <w:tcPr>
            <w:tcW w:w="1347" w:type="pct"/>
            <w:tcBorders>
              <w:bottom w:val="single" w:sz="4" w:space="0" w:color="auto"/>
            </w:tcBorders>
          </w:tcPr>
          <w:p w:rsidR="00206CD7" w:rsidRPr="00F00002" w:rsidRDefault="00206CD7" w:rsidP="00206CD7">
            <w:pPr>
              <w:pStyle w:val="Tabletext"/>
              <w:rPr>
                <w:color w:val="000000"/>
              </w:rPr>
            </w:pPr>
            <w:r w:rsidRPr="00F00002">
              <w:rPr>
                <w:color w:val="000000"/>
              </w:rPr>
              <w:t>33</w:t>
            </w:r>
          </w:p>
        </w:tc>
        <w:tc>
          <w:tcPr>
            <w:tcW w:w="1538"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85</w:t>
            </w:r>
          </w:p>
        </w:tc>
        <w:tc>
          <w:tcPr>
            <w:tcW w:w="2115"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0.106</w:t>
            </w:r>
          </w:p>
        </w:tc>
      </w:tr>
      <w:tr w:rsidR="00206CD7" w:rsidRPr="00F00002" w:rsidTr="000505B9">
        <w:tc>
          <w:tcPr>
            <w:tcW w:w="1347" w:type="pct"/>
            <w:tcBorders>
              <w:bottom w:val="single" w:sz="4" w:space="0" w:color="auto"/>
            </w:tcBorders>
            <w:shd w:val="clear" w:color="auto" w:fill="auto"/>
          </w:tcPr>
          <w:p w:rsidR="00206CD7" w:rsidRPr="00F00002" w:rsidRDefault="00206CD7" w:rsidP="00206CD7">
            <w:pPr>
              <w:pStyle w:val="Tabletext"/>
              <w:rPr>
                <w:color w:val="000000"/>
              </w:rPr>
            </w:pPr>
            <w:bookmarkStart w:id="215" w:name="CU_36204024"/>
            <w:bookmarkStart w:id="216" w:name="CU_36200978"/>
            <w:bookmarkEnd w:id="215"/>
            <w:bookmarkEnd w:id="216"/>
            <w:r w:rsidRPr="00F00002">
              <w:rPr>
                <w:color w:val="000000"/>
              </w:rPr>
              <w:t>34</w:t>
            </w:r>
          </w:p>
        </w:tc>
        <w:tc>
          <w:tcPr>
            <w:tcW w:w="1538"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86</w:t>
            </w:r>
          </w:p>
        </w:tc>
        <w:tc>
          <w:tcPr>
            <w:tcW w:w="2115"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0.116</w:t>
            </w:r>
          </w:p>
        </w:tc>
      </w:tr>
      <w:tr w:rsidR="00206CD7" w:rsidRPr="00F00002" w:rsidTr="000505B9">
        <w:tc>
          <w:tcPr>
            <w:tcW w:w="1347" w:type="pct"/>
            <w:tcBorders>
              <w:top w:val="single" w:sz="4" w:space="0" w:color="auto"/>
            </w:tcBorders>
          </w:tcPr>
          <w:p w:rsidR="00206CD7" w:rsidRPr="00F00002" w:rsidRDefault="00206CD7" w:rsidP="00206CD7">
            <w:pPr>
              <w:pStyle w:val="Tabletext"/>
              <w:rPr>
                <w:color w:val="000000"/>
              </w:rPr>
            </w:pPr>
            <w:r w:rsidRPr="00F00002">
              <w:rPr>
                <w:color w:val="000000"/>
              </w:rPr>
              <w:t>35</w:t>
            </w:r>
          </w:p>
        </w:tc>
        <w:tc>
          <w:tcPr>
            <w:tcW w:w="1538" w:type="pct"/>
            <w:tcBorders>
              <w:top w:val="single" w:sz="4" w:space="0" w:color="auto"/>
            </w:tcBorders>
            <w:shd w:val="clear" w:color="auto" w:fill="auto"/>
          </w:tcPr>
          <w:p w:rsidR="00206CD7" w:rsidRPr="00F00002" w:rsidRDefault="00206CD7" w:rsidP="00206CD7">
            <w:pPr>
              <w:pStyle w:val="Tabletext"/>
              <w:jc w:val="right"/>
            </w:pPr>
            <w:r w:rsidRPr="00F00002">
              <w:rPr>
                <w:color w:val="000000"/>
              </w:rPr>
              <w:t>87</w:t>
            </w:r>
          </w:p>
        </w:tc>
        <w:tc>
          <w:tcPr>
            <w:tcW w:w="2115" w:type="pct"/>
            <w:tcBorders>
              <w:top w:val="single" w:sz="4" w:space="0" w:color="auto"/>
            </w:tcBorders>
            <w:shd w:val="clear" w:color="auto" w:fill="auto"/>
          </w:tcPr>
          <w:p w:rsidR="00206CD7" w:rsidRPr="00F00002" w:rsidRDefault="00206CD7" w:rsidP="00206CD7">
            <w:pPr>
              <w:pStyle w:val="Tabletext"/>
              <w:jc w:val="right"/>
            </w:pPr>
            <w:r w:rsidRPr="00F00002">
              <w:rPr>
                <w:color w:val="000000"/>
              </w:rPr>
              <w:t>0.128</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36</w:t>
            </w:r>
          </w:p>
        </w:tc>
        <w:tc>
          <w:tcPr>
            <w:tcW w:w="1538" w:type="pct"/>
            <w:shd w:val="clear" w:color="auto" w:fill="auto"/>
          </w:tcPr>
          <w:p w:rsidR="00206CD7" w:rsidRPr="00F00002" w:rsidRDefault="00206CD7" w:rsidP="00206CD7">
            <w:pPr>
              <w:pStyle w:val="Tabletext"/>
              <w:jc w:val="right"/>
            </w:pPr>
            <w:r w:rsidRPr="00F00002">
              <w:rPr>
                <w:color w:val="000000"/>
              </w:rPr>
              <w:t>88</w:t>
            </w:r>
          </w:p>
        </w:tc>
        <w:tc>
          <w:tcPr>
            <w:tcW w:w="2115" w:type="pct"/>
            <w:shd w:val="clear" w:color="auto" w:fill="auto"/>
          </w:tcPr>
          <w:p w:rsidR="00206CD7" w:rsidRPr="00F00002" w:rsidRDefault="00206CD7" w:rsidP="00206CD7">
            <w:pPr>
              <w:pStyle w:val="Tabletext"/>
              <w:jc w:val="right"/>
            </w:pPr>
            <w:r w:rsidRPr="00F00002">
              <w:rPr>
                <w:color w:val="000000"/>
              </w:rPr>
              <w:t>0.139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lastRenderedPageBreak/>
              <w:t>37</w:t>
            </w:r>
          </w:p>
        </w:tc>
        <w:tc>
          <w:tcPr>
            <w:tcW w:w="1538" w:type="pct"/>
            <w:shd w:val="clear" w:color="auto" w:fill="auto"/>
          </w:tcPr>
          <w:p w:rsidR="00206CD7" w:rsidRPr="00F00002" w:rsidRDefault="00206CD7" w:rsidP="00206CD7">
            <w:pPr>
              <w:pStyle w:val="Tabletext"/>
              <w:jc w:val="right"/>
            </w:pPr>
            <w:r w:rsidRPr="00F00002">
              <w:rPr>
                <w:color w:val="000000"/>
              </w:rPr>
              <w:t>89</w:t>
            </w:r>
          </w:p>
        </w:tc>
        <w:tc>
          <w:tcPr>
            <w:tcW w:w="2115" w:type="pct"/>
            <w:shd w:val="clear" w:color="auto" w:fill="auto"/>
          </w:tcPr>
          <w:p w:rsidR="00206CD7" w:rsidRPr="00F00002" w:rsidRDefault="00206CD7" w:rsidP="00206CD7">
            <w:pPr>
              <w:pStyle w:val="Tabletext"/>
              <w:jc w:val="right"/>
            </w:pPr>
            <w:r w:rsidRPr="00F00002">
              <w:rPr>
                <w:color w:val="000000"/>
              </w:rPr>
              <w:t>0.149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38</w:t>
            </w:r>
          </w:p>
        </w:tc>
        <w:tc>
          <w:tcPr>
            <w:tcW w:w="1538" w:type="pct"/>
            <w:shd w:val="clear" w:color="auto" w:fill="auto"/>
          </w:tcPr>
          <w:p w:rsidR="00206CD7" w:rsidRPr="00F00002" w:rsidRDefault="00206CD7" w:rsidP="00206CD7">
            <w:pPr>
              <w:pStyle w:val="Tabletext"/>
              <w:jc w:val="right"/>
            </w:pPr>
            <w:r w:rsidRPr="00F00002">
              <w:rPr>
                <w:color w:val="000000"/>
              </w:rPr>
              <w:t>90</w:t>
            </w:r>
          </w:p>
        </w:tc>
        <w:tc>
          <w:tcPr>
            <w:tcW w:w="2115" w:type="pct"/>
            <w:shd w:val="clear" w:color="auto" w:fill="auto"/>
          </w:tcPr>
          <w:p w:rsidR="00206CD7" w:rsidRPr="00F00002" w:rsidRDefault="00206CD7" w:rsidP="00206CD7">
            <w:pPr>
              <w:pStyle w:val="Tabletext"/>
              <w:jc w:val="right"/>
            </w:pPr>
            <w:r w:rsidRPr="00F00002">
              <w:rPr>
                <w:color w:val="000000"/>
              </w:rPr>
              <w:t>0.159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39</w:t>
            </w:r>
          </w:p>
        </w:tc>
        <w:tc>
          <w:tcPr>
            <w:tcW w:w="1538" w:type="pct"/>
            <w:shd w:val="clear" w:color="auto" w:fill="auto"/>
          </w:tcPr>
          <w:p w:rsidR="00206CD7" w:rsidRPr="00F00002" w:rsidRDefault="00206CD7" w:rsidP="00206CD7">
            <w:pPr>
              <w:pStyle w:val="Tabletext"/>
              <w:jc w:val="right"/>
            </w:pPr>
            <w:r w:rsidRPr="00F00002">
              <w:rPr>
                <w:color w:val="000000"/>
              </w:rPr>
              <w:t>91</w:t>
            </w:r>
          </w:p>
        </w:tc>
        <w:tc>
          <w:tcPr>
            <w:tcW w:w="2115" w:type="pct"/>
            <w:shd w:val="clear" w:color="auto" w:fill="auto"/>
          </w:tcPr>
          <w:p w:rsidR="00206CD7" w:rsidRPr="00F00002" w:rsidRDefault="00206CD7" w:rsidP="00206CD7">
            <w:pPr>
              <w:pStyle w:val="Tabletext"/>
              <w:jc w:val="right"/>
            </w:pPr>
            <w:r w:rsidRPr="00F00002">
              <w:rPr>
                <w:color w:val="000000"/>
              </w:rPr>
              <w:t>0.168</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40</w:t>
            </w:r>
          </w:p>
        </w:tc>
        <w:tc>
          <w:tcPr>
            <w:tcW w:w="1538" w:type="pct"/>
            <w:shd w:val="clear" w:color="auto" w:fill="auto"/>
          </w:tcPr>
          <w:p w:rsidR="00206CD7" w:rsidRPr="00F00002" w:rsidRDefault="00206CD7" w:rsidP="00206CD7">
            <w:pPr>
              <w:pStyle w:val="Tabletext"/>
              <w:jc w:val="right"/>
            </w:pPr>
            <w:r w:rsidRPr="00F00002">
              <w:rPr>
                <w:color w:val="000000"/>
              </w:rPr>
              <w:t>92</w:t>
            </w:r>
          </w:p>
        </w:tc>
        <w:tc>
          <w:tcPr>
            <w:tcW w:w="2115" w:type="pct"/>
            <w:shd w:val="clear" w:color="auto" w:fill="auto"/>
          </w:tcPr>
          <w:p w:rsidR="00206CD7" w:rsidRPr="00F00002" w:rsidRDefault="00206CD7" w:rsidP="00206CD7">
            <w:pPr>
              <w:pStyle w:val="Tabletext"/>
              <w:jc w:val="right"/>
            </w:pPr>
            <w:r w:rsidRPr="00F00002">
              <w:rPr>
                <w:color w:val="000000"/>
              </w:rPr>
              <w:t>0.176</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41</w:t>
            </w:r>
          </w:p>
        </w:tc>
        <w:tc>
          <w:tcPr>
            <w:tcW w:w="1538" w:type="pct"/>
            <w:shd w:val="clear" w:color="auto" w:fill="auto"/>
          </w:tcPr>
          <w:p w:rsidR="00206CD7" w:rsidRPr="00F00002" w:rsidRDefault="00206CD7" w:rsidP="00206CD7">
            <w:pPr>
              <w:pStyle w:val="Tabletext"/>
              <w:jc w:val="right"/>
            </w:pPr>
            <w:r w:rsidRPr="00F00002">
              <w:rPr>
                <w:color w:val="000000"/>
              </w:rPr>
              <w:t>93</w:t>
            </w:r>
          </w:p>
        </w:tc>
        <w:tc>
          <w:tcPr>
            <w:tcW w:w="2115" w:type="pct"/>
            <w:shd w:val="clear" w:color="auto" w:fill="auto"/>
          </w:tcPr>
          <w:p w:rsidR="00206CD7" w:rsidRPr="00F00002" w:rsidRDefault="00206CD7" w:rsidP="00206CD7">
            <w:pPr>
              <w:pStyle w:val="Tabletext"/>
              <w:jc w:val="right"/>
            </w:pPr>
            <w:r w:rsidRPr="00F00002">
              <w:rPr>
                <w:color w:val="000000"/>
              </w:rPr>
              <w:t>0.184</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42</w:t>
            </w:r>
          </w:p>
        </w:tc>
        <w:tc>
          <w:tcPr>
            <w:tcW w:w="1538" w:type="pct"/>
            <w:shd w:val="clear" w:color="auto" w:fill="auto"/>
          </w:tcPr>
          <w:p w:rsidR="00206CD7" w:rsidRPr="00F00002" w:rsidRDefault="00206CD7" w:rsidP="00206CD7">
            <w:pPr>
              <w:pStyle w:val="Tabletext"/>
              <w:jc w:val="right"/>
            </w:pPr>
            <w:r w:rsidRPr="00F00002">
              <w:rPr>
                <w:color w:val="000000"/>
              </w:rPr>
              <w:t>94</w:t>
            </w:r>
          </w:p>
        </w:tc>
        <w:tc>
          <w:tcPr>
            <w:tcW w:w="2115" w:type="pct"/>
            <w:shd w:val="clear" w:color="auto" w:fill="auto"/>
          </w:tcPr>
          <w:p w:rsidR="00206CD7" w:rsidRPr="00F00002" w:rsidRDefault="00206CD7" w:rsidP="00206CD7">
            <w:pPr>
              <w:pStyle w:val="Tabletext"/>
              <w:jc w:val="right"/>
            </w:pPr>
            <w:r w:rsidRPr="00F00002">
              <w:rPr>
                <w:color w:val="000000"/>
              </w:rPr>
              <w:t>0.193</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43</w:t>
            </w:r>
          </w:p>
        </w:tc>
        <w:tc>
          <w:tcPr>
            <w:tcW w:w="1538" w:type="pct"/>
            <w:shd w:val="clear" w:color="auto" w:fill="auto"/>
          </w:tcPr>
          <w:p w:rsidR="00206CD7" w:rsidRPr="00F00002" w:rsidRDefault="00206CD7" w:rsidP="00206CD7">
            <w:pPr>
              <w:pStyle w:val="Tabletext"/>
              <w:jc w:val="right"/>
            </w:pPr>
            <w:r w:rsidRPr="00F00002">
              <w:rPr>
                <w:color w:val="000000"/>
              </w:rPr>
              <w:t>95</w:t>
            </w:r>
          </w:p>
        </w:tc>
        <w:tc>
          <w:tcPr>
            <w:tcW w:w="2115" w:type="pct"/>
            <w:shd w:val="clear" w:color="auto" w:fill="auto"/>
          </w:tcPr>
          <w:p w:rsidR="00206CD7" w:rsidRPr="00F00002" w:rsidRDefault="00206CD7" w:rsidP="00206CD7">
            <w:pPr>
              <w:pStyle w:val="Tabletext"/>
              <w:jc w:val="right"/>
            </w:pPr>
            <w:r w:rsidRPr="00F00002">
              <w:rPr>
                <w:color w:val="000000"/>
              </w:rPr>
              <w:t>0.202</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44</w:t>
            </w:r>
          </w:p>
        </w:tc>
        <w:tc>
          <w:tcPr>
            <w:tcW w:w="1538" w:type="pct"/>
            <w:shd w:val="clear" w:color="auto" w:fill="auto"/>
          </w:tcPr>
          <w:p w:rsidR="00206CD7" w:rsidRPr="00F00002" w:rsidRDefault="00206CD7" w:rsidP="00206CD7">
            <w:pPr>
              <w:pStyle w:val="Tabletext"/>
              <w:jc w:val="right"/>
            </w:pPr>
            <w:r w:rsidRPr="00F00002">
              <w:rPr>
                <w:color w:val="000000"/>
              </w:rPr>
              <w:t>96</w:t>
            </w:r>
          </w:p>
        </w:tc>
        <w:tc>
          <w:tcPr>
            <w:tcW w:w="2115" w:type="pct"/>
            <w:shd w:val="clear" w:color="auto" w:fill="auto"/>
          </w:tcPr>
          <w:p w:rsidR="00206CD7" w:rsidRPr="00F00002" w:rsidRDefault="00206CD7" w:rsidP="00206CD7">
            <w:pPr>
              <w:pStyle w:val="Tabletext"/>
              <w:jc w:val="right"/>
            </w:pPr>
            <w:r w:rsidRPr="00F00002">
              <w:rPr>
                <w:color w:val="000000"/>
              </w:rPr>
              <w:t>0.211</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45</w:t>
            </w:r>
          </w:p>
        </w:tc>
        <w:tc>
          <w:tcPr>
            <w:tcW w:w="1538" w:type="pct"/>
            <w:shd w:val="clear" w:color="auto" w:fill="auto"/>
          </w:tcPr>
          <w:p w:rsidR="00206CD7" w:rsidRPr="00F00002" w:rsidRDefault="00206CD7" w:rsidP="00206CD7">
            <w:pPr>
              <w:pStyle w:val="Tabletext"/>
              <w:jc w:val="right"/>
            </w:pPr>
            <w:r w:rsidRPr="00F00002">
              <w:rPr>
                <w:color w:val="000000"/>
              </w:rPr>
              <w:t>97</w:t>
            </w:r>
          </w:p>
        </w:tc>
        <w:tc>
          <w:tcPr>
            <w:tcW w:w="2115" w:type="pct"/>
            <w:shd w:val="clear" w:color="auto" w:fill="auto"/>
          </w:tcPr>
          <w:p w:rsidR="00206CD7" w:rsidRPr="00F00002" w:rsidRDefault="00206CD7" w:rsidP="00206CD7">
            <w:pPr>
              <w:pStyle w:val="Tabletext"/>
              <w:jc w:val="right"/>
            </w:pPr>
            <w:r w:rsidRPr="00F00002">
              <w:rPr>
                <w:color w:val="000000"/>
              </w:rPr>
              <w:t>0.219</w:t>
            </w:r>
          </w:p>
        </w:tc>
      </w:tr>
      <w:tr w:rsidR="00206CD7" w:rsidRPr="00F00002" w:rsidTr="000505B9">
        <w:tc>
          <w:tcPr>
            <w:tcW w:w="1347" w:type="pct"/>
          </w:tcPr>
          <w:p w:rsidR="00206CD7" w:rsidRPr="00F00002" w:rsidRDefault="00206CD7" w:rsidP="00206CD7">
            <w:pPr>
              <w:pStyle w:val="Tabletext"/>
              <w:rPr>
                <w:color w:val="000000"/>
              </w:rPr>
            </w:pPr>
            <w:r w:rsidRPr="00F00002">
              <w:rPr>
                <w:color w:val="000000"/>
              </w:rPr>
              <w:t>46</w:t>
            </w:r>
          </w:p>
        </w:tc>
        <w:tc>
          <w:tcPr>
            <w:tcW w:w="1538" w:type="pct"/>
            <w:shd w:val="clear" w:color="auto" w:fill="auto"/>
          </w:tcPr>
          <w:p w:rsidR="00206CD7" w:rsidRPr="00F00002" w:rsidRDefault="00206CD7" w:rsidP="00206CD7">
            <w:pPr>
              <w:pStyle w:val="Tabletext"/>
              <w:jc w:val="right"/>
            </w:pPr>
            <w:r w:rsidRPr="00F00002">
              <w:rPr>
                <w:color w:val="000000"/>
              </w:rPr>
              <w:t>98</w:t>
            </w:r>
          </w:p>
        </w:tc>
        <w:tc>
          <w:tcPr>
            <w:tcW w:w="2115" w:type="pct"/>
            <w:shd w:val="clear" w:color="auto" w:fill="auto"/>
          </w:tcPr>
          <w:p w:rsidR="00206CD7" w:rsidRPr="00F00002" w:rsidRDefault="00206CD7" w:rsidP="00206CD7">
            <w:pPr>
              <w:pStyle w:val="Tabletext"/>
              <w:jc w:val="right"/>
            </w:pPr>
            <w:r w:rsidRPr="00F00002">
              <w:rPr>
                <w:color w:val="000000"/>
              </w:rPr>
              <w:t>0.228</w:t>
            </w:r>
          </w:p>
        </w:tc>
      </w:tr>
      <w:tr w:rsidR="00206CD7" w:rsidRPr="00F00002" w:rsidTr="000505B9">
        <w:tc>
          <w:tcPr>
            <w:tcW w:w="1347" w:type="pct"/>
            <w:tcBorders>
              <w:bottom w:val="single" w:sz="4" w:space="0" w:color="auto"/>
            </w:tcBorders>
          </w:tcPr>
          <w:p w:rsidR="00206CD7" w:rsidRPr="00F00002" w:rsidRDefault="00206CD7" w:rsidP="00206CD7">
            <w:pPr>
              <w:pStyle w:val="Tabletext"/>
              <w:rPr>
                <w:color w:val="000000"/>
              </w:rPr>
            </w:pPr>
            <w:r w:rsidRPr="00F00002">
              <w:rPr>
                <w:color w:val="000000"/>
              </w:rPr>
              <w:t>47</w:t>
            </w:r>
          </w:p>
        </w:tc>
        <w:tc>
          <w:tcPr>
            <w:tcW w:w="1538"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99</w:t>
            </w:r>
          </w:p>
        </w:tc>
        <w:tc>
          <w:tcPr>
            <w:tcW w:w="2115" w:type="pct"/>
            <w:tcBorders>
              <w:bottom w:val="single" w:sz="4" w:space="0" w:color="auto"/>
            </w:tcBorders>
            <w:shd w:val="clear" w:color="auto" w:fill="auto"/>
          </w:tcPr>
          <w:p w:rsidR="00206CD7" w:rsidRPr="00F00002" w:rsidRDefault="00206CD7" w:rsidP="00206CD7">
            <w:pPr>
              <w:pStyle w:val="Tabletext"/>
              <w:jc w:val="right"/>
            </w:pPr>
            <w:r w:rsidRPr="00F00002">
              <w:rPr>
                <w:color w:val="000000"/>
              </w:rPr>
              <w:t>0.236</w:t>
            </w:r>
          </w:p>
        </w:tc>
      </w:tr>
      <w:tr w:rsidR="00206CD7" w:rsidRPr="00F00002" w:rsidTr="000505B9">
        <w:tc>
          <w:tcPr>
            <w:tcW w:w="1347" w:type="pct"/>
            <w:tcBorders>
              <w:bottom w:val="single" w:sz="12" w:space="0" w:color="auto"/>
            </w:tcBorders>
          </w:tcPr>
          <w:p w:rsidR="00206CD7" w:rsidRPr="00F00002" w:rsidRDefault="00206CD7" w:rsidP="00206CD7">
            <w:pPr>
              <w:pStyle w:val="Tabletext"/>
              <w:rPr>
                <w:color w:val="000000"/>
              </w:rPr>
            </w:pPr>
            <w:r w:rsidRPr="00F00002">
              <w:rPr>
                <w:color w:val="000000"/>
              </w:rPr>
              <w:t>48</w:t>
            </w:r>
          </w:p>
        </w:tc>
        <w:tc>
          <w:tcPr>
            <w:tcW w:w="1538" w:type="pct"/>
            <w:tcBorders>
              <w:bottom w:val="single" w:sz="12" w:space="0" w:color="auto"/>
            </w:tcBorders>
            <w:shd w:val="clear" w:color="auto" w:fill="auto"/>
          </w:tcPr>
          <w:p w:rsidR="00206CD7" w:rsidRPr="00F00002" w:rsidRDefault="00206CD7" w:rsidP="00206CD7">
            <w:pPr>
              <w:pStyle w:val="Tabletext"/>
              <w:jc w:val="right"/>
            </w:pPr>
            <w:r w:rsidRPr="00F00002">
              <w:rPr>
                <w:color w:val="000000"/>
              </w:rPr>
              <w:t>100</w:t>
            </w:r>
          </w:p>
        </w:tc>
        <w:tc>
          <w:tcPr>
            <w:tcW w:w="2115" w:type="pct"/>
            <w:tcBorders>
              <w:bottom w:val="single" w:sz="12" w:space="0" w:color="auto"/>
            </w:tcBorders>
            <w:shd w:val="clear" w:color="auto" w:fill="auto"/>
          </w:tcPr>
          <w:p w:rsidR="00206CD7" w:rsidRPr="00F00002" w:rsidRDefault="00206CD7" w:rsidP="00206CD7">
            <w:pPr>
              <w:pStyle w:val="Tabletext"/>
              <w:jc w:val="right"/>
            </w:pPr>
            <w:r w:rsidRPr="00F00002">
              <w:rPr>
                <w:color w:val="000000"/>
              </w:rPr>
              <w:t>1.000</w:t>
            </w:r>
          </w:p>
        </w:tc>
      </w:tr>
    </w:tbl>
    <w:p w:rsidR="00206CD7" w:rsidRPr="00F00002" w:rsidRDefault="00206CD7" w:rsidP="0014237E">
      <w:pPr>
        <w:pStyle w:val="Specials"/>
      </w:pPr>
      <w:r w:rsidRPr="00F00002">
        <w:t>19  Other assumptions to be set by the actuary</w:t>
      </w:r>
    </w:p>
    <w:p w:rsidR="00206CD7" w:rsidRPr="00F00002" w:rsidRDefault="00206CD7" w:rsidP="00206CD7">
      <w:pPr>
        <w:pStyle w:val="subsection"/>
      </w:pPr>
      <w:r w:rsidRPr="00F00002">
        <w:tab/>
        <w:t>(1)</w:t>
      </w:r>
      <w:r w:rsidRPr="00F00002">
        <w:tab/>
        <w:t>Any other assumptions which may be necessary are to be set by the actuary responsible for calculating the new entrant rate.</w:t>
      </w:r>
    </w:p>
    <w:p w:rsidR="00206CD7" w:rsidRPr="00F00002" w:rsidRDefault="00206CD7" w:rsidP="00206CD7">
      <w:pPr>
        <w:pStyle w:val="subsection"/>
      </w:pPr>
      <w:r w:rsidRPr="00F00002">
        <w:tab/>
        <w:t>(2)</w:t>
      </w:r>
      <w:r w:rsidRPr="00F00002">
        <w:tab/>
        <w:t>The assumptions are to be based on the assumptions used in the most recent actuarial valuation of the fund, unless the actuary believes, having regard to the expected future experience of the fund, that they are no longer appropriate.</w:t>
      </w:r>
    </w:p>
    <w:p w:rsidR="00206CD7" w:rsidRPr="00F00002" w:rsidRDefault="00206CD7" w:rsidP="00206CD7">
      <w:pPr>
        <w:pStyle w:val="subsection"/>
      </w:pPr>
      <w:r w:rsidRPr="00F00002">
        <w:tab/>
        <w:t>(3)</w:t>
      </w:r>
      <w:r w:rsidRPr="00F00002">
        <w:tab/>
        <w:t>If the actuary believes that the assumptions used in the most recent actuarial valuation are no longer appropriate, the assumptions should be set on a best estimate basis.</w:t>
      </w:r>
    </w:p>
    <w:p w:rsidR="00206CD7" w:rsidRPr="00F00002" w:rsidRDefault="00206CD7" w:rsidP="00350487">
      <w:pPr>
        <w:pStyle w:val="ActHead2"/>
        <w:pageBreakBefore/>
      </w:pPr>
      <w:bookmarkStart w:id="217" w:name="_Toc31109777"/>
      <w:r w:rsidRPr="00A26088">
        <w:rPr>
          <w:rStyle w:val="CharPartNo"/>
        </w:rPr>
        <w:lastRenderedPageBreak/>
        <w:t>Part</w:t>
      </w:r>
      <w:r w:rsidR="00F00002" w:rsidRPr="00A26088">
        <w:rPr>
          <w:rStyle w:val="CharPartNo"/>
        </w:rPr>
        <w:t> </w:t>
      </w:r>
      <w:r w:rsidRPr="00A26088">
        <w:rPr>
          <w:rStyle w:val="CharPartNo"/>
        </w:rPr>
        <w:t>4</w:t>
      </w:r>
      <w:r w:rsidRPr="00F00002">
        <w:rPr>
          <w:color w:val="000000"/>
        </w:rPr>
        <w:t>—</w:t>
      </w:r>
      <w:r w:rsidRPr="00A26088">
        <w:rPr>
          <w:rStyle w:val="CharPartText"/>
        </w:rPr>
        <w:t>Exercise of discretion to pay a benefit greater than the benefit assumed in calculating the new entrant rate</w:t>
      </w:r>
      <w:bookmarkEnd w:id="217"/>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14237E">
      <w:pPr>
        <w:pStyle w:val="Specials"/>
      </w:pPr>
      <w:r w:rsidRPr="00F00002">
        <w:t xml:space="preserve">20  Method of working out </w:t>
      </w:r>
      <w:r w:rsidRPr="00F00002">
        <w:rPr>
          <w:i/>
        </w:rPr>
        <w:t>W</w:t>
      </w:r>
      <w:r w:rsidRPr="00F00002">
        <w:t xml:space="preserve"> in the formula in subclause</w:t>
      </w:r>
      <w:r w:rsidR="00F00002">
        <w:t> </w:t>
      </w:r>
      <w:r w:rsidRPr="00F00002">
        <w:t>4(2)</w:t>
      </w:r>
    </w:p>
    <w:p w:rsidR="00206CD7" w:rsidRPr="00F00002" w:rsidRDefault="00206CD7" w:rsidP="00206CD7">
      <w:pPr>
        <w:pStyle w:val="subsection"/>
      </w:pPr>
      <w:r w:rsidRPr="00F00002">
        <w:tab/>
        <w:t>(1)</w:t>
      </w:r>
      <w:r w:rsidRPr="00F00002">
        <w:tab/>
        <w:t>If a discretion is exercised to pay a benefit upon:</w:t>
      </w:r>
    </w:p>
    <w:p w:rsidR="00206CD7" w:rsidRPr="00F00002" w:rsidRDefault="00206CD7" w:rsidP="00206CD7">
      <w:pPr>
        <w:pStyle w:val="paragraph"/>
      </w:pPr>
      <w:r w:rsidRPr="00F00002">
        <w:tab/>
        <w:t>(a)</w:t>
      </w:r>
      <w:r w:rsidRPr="00F00002">
        <w:tab/>
        <w:t>voluntary exit; or</w:t>
      </w:r>
    </w:p>
    <w:p w:rsidR="00206CD7" w:rsidRPr="00F00002" w:rsidRDefault="00206CD7" w:rsidP="00206CD7">
      <w:pPr>
        <w:pStyle w:val="paragraph"/>
      </w:pPr>
      <w:r w:rsidRPr="00F00002">
        <w:tab/>
        <w:t>(b)</w:t>
      </w:r>
      <w:r w:rsidRPr="00F00002">
        <w:tab/>
        <w:t>redundancy that is not bona fide;</w:t>
      </w:r>
    </w:p>
    <w:p w:rsidR="00206CD7" w:rsidRPr="00F00002" w:rsidRDefault="00206CD7" w:rsidP="00350487">
      <w:pPr>
        <w:pStyle w:val="subsection2"/>
      </w:pPr>
      <w:r w:rsidRPr="00F00002">
        <w:t>which is greater than the benefit assumed in calculating the new entrant rate, the excess of the actual benefit paid over the amount of the assumed benefit at the time the actual benefit is paid (</w:t>
      </w:r>
      <w:r w:rsidRPr="00F00002">
        <w:rPr>
          <w:b/>
          <w:i/>
        </w:rPr>
        <w:t>W</w:t>
      </w:r>
      <w:r w:rsidRPr="00F00002">
        <w:t>) forms part of the amount of notional employer contributions for the member for the financial year in which the benefit is paid.</w:t>
      </w:r>
    </w:p>
    <w:p w:rsidR="00206CD7" w:rsidRPr="00F00002" w:rsidRDefault="00206CD7" w:rsidP="00206CD7">
      <w:pPr>
        <w:pStyle w:val="subsection"/>
      </w:pPr>
      <w:r w:rsidRPr="00F00002">
        <w:tab/>
        <w:t>(2)</w:t>
      </w:r>
      <w:r w:rsidRPr="00F00002">
        <w:tab/>
        <w:t>For the formula in subclause</w:t>
      </w:r>
      <w:r w:rsidR="00F00002">
        <w:t> </w:t>
      </w:r>
      <w:r w:rsidRPr="00F00002">
        <w:t>4(2):</w:t>
      </w:r>
    </w:p>
    <w:p w:rsidR="00206CD7" w:rsidRPr="00F00002" w:rsidRDefault="00206CD7" w:rsidP="00206CD7">
      <w:pPr>
        <w:pStyle w:val="paragraph"/>
      </w:pPr>
      <w:r w:rsidRPr="00F00002">
        <w:tab/>
        <w:t>(a)</w:t>
      </w:r>
      <w:r w:rsidRPr="00F00002">
        <w:tab/>
        <w:t>in a financial year in which the trustee does not exercise a discretion to pay a benefit to the member which is greater than the assumed benefit—</w:t>
      </w:r>
      <w:r w:rsidRPr="00F00002">
        <w:rPr>
          <w:b/>
          <w:i/>
        </w:rPr>
        <w:t>W</w:t>
      </w:r>
      <w:r w:rsidRPr="00F00002">
        <w:t xml:space="preserve"> equals zero; and</w:t>
      </w:r>
    </w:p>
    <w:p w:rsidR="00206CD7" w:rsidRPr="00F00002" w:rsidRDefault="00206CD7" w:rsidP="00206CD7">
      <w:pPr>
        <w:pStyle w:val="paragraph"/>
      </w:pPr>
      <w:r w:rsidRPr="00F00002">
        <w:tab/>
        <w:t>(b)</w:t>
      </w:r>
      <w:r w:rsidRPr="00F00002">
        <w:tab/>
        <w:t>in any other financial year—</w:t>
      </w:r>
      <w:r w:rsidRPr="00F00002">
        <w:rPr>
          <w:b/>
          <w:i/>
        </w:rPr>
        <w:t>W</w:t>
      </w:r>
      <w:r w:rsidRPr="00F00002">
        <w:t xml:space="preserve"> equals an amount worked out on advice from an actuary that represents the excess of the actual benefit paid to the member over the amount of the assumed benefit at the time the actual benefit is paid.</w:t>
      </w:r>
    </w:p>
    <w:p w:rsidR="00206CD7" w:rsidRPr="00F00002" w:rsidRDefault="00206CD7" w:rsidP="00350487">
      <w:pPr>
        <w:pStyle w:val="ActHead2"/>
        <w:pageBreakBefore/>
      </w:pPr>
      <w:bookmarkStart w:id="218" w:name="_Toc31109778"/>
      <w:r w:rsidRPr="00A26088">
        <w:rPr>
          <w:rStyle w:val="CharPartNo"/>
        </w:rPr>
        <w:lastRenderedPageBreak/>
        <w:t>Part</w:t>
      </w:r>
      <w:r w:rsidR="00F00002" w:rsidRPr="00A26088">
        <w:rPr>
          <w:rStyle w:val="CharPartNo"/>
        </w:rPr>
        <w:t> </w:t>
      </w:r>
      <w:r w:rsidRPr="00A26088">
        <w:rPr>
          <w:rStyle w:val="CharPartNo"/>
        </w:rPr>
        <w:t>5</w:t>
      </w:r>
      <w:r w:rsidRPr="00F00002">
        <w:rPr>
          <w:color w:val="000000"/>
        </w:rPr>
        <w:t>—</w:t>
      </w:r>
      <w:r w:rsidRPr="00A26088">
        <w:rPr>
          <w:rStyle w:val="CharPartText"/>
        </w:rPr>
        <w:t>Member has changed benefit category</w:t>
      </w:r>
      <w:bookmarkEnd w:id="218"/>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14237E">
      <w:pPr>
        <w:pStyle w:val="Specials"/>
      </w:pPr>
      <w:r w:rsidRPr="00F00002">
        <w:t xml:space="preserve">21  Method of working out </w:t>
      </w:r>
      <w:r w:rsidRPr="00F00002">
        <w:rPr>
          <w:i/>
        </w:rPr>
        <w:t>X</w:t>
      </w:r>
      <w:r w:rsidRPr="00F00002">
        <w:t xml:space="preserve"> in the formula in subclause</w:t>
      </w:r>
      <w:r w:rsidR="00F00002">
        <w:t> </w:t>
      </w:r>
      <w:r w:rsidRPr="00F00002">
        <w:t>4(2)</w:t>
      </w:r>
    </w:p>
    <w:p w:rsidR="00206CD7" w:rsidRPr="00F00002" w:rsidRDefault="00206CD7" w:rsidP="00206CD7">
      <w:pPr>
        <w:pStyle w:val="subsection"/>
      </w:pPr>
      <w:r w:rsidRPr="00F00002">
        <w:rPr>
          <w:color w:val="000000"/>
        </w:rPr>
        <w:tab/>
        <w:t>(1)</w:t>
      </w:r>
      <w:r w:rsidRPr="00F00002">
        <w:rPr>
          <w:color w:val="000000"/>
        </w:rPr>
        <w:tab/>
        <w:t>If a member’s accrued retirement benefit increases during a financial year as a result of a change of benefit category or as a result of an exercise of discretion, an additional amount (</w:t>
      </w:r>
      <w:r w:rsidRPr="00F00002">
        <w:rPr>
          <w:b/>
          <w:i/>
          <w:color w:val="000000"/>
        </w:rPr>
        <w:t>X</w:t>
      </w:r>
      <w:r w:rsidRPr="00F00002">
        <w:rPr>
          <w:color w:val="000000"/>
        </w:rPr>
        <w:t>) may need to be included in the amount of notional employer contributions for the financial year.</w:t>
      </w:r>
    </w:p>
    <w:p w:rsidR="00206CD7" w:rsidRPr="00F00002" w:rsidRDefault="00206CD7" w:rsidP="00206CD7">
      <w:pPr>
        <w:pStyle w:val="subsection"/>
      </w:pPr>
      <w:r w:rsidRPr="00F00002">
        <w:tab/>
        <w:t>(2)</w:t>
      </w:r>
      <w:r w:rsidRPr="00F00002">
        <w:tab/>
        <w:t>For the formula in subclause</w:t>
      </w:r>
      <w:r w:rsidR="00F00002">
        <w:t> </w:t>
      </w:r>
      <w:r w:rsidRPr="00F00002">
        <w:t>4(2):</w:t>
      </w:r>
    </w:p>
    <w:p w:rsidR="00206CD7" w:rsidRPr="00F00002" w:rsidRDefault="00206CD7" w:rsidP="00206CD7">
      <w:pPr>
        <w:pStyle w:val="paragraph"/>
      </w:pPr>
      <w:r w:rsidRPr="00F00002">
        <w:rPr>
          <w:color w:val="000000"/>
        </w:rPr>
        <w:tab/>
        <w:t>(a)</w:t>
      </w:r>
      <w:r w:rsidRPr="00F00002">
        <w:rPr>
          <w:color w:val="000000"/>
        </w:rPr>
        <w:tab/>
        <w:t>in a financial year in which the member’s accrued retirement benefit does not increase as a result of a change in benefit category or as a result of an exercise of discretion—</w:t>
      </w:r>
      <w:r w:rsidRPr="00F00002">
        <w:rPr>
          <w:b/>
          <w:i/>
          <w:color w:val="000000"/>
        </w:rPr>
        <w:t>X</w:t>
      </w:r>
      <w:r w:rsidRPr="00F00002">
        <w:rPr>
          <w:color w:val="000000"/>
        </w:rPr>
        <w:t xml:space="preserve"> equals zero; and</w:t>
      </w:r>
    </w:p>
    <w:p w:rsidR="00206CD7" w:rsidRPr="00F00002" w:rsidRDefault="00206CD7" w:rsidP="00206CD7">
      <w:pPr>
        <w:pStyle w:val="paragraph"/>
      </w:pPr>
      <w:r w:rsidRPr="00F00002">
        <w:tab/>
        <w:t>(b)</w:t>
      </w:r>
      <w:r w:rsidRPr="00F00002">
        <w:tab/>
        <w:t>in any other financial year—</w:t>
      </w:r>
      <w:r w:rsidRPr="00F00002">
        <w:rPr>
          <w:b/>
          <w:i/>
        </w:rPr>
        <w:t>X</w:t>
      </w:r>
      <w:r w:rsidRPr="00F00002">
        <w:t xml:space="preserve"> equals an amount worked out on advice from an actuary that represents the increase in the value of the accrued retirement benefit, if any, that accrued to the member as a result of the change in benefit category or as a result of the exercise of the discretion.</w:t>
      </w:r>
    </w:p>
    <w:p w:rsidR="00206CD7" w:rsidRPr="00F00002" w:rsidRDefault="00206CD7" w:rsidP="00206CD7">
      <w:pPr>
        <w:pStyle w:val="subsection"/>
      </w:pPr>
      <w:r w:rsidRPr="00F00002">
        <w:tab/>
        <w:t>(3)</w:t>
      </w:r>
      <w:r w:rsidRPr="00F00002">
        <w:tab/>
        <w:t>The economic and other assumptions to be used are set out in Part</w:t>
      </w:r>
      <w:r w:rsidR="00F00002">
        <w:t> </w:t>
      </w:r>
      <w:r w:rsidRPr="00F00002">
        <w:t>3.</w:t>
      </w:r>
    </w:p>
    <w:p w:rsidR="00206CD7" w:rsidRPr="00F00002" w:rsidRDefault="00206CD7" w:rsidP="00350487">
      <w:pPr>
        <w:pStyle w:val="ActHead2"/>
        <w:pageBreakBefore/>
      </w:pPr>
      <w:bookmarkStart w:id="219" w:name="_Toc31109779"/>
      <w:r w:rsidRPr="00A26088">
        <w:rPr>
          <w:rStyle w:val="CharPartNo"/>
        </w:rPr>
        <w:lastRenderedPageBreak/>
        <w:t>Part</w:t>
      </w:r>
      <w:r w:rsidR="00F00002" w:rsidRPr="00A26088">
        <w:rPr>
          <w:rStyle w:val="CharPartNo"/>
        </w:rPr>
        <w:t> </w:t>
      </w:r>
      <w:r w:rsidRPr="00A26088">
        <w:rPr>
          <w:rStyle w:val="CharPartNo"/>
        </w:rPr>
        <w:t>6</w:t>
      </w:r>
      <w:r w:rsidRPr="00F00002">
        <w:rPr>
          <w:color w:val="000000"/>
        </w:rPr>
        <w:t>—</w:t>
      </w:r>
      <w:r w:rsidRPr="00A26088">
        <w:rPr>
          <w:rStyle w:val="CharPartText"/>
        </w:rPr>
        <w:t>Governing rules have changed</w:t>
      </w:r>
      <w:bookmarkEnd w:id="219"/>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14237E">
      <w:pPr>
        <w:pStyle w:val="Specials"/>
      </w:pPr>
      <w:r w:rsidRPr="00F00002">
        <w:t xml:space="preserve">22  Method of working out </w:t>
      </w:r>
      <w:r w:rsidRPr="00F00002">
        <w:rPr>
          <w:i/>
        </w:rPr>
        <w:t>Y</w:t>
      </w:r>
      <w:r w:rsidRPr="00F00002">
        <w:t xml:space="preserve"> in the formula in subclause</w:t>
      </w:r>
      <w:r w:rsidR="00F00002">
        <w:t> </w:t>
      </w:r>
      <w:r w:rsidRPr="00F00002">
        <w:t>4(2)</w:t>
      </w:r>
    </w:p>
    <w:p w:rsidR="00206CD7" w:rsidRPr="00F00002" w:rsidRDefault="00206CD7" w:rsidP="00206CD7">
      <w:pPr>
        <w:pStyle w:val="subsection"/>
      </w:pPr>
      <w:r w:rsidRPr="00F00002">
        <w:tab/>
        <w:t>(1)</w:t>
      </w:r>
      <w:r w:rsidRPr="00F00002">
        <w:tab/>
        <w:t>If:</w:t>
      </w:r>
    </w:p>
    <w:p w:rsidR="00206CD7" w:rsidRPr="00F00002" w:rsidRDefault="00206CD7" w:rsidP="00206CD7">
      <w:pPr>
        <w:pStyle w:val="paragraph"/>
      </w:pPr>
      <w:r w:rsidRPr="00F00002">
        <w:tab/>
        <w:t>(a)</w:t>
      </w:r>
      <w:r w:rsidRPr="00F00002">
        <w:tab/>
        <w:t>the governing rules of the defined benefit fund are amended in a way that may result in an increase in a member’s benefit; and</w:t>
      </w:r>
    </w:p>
    <w:p w:rsidR="00206CD7" w:rsidRPr="00F00002" w:rsidRDefault="00206CD7" w:rsidP="00206CD7">
      <w:pPr>
        <w:pStyle w:val="paragraph"/>
      </w:pPr>
      <w:r w:rsidRPr="00F00002">
        <w:tab/>
        <w:t>(b)</w:t>
      </w:r>
      <w:r w:rsidRPr="00F00002">
        <w:tab/>
        <w:t>the amendment is made for a reason other than to satisfy a legislative requirement;</w:t>
      </w:r>
    </w:p>
    <w:p w:rsidR="00206CD7" w:rsidRPr="00F00002" w:rsidRDefault="00206CD7" w:rsidP="00206CD7">
      <w:pPr>
        <w:pStyle w:val="subsection2"/>
      </w:pPr>
      <w:r w:rsidRPr="00F00002">
        <w:t>an additional amount (</w:t>
      </w:r>
      <w:r w:rsidRPr="00F00002">
        <w:rPr>
          <w:b/>
          <w:i/>
        </w:rPr>
        <w:t>Y</w:t>
      </w:r>
      <w:r w:rsidRPr="00F00002">
        <w:t>) may need to be included in the amount of notional employer contributions for the financial year.</w:t>
      </w:r>
    </w:p>
    <w:p w:rsidR="00206CD7" w:rsidRPr="00F00002" w:rsidRDefault="00206CD7" w:rsidP="00206CD7">
      <w:pPr>
        <w:pStyle w:val="subsection"/>
      </w:pPr>
      <w:r w:rsidRPr="00F00002">
        <w:tab/>
        <w:t>(2)</w:t>
      </w:r>
      <w:r w:rsidRPr="00F00002">
        <w:tab/>
        <w:t>For the formula in subclause</w:t>
      </w:r>
      <w:r w:rsidR="00F00002">
        <w:t> </w:t>
      </w:r>
      <w:r w:rsidRPr="00F00002">
        <w:t>4(2):</w:t>
      </w:r>
    </w:p>
    <w:p w:rsidR="00206CD7" w:rsidRPr="00F00002" w:rsidRDefault="00206CD7" w:rsidP="00206CD7">
      <w:pPr>
        <w:pStyle w:val="paragraph"/>
      </w:pPr>
      <w:r w:rsidRPr="00F00002">
        <w:rPr>
          <w:color w:val="000000"/>
        </w:rPr>
        <w:tab/>
        <w:t>(a)</w:t>
      </w:r>
      <w:r w:rsidRPr="00F00002">
        <w:rPr>
          <w:color w:val="000000"/>
        </w:rPr>
        <w:tab/>
        <w:t>in a financial year in which the fund rules are not changed in a way that may result in an increase in a member’s benefit—</w:t>
      </w:r>
      <w:r w:rsidRPr="00F00002">
        <w:rPr>
          <w:b/>
          <w:i/>
          <w:color w:val="000000"/>
        </w:rPr>
        <w:t>Y</w:t>
      </w:r>
      <w:r w:rsidRPr="00F00002">
        <w:rPr>
          <w:color w:val="000000"/>
        </w:rPr>
        <w:t xml:space="preserve"> equals zero; and</w:t>
      </w:r>
    </w:p>
    <w:p w:rsidR="00206CD7" w:rsidRPr="00F00002" w:rsidRDefault="00206CD7" w:rsidP="00206CD7">
      <w:pPr>
        <w:pStyle w:val="paragraph"/>
      </w:pPr>
      <w:r w:rsidRPr="00F00002">
        <w:tab/>
        <w:t>(b)</w:t>
      </w:r>
      <w:r w:rsidRPr="00F00002">
        <w:tab/>
        <w:t>in any other financial year:</w:t>
      </w:r>
    </w:p>
    <w:p w:rsidR="00206CD7" w:rsidRPr="00F00002" w:rsidRDefault="00206CD7" w:rsidP="00206CD7">
      <w:pPr>
        <w:pStyle w:val="paragraphsub"/>
      </w:pPr>
      <w:r w:rsidRPr="00F00002">
        <w:tab/>
        <w:t>(i)</w:t>
      </w:r>
      <w:r w:rsidRPr="00F00002">
        <w:tab/>
        <w:t>if the reason for the change in fund rules is to satisfy a legislative requirement—</w:t>
      </w:r>
      <w:r w:rsidRPr="00F00002">
        <w:rPr>
          <w:b/>
          <w:i/>
        </w:rPr>
        <w:t>Y</w:t>
      </w:r>
      <w:r w:rsidRPr="00F00002">
        <w:t xml:space="preserve"> equals zero; and</w:t>
      </w:r>
    </w:p>
    <w:p w:rsidR="00206CD7" w:rsidRPr="00F00002" w:rsidRDefault="00206CD7" w:rsidP="00206CD7">
      <w:pPr>
        <w:pStyle w:val="paragraphsub"/>
      </w:pPr>
      <w:r w:rsidRPr="00F00002">
        <w:rPr>
          <w:color w:val="000000"/>
        </w:rPr>
        <w:tab/>
        <w:t>(ii)</w:t>
      </w:r>
      <w:r w:rsidRPr="00F00002">
        <w:rPr>
          <w:color w:val="000000"/>
        </w:rPr>
        <w:tab/>
        <w:t>if the change is for any other reason—</w:t>
      </w:r>
      <w:r w:rsidRPr="00F00002">
        <w:rPr>
          <w:b/>
          <w:i/>
          <w:color w:val="000000"/>
        </w:rPr>
        <w:t>Y</w:t>
      </w:r>
      <w:r w:rsidRPr="00F00002">
        <w:rPr>
          <w:color w:val="000000"/>
        </w:rPr>
        <w:t xml:space="preserve"> equals an amount worked out on advice from an actuary that represents the increase in the value of the accrued retirement benefit, if any, that accrued to the member as a result of the change in fund rules.</w:t>
      </w:r>
    </w:p>
    <w:p w:rsidR="00206CD7" w:rsidRPr="00F00002" w:rsidRDefault="00206CD7" w:rsidP="00206CD7">
      <w:pPr>
        <w:pStyle w:val="subsection"/>
      </w:pPr>
      <w:r w:rsidRPr="00F00002">
        <w:tab/>
        <w:t>(3)</w:t>
      </w:r>
      <w:r w:rsidRPr="00F00002">
        <w:tab/>
        <w:t>The economic and other assumptions to be used are set out in Part</w:t>
      </w:r>
      <w:r w:rsidR="00F00002">
        <w:t> </w:t>
      </w:r>
      <w:r w:rsidRPr="00F00002">
        <w:t>3.</w:t>
      </w:r>
    </w:p>
    <w:p w:rsidR="00206CD7" w:rsidRPr="00F00002" w:rsidRDefault="00206CD7" w:rsidP="00350487">
      <w:pPr>
        <w:pStyle w:val="ActHead2"/>
        <w:pageBreakBefore/>
      </w:pPr>
      <w:bookmarkStart w:id="220" w:name="_Toc31109780"/>
      <w:r w:rsidRPr="00A26088">
        <w:rPr>
          <w:rStyle w:val="CharPartNo"/>
        </w:rPr>
        <w:lastRenderedPageBreak/>
        <w:t>Part</w:t>
      </w:r>
      <w:r w:rsidR="00F00002" w:rsidRPr="00A26088">
        <w:rPr>
          <w:rStyle w:val="CharPartNo"/>
        </w:rPr>
        <w:t> </w:t>
      </w:r>
      <w:r w:rsidRPr="00A26088">
        <w:rPr>
          <w:rStyle w:val="CharPartNo"/>
        </w:rPr>
        <w:t>7</w:t>
      </w:r>
      <w:r w:rsidRPr="00F00002">
        <w:rPr>
          <w:color w:val="000000"/>
        </w:rPr>
        <w:t>—</w:t>
      </w:r>
      <w:r w:rsidRPr="00A26088">
        <w:rPr>
          <w:rStyle w:val="CharPartText"/>
        </w:rPr>
        <w:t>Non</w:t>
      </w:r>
      <w:r w:rsidR="00F00002" w:rsidRPr="00A26088">
        <w:rPr>
          <w:rStyle w:val="CharPartText"/>
        </w:rPr>
        <w:noBreakHyphen/>
      </w:r>
      <w:r w:rsidRPr="00A26088">
        <w:rPr>
          <w:rStyle w:val="CharPartText"/>
        </w:rPr>
        <w:t>arm’s length increase in superannuation salary</w:t>
      </w:r>
      <w:bookmarkEnd w:id="220"/>
    </w:p>
    <w:p w:rsidR="00206CD7" w:rsidRPr="00A26088" w:rsidRDefault="00206CD7" w:rsidP="00206CD7">
      <w:pPr>
        <w:pStyle w:val="Header"/>
      </w:pPr>
      <w:r w:rsidRPr="00A26088">
        <w:rPr>
          <w:rStyle w:val="CharDivNo"/>
        </w:rPr>
        <w:t xml:space="preserve"> </w:t>
      </w:r>
      <w:r w:rsidRPr="00A26088">
        <w:rPr>
          <w:rStyle w:val="CharDivText"/>
        </w:rPr>
        <w:t xml:space="preserve"> </w:t>
      </w:r>
    </w:p>
    <w:p w:rsidR="00206CD7" w:rsidRPr="00F00002" w:rsidRDefault="00206CD7" w:rsidP="0014237E">
      <w:pPr>
        <w:pStyle w:val="Specials"/>
      </w:pPr>
      <w:r w:rsidRPr="00F00002">
        <w:t xml:space="preserve">23  Method of working out </w:t>
      </w:r>
      <w:r w:rsidRPr="00F00002">
        <w:rPr>
          <w:i/>
        </w:rPr>
        <w:t>Z</w:t>
      </w:r>
      <w:r w:rsidRPr="00F00002">
        <w:t xml:space="preserve"> in the formula in subclause</w:t>
      </w:r>
      <w:r w:rsidR="00F00002">
        <w:t> </w:t>
      </w:r>
      <w:r w:rsidRPr="00F00002">
        <w:t>4(2)</w:t>
      </w:r>
    </w:p>
    <w:p w:rsidR="00206CD7" w:rsidRPr="00F00002" w:rsidRDefault="00206CD7" w:rsidP="00206CD7">
      <w:pPr>
        <w:pStyle w:val="subsection"/>
      </w:pPr>
      <w:r w:rsidRPr="00F00002">
        <w:rPr>
          <w:color w:val="000000"/>
        </w:rPr>
        <w:tab/>
        <w:t>(1)</w:t>
      </w:r>
      <w:r w:rsidRPr="00F00002">
        <w:rPr>
          <w:color w:val="000000"/>
        </w:rPr>
        <w:tab/>
        <w:t>If a member’s superannuation salary is increased in a non</w:t>
      </w:r>
      <w:r w:rsidR="00F00002">
        <w:rPr>
          <w:color w:val="000000"/>
        </w:rPr>
        <w:noBreakHyphen/>
      </w:r>
      <w:r w:rsidRPr="00F00002">
        <w:rPr>
          <w:color w:val="000000"/>
        </w:rPr>
        <w:t>arm’s length way with the primary purpose being to achieve an increase in superannuation benefit, an additional amount (</w:t>
      </w:r>
      <w:r w:rsidRPr="00F00002">
        <w:rPr>
          <w:b/>
          <w:i/>
          <w:color w:val="000000"/>
        </w:rPr>
        <w:t>Z</w:t>
      </w:r>
      <w:r w:rsidRPr="00F00002">
        <w:rPr>
          <w:color w:val="000000"/>
        </w:rPr>
        <w:t>) may need to be included in the amount of notional employer contributions for the financial year.</w:t>
      </w:r>
    </w:p>
    <w:p w:rsidR="00206CD7" w:rsidRPr="00F00002" w:rsidRDefault="00206CD7" w:rsidP="00206CD7">
      <w:pPr>
        <w:pStyle w:val="subsection"/>
      </w:pPr>
      <w:r w:rsidRPr="00F00002">
        <w:tab/>
        <w:t>(2)</w:t>
      </w:r>
      <w:r w:rsidRPr="00F00002">
        <w:tab/>
        <w:t>For the formula in subclause</w:t>
      </w:r>
      <w:r w:rsidR="00F00002">
        <w:t> </w:t>
      </w:r>
      <w:r w:rsidRPr="00F00002">
        <w:t>4(2):</w:t>
      </w:r>
    </w:p>
    <w:p w:rsidR="00206CD7" w:rsidRPr="00F00002" w:rsidRDefault="00206CD7" w:rsidP="00206CD7">
      <w:pPr>
        <w:pStyle w:val="paragraph"/>
      </w:pPr>
      <w:r w:rsidRPr="00F00002">
        <w:rPr>
          <w:color w:val="000000"/>
        </w:rPr>
        <w:tab/>
        <w:t>(a)</w:t>
      </w:r>
      <w:r w:rsidRPr="00F00002">
        <w:rPr>
          <w:color w:val="000000"/>
        </w:rPr>
        <w:tab/>
        <w:t>in a financial year where the member’s superannuation salary is not increased in a non</w:t>
      </w:r>
      <w:r w:rsidR="00F00002">
        <w:rPr>
          <w:color w:val="000000"/>
        </w:rPr>
        <w:noBreakHyphen/>
      </w:r>
      <w:r w:rsidRPr="00F00002">
        <w:rPr>
          <w:color w:val="000000"/>
        </w:rPr>
        <w:t>arm’s length way—</w:t>
      </w:r>
      <w:r w:rsidRPr="00F00002">
        <w:rPr>
          <w:b/>
          <w:i/>
          <w:color w:val="000000"/>
        </w:rPr>
        <w:t>Z</w:t>
      </w:r>
      <w:r w:rsidRPr="00F00002">
        <w:rPr>
          <w:color w:val="000000"/>
        </w:rPr>
        <w:t xml:space="preserve"> equals zero; and</w:t>
      </w:r>
    </w:p>
    <w:p w:rsidR="00206CD7" w:rsidRPr="00F00002" w:rsidRDefault="00206CD7" w:rsidP="00206CD7">
      <w:pPr>
        <w:pStyle w:val="paragraph"/>
      </w:pPr>
      <w:r w:rsidRPr="00F00002">
        <w:tab/>
        <w:t>(b)</w:t>
      </w:r>
      <w:r w:rsidRPr="00F00002">
        <w:tab/>
        <w:t>in any other financial year—</w:t>
      </w:r>
      <w:r w:rsidRPr="00F00002">
        <w:rPr>
          <w:b/>
          <w:i/>
        </w:rPr>
        <w:t>Z</w:t>
      </w:r>
      <w:r w:rsidRPr="00F00002">
        <w:t xml:space="preserve"> equals an amount worked out on advice from an actuary that represents the increase in the value of the accrued retirement benefit, if any, that accrued to the member as a result of the change in superannuation salary.</w:t>
      </w:r>
    </w:p>
    <w:p w:rsidR="00206CD7" w:rsidRPr="00F00002" w:rsidRDefault="00206CD7" w:rsidP="00206CD7">
      <w:pPr>
        <w:pStyle w:val="subsection"/>
      </w:pPr>
      <w:r w:rsidRPr="00F00002">
        <w:tab/>
        <w:t>(3)</w:t>
      </w:r>
      <w:r w:rsidRPr="00F00002">
        <w:tab/>
        <w:t>The economic and other assumptions to be used are set out in Part</w:t>
      </w:r>
      <w:r w:rsidR="00F00002">
        <w:t> </w:t>
      </w:r>
      <w:r w:rsidRPr="00F00002">
        <w:t>3.</w:t>
      </w:r>
    </w:p>
    <w:p w:rsidR="00BB4501" w:rsidRPr="00F00002" w:rsidRDefault="00D150ED" w:rsidP="00D150ED">
      <w:pPr>
        <w:pStyle w:val="ActHead1"/>
        <w:pageBreakBefore/>
      </w:pPr>
      <w:bookmarkStart w:id="221" w:name="BK_S6P118L1C1"/>
      <w:bookmarkStart w:id="222" w:name="_Toc31109781"/>
      <w:bookmarkEnd w:id="221"/>
      <w:r w:rsidRPr="00A26088">
        <w:rPr>
          <w:rStyle w:val="CharChapNo"/>
        </w:rPr>
        <w:lastRenderedPageBreak/>
        <w:t>Schedule</w:t>
      </w:r>
      <w:r w:rsidR="00F00002" w:rsidRPr="00A26088">
        <w:rPr>
          <w:rStyle w:val="CharChapNo"/>
        </w:rPr>
        <w:t> </w:t>
      </w:r>
      <w:r w:rsidR="00BB4501" w:rsidRPr="00A26088">
        <w:rPr>
          <w:rStyle w:val="CharChapNo"/>
        </w:rPr>
        <w:t>1B</w:t>
      </w:r>
      <w:r w:rsidRPr="00F00002">
        <w:rPr>
          <w:color w:val="000000"/>
        </w:rPr>
        <w:t>—</w:t>
      </w:r>
      <w:r w:rsidR="00BB4501" w:rsidRPr="00A26088">
        <w:rPr>
          <w:rStyle w:val="CharChapText"/>
        </w:rPr>
        <w:t>Valuation factors</w:t>
      </w:r>
      <w:bookmarkEnd w:id="222"/>
    </w:p>
    <w:p w:rsidR="00BB4501" w:rsidRPr="00F00002" w:rsidRDefault="00BB4501" w:rsidP="00D150ED">
      <w:pPr>
        <w:pStyle w:val="notemargin"/>
      </w:pPr>
      <w:bookmarkStart w:id="223" w:name="BK_S6P118L2C1"/>
      <w:bookmarkEnd w:id="223"/>
      <w:r w:rsidRPr="00F00002">
        <w:rPr>
          <w:color w:val="000000"/>
        </w:rPr>
        <w:t>(regulations</w:t>
      </w:r>
      <w:r w:rsidR="00F00002">
        <w:rPr>
          <w:color w:val="000000"/>
        </w:rPr>
        <w:t> </w:t>
      </w:r>
      <w:r w:rsidRPr="00F00002">
        <w:rPr>
          <w:color w:val="000000"/>
        </w:rPr>
        <w:t>307</w:t>
      </w:r>
      <w:r w:rsidR="00F00002">
        <w:rPr>
          <w:color w:val="000000"/>
        </w:rPr>
        <w:noBreakHyphen/>
      </w:r>
      <w:r w:rsidRPr="00F00002">
        <w:rPr>
          <w:color w:val="000000"/>
        </w:rPr>
        <w:t>205.01 and 307</w:t>
      </w:r>
      <w:r w:rsidR="00F00002">
        <w:rPr>
          <w:color w:val="000000"/>
        </w:rPr>
        <w:noBreakHyphen/>
      </w:r>
      <w:r w:rsidRPr="00F00002">
        <w:rPr>
          <w:color w:val="000000"/>
        </w:rPr>
        <w:t>205.02)</w:t>
      </w:r>
    </w:p>
    <w:p w:rsidR="00BB4501" w:rsidRPr="00A26088" w:rsidRDefault="00D150ED" w:rsidP="00BB4501">
      <w:pPr>
        <w:pStyle w:val="Header"/>
      </w:pPr>
      <w:r w:rsidRPr="00A26088">
        <w:rPr>
          <w:rStyle w:val="CharPartNo"/>
        </w:rPr>
        <w:t xml:space="preserve"> </w:t>
      </w:r>
      <w:r w:rsidRPr="00A26088">
        <w:rPr>
          <w:rStyle w:val="CharPartText"/>
        </w:rPr>
        <w:t xml:space="preserve"> </w:t>
      </w:r>
    </w:p>
    <w:p w:rsidR="00BB4501" w:rsidRPr="00F00002" w:rsidRDefault="00BB4501" w:rsidP="000A0E2F">
      <w:pPr>
        <w:pStyle w:val="Specials"/>
      </w:pPr>
      <w:r w:rsidRPr="00F00002">
        <w:t>1</w:t>
      </w:r>
      <w:r w:rsidRPr="00F00002">
        <w:tab/>
        <w:t>Income stream valuation factors</w:t>
      </w:r>
    </w:p>
    <w:p w:rsidR="00BB4501" w:rsidRPr="00F00002" w:rsidRDefault="00BB4501" w:rsidP="00D150ED">
      <w:pPr>
        <w:pStyle w:val="subsection"/>
      </w:pPr>
      <w:r w:rsidRPr="00F00002">
        <w:tab/>
        <w:t>(1)</w:t>
      </w:r>
      <w:r w:rsidRPr="00F00002">
        <w:tab/>
        <w:t>For subregulation</w:t>
      </w:r>
      <w:r w:rsidR="00F00002">
        <w:t> </w:t>
      </w:r>
      <w:r w:rsidRPr="00F00002">
        <w:t>307</w:t>
      </w:r>
      <w:r w:rsidR="00F00002">
        <w:noBreakHyphen/>
      </w:r>
      <w:r w:rsidRPr="00F00002">
        <w:t>205.01(2), the applicable factor is the factor given in Table 1 at the age which is the greater of:</w:t>
      </w:r>
    </w:p>
    <w:p w:rsidR="00BB4501" w:rsidRPr="00F00002" w:rsidRDefault="00BB4501" w:rsidP="00D150ED">
      <w:pPr>
        <w:pStyle w:val="paragraph"/>
      </w:pPr>
      <w:r w:rsidRPr="00F00002">
        <w:rPr>
          <w:color w:val="000000"/>
        </w:rPr>
        <w:tab/>
        <w:t>(a)</w:t>
      </w:r>
      <w:r w:rsidRPr="00F00002">
        <w:rPr>
          <w:color w:val="000000"/>
        </w:rPr>
        <w:tab/>
        <w:t>the minimum age at which a retirement benefit can be taken without requiring the consent of the employer; and</w:t>
      </w:r>
    </w:p>
    <w:p w:rsidR="00BB4501" w:rsidRPr="00F00002" w:rsidRDefault="00BB4501" w:rsidP="00D150ED">
      <w:pPr>
        <w:pStyle w:val="paragraph"/>
      </w:pPr>
      <w:r w:rsidRPr="00F00002">
        <w:tab/>
        <w:t>(b)</w:t>
      </w:r>
      <w:r w:rsidRPr="00F00002">
        <w:tab/>
        <w:t>the member’s actual age as at his or her last birthday before 1</w:t>
      </w:r>
      <w:r w:rsidR="00F00002">
        <w:t> </w:t>
      </w:r>
      <w:r w:rsidRPr="00F00002">
        <w:t>July 2007.</w:t>
      </w:r>
    </w:p>
    <w:p w:rsidR="00BB4501" w:rsidRPr="00F00002" w:rsidRDefault="00BB4501" w:rsidP="00D150ED">
      <w:pPr>
        <w:pStyle w:val="subsection"/>
      </w:pPr>
      <w:r w:rsidRPr="00F00002">
        <w:rPr>
          <w:color w:val="000000"/>
        </w:rPr>
        <w:tab/>
        <w:t>(2)</w:t>
      </w:r>
      <w:r w:rsidRPr="00F00002">
        <w:rPr>
          <w:color w:val="000000"/>
        </w:rPr>
        <w:tab/>
        <w:t>For subregulation</w:t>
      </w:r>
      <w:r w:rsidR="00F00002">
        <w:rPr>
          <w:color w:val="000000"/>
        </w:rPr>
        <w:t> </w:t>
      </w:r>
      <w:r w:rsidRPr="00F00002">
        <w:rPr>
          <w:color w:val="000000"/>
        </w:rPr>
        <w:t>307</w:t>
      </w:r>
      <w:r w:rsidR="00F00002">
        <w:rPr>
          <w:color w:val="000000"/>
        </w:rPr>
        <w:noBreakHyphen/>
      </w:r>
      <w:r w:rsidRPr="00F00002">
        <w:rPr>
          <w:color w:val="000000"/>
        </w:rPr>
        <w:t>205.02(2), if the superannuation income stream in respect of the interest is payable for the life of the member, the applicable factor is the factor given in Table 1 for the age of the member at his or her last birthday before the day after the date on which the superannuation income stream is to be valued.</w:t>
      </w:r>
    </w:p>
    <w:p w:rsidR="00BB4501" w:rsidRPr="00F00002" w:rsidRDefault="00BB4501" w:rsidP="00D150ED">
      <w:pPr>
        <w:pStyle w:val="subsection"/>
      </w:pPr>
      <w:r w:rsidRPr="00F00002">
        <w:tab/>
        <w:t>(3)</w:t>
      </w:r>
      <w:r w:rsidRPr="00F00002">
        <w:tab/>
        <w:t>For subregulation</w:t>
      </w:r>
      <w:r w:rsidR="00F00002">
        <w:t> </w:t>
      </w:r>
      <w:r w:rsidRPr="00F00002">
        <w:t>307</w:t>
      </w:r>
      <w:r w:rsidR="00F00002">
        <w:noBreakHyphen/>
      </w:r>
      <w:r w:rsidRPr="00F00002">
        <w:t>205.02(2), if the superannuation income stream in respect of the interest is payable for a fixed term, the applicable factor is the factor given in Table 2 for the number of complete years remaining in the term of the superannuation income stream on the day preceding the date on which the superannuation income stream is to be valued.</w:t>
      </w:r>
    </w:p>
    <w:p w:rsidR="00D12E1C" w:rsidRPr="00F00002" w:rsidRDefault="00D12E1C" w:rsidP="00350487">
      <w:pPr>
        <w:pStyle w:val="Specialth"/>
      </w:pPr>
      <w:r w:rsidRPr="00F00002">
        <w:t>Table 1</w:t>
      </w:r>
    </w:p>
    <w:p w:rsidR="003F23AA" w:rsidRPr="00F00002" w:rsidRDefault="003F23AA" w:rsidP="00551DC9">
      <w:pPr>
        <w:pStyle w:val="TableHeading"/>
        <w:rPr>
          <w:sz w:val="19"/>
          <w:szCs w:val="19"/>
        </w:rPr>
      </w:pPr>
    </w:p>
    <w:p w:rsidR="00350487" w:rsidRPr="00F00002" w:rsidRDefault="00350487" w:rsidP="00A757D6">
      <w:pPr>
        <w:sectPr w:rsidR="00350487" w:rsidRPr="00F00002" w:rsidSect="008035BA">
          <w:type w:val="continuous"/>
          <w:pgSz w:w="11907" w:h="16839" w:code="9"/>
          <w:pgMar w:top="2325" w:right="1797" w:bottom="1440" w:left="1797" w:header="720" w:footer="709" w:gutter="0"/>
          <w:cols w:space="720"/>
          <w:docGrid w:linePitch="299"/>
        </w:sectPr>
      </w:pPr>
    </w:p>
    <w:tbl>
      <w:tblPr>
        <w:tblW w:w="5000" w:type="pct"/>
        <w:tblLook w:val="0000" w:firstRow="0" w:lastRow="0" w:firstColumn="0" w:lastColumn="0" w:noHBand="0" w:noVBand="0"/>
      </w:tblPr>
      <w:tblGrid>
        <w:gridCol w:w="673"/>
        <w:gridCol w:w="1719"/>
        <w:gridCol w:w="1620"/>
      </w:tblGrid>
      <w:tr w:rsidR="00BB4501" w:rsidRPr="00F00002" w:rsidTr="000505B9">
        <w:trPr>
          <w:trHeight w:val="355"/>
          <w:tblHeader/>
        </w:trPr>
        <w:tc>
          <w:tcPr>
            <w:tcW w:w="839" w:type="pct"/>
            <w:tcBorders>
              <w:top w:val="single" w:sz="12" w:space="0" w:color="auto"/>
              <w:bottom w:val="single" w:sz="12" w:space="0" w:color="auto"/>
            </w:tcBorders>
          </w:tcPr>
          <w:p w:rsidR="00BB4501" w:rsidRPr="00F00002" w:rsidRDefault="00BB4501" w:rsidP="003F23AA">
            <w:pPr>
              <w:pStyle w:val="TableHeading"/>
              <w:spacing w:before="50"/>
              <w:rPr>
                <w:sz w:val="19"/>
                <w:szCs w:val="19"/>
              </w:rPr>
            </w:pPr>
            <w:r w:rsidRPr="00F00002">
              <w:rPr>
                <w:sz w:val="19"/>
                <w:szCs w:val="19"/>
              </w:rPr>
              <w:lastRenderedPageBreak/>
              <w:t>Age</w:t>
            </w:r>
          </w:p>
        </w:tc>
        <w:tc>
          <w:tcPr>
            <w:tcW w:w="2142" w:type="pct"/>
            <w:tcBorders>
              <w:top w:val="single" w:sz="12" w:space="0" w:color="auto"/>
              <w:bottom w:val="single" w:sz="12" w:space="0" w:color="auto"/>
            </w:tcBorders>
          </w:tcPr>
          <w:p w:rsidR="00BB4501" w:rsidRPr="00F00002" w:rsidRDefault="00BB4501" w:rsidP="003F23AA">
            <w:pPr>
              <w:pStyle w:val="TableHeading"/>
              <w:spacing w:before="50"/>
              <w:rPr>
                <w:sz w:val="19"/>
                <w:szCs w:val="19"/>
              </w:rPr>
            </w:pPr>
            <w:r w:rsidRPr="00F00002">
              <w:rPr>
                <w:sz w:val="19"/>
                <w:szCs w:val="19"/>
              </w:rPr>
              <w:t>Factor for indexed lifetime income stream</w:t>
            </w:r>
          </w:p>
        </w:tc>
        <w:tc>
          <w:tcPr>
            <w:tcW w:w="2019" w:type="pct"/>
            <w:tcBorders>
              <w:top w:val="single" w:sz="12" w:space="0" w:color="auto"/>
              <w:bottom w:val="single" w:sz="12" w:space="0" w:color="auto"/>
            </w:tcBorders>
          </w:tcPr>
          <w:p w:rsidR="00BB4501" w:rsidRPr="00F00002" w:rsidRDefault="00BB4501" w:rsidP="003F23AA">
            <w:pPr>
              <w:pStyle w:val="TableHeading"/>
              <w:spacing w:before="50"/>
              <w:rPr>
                <w:sz w:val="19"/>
                <w:szCs w:val="19"/>
              </w:rPr>
            </w:pPr>
            <w:r w:rsidRPr="00F00002">
              <w:rPr>
                <w:sz w:val="19"/>
                <w:szCs w:val="19"/>
              </w:rPr>
              <w:t>Factor for non</w:t>
            </w:r>
            <w:r w:rsidR="00F00002">
              <w:rPr>
                <w:sz w:val="19"/>
                <w:szCs w:val="19"/>
              </w:rPr>
              <w:noBreakHyphen/>
            </w:r>
            <w:r w:rsidRPr="00F00002">
              <w:rPr>
                <w:sz w:val="19"/>
                <w:szCs w:val="19"/>
              </w:rPr>
              <w:t>indexed lifetime income stream</w:t>
            </w:r>
          </w:p>
        </w:tc>
      </w:tr>
      <w:tr w:rsidR="00BB4501" w:rsidRPr="00F00002" w:rsidTr="000505B9">
        <w:trPr>
          <w:trHeight w:val="89"/>
        </w:trPr>
        <w:tc>
          <w:tcPr>
            <w:tcW w:w="839" w:type="pct"/>
            <w:tcBorders>
              <w:top w:val="single" w:sz="12" w:space="0" w:color="auto"/>
              <w:bottom w:val="single" w:sz="4" w:space="0" w:color="auto"/>
            </w:tcBorders>
          </w:tcPr>
          <w:p w:rsidR="00BB4501" w:rsidRPr="00F00002" w:rsidRDefault="00BB4501" w:rsidP="003F23AA">
            <w:pPr>
              <w:pStyle w:val="Tabletext"/>
              <w:spacing w:before="50"/>
            </w:pPr>
            <w:r w:rsidRPr="00F00002">
              <w:t>18</w:t>
            </w:r>
          </w:p>
        </w:tc>
        <w:tc>
          <w:tcPr>
            <w:tcW w:w="2142" w:type="pct"/>
            <w:tcBorders>
              <w:top w:val="single" w:sz="12" w:space="0" w:color="auto"/>
              <w:bottom w:val="single" w:sz="4" w:space="0" w:color="auto"/>
            </w:tcBorders>
            <w:vAlign w:val="bottom"/>
          </w:tcPr>
          <w:p w:rsidR="00BB4501" w:rsidRPr="00F00002" w:rsidRDefault="00BB4501" w:rsidP="003F23AA">
            <w:pPr>
              <w:pStyle w:val="Tabletext"/>
              <w:spacing w:before="50"/>
            </w:pPr>
            <w:r w:rsidRPr="00F00002">
              <w:t>23.238</w:t>
            </w:r>
          </w:p>
        </w:tc>
        <w:tc>
          <w:tcPr>
            <w:tcW w:w="2019" w:type="pct"/>
            <w:tcBorders>
              <w:top w:val="single" w:sz="12" w:space="0" w:color="auto"/>
              <w:bottom w:val="single" w:sz="4" w:space="0" w:color="auto"/>
            </w:tcBorders>
          </w:tcPr>
          <w:p w:rsidR="00BB4501" w:rsidRPr="00F00002" w:rsidRDefault="00BB4501" w:rsidP="003F23AA">
            <w:pPr>
              <w:pStyle w:val="Tabletext"/>
              <w:spacing w:before="50"/>
            </w:pPr>
            <w:r w:rsidRPr="00F00002">
              <w:t>15.405</w:t>
            </w:r>
          </w:p>
        </w:tc>
      </w:tr>
      <w:tr w:rsidR="00BB4501" w:rsidRPr="00F00002" w:rsidTr="000505B9">
        <w:trPr>
          <w:trHeight w:val="109"/>
        </w:trPr>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19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23.158</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15.385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23.084</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15.366</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23.016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15.349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22.956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15.334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22.906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15.322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22.862</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15.312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22.816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15.302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22.763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15.289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22.694</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15.271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22.612</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15.248</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29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22.523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15.223</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22.422</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15.194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lastRenderedPageBreak/>
              <w:t>31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22.310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15.160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22.193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15.124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22.076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15.086</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21.950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15.045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21.821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15.002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21.691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14.958</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21.553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14.911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21.410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14.861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39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21.266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14.809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21.113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14.754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20.956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14.695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20.790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14.632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20.609</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14.562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lastRenderedPageBreak/>
              <w:t>44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20.421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14.487</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20.229</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14.409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20.030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14.326</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19.823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14.239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19.610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14.148</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49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19.391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14.052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19.164</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13.950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18.931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13.844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18.691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13.732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18.443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13.615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18.189</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13.492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17.927</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13.364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17.659</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13.230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17.383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13.089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17.100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12.943</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59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16.810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12.790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16.513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12.631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16.209</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12.465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15.891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12.287</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15.558</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12.099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15.213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11.900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14.861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11.693</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14.506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11.480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14.144</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11.260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13.775</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11.032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69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13.396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10.794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lastRenderedPageBreak/>
              <w:t>70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13.011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10.548</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12.627</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10.297</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12.230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10.035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11.815</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9.756</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11.398</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9.471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10.983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9.183</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10.566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8.889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10.144</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8.587</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9.723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8.282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79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9.314</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7.980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8.898</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7.669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8.486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7.357</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8.087</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7.051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7.697</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6.748</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7.323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6.455</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85</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6.966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6.172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86</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6.627</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5.901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87</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6.311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5.647</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88</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6.010</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5.402</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89</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5.728</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5.171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90</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5.465</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4.954</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91</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5.218</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4.750</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92</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4.991</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4.561</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93</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4.773</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4.379</w:t>
            </w:r>
          </w:p>
        </w:tc>
      </w:tr>
      <w:tr w:rsidR="00BB4501" w:rsidRPr="00F00002" w:rsidTr="000505B9">
        <w:tc>
          <w:tcPr>
            <w:tcW w:w="839" w:type="pct"/>
            <w:tcBorders>
              <w:top w:val="single" w:sz="4" w:space="0" w:color="auto"/>
              <w:bottom w:val="single" w:sz="4" w:space="0" w:color="auto"/>
            </w:tcBorders>
          </w:tcPr>
          <w:p w:rsidR="00BB4501" w:rsidRPr="00F00002" w:rsidRDefault="00BB4501" w:rsidP="003F23AA">
            <w:pPr>
              <w:pStyle w:val="Tabletext"/>
              <w:spacing w:before="50"/>
            </w:pPr>
            <w:r w:rsidRPr="00F00002">
              <w:t>94</w:t>
            </w:r>
          </w:p>
        </w:tc>
        <w:tc>
          <w:tcPr>
            <w:tcW w:w="2142" w:type="pct"/>
            <w:tcBorders>
              <w:top w:val="single" w:sz="4" w:space="0" w:color="auto"/>
              <w:bottom w:val="single" w:sz="4" w:space="0" w:color="auto"/>
            </w:tcBorders>
            <w:vAlign w:val="bottom"/>
          </w:tcPr>
          <w:p w:rsidR="00BB4501" w:rsidRPr="00F00002" w:rsidRDefault="00BB4501" w:rsidP="003F23AA">
            <w:pPr>
              <w:pStyle w:val="Tabletext"/>
              <w:spacing w:before="50"/>
            </w:pPr>
            <w:r w:rsidRPr="00F00002">
              <w:t>4.566</w:t>
            </w:r>
          </w:p>
        </w:tc>
        <w:tc>
          <w:tcPr>
            <w:tcW w:w="2019" w:type="pct"/>
            <w:tcBorders>
              <w:top w:val="single" w:sz="4" w:space="0" w:color="auto"/>
              <w:bottom w:val="single" w:sz="4" w:space="0" w:color="auto"/>
            </w:tcBorders>
          </w:tcPr>
          <w:p w:rsidR="00BB4501" w:rsidRPr="00F00002" w:rsidRDefault="00BB4501" w:rsidP="003F23AA">
            <w:pPr>
              <w:pStyle w:val="Tabletext"/>
              <w:spacing w:before="50"/>
            </w:pPr>
            <w:r w:rsidRPr="00F00002">
              <w:t>4.205</w:t>
            </w:r>
          </w:p>
        </w:tc>
      </w:tr>
      <w:tr w:rsidR="00BB4501" w:rsidRPr="00F00002" w:rsidTr="000505B9">
        <w:tc>
          <w:tcPr>
            <w:tcW w:w="839" w:type="pct"/>
            <w:tcBorders>
              <w:top w:val="single" w:sz="4" w:space="0" w:color="auto"/>
              <w:bottom w:val="single" w:sz="12" w:space="0" w:color="auto"/>
            </w:tcBorders>
          </w:tcPr>
          <w:p w:rsidR="00BB4501" w:rsidRPr="00F00002" w:rsidRDefault="00BB4501" w:rsidP="003F23AA">
            <w:pPr>
              <w:pStyle w:val="Tabletext"/>
              <w:spacing w:before="50"/>
            </w:pPr>
            <w:r w:rsidRPr="00F00002">
              <w:t>95</w:t>
            </w:r>
          </w:p>
        </w:tc>
        <w:tc>
          <w:tcPr>
            <w:tcW w:w="2142" w:type="pct"/>
            <w:tcBorders>
              <w:top w:val="single" w:sz="4" w:space="0" w:color="auto"/>
              <w:bottom w:val="single" w:sz="12" w:space="0" w:color="auto"/>
            </w:tcBorders>
            <w:vAlign w:val="bottom"/>
          </w:tcPr>
          <w:p w:rsidR="00BB4501" w:rsidRPr="00F00002" w:rsidRDefault="00BB4501" w:rsidP="003F23AA">
            <w:pPr>
              <w:pStyle w:val="Tabletext"/>
              <w:spacing w:before="50"/>
            </w:pPr>
            <w:r w:rsidRPr="00F00002">
              <w:t>4.360</w:t>
            </w:r>
          </w:p>
        </w:tc>
        <w:tc>
          <w:tcPr>
            <w:tcW w:w="2019" w:type="pct"/>
            <w:tcBorders>
              <w:top w:val="single" w:sz="4" w:space="0" w:color="auto"/>
              <w:bottom w:val="single" w:sz="12" w:space="0" w:color="auto"/>
            </w:tcBorders>
          </w:tcPr>
          <w:p w:rsidR="00BB4501" w:rsidRPr="00F00002" w:rsidRDefault="00BB4501" w:rsidP="003F23AA">
            <w:pPr>
              <w:pStyle w:val="Tabletext"/>
              <w:spacing w:before="50"/>
            </w:pPr>
            <w:r w:rsidRPr="00F00002">
              <w:t>4.031</w:t>
            </w:r>
          </w:p>
        </w:tc>
      </w:tr>
    </w:tbl>
    <w:p w:rsidR="003F23AA" w:rsidRPr="00F00002" w:rsidRDefault="003F23AA" w:rsidP="00A757D6">
      <w:pPr>
        <w:sectPr w:rsidR="003F23AA" w:rsidRPr="00F00002" w:rsidSect="008035BA">
          <w:type w:val="continuous"/>
          <w:pgSz w:w="11907" w:h="16839" w:code="9"/>
          <w:pgMar w:top="2325" w:right="1797" w:bottom="1440" w:left="1797" w:header="720" w:footer="709" w:gutter="0"/>
          <w:cols w:num="2" w:space="720"/>
          <w:docGrid w:linePitch="299"/>
        </w:sectPr>
      </w:pPr>
    </w:p>
    <w:p w:rsidR="00BB4501" w:rsidRPr="00F00002" w:rsidRDefault="00BB4501" w:rsidP="00350487">
      <w:pPr>
        <w:pStyle w:val="Specialth"/>
      </w:pPr>
      <w:r w:rsidRPr="00F00002">
        <w:lastRenderedPageBreak/>
        <w:t>Table 2</w:t>
      </w:r>
    </w:p>
    <w:p w:rsidR="00350487" w:rsidRPr="00F00002" w:rsidRDefault="00350487" w:rsidP="00350487">
      <w:pPr>
        <w:pStyle w:val="TableHeading"/>
        <w:rPr>
          <w:sz w:val="19"/>
          <w:szCs w:val="19"/>
        </w:rPr>
      </w:pPr>
    </w:p>
    <w:p w:rsidR="003F23AA" w:rsidRPr="00F00002" w:rsidRDefault="003F23AA" w:rsidP="00A757D6">
      <w:pPr>
        <w:sectPr w:rsidR="003F23AA" w:rsidRPr="00F00002" w:rsidSect="008035BA">
          <w:type w:val="continuous"/>
          <w:pgSz w:w="11907" w:h="16839" w:code="9"/>
          <w:pgMar w:top="2325" w:right="1797" w:bottom="1440" w:left="1797" w:header="720" w:footer="709" w:gutter="0"/>
          <w:cols w:space="720"/>
          <w:docGrid w:linePitch="299"/>
        </w:sect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00"/>
        <w:gridCol w:w="1296"/>
        <w:gridCol w:w="1616"/>
      </w:tblGrid>
      <w:tr w:rsidR="00BB4501" w:rsidRPr="00F00002" w:rsidTr="000505B9">
        <w:trPr>
          <w:tblHeader/>
        </w:trPr>
        <w:tc>
          <w:tcPr>
            <w:tcW w:w="1371" w:type="pct"/>
            <w:tcBorders>
              <w:top w:val="single" w:sz="12" w:space="0" w:color="auto"/>
              <w:bottom w:val="single" w:sz="12" w:space="0" w:color="auto"/>
            </w:tcBorders>
            <w:shd w:val="clear" w:color="auto" w:fill="auto"/>
          </w:tcPr>
          <w:p w:rsidR="00BB4501" w:rsidRPr="00F00002" w:rsidRDefault="00BB4501" w:rsidP="00551DC9">
            <w:pPr>
              <w:pStyle w:val="TableHeading"/>
              <w:rPr>
                <w:sz w:val="19"/>
                <w:szCs w:val="19"/>
              </w:rPr>
            </w:pPr>
            <w:r w:rsidRPr="00F00002">
              <w:rPr>
                <w:sz w:val="19"/>
                <w:szCs w:val="19"/>
              </w:rPr>
              <w:lastRenderedPageBreak/>
              <w:t>Number of years</w:t>
            </w:r>
          </w:p>
        </w:tc>
        <w:tc>
          <w:tcPr>
            <w:tcW w:w="1615" w:type="pct"/>
            <w:tcBorders>
              <w:top w:val="single" w:sz="12" w:space="0" w:color="auto"/>
              <w:bottom w:val="single" w:sz="12" w:space="0" w:color="auto"/>
            </w:tcBorders>
            <w:shd w:val="clear" w:color="auto" w:fill="auto"/>
          </w:tcPr>
          <w:p w:rsidR="00BB4501" w:rsidRPr="00F00002" w:rsidRDefault="00BB4501" w:rsidP="00551DC9">
            <w:pPr>
              <w:pStyle w:val="TableHeading"/>
              <w:rPr>
                <w:sz w:val="19"/>
                <w:szCs w:val="19"/>
              </w:rPr>
            </w:pPr>
            <w:r w:rsidRPr="00F00002">
              <w:rPr>
                <w:sz w:val="19"/>
                <w:szCs w:val="19"/>
              </w:rPr>
              <w:t>Factor for indexed fixed</w:t>
            </w:r>
            <w:r w:rsidR="00F00002">
              <w:rPr>
                <w:sz w:val="19"/>
                <w:szCs w:val="19"/>
              </w:rPr>
              <w:noBreakHyphen/>
            </w:r>
            <w:r w:rsidRPr="00F00002">
              <w:rPr>
                <w:sz w:val="19"/>
                <w:szCs w:val="19"/>
              </w:rPr>
              <w:t>term income stream</w:t>
            </w:r>
          </w:p>
        </w:tc>
        <w:tc>
          <w:tcPr>
            <w:tcW w:w="2014" w:type="pct"/>
            <w:tcBorders>
              <w:top w:val="single" w:sz="12" w:space="0" w:color="auto"/>
              <w:bottom w:val="single" w:sz="12" w:space="0" w:color="auto"/>
            </w:tcBorders>
            <w:shd w:val="clear" w:color="auto" w:fill="auto"/>
          </w:tcPr>
          <w:p w:rsidR="00BB4501" w:rsidRPr="00F00002" w:rsidRDefault="00BB4501" w:rsidP="00551DC9">
            <w:pPr>
              <w:pStyle w:val="TableHeading"/>
              <w:rPr>
                <w:sz w:val="19"/>
                <w:szCs w:val="19"/>
              </w:rPr>
            </w:pPr>
            <w:r w:rsidRPr="00F00002">
              <w:rPr>
                <w:sz w:val="19"/>
                <w:szCs w:val="19"/>
              </w:rPr>
              <w:t>Factor for non</w:t>
            </w:r>
            <w:r w:rsidR="00F00002">
              <w:rPr>
                <w:sz w:val="19"/>
                <w:szCs w:val="19"/>
              </w:rPr>
              <w:noBreakHyphen/>
            </w:r>
            <w:r w:rsidRPr="00F00002">
              <w:rPr>
                <w:sz w:val="19"/>
                <w:szCs w:val="19"/>
              </w:rPr>
              <w:t>indexed fixed</w:t>
            </w:r>
            <w:r w:rsidR="00F00002">
              <w:rPr>
                <w:sz w:val="19"/>
                <w:szCs w:val="19"/>
              </w:rPr>
              <w:noBreakHyphen/>
            </w:r>
            <w:r w:rsidRPr="00F00002">
              <w:rPr>
                <w:sz w:val="19"/>
                <w:szCs w:val="19"/>
              </w:rPr>
              <w:t>term income stream</w:t>
            </w:r>
          </w:p>
        </w:tc>
      </w:tr>
      <w:tr w:rsidR="00BB4501" w:rsidRPr="00F00002" w:rsidTr="000505B9">
        <w:tc>
          <w:tcPr>
            <w:tcW w:w="1371" w:type="pct"/>
            <w:tcBorders>
              <w:top w:val="single" w:sz="12" w:space="0" w:color="auto"/>
            </w:tcBorders>
            <w:shd w:val="clear" w:color="auto" w:fill="auto"/>
          </w:tcPr>
          <w:p w:rsidR="00BB4501" w:rsidRPr="00F00002" w:rsidRDefault="00BB4501" w:rsidP="00D150ED">
            <w:pPr>
              <w:pStyle w:val="Tabletext"/>
            </w:pPr>
            <w:r w:rsidRPr="00F00002">
              <w:t>0</w:t>
            </w:r>
          </w:p>
        </w:tc>
        <w:tc>
          <w:tcPr>
            <w:tcW w:w="1615" w:type="pct"/>
            <w:tcBorders>
              <w:top w:val="single" w:sz="12" w:space="0" w:color="auto"/>
            </w:tcBorders>
            <w:shd w:val="clear" w:color="auto" w:fill="auto"/>
          </w:tcPr>
          <w:p w:rsidR="00BB4501" w:rsidRPr="00F00002" w:rsidRDefault="00BB4501" w:rsidP="00D150ED">
            <w:pPr>
              <w:pStyle w:val="Tabletext"/>
            </w:pPr>
            <w:r w:rsidRPr="00F00002">
              <w:t>0.000</w:t>
            </w:r>
          </w:p>
        </w:tc>
        <w:tc>
          <w:tcPr>
            <w:tcW w:w="2014" w:type="pct"/>
            <w:tcBorders>
              <w:top w:val="single" w:sz="12" w:space="0" w:color="auto"/>
            </w:tcBorders>
            <w:shd w:val="clear" w:color="auto" w:fill="auto"/>
          </w:tcPr>
          <w:p w:rsidR="00BB4501" w:rsidRPr="00F00002" w:rsidRDefault="00BB4501" w:rsidP="00D150ED">
            <w:pPr>
              <w:pStyle w:val="Tabletext"/>
            </w:pPr>
            <w:r w:rsidRPr="00F00002">
              <w:t>0.000</w:t>
            </w:r>
          </w:p>
        </w:tc>
      </w:tr>
      <w:tr w:rsidR="00BB4501" w:rsidRPr="00F00002" w:rsidTr="000505B9">
        <w:tc>
          <w:tcPr>
            <w:tcW w:w="1371" w:type="pct"/>
            <w:shd w:val="clear" w:color="auto" w:fill="auto"/>
          </w:tcPr>
          <w:p w:rsidR="00BB4501" w:rsidRPr="00F00002" w:rsidRDefault="00BB4501" w:rsidP="00D150ED">
            <w:pPr>
              <w:pStyle w:val="Tabletext"/>
            </w:pPr>
            <w:r w:rsidRPr="00F00002">
              <w:lastRenderedPageBreak/>
              <w:t>1</w:t>
            </w:r>
          </w:p>
        </w:tc>
        <w:tc>
          <w:tcPr>
            <w:tcW w:w="1615" w:type="pct"/>
            <w:shd w:val="clear" w:color="auto" w:fill="auto"/>
          </w:tcPr>
          <w:p w:rsidR="00BB4501" w:rsidRPr="00F00002" w:rsidRDefault="00BB4501" w:rsidP="00D150ED">
            <w:pPr>
              <w:pStyle w:val="Tabletext"/>
            </w:pPr>
            <w:r w:rsidRPr="00F00002">
              <w:t>0.981</w:t>
            </w:r>
          </w:p>
        </w:tc>
        <w:tc>
          <w:tcPr>
            <w:tcW w:w="2014" w:type="pct"/>
            <w:shd w:val="clear" w:color="auto" w:fill="auto"/>
          </w:tcPr>
          <w:p w:rsidR="00BB4501" w:rsidRPr="00F00002" w:rsidRDefault="00BB4501" w:rsidP="00D150ED">
            <w:pPr>
              <w:pStyle w:val="Tabletext"/>
            </w:pPr>
            <w:r w:rsidRPr="00F00002">
              <w:t>0.969</w:t>
            </w:r>
          </w:p>
        </w:tc>
      </w:tr>
      <w:tr w:rsidR="00BB4501" w:rsidRPr="00F00002" w:rsidTr="000505B9">
        <w:tc>
          <w:tcPr>
            <w:tcW w:w="1371" w:type="pct"/>
            <w:shd w:val="clear" w:color="auto" w:fill="auto"/>
          </w:tcPr>
          <w:p w:rsidR="00BB4501" w:rsidRPr="00F00002" w:rsidRDefault="00BB4501" w:rsidP="00D150ED">
            <w:pPr>
              <w:pStyle w:val="Tabletext"/>
            </w:pPr>
            <w:r w:rsidRPr="00F00002">
              <w:lastRenderedPageBreak/>
              <w:t>2</w:t>
            </w:r>
          </w:p>
        </w:tc>
        <w:tc>
          <w:tcPr>
            <w:tcW w:w="1615" w:type="pct"/>
            <w:shd w:val="clear" w:color="auto" w:fill="auto"/>
          </w:tcPr>
          <w:p w:rsidR="00BB4501" w:rsidRPr="00F00002" w:rsidRDefault="00BB4501" w:rsidP="00D150ED">
            <w:pPr>
              <w:pStyle w:val="Tabletext"/>
            </w:pPr>
            <w:r w:rsidRPr="00F00002">
              <w:t>1.925</w:t>
            </w:r>
          </w:p>
        </w:tc>
        <w:tc>
          <w:tcPr>
            <w:tcW w:w="2014" w:type="pct"/>
            <w:shd w:val="clear" w:color="auto" w:fill="auto"/>
          </w:tcPr>
          <w:p w:rsidR="00BB4501" w:rsidRPr="00F00002" w:rsidRDefault="00BB4501" w:rsidP="00D150ED">
            <w:pPr>
              <w:pStyle w:val="Tabletext"/>
            </w:pPr>
            <w:r w:rsidRPr="00F00002">
              <w:t>1.879</w:t>
            </w:r>
          </w:p>
        </w:tc>
      </w:tr>
      <w:tr w:rsidR="00BB4501" w:rsidRPr="00F00002" w:rsidTr="000505B9">
        <w:tc>
          <w:tcPr>
            <w:tcW w:w="1371" w:type="pct"/>
            <w:shd w:val="clear" w:color="auto" w:fill="auto"/>
          </w:tcPr>
          <w:p w:rsidR="00BB4501" w:rsidRPr="00F00002" w:rsidRDefault="00BB4501" w:rsidP="00D150ED">
            <w:pPr>
              <w:pStyle w:val="Tabletext"/>
            </w:pPr>
            <w:r w:rsidRPr="00F00002">
              <w:t>3</w:t>
            </w:r>
          </w:p>
        </w:tc>
        <w:tc>
          <w:tcPr>
            <w:tcW w:w="1615" w:type="pct"/>
            <w:shd w:val="clear" w:color="auto" w:fill="auto"/>
          </w:tcPr>
          <w:p w:rsidR="00BB4501" w:rsidRPr="00F00002" w:rsidRDefault="00BB4501" w:rsidP="00D150ED">
            <w:pPr>
              <w:pStyle w:val="Tabletext"/>
            </w:pPr>
            <w:r w:rsidRPr="00F00002">
              <w:t>2.834</w:t>
            </w:r>
          </w:p>
        </w:tc>
        <w:tc>
          <w:tcPr>
            <w:tcW w:w="2014" w:type="pct"/>
            <w:shd w:val="clear" w:color="auto" w:fill="auto"/>
          </w:tcPr>
          <w:p w:rsidR="00BB4501" w:rsidRPr="00F00002" w:rsidRDefault="00BB4501" w:rsidP="00D150ED">
            <w:pPr>
              <w:pStyle w:val="Tabletext"/>
            </w:pPr>
            <w:r w:rsidRPr="00F00002">
              <w:t>2.734</w:t>
            </w:r>
          </w:p>
        </w:tc>
      </w:tr>
      <w:tr w:rsidR="00BB4501" w:rsidRPr="00F00002" w:rsidTr="000505B9">
        <w:tc>
          <w:tcPr>
            <w:tcW w:w="1371" w:type="pct"/>
            <w:shd w:val="clear" w:color="auto" w:fill="auto"/>
          </w:tcPr>
          <w:p w:rsidR="00BB4501" w:rsidRPr="00F00002" w:rsidRDefault="00BB4501" w:rsidP="00D150ED">
            <w:pPr>
              <w:pStyle w:val="Tabletext"/>
            </w:pPr>
            <w:r w:rsidRPr="00F00002">
              <w:t>4</w:t>
            </w:r>
          </w:p>
        </w:tc>
        <w:tc>
          <w:tcPr>
            <w:tcW w:w="1615" w:type="pct"/>
            <w:shd w:val="clear" w:color="auto" w:fill="auto"/>
          </w:tcPr>
          <w:p w:rsidR="00BB4501" w:rsidRPr="00F00002" w:rsidRDefault="00BB4501" w:rsidP="00D150ED">
            <w:pPr>
              <w:pStyle w:val="Tabletext"/>
            </w:pPr>
            <w:r w:rsidRPr="00F00002">
              <w:t>3.709</w:t>
            </w:r>
          </w:p>
        </w:tc>
        <w:tc>
          <w:tcPr>
            <w:tcW w:w="2014" w:type="pct"/>
            <w:shd w:val="clear" w:color="auto" w:fill="auto"/>
          </w:tcPr>
          <w:p w:rsidR="00BB4501" w:rsidRPr="00F00002" w:rsidRDefault="00BB4501" w:rsidP="00D150ED">
            <w:pPr>
              <w:pStyle w:val="Tabletext"/>
            </w:pPr>
            <w:r w:rsidRPr="00F00002">
              <w:t>3.536</w:t>
            </w:r>
          </w:p>
        </w:tc>
      </w:tr>
      <w:tr w:rsidR="00BB4501" w:rsidRPr="00F00002" w:rsidTr="000505B9">
        <w:tc>
          <w:tcPr>
            <w:tcW w:w="1371" w:type="pct"/>
            <w:shd w:val="clear" w:color="auto" w:fill="auto"/>
          </w:tcPr>
          <w:p w:rsidR="00BB4501" w:rsidRPr="00F00002" w:rsidRDefault="00BB4501" w:rsidP="00D150ED">
            <w:pPr>
              <w:pStyle w:val="Tabletext"/>
            </w:pPr>
            <w:r w:rsidRPr="00F00002">
              <w:t>5</w:t>
            </w:r>
          </w:p>
        </w:tc>
        <w:tc>
          <w:tcPr>
            <w:tcW w:w="1615" w:type="pct"/>
            <w:shd w:val="clear" w:color="auto" w:fill="auto"/>
          </w:tcPr>
          <w:p w:rsidR="00BB4501" w:rsidRPr="00F00002" w:rsidRDefault="00BB4501" w:rsidP="00D150ED">
            <w:pPr>
              <w:pStyle w:val="Tabletext"/>
            </w:pPr>
            <w:r w:rsidRPr="00F00002">
              <w:t>4.550</w:t>
            </w:r>
          </w:p>
        </w:tc>
        <w:tc>
          <w:tcPr>
            <w:tcW w:w="2014" w:type="pct"/>
            <w:shd w:val="clear" w:color="auto" w:fill="auto"/>
          </w:tcPr>
          <w:p w:rsidR="00BB4501" w:rsidRPr="00F00002" w:rsidRDefault="00BB4501" w:rsidP="00D150ED">
            <w:pPr>
              <w:pStyle w:val="Tabletext"/>
            </w:pPr>
            <w:r w:rsidRPr="00F00002">
              <w:t>4.289</w:t>
            </w:r>
          </w:p>
        </w:tc>
      </w:tr>
      <w:tr w:rsidR="00BB4501" w:rsidRPr="00F00002" w:rsidTr="000505B9">
        <w:tc>
          <w:tcPr>
            <w:tcW w:w="1371" w:type="pct"/>
            <w:shd w:val="clear" w:color="auto" w:fill="auto"/>
          </w:tcPr>
          <w:p w:rsidR="00BB4501" w:rsidRPr="00F00002" w:rsidRDefault="00BB4501" w:rsidP="00D150ED">
            <w:pPr>
              <w:pStyle w:val="Tabletext"/>
            </w:pPr>
            <w:r w:rsidRPr="00F00002">
              <w:t>6</w:t>
            </w:r>
          </w:p>
        </w:tc>
        <w:tc>
          <w:tcPr>
            <w:tcW w:w="1615" w:type="pct"/>
            <w:shd w:val="clear" w:color="auto" w:fill="auto"/>
          </w:tcPr>
          <w:p w:rsidR="00BB4501" w:rsidRPr="00F00002" w:rsidRDefault="00BB4501" w:rsidP="00D150ED">
            <w:pPr>
              <w:pStyle w:val="Tabletext"/>
            </w:pPr>
            <w:r w:rsidRPr="00F00002">
              <w:t>5.360</w:t>
            </w:r>
          </w:p>
        </w:tc>
        <w:tc>
          <w:tcPr>
            <w:tcW w:w="2014" w:type="pct"/>
            <w:shd w:val="clear" w:color="auto" w:fill="auto"/>
          </w:tcPr>
          <w:p w:rsidR="00BB4501" w:rsidRPr="00F00002" w:rsidRDefault="00BB4501" w:rsidP="00D150ED">
            <w:pPr>
              <w:pStyle w:val="Tabletext"/>
            </w:pPr>
            <w:r w:rsidRPr="00F00002">
              <w:t>4.996</w:t>
            </w:r>
          </w:p>
        </w:tc>
      </w:tr>
      <w:tr w:rsidR="00BB4501" w:rsidRPr="00F00002" w:rsidTr="000505B9">
        <w:tc>
          <w:tcPr>
            <w:tcW w:w="1371" w:type="pct"/>
            <w:shd w:val="clear" w:color="auto" w:fill="auto"/>
          </w:tcPr>
          <w:p w:rsidR="00BB4501" w:rsidRPr="00F00002" w:rsidRDefault="00BB4501" w:rsidP="00D150ED">
            <w:pPr>
              <w:pStyle w:val="Tabletext"/>
            </w:pPr>
            <w:r w:rsidRPr="00F00002">
              <w:t>7</w:t>
            </w:r>
          </w:p>
        </w:tc>
        <w:tc>
          <w:tcPr>
            <w:tcW w:w="1615" w:type="pct"/>
            <w:shd w:val="clear" w:color="auto" w:fill="auto"/>
          </w:tcPr>
          <w:p w:rsidR="00BB4501" w:rsidRPr="00F00002" w:rsidRDefault="00BB4501" w:rsidP="00D150ED">
            <w:pPr>
              <w:pStyle w:val="Tabletext"/>
            </w:pPr>
            <w:r w:rsidRPr="00F00002">
              <w:t>6.140</w:t>
            </w:r>
          </w:p>
        </w:tc>
        <w:tc>
          <w:tcPr>
            <w:tcW w:w="2014" w:type="pct"/>
            <w:shd w:val="clear" w:color="auto" w:fill="auto"/>
          </w:tcPr>
          <w:p w:rsidR="00BB4501" w:rsidRPr="00F00002" w:rsidRDefault="00BB4501" w:rsidP="00D150ED">
            <w:pPr>
              <w:pStyle w:val="Tabletext"/>
            </w:pPr>
            <w:r w:rsidRPr="00F00002">
              <w:t>5.661</w:t>
            </w:r>
          </w:p>
        </w:tc>
      </w:tr>
      <w:tr w:rsidR="00BB4501" w:rsidRPr="00F00002" w:rsidTr="000505B9">
        <w:tc>
          <w:tcPr>
            <w:tcW w:w="1371" w:type="pct"/>
            <w:shd w:val="clear" w:color="auto" w:fill="auto"/>
          </w:tcPr>
          <w:p w:rsidR="00BB4501" w:rsidRPr="00F00002" w:rsidRDefault="00BB4501" w:rsidP="00D150ED">
            <w:pPr>
              <w:pStyle w:val="Tabletext"/>
            </w:pPr>
            <w:r w:rsidRPr="00F00002">
              <w:t>8</w:t>
            </w:r>
          </w:p>
        </w:tc>
        <w:tc>
          <w:tcPr>
            <w:tcW w:w="1615" w:type="pct"/>
            <w:shd w:val="clear" w:color="auto" w:fill="auto"/>
          </w:tcPr>
          <w:p w:rsidR="00BB4501" w:rsidRPr="00F00002" w:rsidRDefault="00BB4501" w:rsidP="00D150ED">
            <w:pPr>
              <w:pStyle w:val="Tabletext"/>
            </w:pPr>
            <w:r w:rsidRPr="00F00002">
              <w:t>6.891</w:t>
            </w:r>
          </w:p>
        </w:tc>
        <w:tc>
          <w:tcPr>
            <w:tcW w:w="2014" w:type="pct"/>
            <w:shd w:val="clear" w:color="auto" w:fill="auto"/>
          </w:tcPr>
          <w:p w:rsidR="00BB4501" w:rsidRPr="00F00002" w:rsidRDefault="00BB4501" w:rsidP="00D150ED">
            <w:pPr>
              <w:pStyle w:val="Tabletext"/>
            </w:pPr>
            <w:r w:rsidRPr="00F00002">
              <w:t>6.284</w:t>
            </w:r>
          </w:p>
        </w:tc>
      </w:tr>
      <w:tr w:rsidR="00BB4501" w:rsidRPr="00F00002" w:rsidTr="000505B9">
        <w:tc>
          <w:tcPr>
            <w:tcW w:w="1371" w:type="pct"/>
            <w:shd w:val="clear" w:color="auto" w:fill="auto"/>
          </w:tcPr>
          <w:p w:rsidR="00BB4501" w:rsidRPr="00F00002" w:rsidRDefault="00BB4501" w:rsidP="00D150ED">
            <w:pPr>
              <w:pStyle w:val="Tabletext"/>
            </w:pPr>
            <w:r w:rsidRPr="00F00002">
              <w:t>9</w:t>
            </w:r>
          </w:p>
        </w:tc>
        <w:tc>
          <w:tcPr>
            <w:tcW w:w="1615" w:type="pct"/>
            <w:shd w:val="clear" w:color="auto" w:fill="auto"/>
          </w:tcPr>
          <w:p w:rsidR="00BB4501" w:rsidRPr="00F00002" w:rsidRDefault="00BB4501" w:rsidP="00D150ED">
            <w:pPr>
              <w:pStyle w:val="Tabletext"/>
            </w:pPr>
            <w:r w:rsidRPr="00F00002">
              <w:t>7.613</w:t>
            </w:r>
          </w:p>
        </w:tc>
        <w:tc>
          <w:tcPr>
            <w:tcW w:w="2014" w:type="pct"/>
            <w:shd w:val="clear" w:color="auto" w:fill="auto"/>
          </w:tcPr>
          <w:p w:rsidR="00BB4501" w:rsidRPr="00F00002" w:rsidRDefault="00BB4501" w:rsidP="00D150ED">
            <w:pPr>
              <w:pStyle w:val="Tabletext"/>
            </w:pPr>
            <w:r w:rsidRPr="00F00002">
              <w:t>6.870</w:t>
            </w:r>
          </w:p>
        </w:tc>
      </w:tr>
      <w:tr w:rsidR="00BB4501" w:rsidRPr="00F00002" w:rsidTr="000505B9">
        <w:tc>
          <w:tcPr>
            <w:tcW w:w="1371" w:type="pct"/>
            <w:shd w:val="clear" w:color="auto" w:fill="auto"/>
          </w:tcPr>
          <w:p w:rsidR="00BB4501" w:rsidRPr="00F00002" w:rsidRDefault="00BB4501" w:rsidP="00D150ED">
            <w:pPr>
              <w:pStyle w:val="Tabletext"/>
            </w:pPr>
            <w:r w:rsidRPr="00F00002">
              <w:t>10</w:t>
            </w:r>
          </w:p>
        </w:tc>
        <w:tc>
          <w:tcPr>
            <w:tcW w:w="1615" w:type="pct"/>
            <w:shd w:val="clear" w:color="auto" w:fill="auto"/>
          </w:tcPr>
          <w:p w:rsidR="00BB4501" w:rsidRPr="00F00002" w:rsidRDefault="00BB4501" w:rsidP="00D150ED">
            <w:pPr>
              <w:pStyle w:val="Tabletext"/>
            </w:pPr>
            <w:r w:rsidRPr="00F00002">
              <w:t>8.308</w:t>
            </w:r>
          </w:p>
        </w:tc>
        <w:tc>
          <w:tcPr>
            <w:tcW w:w="2014" w:type="pct"/>
            <w:shd w:val="clear" w:color="auto" w:fill="auto"/>
          </w:tcPr>
          <w:p w:rsidR="00BB4501" w:rsidRPr="00F00002" w:rsidRDefault="00BB4501" w:rsidP="00D150ED">
            <w:pPr>
              <w:pStyle w:val="Tabletext"/>
            </w:pPr>
            <w:r w:rsidRPr="00F00002">
              <w:t>7.420</w:t>
            </w:r>
          </w:p>
        </w:tc>
      </w:tr>
      <w:tr w:rsidR="00BB4501" w:rsidRPr="00F00002" w:rsidTr="000505B9">
        <w:tc>
          <w:tcPr>
            <w:tcW w:w="1371" w:type="pct"/>
            <w:shd w:val="clear" w:color="auto" w:fill="auto"/>
          </w:tcPr>
          <w:p w:rsidR="00BB4501" w:rsidRPr="00F00002" w:rsidRDefault="00BB4501" w:rsidP="00D150ED">
            <w:pPr>
              <w:pStyle w:val="Tabletext"/>
            </w:pPr>
            <w:r w:rsidRPr="00F00002">
              <w:t>11</w:t>
            </w:r>
          </w:p>
        </w:tc>
        <w:tc>
          <w:tcPr>
            <w:tcW w:w="1615" w:type="pct"/>
            <w:shd w:val="clear" w:color="auto" w:fill="auto"/>
          </w:tcPr>
          <w:p w:rsidR="00BB4501" w:rsidRPr="00F00002" w:rsidRDefault="00BB4501" w:rsidP="00D150ED">
            <w:pPr>
              <w:pStyle w:val="Tabletext"/>
            </w:pPr>
            <w:r w:rsidRPr="00F00002">
              <w:t>8.977</w:t>
            </w:r>
          </w:p>
        </w:tc>
        <w:tc>
          <w:tcPr>
            <w:tcW w:w="2014" w:type="pct"/>
            <w:shd w:val="clear" w:color="auto" w:fill="auto"/>
          </w:tcPr>
          <w:p w:rsidR="00BB4501" w:rsidRPr="00F00002" w:rsidRDefault="00BB4501" w:rsidP="00D150ED">
            <w:pPr>
              <w:pStyle w:val="Tabletext"/>
            </w:pPr>
            <w:r w:rsidRPr="00F00002">
              <w:t>7.936</w:t>
            </w:r>
          </w:p>
        </w:tc>
      </w:tr>
      <w:tr w:rsidR="00BB4501" w:rsidRPr="00F00002" w:rsidTr="000505B9">
        <w:tc>
          <w:tcPr>
            <w:tcW w:w="1371" w:type="pct"/>
            <w:shd w:val="clear" w:color="auto" w:fill="auto"/>
          </w:tcPr>
          <w:p w:rsidR="00BB4501" w:rsidRPr="00F00002" w:rsidRDefault="00BB4501" w:rsidP="00D150ED">
            <w:pPr>
              <w:pStyle w:val="Tabletext"/>
            </w:pPr>
            <w:r w:rsidRPr="00F00002">
              <w:t>12</w:t>
            </w:r>
          </w:p>
        </w:tc>
        <w:tc>
          <w:tcPr>
            <w:tcW w:w="1615" w:type="pct"/>
            <w:shd w:val="clear" w:color="auto" w:fill="auto"/>
          </w:tcPr>
          <w:p w:rsidR="00BB4501" w:rsidRPr="00F00002" w:rsidRDefault="00BB4501" w:rsidP="00D150ED">
            <w:pPr>
              <w:pStyle w:val="Tabletext"/>
            </w:pPr>
            <w:r w:rsidRPr="00F00002">
              <w:t>9.621</w:t>
            </w:r>
          </w:p>
        </w:tc>
        <w:tc>
          <w:tcPr>
            <w:tcW w:w="2014" w:type="pct"/>
            <w:shd w:val="clear" w:color="auto" w:fill="auto"/>
          </w:tcPr>
          <w:p w:rsidR="00BB4501" w:rsidRPr="00F00002" w:rsidRDefault="00BB4501" w:rsidP="00D150ED">
            <w:pPr>
              <w:pStyle w:val="Tabletext"/>
            </w:pPr>
            <w:r w:rsidRPr="00F00002">
              <w:t>8.421</w:t>
            </w:r>
          </w:p>
        </w:tc>
      </w:tr>
      <w:tr w:rsidR="00BB4501" w:rsidRPr="00F00002" w:rsidTr="000505B9">
        <w:tc>
          <w:tcPr>
            <w:tcW w:w="1371" w:type="pct"/>
            <w:shd w:val="clear" w:color="auto" w:fill="auto"/>
          </w:tcPr>
          <w:p w:rsidR="00BB4501" w:rsidRPr="00F00002" w:rsidRDefault="00BB4501" w:rsidP="00D150ED">
            <w:pPr>
              <w:pStyle w:val="Tabletext"/>
            </w:pPr>
            <w:r w:rsidRPr="00F00002">
              <w:t>13</w:t>
            </w:r>
          </w:p>
        </w:tc>
        <w:tc>
          <w:tcPr>
            <w:tcW w:w="1615" w:type="pct"/>
            <w:shd w:val="clear" w:color="auto" w:fill="auto"/>
          </w:tcPr>
          <w:p w:rsidR="00BB4501" w:rsidRPr="00F00002" w:rsidRDefault="00BB4501" w:rsidP="00D150ED">
            <w:pPr>
              <w:pStyle w:val="Tabletext"/>
            </w:pPr>
            <w:r w:rsidRPr="00F00002">
              <w:t>10.241</w:t>
            </w:r>
          </w:p>
        </w:tc>
        <w:tc>
          <w:tcPr>
            <w:tcW w:w="2014" w:type="pct"/>
            <w:shd w:val="clear" w:color="auto" w:fill="auto"/>
          </w:tcPr>
          <w:p w:rsidR="00BB4501" w:rsidRPr="00F00002" w:rsidRDefault="00BB4501" w:rsidP="00D150ED">
            <w:pPr>
              <w:pStyle w:val="Tabletext"/>
            </w:pPr>
            <w:r w:rsidRPr="00F00002">
              <w:t>8.876</w:t>
            </w:r>
          </w:p>
        </w:tc>
      </w:tr>
      <w:tr w:rsidR="00BB4501" w:rsidRPr="00F00002" w:rsidTr="000505B9">
        <w:tc>
          <w:tcPr>
            <w:tcW w:w="1371" w:type="pct"/>
            <w:shd w:val="clear" w:color="auto" w:fill="auto"/>
          </w:tcPr>
          <w:p w:rsidR="00BB4501" w:rsidRPr="00F00002" w:rsidRDefault="00BB4501" w:rsidP="00D150ED">
            <w:pPr>
              <w:pStyle w:val="Tabletext"/>
            </w:pPr>
            <w:r w:rsidRPr="00F00002">
              <w:t>14</w:t>
            </w:r>
          </w:p>
        </w:tc>
        <w:tc>
          <w:tcPr>
            <w:tcW w:w="1615" w:type="pct"/>
            <w:shd w:val="clear" w:color="auto" w:fill="auto"/>
          </w:tcPr>
          <w:p w:rsidR="00BB4501" w:rsidRPr="00F00002" w:rsidRDefault="00BB4501" w:rsidP="00D150ED">
            <w:pPr>
              <w:pStyle w:val="Tabletext"/>
            </w:pPr>
            <w:r w:rsidRPr="00F00002">
              <w:t>10.837</w:t>
            </w:r>
          </w:p>
        </w:tc>
        <w:tc>
          <w:tcPr>
            <w:tcW w:w="2014" w:type="pct"/>
            <w:shd w:val="clear" w:color="auto" w:fill="auto"/>
          </w:tcPr>
          <w:p w:rsidR="00BB4501" w:rsidRPr="00F00002" w:rsidRDefault="00BB4501" w:rsidP="00D150ED">
            <w:pPr>
              <w:pStyle w:val="Tabletext"/>
            </w:pPr>
            <w:r w:rsidRPr="00F00002">
              <w:t>9.303</w:t>
            </w:r>
          </w:p>
        </w:tc>
      </w:tr>
      <w:tr w:rsidR="00BB4501" w:rsidRPr="00F00002" w:rsidTr="000505B9">
        <w:tc>
          <w:tcPr>
            <w:tcW w:w="1371" w:type="pct"/>
            <w:shd w:val="clear" w:color="auto" w:fill="auto"/>
          </w:tcPr>
          <w:p w:rsidR="00BB4501" w:rsidRPr="00F00002" w:rsidRDefault="00BB4501" w:rsidP="00D150ED">
            <w:pPr>
              <w:pStyle w:val="Tabletext"/>
            </w:pPr>
            <w:r w:rsidRPr="00F00002">
              <w:t>15</w:t>
            </w:r>
          </w:p>
        </w:tc>
        <w:tc>
          <w:tcPr>
            <w:tcW w:w="1615" w:type="pct"/>
            <w:shd w:val="clear" w:color="auto" w:fill="auto"/>
          </w:tcPr>
          <w:p w:rsidR="00BB4501" w:rsidRPr="00F00002" w:rsidRDefault="00BB4501" w:rsidP="00D150ED">
            <w:pPr>
              <w:pStyle w:val="Tabletext"/>
            </w:pPr>
            <w:r w:rsidRPr="00F00002">
              <w:t>11.411</w:t>
            </w:r>
          </w:p>
        </w:tc>
        <w:tc>
          <w:tcPr>
            <w:tcW w:w="2014" w:type="pct"/>
            <w:shd w:val="clear" w:color="auto" w:fill="auto"/>
          </w:tcPr>
          <w:p w:rsidR="00BB4501" w:rsidRPr="00F00002" w:rsidRDefault="00BB4501" w:rsidP="00D150ED">
            <w:pPr>
              <w:pStyle w:val="Tabletext"/>
            </w:pPr>
            <w:r w:rsidRPr="00F00002">
              <w:t>9.705</w:t>
            </w:r>
          </w:p>
        </w:tc>
      </w:tr>
      <w:tr w:rsidR="00BB4501" w:rsidRPr="00F00002" w:rsidTr="000505B9">
        <w:tc>
          <w:tcPr>
            <w:tcW w:w="1371" w:type="pct"/>
            <w:shd w:val="clear" w:color="auto" w:fill="auto"/>
          </w:tcPr>
          <w:p w:rsidR="00BB4501" w:rsidRPr="00F00002" w:rsidRDefault="00BB4501" w:rsidP="00D76754">
            <w:pPr>
              <w:pStyle w:val="Tabletext"/>
              <w:keepNext/>
            </w:pPr>
            <w:r w:rsidRPr="00F00002">
              <w:lastRenderedPageBreak/>
              <w:t>16</w:t>
            </w:r>
          </w:p>
        </w:tc>
        <w:tc>
          <w:tcPr>
            <w:tcW w:w="1615" w:type="pct"/>
            <w:shd w:val="clear" w:color="auto" w:fill="auto"/>
          </w:tcPr>
          <w:p w:rsidR="00BB4501" w:rsidRPr="00F00002" w:rsidRDefault="00BB4501" w:rsidP="00D76754">
            <w:pPr>
              <w:pStyle w:val="Tabletext"/>
              <w:keepNext/>
            </w:pPr>
            <w:r w:rsidRPr="00F00002">
              <w:t>11.963</w:t>
            </w:r>
          </w:p>
        </w:tc>
        <w:tc>
          <w:tcPr>
            <w:tcW w:w="2014" w:type="pct"/>
            <w:shd w:val="clear" w:color="auto" w:fill="auto"/>
          </w:tcPr>
          <w:p w:rsidR="00BB4501" w:rsidRPr="00F00002" w:rsidRDefault="00BB4501" w:rsidP="00D76754">
            <w:pPr>
              <w:pStyle w:val="Tabletext"/>
              <w:keepNext/>
            </w:pPr>
            <w:r w:rsidRPr="00F00002">
              <w:t>10.081</w:t>
            </w:r>
          </w:p>
        </w:tc>
      </w:tr>
      <w:tr w:rsidR="00BB4501" w:rsidRPr="00F00002" w:rsidTr="000505B9">
        <w:tc>
          <w:tcPr>
            <w:tcW w:w="1371" w:type="pct"/>
            <w:shd w:val="clear" w:color="auto" w:fill="auto"/>
          </w:tcPr>
          <w:p w:rsidR="00BB4501" w:rsidRPr="00F00002" w:rsidRDefault="00BB4501" w:rsidP="00D150ED">
            <w:pPr>
              <w:pStyle w:val="Tabletext"/>
            </w:pPr>
            <w:r w:rsidRPr="00F00002">
              <w:t>17</w:t>
            </w:r>
          </w:p>
        </w:tc>
        <w:tc>
          <w:tcPr>
            <w:tcW w:w="1615" w:type="pct"/>
            <w:shd w:val="clear" w:color="auto" w:fill="auto"/>
          </w:tcPr>
          <w:p w:rsidR="00BB4501" w:rsidRPr="00F00002" w:rsidRDefault="00BB4501" w:rsidP="00D150ED">
            <w:pPr>
              <w:pStyle w:val="Tabletext"/>
            </w:pPr>
            <w:r w:rsidRPr="00F00002">
              <w:t>12.495</w:t>
            </w:r>
          </w:p>
        </w:tc>
        <w:tc>
          <w:tcPr>
            <w:tcW w:w="2014" w:type="pct"/>
            <w:shd w:val="clear" w:color="auto" w:fill="auto"/>
          </w:tcPr>
          <w:p w:rsidR="00BB4501" w:rsidRPr="00F00002" w:rsidRDefault="00BB4501" w:rsidP="00D150ED">
            <w:pPr>
              <w:pStyle w:val="Tabletext"/>
            </w:pPr>
            <w:r w:rsidRPr="00F00002">
              <w:t>10.435</w:t>
            </w:r>
          </w:p>
        </w:tc>
      </w:tr>
      <w:tr w:rsidR="00BB4501" w:rsidRPr="00F00002" w:rsidTr="000505B9">
        <w:tc>
          <w:tcPr>
            <w:tcW w:w="1371" w:type="pct"/>
            <w:shd w:val="clear" w:color="auto" w:fill="auto"/>
          </w:tcPr>
          <w:p w:rsidR="00BB4501" w:rsidRPr="00F00002" w:rsidRDefault="00BB4501" w:rsidP="00D150ED">
            <w:pPr>
              <w:pStyle w:val="Tabletext"/>
            </w:pPr>
            <w:r w:rsidRPr="00F00002">
              <w:t>18</w:t>
            </w:r>
          </w:p>
        </w:tc>
        <w:tc>
          <w:tcPr>
            <w:tcW w:w="1615" w:type="pct"/>
            <w:shd w:val="clear" w:color="auto" w:fill="auto"/>
          </w:tcPr>
          <w:p w:rsidR="00BB4501" w:rsidRPr="00F00002" w:rsidRDefault="00BB4501" w:rsidP="00D150ED">
            <w:pPr>
              <w:pStyle w:val="Tabletext"/>
            </w:pPr>
            <w:r w:rsidRPr="00F00002">
              <w:t>13.007</w:t>
            </w:r>
          </w:p>
        </w:tc>
        <w:tc>
          <w:tcPr>
            <w:tcW w:w="2014" w:type="pct"/>
            <w:shd w:val="clear" w:color="auto" w:fill="auto"/>
          </w:tcPr>
          <w:p w:rsidR="00BB4501" w:rsidRPr="00F00002" w:rsidRDefault="00BB4501" w:rsidP="00D150ED">
            <w:pPr>
              <w:pStyle w:val="Tabletext"/>
            </w:pPr>
            <w:r w:rsidRPr="00F00002">
              <w:t>10.768</w:t>
            </w:r>
          </w:p>
        </w:tc>
      </w:tr>
      <w:tr w:rsidR="00BB4501" w:rsidRPr="00F00002" w:rsidTr="000505B9">
        <w:tc>
          <w:tcPr>
            <w:tcW w:w="1371" w:type="pct"/>
            <w:shd w:val="clear" w:color="auto" w:fill="auto"/>
          </w:tcPr>
          <w:p w:rsidR="00BB4501" w:rsidRPr="00F00002" w:rsidRDefault="00BB4501" w:rsidP="00D150ED">
            <w:pPr>
              <w:pStyle w:val="Tabletext"/>
            </w:pPr>
            <w:r w:rsidRPr="00F00002">
              <w:t>19</w:t>
            </w:r>
          </w:p>
        </w:tc>
        <w:tc>
          <w:tcPr>
            <w:tcW w:w="1615" w:type="pct"/>
            <w:shd w:val="clear" w:color="auto" w:fill="auto"/>
          </w:tcPr>
          <w:p w:rsidR="00BB4501" w:rsidRPr="00F00002" w:rsidRDefault="00BB4501" w:rsidP="00D150ED">
            <w:pPr>
              <w:pStyle w:val="Tabletext"/>
            </w:pPr>
            <w:r w:rsidRPr="00F00002">
              <w:t>13.499</w:t>
            </w:r>
          </w:p>
        </w:tc>
        <w:tc>
          <w:tcPr>
            <w:tcW w:w="2014" w:type="pct"/>
            <w:shd w:val="clear" w:color="auto" w:fill="auto"/>
          </w:tcPr>
          <w:p w:rsidR="00BB4501" w:rsidRPr="00F00002" w:rsidRDefault="00BB4501" w:rsidP="00D150ED">
            <w:pPr>
              <w:pStyle w:val="Tabletext"/>
            </w:pPr>
            <w:r w:rsidRPr="00F00002">
              <w:t>11.079</w:t>
            </w:r>
          </w:p>
        </w:tc>
      </w:tr>
      <w:tr w:rsidR="00BB4501" w:rsidRPr="00F00002" w:rsidTr="000505B9">
        <w:tc>
          <w:tcPr>
            <w:tcW w:w="1371" w:type="pct"/>
            <w:shd w:val="clear" w:color="auto" w:fill="auto"/>
          </w:tcPr>
          <w:p w:rsidR="00BB4501" w:rsidRPr="00F00002" w:rsidRDefault="00BB4501" w:rsidP="00D150ED">
            <w:pPr>
              <w:pStyle w:val="Tabletext"/>
            </w:pPr>
            <w:r w:rsidRPr="00F00002">
              <w:t>20</w:t>
            </w:r>
          </w:p>
        </w:tc>
        <w:tc>
          <w:tcPr>
            <w:tcW w:w="1615" w:type="pct"/>
            <w:shd w:val="clear" w:color="auto" w:fill="auto"/>
          </w:tcPr>
          <w:p w:rsidR="00BB4501" w:rsidRPr="00F00002" w:rsidRDefault="00BB4501" w:rsidP="00D150ED">
            <w:pPr>
              <w:pStyle w:val="Tabletext"/>
            </w:pPr>
            <w:r w:rsidRPr="00F00002">
              <w:t>13.973</w:t>
            </w:r>
          </w:p>
        </w:tc>
        <w:tc>
          <w:tcPr>
            <w:tcW w:w="2014" w:type="pct"/>
            <w:shd w:val="clear" w:color="auto" w:fill="auto"/>
          </w:tcPr>
          <w:p w:rsidR="00BB4501" w:rsidRPr="00F00002" w:rsidRDefault="00BB4501" w:rsidP="00D150ED">
            <w:pPr>
              <w:pStyle w:val="Tabletext"/>
            </w:pPr>
            <w:r w:rsidRPr="00F00002">
              <w:t>11.372</w:t>
            </w:r>
          </w:p>
        </w:tc>
      </w:tr>
      <w:tr w:rsidR="00BB4501" w:rsidRPr="00F00002" w:rsidTr="000505B9">
        <w:tc>
          <w:tcPr>
            <w:tcW w:w="1371" w:type="pct"/>
            <w:shd w:val="clear" w:color="auto" w:fill="auto"/>
          </w:tcPr>
          <w:p w:rsidR="00BB4501" w:rsidRPr="00F00002" w:rsidRDefault="00BB4501" w:rsidP="00D150ED">
            <w:pPr>
              <w:pStyle w:val="Tabletext"/>
            </w:pPr>
            <w:r w:rsidRPr="00F00002">
              <w:t>21</w:t>
            </w:r>
          </w:p>
        </w:tc>
        <w:tc>
          <w:tcPr>
            <w:tcW w:w="1615" w:type="pct"/>
            <w:shd w:val="clear" w:color="auto" w:fill="auto"/>
          </w:tcPr>
          <w:p w:rsidR="00BB4501" w:rsidRPr="00F00002" w:rsidRDefault="00BB4501" w:rsidP="00D150ED">
            <w:pPr>
              <w:pStyle w:val="Tabletext"/>
            </w:pPr>
            <w:r w:rsidRPr="00F00002">
              <w:t>14.430</w:t>
            </w:r>
          </w:p>
        </w:tc>
        <w:tc>
          <w:tcPr>
            <w:tcW w:w="2014" w:type="pct"/>
            <w:shd w:val="clear" w:color="auto" w:fill="auto"/>
          </w:tcPr>
          <w:p w:rsidR="00BB4501" w:rsidRPr="00F00002" w:rsidRDefault="00BB4501" w:rsidP="00D150ED">
            <w:pPr>
              <w:pStyle w:val="Tabletext"/>
            </w:pPr>
            <w:r w:rsidRPr="00F00002">
              <w:t>11.647</w:t>
            </w:r>
          </w:p>
        </w:tc>
      </w:tr>
      <w:tr w:rsidR="00BB4501" w:rsidRPr="00F00002" w:rsidTr="000505B9">
        <w:tc>
          <w:tcPr>
            <w:tcW w:w="1371" w:type="pct"/>
            <w:shd w:val="clear" w:color="auto" w:fill="auto"/>
          </w:tcPr>
          <w:p w:rsidR="00BB4501" w:rsidRPr="00F00002" w:rsidRDefault="00BB4501" w:rsidP="00D150ED">
            <w:pPr>
              <w:pStyle w:val="Tabletext"/>
            </w:pPr>
            <w:r w:rsidRPr="00F00002">
              <w:t>22</w:t>
            </w:r>
          </w:p>
        </w:tc>
        <w:tc>
          <w:tcPr>
            <w:tcW w:w="1615" w:type="pct"/>
            <w:shd w:val="clear" w:color="auto" w:fill="auto"/>
          </w:tcPr>
          <w:p w:rsidR="00BB4501" w:rsidRPr="00F00002" w:rsidRDefault="00BB4501" w:rsidP="00D150ED">
            <w:pPr>
              <w:pStyle w:val="Tabletext"/>
            </w:pPr>
            <w:r w:rsidRPr="00F00002">
              <w:t>14.869</w:t>
            </w:r>
          </w:p>
        </w:tc>
        <w:tc>
          <w:tcPr>
            <w:tcW w:w="2014" w:type="pct"/>
            <w:shd w:val="clear" w:color="auto" w:fill="auto"/>
          </w:tcPr>
          <w:p w:rsidR="00BB4501" w:rsidRPr="00F00002" w:rsidRDefault="00BB4501" w:rsidP="00D150ED">
            <w:pPr>
              <w:pStyle w:val="Tabletext"/>
            </w:pPr>
            <w:r w:rsidRPr="00F00002">
              <w:t>11.906</w:t>
            </w:r>
          </w:p>
        </w:tc>
      </w:tr>
      <w:tr w:rsidR="00BB4501" w:rsidRPr="00F00002" w:rsidTr="000505B9">
        <w:tc>
          <w:tcPr>
            <w:tcW w:w="1371" w:type="pct"/>
            <w:shd w:val="clear" w:color="auto" w:fill="auto"/>
          </w:tcPr>
          <w:p w:rsidR="00BB4501" w:rsidRPr="00F00002" w:rsidRDefault="00BB4501" w:rsidP="00D150ED">
            <w:pPr>
              <w:pStyle w:val="Tabletext"/>
            </w:pPr>
            <w:r w:rsidRPr="00F00002">
              <w:t>23</w:t>
            </w:r>
          </w:p>
        </w:tc>
        <w:tc>
          <w:tcPr>
            <w:tcW w:w="1615" w:type="pct"/>
            <w:shd w:val="clear" w:color="auto" w:fill="auto"/>
          </w:tcPr>
          <w:p w:rsidR="00BB4501" w:rsidRPr="00F00002" w:rsidRDefault="00BB4501" w:rsidP="00D150ED">
            <w:pPr>
              <w:pStyle w:val="Tabletext"/>
            </w:pPr>
            <w:r w:rsidRPr="00F00002">
              <w:t>15.291</w:t>
            </w:r>
          </w:p>
        </w:tc>
        <w:tc>
          <w:tcPr>
            <w:tcW w:w="2014" w:type="pct"/>
            <w:shd w:val="clear" w:color="auto" w:fill="auto"/>
          </w:tcPr>
          <w:p w:rsidR="00BB4501" w:rsidRPr="00F00002" w:rsidRDefault="00BB4501" w:rsidP="00D150ED">
            <w:pPr>
              <w:pStyle w:val="Tabletext"/>
            </w:pPr>
            <w:r w:rsidRPr="00F00002">
              <w:t>12.148</w:t>
            </w:r>
          </w:p>
        </w:tc>
      </w:tr>
      <w:tr w:rsidR="00BB4501" w:rsidRPr="00F00002" w:rsidTr="000505B9">
        <w:tc>
          <w:tcPr>
            <w:tcW w:w="1371" w:type="pct"/>
            <w:shd w:val="clear" w:color="auto" w:fill="auto"/>
          </w:tcPr>
          <w:p w:rsidR="00BB4501" w:rsidRPr="00F00002" w:rsidRDefault="00BB4501" w:rsidP="00D150ED">
            <w:pPr>
              <w:pStyle w:val="Tabletext"/>
            </w:pPr>
            <w:r w:rsidRPr="00F00002">
              <w:t>24</w:t>
            </w:r>
          </w:p>
        </w:tc>
        <w:tc>
          <w:tcPr>
            <w:tcW w:w="1615" w:type="pct"/>
            <w:shd w:val="clear" w:color="auto" w:fill="auto"/>
          </w:tcPr>
          <w:p w:rsidR="00BB4501" w:rsidRPr="00F00002" w:rsidRDefault="00BB4501" w:rsidP="00D150ED">
            <w:pPr>
              <w:pStyle w:val="Tabletext"/>
            </w:pPr>
            <w:r w:rsidRPr="00F00002">
              <w:t>15.698</w:t>
            </w:r>
          </w:p>
        </w:tc>
        <w:tc>
          <w:tcPr>
            <w:tcW w:w="2014" w:type="pct"/>
            <w:shd w:val="clear" w:color="auto" w:fill="auto"/>
          </w:tcPr>
          <w:p w:rsidR="00BB4501" w:rsidRPr="00F00002" w:rsidRDefault="00BB4501" w:rsidP="00D150ED">
            <w:pPr>
              <w:pStyle w:val="Tabletext"/>
            </w:pPr>
            <w:r w:rsidRPr="00F00002">
              <w:t>12.376</w:t>
            </w:r>
          </w:p>
        </w:tc>
      </w:tr>
      <w:tr w:rsidR="00BB4501" w:rsidRPr="00F00002" w:rsidTr="000505B9">
        <w:tc>
          <w:tcPr>
            <w:tcW w:w="1371" w:type="pct"/>
            <w:shd w:val="clear" w:color="auto" w:fill="auto"/>
          </w:tcPr>
          <w:p w:rsidR="00BB4501" w:rsidRPr="00F00002" w:rsidRDefault="00BB4501" w:rsidP="00D150ED">
            <w:pPr>
              <w:pStyle w:val="Tabletext"/>
            </w:pPr>
            <w:r w:rsidRPr="00F00002">
              <w:t>25</w:t>
            </w:r>
          </w:p>
        </w:tc>
        <w:tc>
          <w:tcPr>
            <w:tcW w:w="1615" w:type="pct"/>
            <w:shd w:val="clear" w:color="auto" w:fill="auto"/>
          </w:tcPr>
          <w:p w:rsidR="00BB4501" w:rsidRPr="00F00002" w:rsidRDefault="00BB4501" w:rsidP="00D150ED">
            <w:pPr>
              <w:pStyle w:val="Tabletext"/>
            </w:pPr>
            <w:r w:rsidRPr="00F00002">
              <w:t>16.090</w:t>
            </w:r>
          </w:p>
        </w:tc>
        <w:tc>
          <w:tcPr>
            <w:tcW w:w="2014" w:type="pct"/>
            <w:shd w:val="clear" w:color="auto" w:fill="auto"/>
          </w:tcPr>
          <w:p w:rsidR="00BB4501" w:rsidRPr="00F00002" w:rsidRDefault="00BB4501" w:rsidP="00D150ED">
            <w:pPr>
              <w:pStyle w:val="Tabletext"/>
            </w:pPr>
            <w:r w:rsidRPr="00F00002">
              <w:t>12.590</w:t>
            </w:r>
          </w:p>
        </w:tc>
      </w:tr>
      <w:tr w:rsidR="00BB4501" w:rsidRPr="00F00002" w:rsidTr="000505B9">
        <w:tc>
          <w:tcPr>
            <w:tcW w:w="1371" w:type="pct"/>
            <w:shd w:val="clear" w:color="auto" w:fill="auto"/>
          </w:tcPr>
          <w:p w:rsidR="00BB4501" w:rsidRPr="00F00002" w:rsidRDefault="00BB4501" w:rsidP="00D150ED">
            <w:pPr>
              <w:pStyle w:val="Tabletext"/>
            </w:pPr>
            <w:r w:rsidRPr="00F00002">
              <w:t>26</w:t>
            </w:r>
          </w:p>
        </w:tc>
        <w:tc>
          <w:tcPr>
            <w:tcW w:w="1615" w:type="pct"/>
            <w:shd w:val="clear" w:color="auto" w:fill="auto"/>
          </w:tcPr>
          <w:p w:rsidR="00BB4501" w:rsidRPr="00F00002" w:rsidRDefault="00BB4501" w:rsidP="00D150ED">
            <w:pPr>
              <w:pStyle w:val="Tabletext"/>
            </w:pPr>
            <w:r w:rsidRPr="00F00002">
              <w:t>16.466</w:t>
            </w:r>
          </w:p>
        </w:tc>
        <w:tc>
          <w:tcPr>
            <w:tcW w:w="2014" w:type="pct"/>
            <w:shd w:val="clear" w:color="auto" w:fill="auto"/>
          </w:tcPr>
          <w:p w:rsidR="00BB4501" w:rsidRPr="00F00002" w:rsidRDefault="00BB4501" w:rsidP="00D150ED">
            <w:pPr>
              <w:pStyle w:val="Tabletext"/>
            </w:pPr>
            <w:r w:rsidRPr="00F00002">
              <w:t>12.790</w:t>
            </w:r>
          </w:p>
        </w:tc>
      </w:tr>
      <w:tr w:rsidR="00BB4501" w:rsidRPr="00F00002" w:rsidTr="000505B9">
        <w:tc>
          <w:tcPr>
            <w:tcW w:w="1371" w:type="pct"/>
            <w:shd w:val="clear" w:color="auto" w:fill="auto"/>
          </w:tcPr>
          <w:p w:rsidR="00BB4501" w:rsidRPr="00F00002" w:rsidRDefault="00BB4501" w:rsidP="00D150ED">
            <w:pPr>
              <w:pStyle w:val="Tabletext"/>
            </w:pPr>
            <w:r w:rsidRPr="00F00002">
              <w:t>27</w:t>
            </w:r>
          </w:p>
        </w:tc>
        <w:tc>
          <w:tcPr>
            <w:tcW w:w="1615" w:type="pct"/>
            <w:shd w:val="clear" w:color="auto" w:fill="auto"/>
          </w:tcPr>
          <w:p w:rsidR="00BB4501" w:rsidRPr="00F00002" w:rsidRDefault="00BB4501" w:rsidP="00D150ED">
            <w:pPr>
              <w:pStyle w:val="Tabletext"/>
            </w:pPr>
            <w:r w:rsidRPr="00F00002">
              <w:t>16.829</w:t>
            </w:r>
          </w:p>
        </w:tc>
        <w:tc>
          <w:tcPr>
            <w:tcW w:w="2014" w:type="pct"/>
            <w:shd w:val="clear" w:color="auto" w:fill="auto"/>
          </w:tcPr>
          <w:p w:rsidR="00BB4501" w:rsidRPr="00F00002" w:rsidRDefault="00BB4501" w:rsidP="00D150ED">
            <w:pPr>
              <w:pStyle w:val="Tabletext"/>
            </w:pPr>
            <w:r w:rsidRPr="00F00002">
              <w:t>12.979</w:t>
            </w:r>
          </w:p>
        </w:tc>
      </w:tr>
      <w:tr w:rsidR="00BB4501" w:rsidRPr="00F00002" w:rsidTr="000505B9">
        <w:tc>
          <w:tcPr>
            <w:tcW w:w="1371" w:type="pct"/>
            <w:shd w:val="clear" w:color="auto" w:fill="auto"/>
          </w:tcPr>
          <w:p w:rsidR="00BB4501" w:rsidRPr="00F00002" w:rsidRDefault="00BB4501" w:rsidP="00D150ED">
            <w:pPr>
              <w:pStyle w:val="Tabletext"/>
            </w:pPr>
            <w:r w:rsidRPr="00F00002">
              <w:t>28</w:t>
            </w:r>
          </w:p>
        </w:tc>
        <w:tc>
          <w:tcPr>
            <w:tcW w:w="1615" w:type="pct"/>
            <w:shd w:val="clear" w:color="auto" w:fill="auto"/>
          </w:tcPr>
          <w:p w:rsidR="00BB4501" w:rsidRPr="00F00002" w:rsidRDefault="00BB4501" w:rsidP="00D150ED">
            <w:pPr>
              <w:pStyle w:val="Tabletext"/>
            </w:pPr>
            <w:r w:rsidRPr="00F00002">
              <w:t>17.178</w:t>
            </w:r>
          </w:p>
        </w:tc>
        <w:tc>
          <w:tcPr>
            <w:tcW w:w="2014" w:type="pct"/>
            <w:shd w:val="clear" w:color="auto" w:fill="auto"/>
          </w:tcPr>
          <w:p w:rsidR="00BB4501" w:rsidRPr="00F00002" w:rsidRDefault="00BB4501" w:rsidP="00D150ED">
            <w:pPr>
              <w:pStyle w:val="Tabletext"/>
            </w:pPr>
            <w:r w:rsidRPr="00F00002">
              <w:t>13.156</w:t>
            </w:r>
          </w:p>
        </w:tc>
      </w:tr>
      <w:tr w:rsidR="00BB4501" w:rsidRPr="00F00002" w:rsidTr="000505B9">
        <w:tc>
          <w:tcPr>
            <w:tcW w:w="1371" w:type="pct"/>
            <w:tcBorders>
              <w:bottom w:val="single" w:sz="4" w:space="0" w:color="auto"/>
            </w:tcBorders>
            <w:shd w:val="clear" w:color="auto" w:fill="auto"/>
          </w:tcPr>
          <w:p w:rsidR="00BB4501" w:rsidRPr="00F00002" w:rsidRDefault="00BB4501" w:rsidP="00D150ED">
            <w:pPr>
              <w:pStyle w:val="Tabletext"/>
            </w:pPr>
            <w:r w:rsidRPr="00F00002">
              <w:t>29</w:t>
            </w:r>
          </w:p>
        </w:tc>
        <w:tc>
          <w:tcPr>
            <w:tcW w:w="1615" w:type="pct"/>
            <w:tcBorders>
              <w:bottom w:val="single" w:sz="4" w:space="0" w:color="auto"/>
            </w:tcBorders>
            <w:shd w:val="clear" w:color="auto" w:fill="auto"/>
          </w:tcPr>
          <w:p w:rsidR="00BB4501" w:rsidRPr="00F00002" w:rsidRDefault="00BB4501" w:rsidP="00D150ED">
            <w:pPr>
              <w:pStyle w:val="Tabletext"/>
            </w:pPr>
            <w:r w:rsidRPr="00F00002">
              <w:t>17.514</w:t>
            </w:r>
          </w:p>
        </w:tc>
        <w:tc>
          <w:tcPr>
            <w:tcW w:w="2014" w:type="pct"/>
            <w:tcBorders>
              <w:bottom w:val="single" w:sz="4" w:space="0" w:color="auto"/>
            </w:tcBorders>
            <w:shd w:val="clear" w:color="auto" w:fill="auto"/>
          </w:tcPr>
          <w:p w:rsidR="00BB4501" w:rsidRPr="00F00002" w:rsidRDefault="00BB4501" w:rsidP="00D150ED">
            <w:pPr>
              <w:pStyle w:val="Tabletext"/>
            </w:pPr>
            <w:r w:rsidRPr="00F00002">
              <w:t>13.322</w:t>
            </w:r>
          </w:p>
        </w:tc>
      </w:tr>
      <w:tr w:rsidR="00BB4501" w:rsidRPr="00F00002" w:rsidTr="000505B9">
        <w:tc>
          <w:tcPr>
            <w:tcW w:w="1371" w:type="pct"/>
            <w:tcBorders>
              <w:bottom w:val="single" w:sz="12" w:space="0" w:color="auto"/>
            </w:tcBorders>
            <w:shd w:val="clear" w:color="auto" w:fill="auto"/>
          </w:tcPr>
          <w:p w:rsidR="00BB4501" w:rsidRPr="00F00002" w:rsidRDefault="00BB4501" w:rsidP="00D150ED">
            <w:pPr>
              <w:pStyle w:val="Tabletext"/>
            </w:pPr>
            <w:r w:rsidRPr="00F00002">
              <w:t>30</w:t>
            </w:r>
          </w:p>
        </w:tc>
        <w:tc>
          <w:tcPr>
            <w:tcW w:w="1615" w:type="pct"/>
            <w:tcBorders>
              <w:bottom w:val="single" w:sz="12" w:space="0" w:color="auto"/>
            </w:tcBorders>
            <w:shd w:val="clear" w:color="auto" w:fill="auto"/>
          </w:tcPr>
          <w:p w:rsidR="00BB4501" w:rsidRPr="00F00002" w:rsidRDefault="00BB4501" w:rsidP="00D150ED">
            <w:pPr>
              <w:pStyle w:val="Tabletext"/>
            </w:pPr>
            <w:r w:rsidRPr="00F00002">
              <w:t>17.837</w:t>
            </w:r>
          </w:p>
        </w:tc>
        <w:tc>
          <w:tcPr>
            <w:tcW w:w="2014" w:type="pct"/>
            <w:tcBorders>
              <w:bottom w:val="single" w:sz="12" w:space="0" w:color="auto"/>
            </w:tcBorders>
            <w:shd w:val="clear" w:color="auto" w:fill="auto"/>
          </w:tcPr>
          <w:p w:rsidR="00BB4501" w:rsidRPr="00F00002" w:rsidRDefault="00BB4501" w:rsidP="00D150ED">
            <w:pPr>
              <w:pStyle w:val="Tabletext"/>
            </w:pPr>
            <w:r w:rsidRPr="00F00002">
              <w:t>13.478</w:t>
            </w:r>
          </w:p>
        </w:tc>
      </w:tr>
    </w:tbl>
    <w:p w:rsidR="003F23AA" w:rsidRPr="00F00002" w:rsidRDefault="003F23AA" w:rsidP="00A757D6">
      <w:pPr>
        <w:sectPr w:rsidR="003F23AA" w:rsidRPr="00F00002" w:rsidSect="008035BA">
          <w:type w:val="continuous"/>
          <w:pgSz w:w="11907" w:h="16839" w:code="9"/>
          <w:pgMar w:top="2325" w:right="1797" w:bottom="1440" w:left="1797" w:header="720" w:footer="709" w:gutter="0"/>
          <w:cols w:num="2" w:space="720"/>
          <w:docGrid w:linePitch="299"/>
        </w:sectPr>
      </w:pPr>
    </w:p>
    <w:p w:rsidR="00BB4501" w:rsidRPr="00F00002" w:rsidRDefault="00BB4501" w:rsidP="000A0E2F">
      <w:pPr>
        <w:pStyle w:val="Specials"/>
      </w:pPr>
      <w:r w:rsidRPr="00F00002">
        <w:lastRenderedPageBreak/>
        <w:t>2</w:t>
      </w:r>
      <w:r w:rsidRPr="00F00002">
        <w:tab/>
        <w:t>Lump sum valuation factors</w:t>
      </w:r>
    </w:p>
    <w:p w:rsidR="00BB4501" w:rsidRPr="00F00002" w:rsidRDefault="00BB4501" w:rsidP="00D150ED">
      <w:pPr>
        <w:pStyle w:val="subsection"/>
      </w:pPr>
      <w:r w:rsidRPr="00F00002">
        <w:rPr>
          <w:color w:val="000000"/>
        </w:rPr>
        <w:tab/>
        <w:t>(1)</w:t>
      </w:r>
      <w:r w:rsidRPr="00F00002">
        <w:rPr>
          <w:color w:val="000000"/>
        </w:rPr>
        <w:tab/>
        <w:t>For subregulation</w:t>
      </w:r>
      <w:r w:rsidR="00F00002">
        <w:rPr>
          <w:color w:val="000000"/>
        </w:rPr>
        <w:t> </w:t>
      </w:r>
      <w:r w:rsidRPr="00F00002">
        <w:rPr>
          <w:color w:val="000000"/>
        </w:rPr>
        <w:t>307</w:t>
      </w:r>
      <w:r w:rsidR="00F00002">
        <w:rPr>
          <w:color w:val="000000"/>
        </w:rPr>
        <w:noBreakHyphen/>
      </w:r>
      <w:r w:rsidRPr="00F00002">
        <w:rPr>
          <w:color w:val="000000"/>
        </w:rPr>
        <w:t xml:space="preserve">205.02(2), the applicable factor is the discount valuation factor mentioned in </w:t>
      </w:r>
      <w:r w:rsidR="00F00002">
        <w:rPr>
          <w:color w:val="000000"/>
        </w:rPr>
        <w:t>subclause (</w:t>
      </w:r>
      <w:r w:rsidRPr="00F00002">
        <w:rPr>
          <w:color w:val="000000"/>
        </w:rPr>
        <w:t>3) that applies for the minimum deferral period.</w:t>
      </w:r>
    </w:p>
    <w:p w:rsidR="00BB4501" w:rsidRPr="00F00002" w:rsidRDefault="00BB4501" w:rsidP="00D150ED">
      <w:pPr>
        <w:pStyle w:val="subsection"/>
      </w:pPr>
      <w:r w:rsidRPr="00F00002">
        <w:rPr>
          <w:color w:val="000000"/>
        </w:rPr>
        <w:tab/>
        <w:t>(2)</w:t>
      </w:r>
      <w:r w:rsidRPr="00F00002">
        <w:rPr>
          <w:color w:val="000000"/>
        </w:rPr>
        <w:tab/>
        <w:t xml:space="preserve">For the purposes of this clause, the minimum deferral period in relation to a lump sum that is to be paid at a time after the date on which an interest is to be valued is the number of complete years between the day before the date on which the interest is to be valued and the earliest date at which the lump sum can be paid. </w:t>
      </w:r>
    </w:p>
    <w:p w:rsidR="00BB4501" w:rsidRPr="00F00002" w:rsidRDefault="00BB4501" w:rsidP="00D150ED">
      <w:pPr>
        <w:pStyle w:val="subsection"/>
      </w:pPr>
      <w:r w:rsidRPr="00F00002">
        <w:tab/>
        <w:t>(3)</w:t>
      </w:r>
      <w:r w:rsidRPr="00F00002">
        <w:tab/>
        <w:t>This subclause sets out the discount valuation factors, in accordance with the following principles:</w:t>
      </w:r>
    </w:p>
    <w:p w:rsidR="00BB4501" w:rsidRPr="00F00002" w:rsidRDefault="00BB4501" w:rsidP="00D150ED">
      <w:pPr>
        <w:pStyle w:val="paragraph"/>
      </w:pPr>
      <w:r w:rsidRPr="00F00002">
        <w:rPr>
          <w:color w:val="000000"/>
        </w:rPr>
        <w:tab/>
        <w:t>(a)</w:t>
      </w:r>
      <w:r w:rsidRPr="00F00002">
        <w:rPr>
          <w:color w:val="000000"/>
        </w:rPr>
        <w:tab/>
        <w:t>the factors in column 2 of table 3 apply if the lump sum is not indexed;</w:t>
      </w:r>
    </w:p>
    <w:p w:rsidR="00BB4501" w:rsidRPr="00F00002" w:rsidRDefault="00BB4501" w:rsidP="00D150ED">
      <w:pPr>
        <w:pStyle w:val="paragraph"/>
      </w:pPr>
      <w:r w:rsidRPr="00F00002">
        <w:tab/>
        <w:t>(b)</w:t>
      </w:r>
      <w:r w:rsidRPr="00F00002">
        <w:tab/>
        <w:t>the factors in column 3 of table 3 apply if the lump sum is indexed in accordance with the consumer price index;</w:t>
      </w:r>
    </w:p>
    <w:p w:rsidR="00BB4501" w:rsidRPr="00F00002" w:rsidRDefault="00BB4501" w:rsidP="00D150ED">
      <w:pPr>
        <w:pStyle w:val="paragraph"/>
      </w:pPr>
      <w:r w:rsidRPr="00F00002">
        <w:tab/>
        <w:t>(c)</w:t>
      </w:r>
      <w:r w:rsidRPr="00F00002">
        <w:tab/>
        <w:t>the factors in column 4 of table 3 apply if the lump sum is indexed in accordance with a general wage index (for example, average weekly earnings, or average weekly ordinary time earnings, published by the Australian Bureau of Statistics);</w:t>
      </w:r>
    </w:p>
    <w:p w:rsidR="00BB4501" w:rsidRPr="00F00002" w:rsidRDefault="009C0941" w:rsidP="009C0941">
      <w:pPr>
        <w:pStyle w:val="paragraph"/>
      </w:pPr>
      <w:r w:rsidRPr="00F00002">
        <w:rPr>
          <w:color w:val="000000"/>
        </w:rPr>
        <w:tab/>
      </w:r>
      <w:r w:rsidR="00BB4501" w:rsidRPr="00F00002">
        <w:rPr>
          <w:color w:val="000000"/>
        </w:rPr>
        <w:t>(d)</w:t>
      </w:r>
      <w:r w:rsidR="00BB4501" w:rsidRPr="00F00002">
        <w:rPr>
          <w:color w:val="000000"/>
        </w:rPr>
        <w:tab/>
        <w:t>if the lump sum is indexed in accordance with a fund crediting rate, the factor is 1.</w:t>
      </w:r>
    </w:p>
    <w:p w:rsidR="00BB4501" w:rsidRPr="00F00002" w:rsidRDefault="00BB4501" w:rsidP="00F23EA4">
      <w:pPr>
        <w:pStyle w:val="Specialth"/>
        <w:spacing w:after="240"/>
      </w:pPr>
      <w:r w:rsidRPr="00F00002">
        <w:lastRenderedPageBreak/>
        <w:t>Table 3</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BB4501" w:rsidRPr="00F00002" w:rsidTr="000505B9">
        <w:trPr>
          <w:tblHeader/>
        </w:trPr>
        <w:tc>
          <w:tcPr>
            <w:tcW w:w="1250" w:type="pct"/>
            <w:tcBorders>
              <w:top w:val="single" w:sz="12" w:space="0" w:color="auto"/>
              <w:bottom w:val="single" w:sz="12" w:space="0" w:color="auto"/>
            </w:tcBorders>
            <w:shd w:val="clear" w:color="auto" w:fill="auto"/>
          </w:tcPr>
          <w:p w:rsidR="00BB4501" w:rsidRPr="00F00002" w:rsidRDefault="00BB4501" w:rsidP="00551DC9">
            <w:pPr>
              <w:pStyle w:val="TableHeading"/>
            </w:pPr>
            <w:r w:rsidRPr="00F00002">
              <w:t xml:space="preserve">Minimum deferral period </w:t>
            </w:r>
          </w:p>
        </w:tc>
        <w:tc>
          <w:tcPr>
            <w:tcW w:w="1250" w:type="pct"/>
            <w:tcBorders>
              <w:top w:val="single" w:sz="12" w:space="0" w:color="auto"/>
              <w:bottom w:val="single" w:sz="12" w:space="0" w:color="auto"/>
            </w:tcBorders>
            <w:shd w:val="clear" w:color="auto" w:fill="auto"/>
          </w:tcPr>
          <w:p w:rsidR="00BB4501" w:rsidRPr="00F00002" w:rsidRDefault="00BB4501" w:rsidP="00551DC9">
            <w:pPr>
              <w:pStyle w:val="TableHeading"/>
            </w:pPr>
            <w:r w:rsidRPr="00F00002">
              <w:t>Lump sum not indexed</w:t>
            </w:r>
          </w:p>
        </w:tc>
        <w:tc>
          <w:tcPr>
            <w:tcW w:w="1250" w:type="pct"/>
            <w:tcBorders>
              <w:top w:val="single" w:sz="12" w:space="0" w:color="auto"/>
              <w:bottom w:val="single" w:sz="12" w:space="0" w:color="auto"/>
            </w:tcBorders>
            <w:shd w:val="clear" w:color="auto" w:fill="auto"/>
          </w:tcPr>
          <w:p w:rsidR="00BB4501" w:rsidRPr="00F00002" w:rsidRDefault="00BB4501" w:rsidP="00551DC9">
            <w:pPr>
              <w:pStyle w:val="TableHeading"/>
            </w:pPr>
            <w:r w:rsidRPr="00F00002">
              <w:t>CPI indexed lump sum</w:t>
            </w:r>
          </w:p>
        </w:tc>
        <w:tc>
          <w:tcPr>
            <w:tcW w:w="1250" w:type="pct"/>
            <w:tcBorders>
              <w:top w:val="single" w:sz="12" w:space="0" w:color="auto"/>
              <w:bottom w:val="single" w:sz="12" w:space="0" w:color="auto"/>
            </w:tcBorders>
            <w:shd w:val="clear" w:color="auto" w:fill="auto"/>
          </w:tcPr>
          <w:p w:rsidR="00BB4501" w:rsidRPr="00F00002" w:rsidRDefault="00BB4501" w:rsidP="00551DC9">
            <w:pPr>
              <w:pStyle w:val="TableHeading"/>
            </w:pPr>
            <w:r w:rsidRPr="00F00002">
              <w:t>Wage indexed lump sum</w:t>
            </w:r>
          </w:p>
        </w:tc>
      </w:tr>
      <w:tr w:rsidR="00BB4501" w:rsidRPr="00F00002" w:rsidTr="000505B9">
        <w:tc>
          <w:tcPr>
            <w:tcW w:w="1250" w:type="pct"/>
            <w:tcBorders>
              <w:top w:val="single" w:sz="12" w:space="0" w:color="auto"/>
            </w:tcBorders>
            <w:shd w:val="clear" w:color="auto" w:fill="auto"/>
          </w:tcPr>
          <w:p w:rsidR="00BB4501" w:rsidRPr="00F00002" w:rsidRDefault="00BB4501" w:rsidP="00D150ED">
            <w:pPr>
              <w:pStyle w:val="Tabletext"/>
              <w:rPr>
                <w:snapToGrid w:val="0"/>
              </w:rPr>
            </w:pPr>
            <w:r w:rsidRPr="00F00002">
              <w:rPr>
                <w:snapToGrid w:val="0"/>
                <w:color w:val="000000"/>
              </w:rPr>
              <w:t>0</w:t>
            </w:r>
          </w:p>
        </w:tc>
        <w:tc>
          <w:tcPr>
            <w:tcW w:w="1250" w:type="pct"/>
            <w:tcBorders>
              <w:top w:val="single" w:sz="12" w:space="0" w:color="auto"/>
            </w:tcBorders>
            <w:shd w:val="clear" w:color="auto" w:fill="auto"/>
          </w:tcPr>
          <w:p w:rsidR="00BB4501" w:rsidRPr="00F00002" w:rsidRDefault="00BB4501" w:rsidP="00D150ED">
            <w:pPr>
              <w:pStyle w:val="Tabletext"/>
              <w:rPr>
                <w:snapToGrid w:val="0"/>
              </w:rPr>
            </w:pPr>
            <w:r w:rsidRPr="00F00002">
              <w:rPr>
                <w:snapToGrid w:val="0"/>
                <w:color w:val="000000"/>
              </w:rPr>
              <w:t>1.000</w:t>
            </w:r>
          </w:p>
        </w:tc>
        <w:tc>
          <w:tcPr>
            <w:tcW w:w="1250" w:type="pct"/>
            <w:tcBorders>
              <w:top w:val="single" w:sz="12" w:space="0" w:color="auto"/>
            </w:tcBorders>
            <w:shd w:val="clear" w:color="auto" w:fill="auto"/>
          </w:tcPr>
          <w:p w:rsidR="00BB4501" w:rsidRPr="00F00002" w:rsidRDefault="00BB4501" w:rsidP="00D150ED">
            <w:pPr>
              <w:pStyle w:val="Tabletext"/>
              <w:rPr>
                <w:snapToGrid w:val="0"/>
              </w:rPr>
            </w:pPr>
            <w:r w:rsidRPr="00F00002">
              <w:rPr>
                <w:snapToGrid w:val="0"/>
                <w:color w:val="000000"/>
              </w:rPr>
              <w:t>1.000</w:t>
            </w:r>
          </w:p>
        </w:tc>
        <w:tc>
          <w:tcPr>
            <w:tcW w:w="1250" w:type="pct"/>
            <w:tcBorders>
              <w:top w:val="single" w:sz="12" w:space="0" w:color="auto"/>
            </w:tcBorders>
            <w:shd w:val="clear" w:color="auto" w:fill="auto"/>
          </w:tcPr>
          <w:p w:rsidR="00BB4501" w:rsidRPr="00F00002" w:rsidRDefault="00BB4501" w:rsidP="00D150ED">
            <w:pPr>
              <w:pStyle w:val="Tabletext"/>
              <w:rPr>
                <w:snapToGrid w:val="0"/>
              </w:rPr>
            </w:pPr>
            <w:r w:rsidRPr="00F00002">
              <w:rPr>
                <w:snapToGrid w:val="0"/>
                <w:color w:val="000000"/>
              </w:rPr>
              <w:t>1.000</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0.939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0.963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0.977</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0.882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0.927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0.954</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0.829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0.892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0.932</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0.779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0.859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0.910</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5</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0.732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0.827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0.889</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6</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0.689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0.797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0.869</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0.648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0.768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0.849</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0.610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0.740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0.830</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0.575</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0.714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0.811</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0.542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0.688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0.793</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0.511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0.664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0.776</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0.483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0.641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0.759</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0.456</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0.619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0.742</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0.431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0.598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0.727</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15</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0.409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0.579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0.711</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16</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0.387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0.560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0.697</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0.368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0.542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0.683</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0.350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0.525</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0.669</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19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0.333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0.509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0.656</w:t>
            </w:r>
          </w:p>
        </w:tc>
      </w:tr>
      <w:tr w:rsidR="00BB4501" w:rsidRPr="00F00002" w:rsidTr="000505B9">
        <w:tc>
          <w:tcPr>
            <w:tcW w:w="1250" w:type="pct"/>
            <w:shd w:val="clear" w:color="auto" w:fill="auto"/>
          </w:tcPr>
          <w:p w:rsidR="00BB4501" w:rsidRPr="00F00002" w:rsidRDefault="00BB4501" w:rsidP="00D150ED">
            <w:pPr>
              <w:pStyle w:val="Tabletext"/>
              <w:rPr>
                <w:snapToGrid w:val="0"/>
              </w:rPr>
            </w:pPr>
            <w:r w:rsidRPr="00F00002">
              <w:rPr>
                <w:snapToGrid w:val="0"/>
                <w:color w:val="000000"/>
              </w:rPr>
              <w:t>20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0.318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0.494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0.644</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0.304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0.480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0.632</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0.291</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0.467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0.621</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0.279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0.454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0.610</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0.269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0.443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0.600</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25</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0.259</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0.432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0.590</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26</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0.250</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0.422</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0.582</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27</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0.243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0.413</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0.573</w:t>
            </w:r>
          </w:p>
        </w:tc>
      </w:tr>
      <w:tr w:rsidR="00BB4501" w:rsidRPr="00F00002" w:rsidTr="000505B9">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28</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0.236</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0.404</w:t>
            </w:r>
          </w:p>
        </w:tc>
        <w:tc>
          <w:tcPr>
            <w:tcW w:w="1250" w:type="pct"/>
            <w:shd w:val="clear" w:color="auto" w:fill="auto"/>
            <w:vAlign w:val="bottom"/>
          </w:tcPr>
          <w:p w:rsidR="00BB4501" w:rsidRPr="00F00002" w:rsidRDefault="00BB4501" w:rsidP="00D150ED">
            <w:pPr>
              <w:pStyle w:val="Tabletext"/>
              <w:rPr>
                <w:snapToGrid w:val="0"/>
              </w:rPr>
            </w:pPr>
            <w:r w:rsidRPr="00F00002">
              <w:rPr>
                <w:snapToGrid w:val="0"/>
                <w:color w:val="000000"/>
              </w:rPr>
              <w:t>0.565</w:t>
            </w:r>
          </w:p>
        </w:tc>
      </w:tr>
      <w:tr w:rsidR="00BB4501" w:rsidRPr="00F00002" w:rsidTr="000505B9">
        <w:tc>
          <w:tcPr>
            <w:tcW w:w="1250" w:type="pct"/>
            <w:tcBorders>
              <w:bottom w:val="single" w:sz="4"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29</w:t>
            </w:r>
          </w:p>
        </w:tc>
        <w:tc>
          <w:tcPr>
            <w:tcW w:w="1250" w:type="pct"/>
            <w:tcBorders>
              <w:bottom w:val="single" w:sz="4"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0.229</w:t>
            </w:r>
          </w:p>
        </w:tc>
        <w:tc>
          <w:tcPr>
            <w:tcW w:w="1250" w:type="pct"/>
            <w:tcBorders>
              <w:bottom w:val="single" w:sz="4"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0.397</w:t>
            </w:r>
          </w:p>
        </w:tc>
        <w:tc>
          <w:tcPr>
            <w:tcW w:w="1250" w:type="pct"/>
            <w:tcBorders>
              <w:bottom w:val="single" w:sz="4"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0.558</w:t>
            </w:r>
          </w:p>
        </w:tc>
      </w:tr>
      <w:tr w:rsidR="00BB4501" w:rsidRPr="00F00002" w:rsidTr="000505B9">
        <w:tc>
          <w:tcPr>
            <w:tcW w:w="1250" w:type="pct"/>
            <w:tcBorders>
              <w:bottom w:val="single" w:sz="12"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30</w:t>
            </w:r>
          </w:p>
        </w:tc>
        <w:tc>
          <w:tcPr>
            <w:tcW w:w="1250" w:type="pct"/>
            <w:tcBorders>
              <w:bottom w:val="single" w:sz="12"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0.224</w:t>
            </w:r>
          </w:p>
        </w:tc>
        <w:tc>
          <w:tcPr>
            <w:tcW w:w="1250" w:type="pct"/>
            <w:tcBorders>
              <w:bottom w:val="single" w:sz="12"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0.390</w:t>
            </w:r>
          </w:p>
        </w:tc>
        <w:tc>
          <w:tcPr>
            <w:tcW w:w="1250" w:type="pct"/>
            <w:tcBorders>
              <w:bottom w:val="single" w:sz="12" w:space="0" w:color="auto"/>
            </w:tcBorders>
            <w:shd w:val="clear" w:color="auto" w:fill="auto"/>
            <w:vAlign w:val="bottom"/>
          </w:tcPr>
          <w:p w:rsidR="00BB4501" w:rsidRPr="00F00002" w:rsidRDefault="00BB4501" w:rsidP="00D150ED">
            <w:pPr>
              <w:pStyle w:val="Tabletext"/>
              <w:rPr>
                <w:snapToGrid w:val="0"/>
              </w:rPr>
            </w:pPr>
            <w:r w:rsidRPr="00F00002">
              <w:rPr>
                <w:snapToGrid w:val="0"/>
                <w:color w:val="000000"/>
              </w:rPr>
              <w:t>0.552</w:t>
            </w:r>
          </w:p>
        </w:tc>
      </w:tr>
    </w:tbl>
    <w:p w:rsidR="003F23AA" w:rsidRPr="00F00002" w:rsidRDefault="003F23AA"/>
    <w:p w:rsidR="003F23AA" w:rsidRPr="00F00002" w:rsidRDefault="003F23AA" w:rsidP="003F23AA">
      <w:pPr>
        <w:sectPr w:rsidR="003F23AA" w:rsidRPr="00F00002" w:rsidSect="008035BA">
          <w:type w:val="continuous"/>
          <w:pgSz w:w="11907" w:h="16839" w:code="9"/>
          <w:pgMar w:top="2325" w:right="1797" w:bottom="1440" w:left="1797" w:header="720" w:footer="709" w:gutter="0"/>
          <w:cols w:space="720"/>
          <w:docGrid w:linePitch="299"/>
        </w:sectPr>
      </w:pPr>
      <w:bookmarkStart w:id="224" w:name="OPCSB_NonAmendNoClausesB5"/>
    </w:p>
    <w:p w:rsidR="004319E4" w:rsidRPr="00F00002" w:rsidRDefault="004319E4" w:rsidP="00753F70">
      <w:pPr>
        <w:pStyle w:val="ActHead1"/>
        <w:pageBreakBefore/>
      </w:pPr>
      <w:bookmarkStart w:id="225" w:name="_Toc31109782"/>
      <w:bookmarkEnd w:id="224"/>
      <w:r w:rsidRPr="00A26088">
        <w:rPr>
          <w:rStyle w:val="CharChapNo"/>
        </w:rPr>
        <w:lastRenderedPageBreak/>
        <w:t>Schedule</w:t>
      </w:r>
      <w:r w:rsidR="00F00002" w:rsidRPr="00A26088">
        <w:rPr>
          <w:rStyle w:val="CharChapNo"/>
        </w:rPr>
        <w:t> </w:t>
      </w:r>
      <w:r w:rsidRPr="00A26088">
        <w:rPr>
          <w:rStyle w:val="CharChapNo"/>
        </w:rPr>
        <w:t>1C</w:t>
      </w:r>
      <w:r w:rsidRPr="00F00002">
        <w:t>—</w:t>
      </w:r>
      <w:r w:rsidRPr="00A26088">
        <w:rPr>
          <w:rStyle w:val="CharChapText"/>
        </w:rPr>
        <w:t>Farm management deposits: statements to be read by depositors</w:t>
      </w:r>
      <w:bookmarkEnd w:id="225"/>
    </w:p>
    <w:p w:rsidR="004319E4" w:rsidRPr="00F00002" w:rsidRDefault="004319E4" w:rsidP="004319E4">
      <w:pPr>
        <w:pStyle w:val="notemargin"/>
      </w:pPr>
      <w:bookmarkStart w:id="226" w:name="BK_S11P122L3C1"/>
      <w:bookmarkEnd w:id="226"/>
      <w:r w:rsidRPr="00F00002">
        <w:t>(regulation</w:t>
      </w:r>
      <w:r w:rsidR="00F00002">
        <w:t> </w:t>
      </w:r>
      <w:r w:rsidRPr="00F00002">
        <w:t>393</w:t>
      </w:r>
      <w:r w:rsidR="00F00002">
        <w:noBreakHyphen/>
      </w:r>
      <w:r w:rsidRPr="00F00002">
        <w:t>10)</w:t>
      </w:r>
    </w:p>
    <w:p w:rsidR="004319E4" w:rsidRPr="00F00002" w:rsidRDefault="004319E4" w:rsidP="004319E4">
      <w:pPr>
        <w:pStyle w:val="ActHead2"/>
      </w:pPr>
      <w:bookmarkStart w:id="227" w:name="BK_S11P122L4C1"/>
      <w:bookmarkStart w:id="228" w:name="_Toc31109783"/>
      <w:bookmarkEnd w:id="227"/>
      <w:r w:rsidRPr="00A26088">
        <w:rPr>
          <w:rStyle w:val="CharPartNo"/>
        </w:rPr>
        <w:t>Part</w:t>
      </w:r>
      <w:r w:rsidR="00F00002" w:rsidRPr="00A26088">
        <w:rPr>
          <w:rStyle w:val="CharPartNo"/>
        </w:rPr>
        <w:t> </w:t>
      </w:r>
      <w:r w:rsidRPr="00A26088">
        <w:rPr>
          <w:rStyle w:val="CharPartNo"/>
        </w:rPr>
        <w:t>1</w:t>
      </w:r>
      <w:r w:rsidRPr="00F00002">
        <w:t>—</w:t>
      </w:r>
      <w:r w:rsidRPr="00A26088">
        <w:rPr>
          <w:rStyle w:val="CharPartText"/>
        </w:rPr>
        <w:t>Statements</w:t>
      </w:r>
      <w:bookmarkEnd w:id="228"/>
    </w:p>
    <w:p w:rsidR="004319E4" w:rsidRPr="00F00002" w:rsidRDefault="004319E4" w:rsidP="004319E4">
      <w:pPr>
        <w:spacing w:before="240"/>
        <w:jc w:val="both"/>
      </w:pPr>
      <w:r w:rsidRPr="00F00002">
        <w:t>1</w:t>
      </w:r>
      <w:r w:rsidRPr="00F00002">
        <w:tab/>
      </w:r>
      <w:r w:rsidRPr="00F00002">
        <w:rPr>
          <w:i/>
        </w:rPr>
        <w:t>Authorised deposit</w:t>
      </w:r>
      <w:r w:rsidR="00F00002">
        <w:rPr>
          <w:i/>
        </w:rPr>
        <w:noBreakHyphen/>
      </w:r>
      <w:r w:rsidRPr="00F00002">
        <w:rPr>
          <w:i/>
        </w:rPr>
        <w:t>taking institution</w:t>
      </w:r>
    </w:p>
    <w:p w:rsidR="004319E4" w:rsidRPr="00F00002" w:rsidRDefault="004319E4" w:rsidP="004319E4">
      <w:pPr>
        <w:spacing w:before="240"/>
        <w:jc w:val="both"/>
      </w:pPr>
      <w:r w:rsidRPr="00F00002">
        <w:t>The FMD provider issuing this application form is an authorised deposit</w:t>
      </w:r>
      <w:r w:rsidR="00F00002">
        <w:noBreakHyphen/>
      </w:r>
      <w:r w:rsidRPr="00F00002">
        <w:t xml:space="preserve">taking institution for the purposes of the </w:t>
      </w:r>
      <w:r w:rsidRPr="00F00002">
        <w:rPr>
          <w:i/>
        </w:rPr>
        <w:t>Banking Act 1959</w:t>
      </w:r>
      <w:r w:rsidRPr="00F00002">
        <w:t>.</w:t>
      </w:r>
    </w:p>
    <w:p w:rsidR="004319E4" w:rsidRPr="00F00002" w:rsidRDefault="004319E4" w:rsidP="004319E4">
      <w:pPr>
        <w:spacing w:before="240"/>
        <w:jc w:val="both"/>
      </w:pPr>
      <w:r w:rsidRPr="00F00002">
        <w:t>2</w:t>
      </w:r>
      <w:r w:rsidRPr="00F00002">
        <w:tab/>
      </w:r>
      <w:r w:rsidRPr="00F00002">
        <w:rPr>
          <w:i/>
        </w:rPr>
        <w:t>Financial Claims Scheme</w:t>
      </w:r>
    </w:p>
    <w:p w:rsidR="004319E4" w:rsidRPr="00F00002" w:rsidRDefault="004319E4" w:rsidP="004319E4">
      <w:pPr>
        <w:spacing w:before="240"/>
        <w:jc w:val="both"/>
      </w:pPr>
      <w:r w:rsidRPr="00F00002">
        <w:t>The account holder may be entitled to payment under the Financial Claims Scheme. Payments under the Financial Claims Scheme are subject to a limit for each depositor in respect of total deposits held by that depositor at a locally incorporated authorised deposit</w:t>
      </w:r>
      <w:r w:rsidR="00F00002">
        <w:noBreakHyphen/>
      </w:r>
      <w:r w:rsidRPr="00F00002">
        <w:t>taking institution. For further information contact the Australian Prudential Regulation Authority or visit www.fcs.gov.au.</w:t>
      </w:r>
    </w:p>
    <w:p w:rsidR="004319E4" w:rsidRPr="00F00002" w:rsidRDefault="004319E4" w:rsidP="004319E4">
      <w:pPr>
        <w:pStyle w:val="ActHead2"/>
      </w:pPr>
      <w:bookmarkStart w:id="229" w:name="BK_S11P122L14C1"/>
      <w:bookmarkStart w:id="230" w:name="_Toc31109784"/>
      <w:bookmarkEnd w:id="229"/>
      <w:r w:rsidRPr="00A26088">
        <w:rPr>
          <w:rStyle w:val="CharPartNo"/>
        </w:rPr>
        <w:t>Part</w:t>
      </w:r>
      <w:r w:rsidR="00F00002" w:rsidRPr="00A26088">
        <w:rPr>
          <w:rStyle w:val="CharPartNo"/>
        </w:rPr>
        <w:t> </w:t>
      </w:r>
      <w:r w:rsidRPr="00A26088">
        <w:rPr>
          <w:rStyle w:val="CharPartNo"/>
        </w:rPr>
        <w:t>2</w:t>
      </w:r>
      <w:r w:rsidRPr="00F00002">
        <w:t>—</w:t>
      </w:r>
      <w:r w:rsidRPr="00A26088">
        <w:rPr>
          <w:rStyle w:val="CharPartText"/>
        </w:rPr>
        <w:t>Required statements</w:t>
      </w:r>
      <w:bookmarkEnd w:id="230"/>
    </w:p>
    <w:p w:rsidR="004319E4" w:rsidRPr="00F00002" w:rsidRDefault="004319E4" w:rsidP="004319E4">
      <w:pPr>
        <w:spacing w:before="240"/>
        <w:jc w:val="both"/>
      </w:pPr>
      <w:r w:rsidRPr="00F00002">
        <w:t>1</w:t>
      </w:r>
      <w:r w:rsidRPr="00F00002">
        <w:tab/>
      </w:r>
      <w:r w:rsidRPr="00F00002">
        <w:rPr>
          <w:i/>
        </w:rPr>
        <w:t>Purpose of farm management deposits scheme</w:t>
      </w:r>
    </w:p>
    <w:p w:rsidR="004319E4" w:rsidRPr="00F00002" w:rsidRDefault="004319E4" w:rsidP="004319E4">
      <w:pPr>
        <w:spacing w:before="240"/>
        <w:jc w:val="both"/>
      </w:pPr>
      <w:r w:rsidRPr="00F00002">
        <w:t xml:space="preserve">The farm management deposits scheme is designed to allow </w:t>
      </w:r>
      <w:r w:rsidRPr="00F00002">
        <w:rPr>
          <w:szCs w:val="22"/>
        </w:rPr>
        <w:t>individuals carrying on a primary production business in Australia</w:t>
      </w:r>
      <w:r w:rsidRPr="00F00002">
        <w:t xml:space="preserve"> to shift before</w:t>
      </w:r>
      <w:r w:rsidR="00F00002">
        <w:noBreakHyphen/>
      </w:r>
      <w:r w:rsidRPr="00F00002">
        <w:t>tax income from years when they need it least to years when it is most needed. The scheme helps those individuals to manage their exposure to adverse economic events and seasonal fluctuations.</w:t>
      </w:r>
    </w:p>
    <w:p w:rsidR="004319E4" w:rsidRPr="00F00002" w:rsidRDefault="004319E4" w:rsidP="004319E4">
      <w:pPr>
        <w:spacing w:before="240"/>
        <w:jc w:val="both"/>
      </w:pPr>
      <w:r w:rsidRPr="00F00002">
        <w:t xml:space="preserve">Eligibility criteria apply to </w:t>
      </w:r>
      <w:r w:rsidRPr="00F00002">
        <w:rPr>
          <w:szCs w:val="22"/>
        </w:rPr>
        <w:t>individuals carrying on a primary production business in Australia</w:t>
      </w:r>
      <w:r w:rsidRPr="00F00002">
        <w:t xml:space="preserve"> under the scheme.</w:t>
      </w:r>
    </w:p>
    <w:p w:rsidR="004319E4" w:rsidRPr="00F00002" w:rsidRDefault="004319E4" w:rsidP="004319E4">
      <w:pPr>
        <w:pStyle w:val="notemargin"/>
      </w:pPr>
      <w:r w:rsidRPr="00F00002">
        <w:t>Note:</w:t>
      </w:r>
      <w:r w:rsidRPr="00F00002">
        <w:tab/>
      </w:r>
      <w:r w:rsidRPr="00F00002">
        <w:rPr>
          <w:b/>
          <w:i/>
        </w:rPr>
        <w:t>Primary production business</w:t>
      </w:r>
      <w:r w:rsidRPr="00F00002">
        <w:t xml:space="preserve"> and carrying on a primary production business are explained in subsection</w:t>
      </w:r>
      <w:r w:rsidR="00F00002">
        <w:t> </w:t>
      </w:r>
      <w:r w:rsidRPr="00F00002">
        <w:t>995</w:t>
      </w:r>
      <w:r w:rsidR="00F00002">
        <w:noBreakHyphen/>
      </w:r>
      <w:r w:rsidRPr="00F00002">
        <w:t>1(1) of the Act.</w:t>
      </w:r>
    </w:p>
    <w:p w:rsidR="004319E4" w:rsidRPr="00F00002" w:rsidRDefault="004319E4" w:rsidP="004319E4">
      <w:pPr>
        <w:spacing w:before="240"/>
        <w:jc w:val="both"/>
      </w:pPr>
      <w:r w:rsidRPr="00F00002">
        <w:t>2</w:t>
      </w:r>
      <w:r w:rsidRPr="00F00002">
        <w:tab/>
      </w:r>
      <w:r w:rsidRPr="00F00002">
        <w:rPr>
          <w:i/>
        </w:rPr>
        <w:t>Tax consequences of farm management deposits</w:t>
      </w:r>
    </w:p>
    <w:p w:rsidR="004319E4" w:rsidRPr="00F00002" w:rsidRDefault="004319E4" w:rsidP="004319E4">
      <w:pPr>
        <w:spacing w:before="240"/>
        <w:jc w:val="both"/>
      </w:pPr>
      <w:r w:rsidRPr="00F00002">
        <w:t xml:space="preserve">The scheme allows </w:t>
      </w:r>
      <w:r w:rsidRPr="00F00002">
        <w:rPr>
          <w:szCs w:val="22"/>
        </w:rPr>
        <w:t>individuals carrying on a primary production business in Australia</w:t>
      </w:r>
      <w:r w:rsidRPr="00F00002">
        <w:t xml:space="preserve"> to deduct the amount of any farm management deposit they own from their assessable income for the income year in which the deposit is made. However, the amount of the deductions cannot exceed the owner’s taxable primary production income for the income year.</w:t>
      </w:r>
    </w:p>
    <w:p w:rsidR="004319E4" w:rsidRPr="00F00002" w:rsidRDefault="004319E4" w:rsidP="004319E4">
      <w:pPr>
        <w:spacing w:before="240"/>
        <w:jc w:val="both"/>
      </w:pPr>
      <w:r w:rsidRPr="00F00002">
        <w:t xml:space="preserve">Under the Pay As You Go system, owners may reduce their instalment income for an instalment period by the amount of farm management deposits made during that period. The reduction is limited to the amount that the owners can reasonably expect to deduct for the </w:t>
      </w:r>
      <w:r w:rsidRPr="00F00002">
        <w:lastRenderedPageBreak/>
        <w:t>deposit for the income year in which the deposit is made. However, the instalment income for the period cannot be reduced below nil.</w:t>
      </w:r>
    </w:p>
    <w:p w:rsidR="004319E4" w:rsidRPr="00F00002" w:rsidRDefault="004319E4" w:rsidP="004319E4">
      <w:pPr>
        <w:spacing w:before="240"/>
        <w:jc w:val="both"/>
      </w:pPr>
      <w:r w:rsidRPr="00F00002">
        <w:t>When a farm management deposit is repaid to an owner in an instalment period, the instalment income of the period will include the amount of the repayment. But the owner’s instalment income will only include so much of the repayment as will be included in the owner’s assessable income for the income year in which the repayment is made.</w:t>
      </w:r>
    </w:p>
    <w:p w:rsidR="004319E4" w:rsidRPr="00F00002" w:rsidRDefault="004319E4" w:rsidP="004319E4">
      <w:pPr>
        <w:keepLines/>
        <w:spacing w:before="240"/>
        <w:jc w:val="both"/>
      </w:pPr>
      <w:r w:rsidRPr="00F00002">
        <w:t>If neither the owner’s tax file number nor Australian Business Number has been quoted to the FMD provider that holds the deposit, the amount repaid will also be subject to withholding at a rate equal to the sum of the top marginal tax rate and the Medicare levy.</w:t>
      </w:r>
    </w:p>
    <w:p w:rsidR="004319E4" w:rsidRPr="00F00002" w:rsidRDefault="004319E4" w:rsidP="004319E4">
      <w:pPr>
        <w:spacing w:before="240"/>
        <w:jc w:val="both"/>
      </w:pPr>
      <w:r w:rsidRPr="00F00002">
        <w:t>3</w:t>
      </w:r>
      <w:r w:rsidRPr="00F00002">
        <w:tab/>
      </w:r>
      <w:r w:rsidRPr="00F00002">
        <w:rPr>
          <w:i/>
        </w:rPr>
        <w:t>Important requirements for farm management deposits</w:t>
      </w:r>
    </w:p>
    <w:p w:rsidR="004319E4" w:rsidRPr="00F00002" w:rsidRDefault="004319E4" w:rsidP="004319E4">
      <w:bookmarkStart w:id="231" w:name="bkSelection"/>
      <w:r w:rsidRPr="00F00002">
        <w:t>Some of the requirements for farm management deposits are summarised below. There are also other requirements set out in the Act. A breach of some of the requirements will result in the deposit not being treated as a farm management deposit, and the tax benefits will be lost.</w:t>
      </w:r>
    </w:p>
    <w:bookmarkEnd w:id="231"/>
    <w:p w:rsidR="004319E4" w:rsidRPr="00F00002" w:rsidRDefault="004319E4" w:rsidP="004319E4">
      <w:pPr>
        <w:numPr>
          <w:ilvl w:val="0"/>
          <w:numId w:val="29"/>
        </w:numPr>
        <w:autoSpaceDE w:val="0"/>
        <w:autoSpaceDN w:val="0"/>
        <w:spacing w:before="120"/>
        <w:jc w:val="both"/>
      </w:pPr>
      <w:r w:rsidRPr="00F00002">
        <w:t>The owner must be an individual who is carrying on a primary production business in Australia when the deposit is made.</w:t>
      </w:r>
    </w:p>
    <w:p w:rsidR="004319E4" w:rsidRPr="00F00002" w:rsidRDefault="004319E4" w:rsidP="004319E4">
      <w:pPr>
        <w:numPr>
          <w:ilvl w:val="0"/>
          <w:numId w:val="29"/>
        </w:numPr>
        <w:autoSpaceDE w:val="0"/>
        <w:autoSpaceDN w:val="0"/>
        <w:spacing w:before="120"/>
        <w:jc w:val="both"/>
      </w:pPr>
      <w:r w:rsidRPr="00F00002">
        <w:t>The deposit must be made by only one individual and on behalf of only one individual.</w:t>
      </w:r>
    </w:p>
    <w:p w:rsidR="004319E4" w:rsidRPr="00F00002" w:rsidRDefault="004319E4" w:rsidP="004319E4">
      <w:pPr>
        <w:numPr>
          <w:ilvl w:val="0"/>
          <w:numId w:val="29"/>
        </w:numPr>
        <w:autoSpaceDE w:val="0"/>
        <w:autoSpaceDN w:val="0"/>
        <w:spacing w:before="120"/>
        <w:jc w:val="both"/>
      </w:pPr>
      <w:r w:rsidRPr="00F00002">
        <w:t>Rights of the depositor must not be transferable to another entity.</w:t>
      </w:r>
    </w:p>
    <w:p w:rsidR="004319E4" w:rsidRPr="00F00002" w:rsidRDefault="004319E4" w:rsidP="004319E4">
      <w:pPr>
        <w:numPr>
          <w:ilvl w:val="0"/>
          <w:numId w:val="29"/>
        </w:numPr>
        <w:autoSpaceDE w:val="0"/>
        <w:autoSpaceDN w:val="0"/>
        <w:spacing w:before="120"/>
        <w:jc w:val="both"/>
      </w:pPr>
      <w:r w:rsidRPr="00F00002">
        <w:t>The deposit must not be used as security for any amount that the depositor or any other entity owes to the FMD provider or any other entity.</w:t>
      </w:r>
    </w:p>
    <w:p w:rsidR="004319E4" w:rsidRPr="00F00002" w:rsidRDefault="004319E4" w:rsidP="004319E4">
      <w:pPr>
        <w:numPr>
          <w:ilvl w:val="0"/>
          <w:numId w:val="29"/>
        </w:numPr>
        <w:autoSpaceDE w:val="0"/>
        <w:autoSpaceDN w:val="0"/>
        <w:spacing w:before="120"/>
        <w:jc w:val="both"/>
      </w:pPr>
      <w:r w:rsidRPr="00F00002">
        <w:t>Interest or other earnings on the deposit must not be invested as a farm management deposit with the FMD provider without having first been paid to the depositor.</w:t>
      </w:r>
    </w:p>
    <w:p w:rsidR="004319E4" w:rsidRPr="00F00002" w:rsidRDefault="004319E4" w:rsidP="004319E4">
      <w:pPr>
        <w:numPr>
          <w:ilvl w:val="0"/>
          <w:numId w:val="29"/>
        </w:numPr>
        <w:autoSpaceDE w:val="0"/>
        <w:autoSpaceDN w:val="0"/>
        <w:spacing w:before="120"/>
        <w:jc w:val="both"/>
      </w:pPr>
      <w:r w:rsidRPr="00F00002">
        <w:t>If the depositor requests in writing, the FMD provider must electronically transfer the deposit, or part of the deposit, to another FMD provider that agrees to accept it as a farm management deposit.</w:t>
      </w:r>
    </w:p>
    <w:p w:rsidR="004319E4" w:rsidRPr="00F00002" w:rsidRDefault="004319E4" w:rsidP="004319E4">
      <w:pPr>
        <w:numPr>
          <w:ilvl w:val="0"/>
          <w:numId w:val="29"/>
        </w:numPr>
        <w:autoSpaceDE w:val="0"/>
        <w:autoSpaceDN w:val="0"/>
        <w:spacing w:before="120"/>
        <w:jc w:val="both"/>
      </w:pPr>
      <w:r w:rsidRPr="00F00002">
        <w:t>The FMD provider must not deduct any fees from the principal of a farm management deposit. However, it may charge fees on the deposit.</w:t>
      </w:r>
    </w:p>
    <w:p w:rsidR="004319E4" w:rsidRPr="00F00002" w:rsidRDefault="004319E4" w:rsidP="004319E4">
      <w:pPr>
        <w:spacing w:before="240"/>
        <w:jc w:val="both"/>
      </w:pPr>
      <w:r w:rsidRPr="00F00002">
        <w:t>4</w:t>
      </w:r>
      <w:r w:rsidRPr="00F00002">
        <w:tab/>
      </w:r>
      <w:r w:rsidRPr="00F00002">
        <w:rPr>
          <w:i/>
        </w:rPr>
        <w:t>Repayment of farm management deposits</w:t>
      </w:r>
    </w:p>
    <w:p w:rsidR="004319E4" w:rsidRPr="00F00002" w:rsidRDefault="004319E4" w:rsidP="004319E4">
      <w:pPr>
        <w:spacing w:before="240"/>
        <w:jc w:val="both"/>
      </w:pPr>
      <w:r w:rsidRPr="00F00002">
        <w:t>The tax benefits are not retained for deposit amounts repaid within the first 12 months after the deposit was made, unless the repayment is made:</w:t>
      </w:r>
    </w:p>
    <w:p w:rsidR="004319E4" w:rsidRPr="00F00002" w:rsidRDefault="004319E4" w:rsidP="004319E4">
      <w:pPr>
        <w:pStyle w:val="paragraph"/>
      </w:pPr>
      <w:r w:rsidRPr="00F00002">
        <w:tab/>
        <w:t>(a)</w:t>
      </w:r>
      <w:r w:rsidRPr="00F00002">
        <w:tab/>
        <w:t>because the owner:</w:t>
      </w:r>
    </w:p>
    <w:p w:rsidR="004319E4" w:rsidRPr="00F00002" w:rsidRDefault="004319E4" w:rsidP="004319E4">
      <w:pPr>
        <w:pStyle w:val="paragraphsub"/>
      </w:pPr>
      <w:r w:rsidRPr="00F00002">
        <w:tab/>
        <w:t>(i)</w:t>
      </w:r>
      <w:r w:rsidRPr="00F00002">
        <w:tab/>
        <w:t>dies; or</w:t>
      </w:r>
    </w:p>
    <w:p w:rsidR="004319E4" w:rsidRPr="00F00002" w:rsidRDefault="004319E4" w:rsidP="004319E4">
      <w:pPr>
        <w:pStyle w:val="paragraphsub"/>
      </w:pPr>
      <w:r w:rsidRPr="00F00002">
        <w:tab/>
        <w:t>(ii)</w:t>
      </w:r>
      <w:r w:rsidRPr="00F00002">
        <w:tab/>
        <w:t>becomes bankrupt; or</w:t>
      </w:r>
    </w:p>
    <w:p w:rsidR="004319E4" w:rsidRPr="00F00002" w:rsidRDefault="004319E4" w:rsidP="004319E4">
      <w:pPr>
        <w:pStyle w:val="paragraphsub"/>
      </w:pPr>
      <w:r w:rsidRPr="00F00002">
        <w:tab/>
        <w:t>(iii)</w:t>
      </w:r>
      <w:r w:rsidRPr="00F00002">
        <w:tab/>
        <w:t>ceases to carry on a primary production business in Australia and does not start carrying on such a business again within 120 days; or</w:t>
      </w:r>
    </w:p>
    <w:p w:rsidR="004319E4" w:rsidRPr="00F00002" w:rsidRDefault="004319E4" w:rsidP="004319E4">
      <w:pPr>
        <w:pStyle w:val="paragraphsub"/>
      </w:pPr>
      <w:r w:rsidRPr="00F00002">
        <w:lastRenderedPageBreak/>
        <w:tab/>
        <w:t>(iv)</w:t>
      </w:r>
      <w:r w:rsidRPr="00F00002">
        <w:tab/>
        <w:t>has requested the deposit, or part of the deposit, to be transferred to another FMD provider and the repayment relates to the transfer; or</w:t>
      </w:r>
    </w:p>
    <w:p w:rsidR="004319E4" w:rsidRPr="00F00002" w:rsidRDefault="004319E4" w:rsidP="004319E4">
      <w:pPr>
        <w:pStyle w:val="paragraph"/>
      </w:pPr>
      <w:r w:rsidRPr="00F00002">
        <w:tab/>
        <w:t>(b)</w:t>
      </w:r>
      <w:r w:rsidRPr="00F00002">
        <w:tab/>
        <w:t>because the circumstances specified in subsection</w:t>
      </w:r>
      <w:r w:rsidR="00F00002">
        <w:t> </w:t>
      </w:r>
      <w:r w:rsidRPr="00F00002">
        <w:t>393</w:t>
      </w:r>
      <w:r w:rsidR="00F00002">
        <w:noBreakHyphen/>
      </w:r>
      <w:r w:rsidRPr="00F00002">
        <w:t>40(3) of the Act or in regulations made for the purposes of that subsection, relating to repayment in the event of severe drought, exist; or</w:t>
      </w:r>
    </w:p>
    <w:p w:rsidR="004319E4" w:rsidRPr="00F00002" w:rsidRDefault="004319E4" w:rsidP="004319E4">
      <w:pPr>
        <w:pStyle w:val="paragraph"/>
      </w:pPr>
      <w:r w:rsidRPr="00F00002">
        <w:tab/>
        <w:t>(c)</w:t>
      </w:r>
      <w:r w:rsidRPr="00F00002">
        <w:tab/>
        <w:t>because the circumstances specified in regulation</w:t>
      </w:r>
      <w:r w:rsidR="00F00002">
        <w:t> </w:t>
      </w:r>
      <w:r w:rsidRPr="00F00002">
        <w:t>393</w:t>
      </w:r>
      <w:r w:rsidR="00F00002">
        <w:noBreakHyphen/>
      </w:r>
      <w:r w:rsidRPr="00F00002">
        <w:t>15, relating to repayment in the event of a natural disaster, exist.</w:t>
      </w:r>
    </w:p>
    <w:p w:rsidR="004319E4" w:rsidRPr="00F00002" w:rsidRDefault="004319E4" w:rsidP="004319E4">
      <w:pPr>
        <w:pStyle w:val="ActHead2"/>
      </w:pPr>
      <w:bookmarkStart w:id="232" w:name="BK_S11P124L1C1"/>
      <w:bookmarkStart w:id="233" w:name="_Toc31109785"/>
      <w:bookmarkEnd w:id="232"/>
      <w:r w:rsidRPr="00A26088">
        <w:rPr>
          <w:rStyle w:val="CharPartNo"/>
        </w:rPr>
        <w:t>Part</w:t>
      </w:r>
      <w:r w:rsidR="00F00002" w:rsidRPr="00A26088">
        <w:rPr>
          <w:rStyle w:val="CharPartNo"/>
        </w:rPr>
        <w:t> </w:t>
      </w:r>
      <w:r w:rsidRPr="00A26088">
        <w:rPr>
          <w:rStyle w:val="CharPartNo"/>
        </w:rPr>
        <w:t>3</w:t>
      </w:r>
      <w:r w:rsidRPr="00F00002">
        <w:t>—</w:t>
      </w:r>
      <w:r w:rsidRPr="00A26088">
        <w:rPr>
          <w:rStyle w:val="CharPartText"/>
        </w:rPr>
        <w:t>Additional information</w:t>
      </w:r>
      <w:bookmarkEnd w:id="233"/>
    </w:p>
    <w:p w:rsidR="004319E4" w:rsidRPr="00F00002" w:rsidRDefault="004319E4" w:rsidP="004319E4">
      <w:pPr>
        <w:pStyle w:val="notetext"/>
      </w:pPr>
      <w:r w:rsidRPr="00F00002">
        <w:t>Note:</w:t>
      </w:r>
      <w:r w:rsidRPr="00F00002">
        <w:tab/>
        <w:t>Under paragraph</w:t>
      </w:r>
      <w:r w:rsidR="00F00002">
        <w:t> </w:t>
      </w:r>
      <w:r w:rsidRPr="00F00002">
        <w:t>393</w:t>
      </w:r>
      <w:r w:rsidR="00F00002">
        <w:noBreakHyphen/>
      </w:r>
      <w:r w:rsidRPr="00F00002">
        <w:t>10(1)(c) of the Act, an FMD provider is required to insert the figures that are stated in the provisions mentioned in this Part.</w:t>
      </w:r>
    </w:p>
    <w:p w:rsidR="004319E4" w:rsidRPr="00F00002" w:rsidRDefault="004319E4" w:rsidP="004319E4">
      <w:pPr>
        <w:pStyle w:val="subsection"/>
      </w:pPr>
      <w:r w:rsidRPr="00F00002">
        <w:tab/>
        <w:t>1</w:t>
      </w:r>
      <w:r w:rsidRPr="00F00002">
        <w:tab/>
        <w:t>The minimum deposit threshold is the amount stated in item</w:t>
      </w:r>
      <w:r w:rsidR="00F00002">
        <w:t> </w:t>
      </w:r>
      <w:r w:rsidRPr="00F00002">
        <w:t>4 of the table in section</w:t>
      </w:r>
      <w:r w:rsidR="00F00002">
        <w:t> </w:t>
      </w:r>
      <w:r w:rsidRPr="00F00002">
        <w:t>393</w:t>
      </w:r>
      <w:r w:rsidR="00F00002">
        <w:noBreakHyphen/>
      </w:r>
      <w:r w:rsidRPr="00F00002">
        <w:t>35 of the Act.</w:t>
      </w:r>
    </w:p>
    <w:p w:rsidR="004319E4" w:rsidRPr="00F00002" w:rsidRDefault="004319E4" w:rsidP="004319E4">
      <w:pPr>
        <w:pStyle w:val="subsection"/>
      </w:pPr>
      <w:r w:rsidRPr="00F00002">
        <w:tab/>
        <w:t>2</w:t>
      </w:r>
      <w:r w:rsidRPr="00F00002">
        <w:tab/>
        <w:t>The maximum deposit limit is the amount stated in item</w:t>
      </w:r>
      <w:r w:rsidR="00F00002">
        <w:t> </w:t>
      </w:r>
      <w:r w:rsidRPr="00F00002">
        <w:t>10 of the table in section</w:t>
      </w:r>
      <w:r w:rsidR="00F00002">
        <w:t> </w:t>
      </w:r>
      <w:r w:rsidRPr="00F00002">
        <w:t>393</w:t>
      </w:r>
      <w:r w:rsidR="00F00002">
        <w:noBreakHyphen/>
      </w:r>
      <w:r w:rsidRPr="00F00002">
        <w:t>35 of the Act.</w:t>
      </w:r>
    </w:p>
    <w:p w:rsidR="004319E4" w:rsidRPr="00F00002" w:rsidRDefault="004319E4" w:rsidP="004319E4">
      <w:pPr>
        <w:pStyle w:val="subsection"/>
      </w:pPr>
      <w:r w:rsidRPr="00F00002">
        <w:tab/>
        <w:t>3</w:t>
      </w:r>
      <w:r w:rsidRPr="00F00002">
        <w:tab/>
        <w:t>An individual can own more than one farm management deposit, and can own farm management deposits with different FMD providers, but the sum of the balances of all of the farm management deposits of an owner claimed as a deduction must not be more than the maximum deposit limit.</w:t>
      </w:r>
    </w:p>
    <w:p w:rsidR="004319E4" w:rsidRPr="00F00002" w:rsidRDefault="004319E4" w:rsidP="004319E4">
      <w:pPr>
        <w:pStyle w:val="subsection"/>
      </w:pPr>
      <w:r w:rsidRPr="00F00002">
        <w:tab/>
        <w:t>4</w:t>
      </w:r>
      <w:r w:rsidRPr="00F00002">
        <w:tab/>
        <w:t>The amount of any repayment of the deposit must be at least the amount stated in item</w:t>
      </w:r>
      <w:r w:rsidR="00F00002">
        <w:t> </w:t>
      </w:r>
      <w:r w:rsidRPr="00F00002">
        <w:t>12 of the table in section</w:t>
      </w:r>
      <w:r w:rsidR="00F00002">
        <w:t> </w:t>
      </w:r>
      <w:r w:rsidRPr="00F00002">
        <w:t>393</w:t>
      </w:r>
      <w:r w:rsidR="00F00002">
        <w:noBreakHyphen/>
      </w:r>
      <w:r w:rsidRPr="00F00002">
        <w:t>35 of the Act, except where the entire amount of the deposit is repaid.</w:t>
      </w:r>
    </w:p>
    <w:p w:rsidR="004319E4" w:rsidRPr="00F00002" w:rsidRDefault="004319E4" w:rsidP="004319E4">
      <w:pPr>
        <w:pStyle w:val="subsection"/>
      </w:pPr>
      <w:r w:rsidRPr="00F00002">
        <w:tab/>
        <w:t>5</w:t>
      </w:r>
      <w:r w:rsidRPr="00F00002">
        <w:tab/>
        <w:t>The deposit will not be deductible if taxable non</w:t>
      </w:r>
      <w:r w:rsidR="00F00002">
        <w:noBreakHyphen/>
      </w:r>
      <w:r w:rsidRPr="00F00002">
        <w:t>primary production income for the year of income exceeds the amount stated in paragraph</w:t>
      </w:r>
      <w:r w:rsidR="00F00002">
        <w:t> </w:t>
      </w:r>
      <w:r w:rsidRPr="00F00002">
        <w:t>393</w:t>
      </w:r>
      <w:r w:rsidR="00F00002">
        <w:noBreakHyphen/>
      </w:r>
      <w:r w:rsidRPr="00F00002">
        <w:t>5(1)(d) of the Act.</w:t>
      </w:r>
    </w:p>
    <w:p w:rsidR="004319E4" w:rsidRPr="00F00002" w:rsidRDefault="004319E4" w:rsidP="004319E4">
      <w:pPr>
        <w:pStyle w:val="subsection"/>
      </w:pPr>
      <w:r w:rsidRPr="00F00002">
        <w:tab/>
        <w:t>6</w:t>
      </w:r>
      <w:r w:rsidRPr="00F00002">
        <w:tab/>
        <w:t>If neither the owner’s tax file number nor Australian Business Number has been quoted to the FMD provider, any repayment will be subject to the withholding rate, which is the sum of:</w:t>
      </w:r>
    </w:p>
    <w:p w:rsidR="004319E4" w:rsidRPr="00F00002" w:rsidRDefault="004319E4" w:rsidP="004319E4">
      <w:pPr>
        <w:pStyle w:val="paragraph"/>
      </w:pPr>
      <w:r w:rsidRPr="00F00002">
        <w:tab/>
        <w:t>(a)</w:t>
      </w:r>
      <w:r w:rsidRPr="00F00002">
        <w:tab/>
        <w:t>the top marginal tax rate for the income year in the year of deposit; and</w:t>
      </w:r>
    </w:p>
    <w:p w:rsidR="004319E4" w:rsidRPr="00F00002" w:rsidRDefault="004319E4" w:rsidP="004319E4">
      <w:pPr>
        <w:pStyle w:val="paragraph"/>
      </w:pPr>
      <w:r w:rsidRPr="00F00002">
        <w:tab/>
        <w:t>(b)</w:t>
      </w:r>
      <w:r w:rsidRPr="00F00002">
        <w:tab/>
        <w:t>the Medicare levy.</w:t>
      </w:r>
    </w:p>
    <w:p w:rsidR="004319E4" w:rsidRPr="00F00002" w:rsidRDefault="004319E4" w:rsidP="004319E4">
      <w:pPr>
        <w:pStyle w:val="notetext"/>
      </w:pPr>
      <w:r w:rsidRPr="00F00002">
        <w:t>Note 1:</w:t>
      </w:r>
      <w:r w:rsidRPr="00F00002">
        <w:tab/>
        <w:t>The top marginal tax rate is the maximum rate specified in column 3 of the table in Part</w:t>
      </w:r>
      <w:r w:rsidR="00F00002">
        <w:t> </w:t>
      </w:r>
      <w:r w:rsidRPr="00F00002">
        <w:t>1 of Schedule</w:t>
      </w:r>
      <w:r w:rsidR="00F00002">
        <w:t> </w:t>
      </w:r>
      <w:r w:rsidRPr="00F00002">
        <w:t xml:space="preserve">7 to the </w:t>
      </w:r>
      <w:r w:rsidRPr="00F00002">
        <w:rPr>
          <w:i/>
        </w:rPr>
        <w:t>Income Tax Rates Act 1986</w:t>
      </w:r>
      <w:r w:rsidRPr="00F00002">
        <w:t>.</w:t>
      </w:r>
    </w:p>
    <w:p w:rsidR="004319E4" w:rsidRPr="00F00002" w:rsidRDefault="004319E4" w:rsidP="004319E4">
      <w:pPr>
        <w:pStyle w:val="notetext"/>
      </w:pPr>
      <w:r w:rsidRPr="00F00002">
        <w:t>Note 2:</w:t>
      </w:r>
      <w:r w:rsidRPr="00F00002">
        <w:tab/>
        <w:t>The Medicare levy is specified in subsection</w:t>
      </w:r>
      <w:r w:rsidR="00F00002">
        <w:t> </w:t>
      </w:r>
      <w:r w:rsidRPr="00F00002">
        <w:t xml:space="preserve">6(1) of the </w:t>
      </w:r>
      <w:r w:rsidRPr="00F00002">
        <w:rPr>
          <w:i/>
        </w:rPr>
        <w:t>Medicare Levy Act 1986</w:t>
      </w:r>
      <w:r w:rsidRPr="00F00002">
        <w:t>.</w:t>
      </w:r>
    </w:p>
    <w:p w:rsidR="004319E4" w:rsidRPr="00F00002" w:rsidRDefault="004319E4" w:rsidP="004319E4">
      <w:pPr>
        <w:pStyle w:val="subsection"/>
      </w:pPr>
      <w:r w:rsidRPr="00F00002">
        <w:tab/>
        <w:t>7</w:t>
      </w:r>
      <w:r w:rsidRPr="00F00002">
        <w:tab/>
        <w:t>If the deposit is used to offset a liability to pay interest on debts to the FMD provider that do not wholly relate to a primary production business that the owner (or a partnership of which the owner is a partner) carries on, the owner is liable to an administrative penalty of up to 200% of that offset.</w:t>
      </w:r>
    </w:p>
    <w:p w:rsidR="00BB4501" w:rsidRPr="00F00002" w:rsidRDefault="00D150ED" w:rsidP="002F2964">
      <w:pPr>
        <w:pStyle w:val="ActHead1"/>
        <w:pageBreakBefore/>
        <w:spacing w:before="120"/>
      </w:pPr>
      <w:bookmarkStart w:id="234" w:name="_Toc31109786"/>
      <w:r w:rsidRPr="00A26088">
        <w:rPr>
          <w:rStyle w:val="CharChapNo"/>
        </w:rPr>
        <w:lastRenderedPageBreak/>
        <w:t>Schedule</w:t>
      </w:r>
      <w:r w:rsidR="00F00002" w:rsidRPr="00A26088">
        <w:rPr>
          <w:rStyle w:val="CharChapNo"/>
        </w:rPr>
        <w:t> </w:t>
      </w:r>
      <w:r w:rsidR="00BB4501" w:rsidRPr="00A26088">
        <w:rPr>
          <w:rStyle w:val="CharChapNo"/>
        </w:rPr>
        <w:t>2</w:t>
      </w:r>
      <w:r w:rsidRPr="00F00002">
        <w:t>—</w:t>
      </w:r>
      <w:r w:rsidR="00BB4501" w:rsidRPr="00A26088">
        <w:rPr>
          <w:rStyle w:val="CharChapText"/>
        </w:rPr>
        <w:t>Translation of currency amounts</w:t>
      </w:r>
      <w:r w:rsidRPr="00A26088">
        <w:rPr>
          <w:rStyle w:val="CharChapText"/>
        </w:rPr>
        <w:t>—</w:t>
      </w:r>
      <w:r w:rsidR="00BB4501" w:rsidRPr="00A26088">
        <w:rPr>
          <w:rStyle w:val="CharChapText"/>
        </w:rPr>
        <w:t>rules and other requirements</w:t>
      </w:r>
      <w:bookmarkEnd w:id="234"/>
    </w:p>
    <w:p w:rsidR="00BB4501" w:rsidRPr="00F00002" w:rsidRDefault="00BB4501" w:rsidP="00D150ED">
      <w:pPr>
        <w:pStyle w:val="notemargin"/>
      </w:pPr>
      <w:bookmarkStart w:id="235" w:name="BK_S11P125L3C1"/>
      <w:bookmarkEnd w:id="235"/>
      <w:r w:rsidRPr="00F00002">
        <w:rPr>
          <w:color w:val="000000"/>
        </w:rPr>
        <w:t>(item</w:t>
      </w:r>
      <w:r w:rsidR="00F00002">
        <w:rPr>
          <w:color w:val="000000"/>
        </w:rPr>
        <w:t> </w:t>
      </w:r>
      <w:r w:rsidRPr="00F00002">
        <w:rPr>
          <w:color w:val="000000"/>
        </w:rPr>
        <w:t>12 of the table in subsection</w:t>
      </w:r>
      <w:r w:rsidR="00F00002">
        <w:rPr>
          <w:color w:val="000000"/>
        </w:rPr>
        <w:t> </w:t>
      </w:r>
      <w:r w:rsidRPr="00F00002">
        <w:rPr>
          <w:color w:val="000000"/>
        </w:rPr>
        <w:t>960</w:t>
      </w:r>
      <w:r w:rsidR="00F00002">
        <w:rPr>
          <w:color w:val="000000"/>
        </w:rPr>
        <w:noBreakHyphen/>
      </w:r>
      <w:r w:rsidRPr="00F00002">
        <w:rPr>
          <w:color w:val="000000"/>
        </w:rPr>
        <w:t>50(6) of the Act, as modified, and subregulation</w:t>
      </w:r>
      <w:r w:rsidR="00F00002">
        <w:rPr>
          <w:color w:val="000000"/>
        </w:rPr>
        <w:t> </w:t>
      </w:r>
      <w:r w:rsidRPr="00F00002">
        <w:rPr>
          <w:color w:val="000000"/>
        </w:rPr>
        <w:t>960</w:t>
      </w:r>
      <w:r w:rsidR="00F00002">
        <w:rPr>
          <w:color w:val="000000"/>
        </w:rPr>
        <w:noBreakHyphen/>
      </w:r>
      <w:r w:rsidRPr="00F00002">
        <w:rPr>
          <w:color w:val="000000"/>
        </w:rPr>
        <w:t>50.01(2))</w:t>
      </w:r>
    </w:p>
    <w:p w:rsidR="00BB4501" w:rsidRPr="00F00002" w:rsidRDefault="00D150ED" w:rsidP="00D150ED">
      <w:pPr>
        <w:pStyle w:val="ActHead2"/>
      </w:pPr>
      <w:bookmarkStart w:id="236" w:name="BK_S11P125L4C1"/>
      <w:bookmarkStart w:id="237" w:name="_Toc31109787"/>
      <w:bookmarkEnd w:id="236"/>
      <w:r w:rsidRPr="00A26088">
        <w:rPr>
          <w:rStyle w:val="CharPartNo"/>
        </w:rPr>
        <w:t>Part</w:t>
      </w:r>
      <w:r w:rsidR="00F00002" w:rsidRPr="00A26088">
        <w:rPr>
          <w:rStyle w:val="CharPartNo"/>
        </w:rPr>
        <w:t> </w:t>
      </w:r>
      <w:r w:rsidR="00BB4501" w:rsidRPr="00A26088">
        <w:rPr>
          <w:rStyle w:val="CharPartNo"/>
        </w:rPr>
        <w:t>1</w:t>
      </w:r>
      <w:r w:rsidRPr="00F00002">
        <w:t>—</w:t>
      </w:r>
      <w:r w:rsidR="00BB4501" w:rsidRPr="00A26088">
        <w:rPr>
          <w:rStyle w:val="CharPartText"/>
        </w:rPr>
        <w:t>Rules and requirements for item</w:t>
      </w:r>
      <w:r w:rsidR="00F00002" w:rsidRPr="00A26088">
        <w:rPr>
          <w:rStyle w:val="CharPartText"/>
        </w:rPr>
        <w:t> </w:t>
      </w:r>
      <w:r w:rsidR="00BB4501" w:rsidRPr="00A26088">
        <w:rPr>
          <w:rStyle w:val="CharPartText"/>
        </w:rPr>
        <w:t>12 of the table in subsection</w:t>
      </w:r>
      <w:r w:rsidR="00F00002" w:rsidRPr="00A26088">
        <w:rPr>
          <w:rStyle w:val="CharPartText"/>
        </w:rPr>
        <w:t> </w:t>
      </w:r>
      <w:r w:rsidR="00BB4501" w:rsidRPr="00A26088">
        <w:rPr>
          <w:rStyle w:val="CharPartText"/>
        </w:rPr>
        <w:t>960</w:t>
      </w:r>
      <w:r w:rsidR="00F00002" w:rsidRPr="00A26088">
        <w:rPr>
          <w:rStyle w:val="CharPartText"/>
        </w:rPr>
        <w:noBreakHyphen/>
      </w:r>
      <w:r w:rsidR="00BB4501" w:rsidRPr="00A26088">
        <w:rPr>
          <w:rStyle w:val="CharPartText"/>
        </w:rPr>
        <w:t>50(6) of the Act</w:t>
      </w:r>
      <w:bookmarkEnd w:id="237"/>
    </w:p>
    <w:p w:rsidR="00BB4501" w:rsidRPr="00F00002" w:rsidRDefault="00BB4501" w:rsidP="002D5625">
      <w:pPr>
        <w:pStyle w:val="Specials"/>
      </w:pPr>
      <w:r w:rsidRPr="00F00002">
        <w:t>1.1</w:t>
      </w:r>
      <w:r w:rsidR="00D150ED" w:rsidRPr="00F00002">
        <w:t xml:space="preserve">  </w:t>
      </w:r>
      <w:r w:rsidRPr="00F00002">
        <w:t>Exchange rate</w:t>
      </w:r>
      <w:r w:rsidR="00D150ED" w:rsidRPr="00F00002">
        <w:t>—</w:t>
      </w:r>
      <w:r w:rsidRPr="00F00002">
        <w:t>consistency with accounting standards used by entity</w:t>
      </w:r>
    </w:p>
    <w:p w:rsidR="00BB4501" w:rsidRPr="00F00002" w:rsidRDefault="00BB4501" w:rsidP="00D150ED">
      <w:pPr>
        <w:pStyle w:val="subsection"/>
      </w:pPr>
      <w:r w:rsidRPr="00F00002">
        <w:tab/>
      </w:r>
      <w:r w:rsidRPr="00F00002">
        <w:tab/>
        <w:t>For item</w:t>
      </w:r>
      <w:r w:rsidR="00F00002">
        <w:t> </w:t>
      </w:r>
      <w:r w:rsidRPr="00F00002">
        <w:t>12 of the table in subsection</w:t>
      </w:r>
      <w:r w:rsidR="00F00002">
        <w:t> </w:t>
      </w:r>
      <w:r w:rsidRPr="00F00002">
        <w:t>960</w:t>
      </w:r>
      <w:r w:rsidR="00F00002">
        <w:noBreakHyphen/>
      </w:r>
      <w:r w:rsidRPr="00F00002">
        <w:t>50(6) of the Act, as modified, if:</w:t>
      </w:r>
    </w:p>
    <w:p w:rsidR="00BB4501" w:rsidRPr="00F00002" w:rsidRDefault="00BB4501" w:rsidP="00D150ED">
      <w:pPr>
        <w:pStyle w:val="paragraph"/>
      </w:pPr>
      <w:r w:rsidRPr="00F00002">
        <w:tab/>
        <w:t>(a)</w:t>
      </w:r>
      <w:r w:rsidRPr="00F00002">
        <w:tab/>
        <w:t xml:space="preserve">a financial report (within the meaning of the </w:t>
      </w:r>
      <w:r w:rsidRPr="00F00002">
        <w:rPr>
          <w:i/>
        </w:rPr>
        <w:t>Corporations Act 2001</w:t>
      </w:r>
      <w:r w:rsidRPr="00F00002">
        <w:t>) prepared by an entity:</w:t>
      </w:r>
    </w:p>
    <w:p w:rsidR="00BB4501" w:rsidRPr="00F00002" w:rsidRDefault="00BB4501" w:rsidP="00D150ED">
      <w:pPr>
        <w:pStyle w:val="paragraphsub"/>
      </w:pPr>
      <w:r w:rsidRPr="00F00002">
        <w:rPr>
          <w:color w:val="000000"/>
        </w:rPr>
        <w:tab/>
        <w:t>(i)</w:t>
      </w:r>
      <w:r w:rsidRPr="00F00002">
        <w:rPr>
          <w:color w:val="000000"/>
        </w:rPr>
        <w:tab/>
        <w:t xml:space="preserve">complies with the accounting standards under the </w:t>
      </w:r>
      <w:r w:rsidRPr="00F00002">
        <w:rPr>
          <w:i/>
          <w:color w:val="000000"/>
        </w:rPr>
        <w:t>Corporations Act 2001</w:t>
      </w:r>
      <w:r w:rsidRPr="00F00002">
        <w:rPr>
          <w:color w:val="000000"/>
        </w:rPr>
        <w:t>; and</w:t>
      </w:r>
    </w:p>
    <w:p w:rsidR="00BB4501" w:rsidRPr="00F00002" w:rsidRDefault="00BB4501" w:rsidP="00D150ED">
      <w:pPr>
        <w:pStyle w:val="paragraphsub"/>
      </w:pPr>
      <w:r w:rsidRPr="00F00002">
        <w:tab/>
        <w:t>(ii)</w:t>
      </w:r>
      <w:r w:rsidRPr="00F00002">
        <w:tab/>
        <w:t>translates amounts into Australian currency using particular exchange rates; and</w:t>
      </w:r>
    </w:p>
    <w:p w:rsidR="00BB4501" w:rsidRPr="00F00002" w:rsidRDefault="00BB4501" w:rsidP="00D150ED">
      <w:pPr>
        <w:pStyle w:val="paragraphsub"/>
      </w:pPr>
      <w:r w:rsidRPr="00F00002">
        <w:tab/>
        <w:t>(iii)</w:t>
      </w:r>
      <w:r w:rsidRPr="00F00002">
        <w:tab/>
        <w:t xml:space="preserve">has been audited in accordance with the </w:t>
      </w:r>
      <w:r w:rsidRPr="00F00002">
        <w:rPr>
          <w:i/>
        </w:rPr>
        <w:t>Corporations Act 2001</w:t>
      </w:r>
      <w:r w:rsidRPr="00F00002">
        <w:t>; and</w:t>
      </w:r>
    </w:p>
    <w:p w:rsidR="00BB4501" w:rsidRPr="00F00002" w:rsidRDefault="00BB4501" w:rsidP="00D150ED">
      <w:pPr>
        <w:pStyle w:val="paragraph"/>
      </w:pPr>
      <w:r w:rsidRPr="00F00002">
        <w:rPr>
          <w:color w:val="000000"/>
        </w:rPr>
        <w:tab/>
        <w:t>(b)</w:t>
      </w:r>
      <w:r w:rsidRPr="00F00002">
        <w:rPr>
          <w:color w:val="000000"/>
        </w:rPr>
        <w:tab/>
        <w:t xml:space="preserve">the entity, or another entity, wishes to translate an amount into Australian currency in accordance with that item, using the exchange rate used in that financial report to translate a corresponding amount; </w:t>
      </w:r>
    </w:p>
    <w:p w:rsidR="00BB4501" w:rsidRPr="00F00002" w:rsidRDefault="00BB4501" w:rsidP="00D150ED">
      <w:pPr>
        <w:pStyle w:val="subsection2"/>
      </w:pPr>
      <w:r w:rsidRPr="00F00002">
        <w:rPr>
          <w:color w:val="000000"/>
        </w:rPr>
        <w:t xml:space="preserve">the entity mentioned in </w:t>
      </w:r>
      <w:r w:rsidR="00F00002">
        <w:rPr>
          <w:color w:val="000000"/>
        </w:rPr>
        <w:t>paragraph (</w:t>
      </w:r>
      <w:r w:rsidRPr="00F00002">
        <w:rPr>
          <w:color w:val="000000"/>
        </w:rPr>
        <w:t>b) must translate all amounts into Australian currency using the exchange rates that were used in that financial report to translate corresponding amounts.</w:t>
      </w:r>
    </w:p>
    <w:p w:rsidR="00BB4501" w:rsidRPr="00F00002" w:rsidRDefault="00BB4501" w:rsidP="002D5625">
      <w:pPr>
        <w:pStyle w:val="Specials"/>
      </w:pPr>
      <w:r w:rsidRPr="00F00002">
        <w:t>1.2</w:t>
      </w:r>
      <w:r w:rsidR="00D150ED" w:rsidRPr="00F00002">
        <w:t xml:space="preserve">  </w:t>
      </w:r>
      <w:r w:rsidRPr="00F00002">
        <w:t>Choice of daily exchange rate</w:t>
      </w:r>
    </w:p>
    <w:p w:rsidR="00BB4501" w:rsidRPr="00F00002" w:rsidRDefault="00BB4501" w:rsidP="00D150ED">
      <w:pPr>
        <w:pStyle w:val="subsection"/>
      </w:pPr>
      <w:r w:rsidRPr="00F00002">
        <w:rPr>
          <w:color w:val="000000"/>
        </w:rPr>
        <w:tab/>
        <w:t>(1)</w:t>
      </w:r>
      <w:r w:rsidRPr="00F00002">
        <w:rPr>
          <w:color w:val="000000"/>
        </w:rPr>
        <w:tab/>
        <w:t>For item</w:t>
      </w:r>
      <w:r w:rsidR="00F00002">
        <w:rPr>
          <w:color w:val="000000"/>
        </w:rPr>
        <w:t> </w:t>
      </w:r>
      <w:r w:rsidRPr="00F00002">
        <w:rPr>
          <w:color w:val="000000"/>
        </w:rPr>
        <w:t>12 of the table in subsection</w:t>
      </w:r>
      <w:r w:rsidR="00F00002">
        <w:rPr>
          <w:color w:val="000000"/>
        </w:rPr>
        <w:t> </w:t>
      </w:r>
      <w:r w:rsidRPr="00F00002">
        <w:rPr>
          <w:color w:val="000000"/>
        </w:rPr>
        <w:t>960</w:t>
      </w:r>
      <w:r w:rsidR="00F00002">
        <w:rPr>
          <w:color w:val="000000"/>
        </w:rPr>
        <w:noBreakHyphen/>
      </w:r>
      <w:r w:rsidRPr="00F00002">
        <w:rPr>
          <w:color w:val="000000"/>
        </w:rPr>
        <w:t xml:space="preserve">50(6) of the Act, as modified, an entity may translate all amounts of a particular currency, relating to a particular day, into Australian currency using an exchange rate that is applicable at a time, on that day, chosen by the entity (a </w:t>
      </w:r>
      <w:r w:rsidRPr="00F00002">
        <w:rPr>
          <w:b/>
          <w:i/>
          <w:color w:val="000000"/>
        </w:rPr>
        <w:t>daily exchange rate</w:t>
      </w:r>
      <w:r w:rsidRPr="00F00002">
        <w:rPr>
          <w:color w:val="000000"/>
        </w:rPr>
        <w:t>).</w:t>
      </w:r>
    </w:p>
    <w:p w:rsidR="00BB4501" w:rsidRPr="00F00002" w:rsidRDefault="00BB4501" w:rsidP="00D150ED">
      <w:pPr>
        <w:pStyle w:val="subsection"/>
      </w:pPr>
      <w:r w:rsidRPr="00F00002">
        <w:rPr>
          <w:color w:val="000000"/>
        </w:rPr>
        <w:tab/>
        <w:t>(2)</w:t>
      </w:r>
      <w:r w:rsidRPr="00F00002">
        <w:rPr>
          <w:color w:val="000000"/>
        </w:rPr>
        <w:tab/>
        <w:t>If the entity chooses a daily exchange rate relating to a particular day, the entity must choose a daily exchange rate relating to each subsequent day in the income year using the same time of the day as the time to which the first daily exchange rate related.</w:t>
      </w:r>
    </w:p>
    <w:p w:rsidR="00BB4501" w:rsidRPr="00F00002" w:rsidRDefault="00BB4501" w:rsidP="00D150ED">
      <w:pPr>
        <w:pStyle w:val="subsection"/>
      </w:pPr>
      <w:r w:rsidRPr="00F00002">
        <w:tab/>
        <w:t>(3)</w:t>
      </w:r>
      <w:r w:rsidRPr="00F00002">
        <w:tab/>
        <w:t>However:</w:t>
      </w:r>
    </w:p>
    <w:p w:rsidR="00BB4501" w:rsidRPr="00F00002" w:rsidRDefault="00BB4501" w:rsidP="00D150ED">
      <w:pPr>
        <w:pStyle w:val="paragraph"/>
      </w:pPr>
      <w:r w:rsidRPr="00F00002">
        <w:rPr>
          <w:color w:val="000000"/>
        </w:rPr>
        <w:tab/>
        <w:t>(a)</w:t>
      </w:r>
      <w:r w:rsidRPr="00F00002">
        <w:rPr>
          <w:color w:val="000000"/>
        </w:rPr>
        <w:tab/>
        <w:t>the entity is not permitted to translate amounts using a daily exchange rate if the use of the rate would not be appropriate having regard to the entity’s business or activities; and</w:t>
      </w:r>
    </w:p>
    <w:p w:rsidR="00BB4501" w:rsidRPr="00F00002" w:rsidRDefault="00BB4501" w:rsidP="00D150ED">
      <w:pPr>
        <w:pStyle w:val="paragraph"/>
      </w:pPr>
      <w:r w:rsidRPr="00F00002">
        <w:lastRenderedPageBreak/>
        <w:tab/>
        <w:t>(b)</w:t>
      </w:r>
      <w:r w:rsidRPr="00F00002">
        <w:tab/>
        <w:t>the entity must obtain the rate from a source that is not an associate of the entity, and not the entity itself, unless the Commissioner notifies the entity that it may obtain the rate from 1 or more specified sources; and</w:t>
      </w:r>
    </w:p>
    <w:p w:rsidR="00BB4501" w:rsidRPr="00F00002" w:rsidRDefault="00BB4501" w:rsidP="00D150ED">
      <w:pPr>
        <w:pStyle w:val="paragraph"/>
      </w:pPr>
      <w:r w:rsidRPr="00F00002">
        <w:tab/>
        <w:t>(c)</w:t>
      </w:r>
      <w:r w:rsidRPr="00F00002">
        <w:tab/>
        <w:t>the entity must translate amounts relating to the relevant day using that rate.</w:t>
      </w:r>
    </w:p>
    <w:p w:rsidR="00BB4501" w:rsidRPr="00F00002" w:rsidRDefault="00BB4501" w:rsidP="00167635">
      <w:pPr>
        <w:pStyle w:val="notetext"/>
      </w:pPr>
      <w:r w:rsidRPr="00F00002">
        <w:t>Example</w:t>
      </w:r>
      <w:r w:rsidR="00167635" w:rsidRPr="00F00002">
        <w:t>:</w:t>
      </w:r>
      <w:r w:rsidR="00167635" w:rsidRPr="00F00002">
        <w:tab/>
      </w:r>
      <w:r w:rsidRPr="00F00002">
        <w:rPr>
          <w:color w:val="000000"/>
        </w:rPr>
        <w:t>If an entity is a trader that takes currency positions as part of its business, the use of a single exchange rate for its activities on a day would not be appropriate having regard to its business.</w:t>
      </w:r>
    </w:p>
    <w:p w:rsidR="00BB4501" w:rsidRPr="00F00002" w:rsidRDefault="00D150ED" w:rsidP="00D150ED">
      <w:pPr>
        <w:pStyle w:val="notetext"/>
      </w:pPr>
      <w:r w:rsidRPr="00F00002">
        <w:rPr>
          <w:color w:val="000000"/>
        </w:rPr>
        <w:t>Note:</w:t>
      </w:r>
      <w:r w:rsidRPr="00F00002">
        <w:rPr>
          <w:color w:val="000000"/>
        </w:rPr>
        <w:tab/>
      </w:r>
      <w:r w:rsidR="00BB4501" w:rsidRPr="00F00002">
        <w:rPr>
          <w:b/>
          <w:i/>
          <w:color w:val="000000"/>
        </w:rPr>
        <w:t>Associate</w:t>
      </w:r>
      <w:r w:rsidR="00BB4501" w:rsidRPr="00F00002">
        <w:rPr>
          <w:color w:val="000000"/>
        </w:rPr>
        <w:t xml:space="preserve"> is defined in subsection</w:t>
      </w:r>
      <w:r w:rsidR="00F00002">
        <w:rPr>
          <w:color w:val="000000"/>
        </w:rPr>
        <w:t> </w:t>
      </w:r>
      <w:r w:rsidR="00BB4501" w:rsidRPr="00F00002">
        <w:rPr>
          <w:color w:val="000000"/>
        </w:rPr>
        <w:t>995</w:t>
      </w:r>
      <w:r w:rsidR="00F00002">
        <w:rPr>
          <w:color w:val="000000"/>
        </w:rPr>
        <w:noBreakHyphen/>
      </w:r>
      <w:r w:rsidR="00BB4501" w:rsidRPr="00F00002">
        <w:rPr>
          <w:color w:val="000000"/>
        </w:rPr>
        <w:t>1(1) of the Act.</w:t>
      </w:r>
    </w:p>
    <w:p w:rsidR="00BB4501" w:rsidRPr="00F00002" w:rsidRDefault="00BB4501" w:rsidP="002D5625">
      <w:pPr>
        <w:pStyle w:val="Specials"/>
      </w:pPr>
      <w:r w:rsidRPr="00F00002">
        <w:t>1.3</w:t>
      </w:r>
      <w:r w:rsidR="00D150ED" w:rsidRPr="00F00002">
        <w:t xml:space="preserve">  </w:t>
      </w:r>
      <w:r w:rsidRPr="00F00002">
        <w:t>Choice of average exchange rate</w:t>
      </w:r>
    </w:p>
    <w:p w:rsidR="00BB4501" w:rsidRPr="00F00002" w:rsidRDefault="00BB4501" w:rsidP="00D150ED">
      <w:pPr>
        <w:pStyle w:val="subsection"/>
      </w:pPr>
      <w:r w:rsidRPr="00F00002">
        <w:rPr>
          <w:color w:val="000000"/>
        </w:rPr>
        <w:tab/>
        <w:t>(1)</w:t>
      </w:r>
      <w:r w:rsidRPr="00F00002">
        <w:rPr>
          <w:color w:val="000000"/>
        </w:rPr>
        <w:tab/>
        <w:t>For item</w:t>
      </w:r>
      <w:r w:rsidR="00F00002">
        <w:rPr>
          <w:color w:val="000000"/>
        </w:rPr>
        <w:t> </w:t>
      </w:r>
      <w:r w:rsidRPr="00F00002">
        <w:rPr>
          <w:color w:val="000000"/>
        </w:rPr>
        <w:t>12 of the table in subsection</w:t>
      </w:r>
      <w:r w:rsidR="00F00002">
        <w:rPr>
          <w:color w:val="000000"/>
        </w:rPr>
        <w:t> </w:t>
      </w:r>
      <w:r w:rsidRPr="00F00002">
        <w:rPr>
          <w:color w:val="000000"/>
        </w:rPr>
        <w:t>960</w:t>
      </w:r>
      <w:r w:rsidR="00F00002">
        <w:rPr>
          <w:color w:val="000000"/>
        </w:rPr>
        <w:noBreakHyphen/>
      </w:r>
      <w:r w:rsidRPr="00F00002">
        <w:rPr>
          <w:color w:val="000000"/>
        </w:rPr>
        <w:t xml:space="preserve">50(6) of the Act, as modified, an entity may, in a period, translate an amount into Australian currency using an exchange rate that is an average of all of the exchange rates that are applicable during a period, not exceeding 12 months, that is chosen by the entity (an </w:t>
      </w:r>
      <w:r w:rsidRPr="00F00002">
        <w:rPr>
          <w:b/>
          <w:i/>
          <w:color w:val="000000"/>
        </w:rPr>
        <w:t>average exchange rate</w:t>
      </w:r>
      <w:r w:rsidRPr="00F00002">
        <w:rPr>
          <w:color w:val="000000"/>
        </w:rPr>
        <w:t>).</w:t>
      </w:r>
    </w:p>
    <w:p w:rsidR="00BB4501" w:rsidRPr="00F00002" w:rsidRDefault="00BB4501" w:rsidP="00D150ED">
      <w:pPr>
        <w:pStyle w:val="subsection"/>
      </w:pPr>
      <w:r w:rsidRPr="00F00002">
        <w:tab/>
        <w:t>(2)</w:t>
      </w:r>
      <w:r w:rsidRPr="00F00002">
        <w:tab/>
        <w:t>However:</w:t>
      </w:r>
    </w:p>
    <w:p w:rsidR="00BB4501" w:rsidRPr="00F00002" w:rsidRDefault="00BB4501" w:rsidP="00D150ED">
      <w:pPr>
        <w:pStyle w:val="paragraph"/>
      </w:pPr>
      <w:r w:rsidRPr="00F00002">
        <w:rPr>
          <w:color w:val="000000"/>
        </w:rPr>
        <w:tab/>
        <w:t>(a)</w:t>
      </w:r>
      <w:r w:rsidRPr="00F00002">
        <w:rPr>
          <w:color w:val="000000"/>
        </w:rPr>
        <w:tab/>
        <w:t>the entity is not permitted to translate an amount using an average exchange rate unless it appears to the entity on reasonable grounds that the rate would be a reasonable approximation of the exchange rate or rates that the entity would have used if the entity had used the exchange rate required by another appropriate item of the table in subsection</w:t>
      </w:r>
      <w:r w:rsidR="00F00002">
        <w:rPr>
          <w:color w:val="000000"/>
        </w:rPr>
        <w:t> </w:t>
      </w:r>
      <w:r w:rsidRPr="00F00002">
        <w:rPr>
          <w:color w:val="000000"/>
        </w:rPr>
        <w:t>960</w:t>
      </w:r>
      <w:r w:rsidR="00F00002">
        <w:rPr>
          <w:color w:val="000000"/>
        </w:rPr>
        <w:noBreakHyphen/>
      </w:r>
      <w:r w:rsidRPr="00F00002">
        <w:rPr>
          <w:color w:val="000000"/>
        </w:rPr>
        <w:t>50(6) of the Act; and</w:t>
      </w:r>
    </w:p>
    <w:p w:rsidR="00BB4501" w:rsidRPr="00F00002" w:rsidRDefault="00BB4501" w:rsidP="00D150ED">
      <w:pPr>
        <w:pStyle w:val="paragraph"/>
      </w:pPr>
      <w:r w:rsidRPr="00F00002">
        <w:tab/>
        <w:t>(b)</w:t>
      </w:r>
      <w:r w:rsidRPr="00F00002">
        <w:tab/>
        <w:t>the entity must obtain:</w:t>
      </w:r>
    </w:p>
    <w:p w:rsidR="00BB4501" w:rsidRPr="00F00002" w:rsidRDefault="00BB4501" w:rsidP="00D150ED">
      <w:pPr>
        <w:pStyle w:val="paragraphsub"/>
      </w:pPr>
      <w:r w:rsidRPr="00F00002">
        <w:rPr>
          <w:color w:val="000000"/>
        </w:rPr>
        <w:tab/>
        <w:t>(i)</w:t>
      </w:r>
      <w:r w:rsidRPr="00F00002">
        <w:rPr>
          <w:color w:val="000000"/>
        </w:rPr>
        <w:tab/>
        <w:t>all of the exchange rates that it will use to work out the average exchange rate; or</w:t>
      </w:r>
    </w:p>
    <w:p w:rsidR="00BB4501" w:rsidRPr="00F00002" w:rsidRDefault="00BB4501" w:rsidP="00D150ED">
      <w:pPr>
        <w:pStyle w:val="paragraphsub"/>
      </w:pPr>
      <w:r w:rsidRPr="00F00002">
        <w:tab/>
        <w:t>(ii)</w:t>
      </w:r>
      <w:r w:rsidRPr="00F00002">
        <w:tab/>
        <w:t>an average exchange rate that has been worked out for a particular period;</w:t>
      </w:r>
    </w:p>
    <w:p w:rsidR="00BB4501" w:rsidRPr="00F00002" w:rsidRDefault="00BB4501" w:rsidP="00D150ED">
      <w:pPr>
        <w:pStyle w:val="paragraph"/>
      </w:pPr>
      <w:r w:rsidRPr="00F00002">
        <w:rPr>
          <w:color w:val="000000"/>
        </w:rPr>
        <w:tab/>
      </w:r>
      <w:r w:rsidRPr="00F00002">
        <w:rPr>
          <w:color w:val="000000"/>
        </w:rPr>
        <w:tab/>
        <w:t>from 1 or more sources that are not associates of the entity, and not the entity itself, unless the Commissioner notifies the entity that it may obtain the rate or rates from 1 or more specified sources; and</w:t>
      </w:r>
    </w:p>
    <w:p w:rsidR="00BB4501" w:rsidRPr="00F00002" w:rsidRDefault="00BB4501" w:rsidP="00D150ED">
      <w:pPr>
        <w:pStyle w:val="paragraph"/>
      </w:pPr>
      <w:r w:rsidRPr="00F00002">
        <w:tab/>
        <w:t>(c)</w:t>
      </w:r>
      <w:r w:rsidRPr="00F00002">
        <w:tab/>
        <w:t>the entity must translate amounts relating to the relevant period using the rate.</w:t>
      </w:r>
    </w:p>
    <w:p w:rsidR="00BB4501" w:rsidRPr="00F00002" w:rsidRDefault="00D150ED" w:rsidP="00D150ED">
      <w:pPr>
        <w:pStyle w:val="notetext"/>
      </w:pPr>
      <w:r w:rsidRPr="00F00002">
        <w:rPr>
          <w:color w:val="000000"/>
        </w:rPr>
        <w:t>Note 1:</w:t>
      </w:r>
      <w:r w:rsidRPr="00F00002">
        <w:rPr>
          <w:color w:val="000000"/>
        </w:rPr>
        <w:tab/>
      </w:r>
      <w:r w:rsidR="00BB4501" w:rsidRPr="00F00002">
        <w:rPr>
          <w:color w:val="000000"/>
        </w:rPr>
        <w:t>Item</w:t>
      </w:r>
      <w:r w:rsidR="00F00002">
        <w:rPr>
          <w:color w:val="000000"/>
        </w:rPr>
        <w:t> </w:t>
      </w:r>
      <w:r w:rsidR="00BB4501" w:rsidRPr="00F00002">
        <w:rPr>
          <w:color w:val="000000"/>
        </w:rPr>
        <w:t>12 of the table in subsection</w:t>
      </w:r>
      <w:r w:rsidR="00F00002">
        <w:rPr>
          <w:color w:val="000000"/>
        </w:rPr>
        <w:t> </w:t>
      </w:r>
      <w:r w:rsidR="00BB4501" w:rsidRPr="00F00002">
        <w:rPr>
          <w:color w:val="000000"/>
        </w:rPr>
        <w:t>960</w:t>
      </w:r>
      <w:r w:rsidR="00F00002">
        <w:rPr>
          <w:color w:val="000000"/>
        </w:rPr>
        <w:noBreakHyphen/>
      </w:r>
      <w:r w:rsidR="00BB4501" w:rsidRPr="00F00002">
        <w:rPr>
          <w:color w:val="000000"/>
        </w:rPr>
        <w:t>50(6) of the Act is available as an alternative to the special translation rules in items</w:t>
      </w:r>
      <w:r w:rsidR="00F00002">
        <w:rPr>
          <w:color w:val="000000"/>
        </w:rPr>
        <w:t> </w:t>
      </w:r>
      <w:r w:rsidR="00BB4501" w:rsidRPr="00F00002">
        <w:rPr>
          <w:color w:val="000000"/>
        </w:rPr>
        <w:t xml:space="preserve">1 to 11A (inclusive) in that table. Therefore, </w:t>
      </w:r>
      <w:r w:rsidR="00F00002">
        <w:rPr>
          <w:color w:val="000000"/>
        </w:rPr>
        <w:t>subclause (</w:t>
      </w:r>
      <w:r w:rsidR="00BB4501" w:rsidRPr="00F00002">
        <w:rPr>
          <w:color w:val="000000"/>
        </w:rPr>
        <w:t>2) requires the entity to consider whether using the translation rules in item</w:t>
      </w:r>
      <w:r w:rsidR="00F00002">
        <w:rPr>
          <w:color w:val="000000"/>
        </w:rPr>
        <w:t> </w:t>
      </w:r>
      <w:r w:rsidR="00BB4501" w:rsidRPr="00F00002">
        <w:rPr>
          <w:color w:val="000000"/>
        </w:rPr>
        <w:t>12 would lead to a reasonable approximation with the translation rules in another appropriate item of the table.</w:t>
      </w:r>
    </w:p>
    <w:p w:rsidR="00BB4501" w:rsidRPr="00F00002" w:rsidRDefault="00D150ED" w:rsidP="00D150ED">
      <w:pPr>
        <w:pStyle w:val="notetext"/>
      </w:pPr>
      <w:r w:rsidRPr="00F00002">
        <w:t>Note 2:</w:t>
      </w:r>
      <w:r w:rsidRPr="00F00002">
        <w:tab/>
      </w:r>
      <w:r w:rsidR="00BB4501" w:rsidRPr="00F00002">
        <w:rPr>
          <w:b/>
          <w:i/>
        </w:rPr>
        <w:t>Associate</w:t>
      </w:r>
      <w:r w:rsidR="00BB4501" w:rsidRPr="00F00002">
        <w:t xml:space="preserve"> is defined in subsection</w:t>
      </w:r>
      <w:r w:rsidR="00F00002">
        <w:t> </w:t>
      </w:r>
      <w:r w:rsidR="00BB4501" w:rsidRPr="00F00002">
        <w:t>995</w:t>
      </w:r>
      <w:r w:rsidR="00F00002">
        <w:noBreakHyphen/>
      </w:r>
      <w:r w:rsidR="00BB4501" w:rsidRPr="00F00002">
        <w:t>1(1) of the Act.</w:t>
      </w:r>
    </w:p>
    <w:p w:rsidR="00BB4501" w:rsidRPr="00F00002" w:rsidRDefault="00D150ED" w:rsidP="00D150ED">
      <w:pPr>
        <w:pStyle w:val="ActHead2"/>
        <w:pageBreakBefore/>
      </w:pPr>
      <w:bookmarkStart w:id="238" w:name="f_Check_Lines_above"/>
      <w:bookmarkStart w:id="239" w:name="BK_S11P127L1C1"/>
      <w:bookmarkStart w:id="240" w:name="_Toc31109788"/>
      <w:bookmarkEnd w:id="238"/>
      <w:bookmarkEnd w:id="239"/>
      <w:r w:rsidRPr="00A26088">
        <w:rPr>
          <w:rStyle w:val="CharPartNo"/>
        </w:rPr>
        <w:lastRenderedPageBreak/>
        <w:t>Part</w:t>
      </w:r>
      <w:r w:rsidR="00F00002" w:rsidRPr="00A26088">
        <w:rPr>
          <w:rStyle w:val="CharPartNo"/>
        </w:rPr>
        <w:t> </w:t>
      </w:r>
      <w:r w:rsidR="00BB4501" w:rsidRPr="00A26088">
        <w:rPr>
          <w:rStyle w:val="CharPartNo"/>
        </w:rPr>
        <w:t>2</w:t>
      </w:r>
      <w:r w:rsidRPr="00F00002">
        <w:t>—</w:t>
      </w:r>
      <w:r w:rsidR="00BB4501" w:rsidRPr="00A26088">
        <w:rPr>
          <w:rStyle w:val="CharPartText"/>
        </w:rPr>
        <w:t>Translation of foreign currency amounts into Australian currency</w:t>
      </w:r>
      <w:r w:rsidRPr="00A26088">
        <w:rPr>
          <w:rStyle w:val="CharPartText"/>
        </w:rPr>
        <w:t>—</w:t>
      </w:r>
      <w:r w:rsidR="00BB4501" w:rsidRPr="00A26088">
        <w:rPr>
          <w:rStyle w:val="CharPartText"/>
        </w:rPr>
        <w:t>rules and requirements for item</w:t>
      </w:r>
      <w:r w:rsidR="00F00002" w:rsidRPr="00A26088">
        <w:rPr>
          <w:rStyle w:val="CharPartText"/>
        </w:rPr>
        <w:t> </w:t>
      </w:r>
      <w:r w:rsidR="00BB4501" w:rsidRPr="00A26088">
        <w:rPr>
          <w:rStyle w:val="CharPartText"/>
        </w:rPr>
        <w:t>11A of the table in subsection</w:t>
      </w:r>
      <w:r w:rsidR="00F00002" w:rsidRPr="00A26088">
        <w:rPr>
          <w:rStyle w:val="CharPartText"/>
        </w:rPr>
        <w:t> </w:t>
      </w:r>
      <w:r w:rsidR="00BB4501" w:rsidRPr="00A26088">
        <w:rPr>
          <w:rStyle w:val="CharPartText"/>
        </w:rPr>
        <w:t>960</w:t>
      </w:r>
      <w:r w:rsidR="00F00002" w:rsidRPr="00A26088">
        <w:rPr>
          <w:rStyle w:val="CharPartText"/>
        </w:rPr>
        <w:noBreakHyphen/>
      </w:r>
      <w:r w:rsidR="00BB4501" w:rsidRPr="00A26088">
        <w:rPr>
          <w:rStyle w:val="CharPartText"/>
        </w:rPr>
        <w:t>50(6) of the Act</w:t>
      </w:r>
      <w:bookmarkEnd w:id="240"/>
    </w:p>
    <w:p w:rsidR="00BB4501" w:rsidRPr="00F00002" w:rsidRDefault="00BB4501" w:rsidP="002D5625">
      <w:pPr>
        <w:pStyle w:val="Specials"/>
      </w:pPr>
      <w:r w:rsidRPr="00F00002">
        <w:t>2.1</w:t>
      </w:r>
      <w:r w:rsidR="00D150ED" w:rsidRPr="00F00002">
        <w:t xml:space="preserve">  </w:t>
      </w:r>
      <w:r w:rsidRPr="00F00002">
        <w:t>Exchange rate</w:t>
      </w:r>
      <w:r w:rsidR="00D150ED" w:rsidRPr="00F00002">
        <w:t>—</w:t>
      </w:r>
      <w:r w:rsidRPr="00F00002">
        <w:t>consistency with an entity’s financial records</w:t>
      </w:r>
    </w:p>
    <w:p w:rsidR="00BB4501" w:rsidRPr="00F00002" w:rsidRDefault="00BB4501" w:rsidP="00D150ED">
      <w:pPr>
        <w:pStyle w:val="subsection"/>
      </w:pPr>
      <w:r w:rsidRPr="00F00002">
        <w:tab/>
      </w:r>
      <w:r w:rsidRPr="00F00002">
        <w:tab/>
        <w:t>For item</w:t>
      </w:r>
      <w:r w:rsidR="00F00002">
        <w:t> </w:t>
      </w:r>
      <w:r w:rsidRPr="00F00002">
        <w:t>11A of the table in subsection</w:t>
      </w:r>
      <w:r w:rsidR="00F00002">
        <w:t> </w:t>
      </w:r>
      <w:r w:rsidRPr="00F00002">
        <w:t>960</w:t>
      </w:r>
      <w:r w:rsidR="00F00002">
        <w:noBreakHyphen/>
      </w:r>
      <w:r w:rsidRPr="00F00002">
        <w:t>50(6) of the Act, as modified, if:</w:t>
      </w:r>
    </w:p>
    <w:p w:rsidR="00BB4501" w:rsidRPr="00F00002" w:rsidRDefault="00BB4501" w:rsidP="00D150ED">
      <w:pPr>
        <w:pStyle w:val="paragraph"/>
      </w:pPr>
      <w:r w:rsidRPr="00F00002">
        <w:rPr>
          <w:color w:val="000000"/>
        </w:rPr>
        <w:tab/>
        <w:t>(a)</w:t>
      </w:r>
      <w:r w:rsidRPr="00F00002">
        <w:rPr>
          <w:color w:val="000000"/>
        </w:rPr>
        <w:tab/>
        <w:t xml:space="preserve">an entity keeps financial records (within the meaning of the </w:t>
      </w:r>
      <w:r w:rsidRPr="00F00002">
        <w:rPr>
          <w:i/>
          <w:color w:val="000000"/>
        </w:rPr>
        <w:t>Corporations Act 2001</w:t>
      </w:r>
      <w:r w:rsidRPr="00F00002">
        <w:rPr>
          <w:color w:val="000000"/>
        </w:rPr>
        <w:t>) of the exchange rates that the entity uses to translate amounts into Australian currency; and</w:t>
      </w:r>
    </w:p>
    <w:p w:rsidR="00BB4501" w:rsidRPr="00F00002" w:rsidRDefault="00BB4501" w:rsidP="00D150ED">
      <w:pPr>
        <w:pStyle w:val="paragraph"/>
      </w:pPr>
      <w:r w:rsidRPr="00F00002">
        <w:tab/>
        <w:t>(b)</w:t>
      </w:r>
      <w:r w:rsidRPr="00F00002">
        <w:tab/>
        <w:t>the entity, or another entity, translates an amount to which the records correspond into Australian currency in accordance with item</w:t>
      </w:r>
      <w:r w:rsidR="00F00002">
        <w:t> </w:t>
      </w:r>
      <w:r w:rsidRPr="00F00002">
        <w:t>11A;</w:t>
      </w:r>
    </w:p>
    <w:p w:rsidR="00BB4501" w:rsidRPr="00F00002" w:rsidRDefault="00BB4501" w:rsidP="00D150ED">
      <w:pPr>
        <w:pStyle w:val="subsection2"/>
      </w:pPr>
      <w:r w:rsidRPr="00F00002">
        <w:rPr>
          <w:color w:val="000000"/>
        </w:rPr>
        <w:t xml:space="preserve">the exchange rate that the entity mentioned in </w:t>
      </w:r>
      <w:r w:rsidR="00F00002">
        <w:rPr>
          <w:color w:val="000000"/>
        </w:rPr>
        <w:t>paragraph (</w:t>
      </w:r>
      <w:r w:rsidRPr="00F00002">
        <w:rPr>
          <w:color w:val="000000"/>
        </w:rPr>
        <w:t>b) uses must be the same as the exchange rate specified in those records for translating the amount into Australian currency.</w:t>
      </w:r>
    </w:p>
    <w:p w:rsidR="009C0941" w:rsidRPr="00F00002" w:rsidRDefault="009C0941" w:rsidP="00FB01A9">
      <w:pPr>
        <w:sectPr w:rsidR="009C0941" w:rsidRPr="00F00002" w:rsidSect="008035BA">
          <w:type w:val="continuous"/>
          <w:pgSz w:w="11907" w:h="16839" w:code="9"/>
          <w:pgMar w:top="2325" w:right="1797" w:bottom="1440" w:left="1797" w:header="720" w:footer="709" w:gutter="0"/>
          <w:cols w:space="720"/>
          <w:docGrid w:linePitch="299"/>
        </w:sectPr>
      </w:pPr>
      <w:bookmarkStart w:id="241" w:name="OPCSB_NonAmendClausesB5"/>
    </w:p>
    <w:p w:rsidR="00BB4501" w:rsidRPr="00F00002" w:rsidRDefault="00D150ED" w:rsidP="00C71190">
      <w:pPr>
        <w:pStyle w:val="ActHead1"/>
        <w:pageBreakBefore/>
      </w:pPr>
      <w:bookmarkStart w:id="242" w:name="BK_S12P128L1C1"/>
      <w:bookmarkStart w:id="243" w:name="_Toc31109789"/>
      <w:bookmarkEnd w:id="241"/>
      <w:bookmarkEnd w:id="242"/>
      <w:r w:rsidRPr="00A26088">
        <w:rPr>
          <w:rStyle w:val="CharChapNo"/>
        </w:rPr>
        <w:lastRenderedPageBreak/>
        <w:t>Schedule</w:t>
      </w:r>
      <w:r w:rsidR="00F00002" w:rsidRPr="00A26088">
        <w:rPr>
          <w:rStyle w:val="CharChapNo"/>
        </w:rPr>
        <w:t> </w:t>
      </w:r>
      <w:r w:rsidR="00BB4501" w:rsidRPr="00A26088">
        <w:rPr>
          <w:rStyle w:val="CharChapNo"/>
        </w:rPr>
        <w:t>4</w:t>
      </w:r>
      <w:r w:rsidRPr="00F00002">
        <w:rPr>
          <w:color w:val="000000"/>
        </w:rPr>
        <w:t>—</w:t>
      </w:r>
      <w:r w:rsidR="00BB4501" w:rsidRPr="00A26088">
        <w:rPr>
          <w:rStyle w:val="CharChapText"/>
        </w:rPr>
        <w:t>Constitutionally protected superannuation funds</w:t>
      </w:r>
      <w:r w:rsidRPr="00A26088">
        <w:rPr>
          <w:rStyle w:val="CharChapText"/>
        </w:rPr>
        <w:t>—</w:t>
      </w:r>
      <w:r w:rsidR="00BB4501" w:rsidRPr="00A26088">
        <w:rPr>
          <w:rStyle w:val="CharChapText"/>
        </w:rPr>
        <w:t>State legislation</w:t>
      </w:r>
      <w:bookmarkEnd w:id="243"/>
      <w:r w:rsidR="00BB4501" w:rsidRPr="00A26088">
        <w:rPr>
          <w:rStyle w:val="CharChapText"/>
        </w:rPr>
        <w:t xml:space="preserve"> </w:t>
      </w:r>
    </w:p>
    <w:p w:rsidR="002934F8" w:rsidRPr="00F00002" w:rsidRDefault="002934F8" w:rsidP="002934F8">
      <w:pPr>
        <w:pStyle w:val="notemargin"/>
      </w:pPr>
      <w:r w:rsidRPr="00F00002">
        <w:t>Note:</w:t>
      </w:r>
      <w:r w:rsidRPr="00F00002">
        <w:tab/>
        <w:t>See regulation</w:t>
      </w:r>
      <w:r w:rsidR="00F00002">
        <w:t> </w:t>
      </w:r>
      <w:r w:rsidRPr="00F00002">
        <w:t>995</w:t>
      </w:r>
      <w:r w:rsidR="00F00002">
        <w:noBreakHyphen/>
      </w:r>
      <w:r w:rsidRPr="00F00002">
        <w:t>1.04.</w:t>
      </w:r>
    </w:p>
    <w:p w:rsidR="007747F4" w:rsidRPr="00A26088" w:rsidRDefault="00D150ED" w:rsidP="005070D9">
      <w:pPr>
        <w:pStyle w:val="Header"/>
      </w:pPr>
      <w:r w:rsidRPr="00A26088">
        <w:rPr>
          <w:rStyle w:val="CharPartNo"/>
        </w:rPr>
        <w:t xml:space="preserve"> </w:t>
      </w:r>
      <w:r w:rsidRPr="00A26088">
        <w:rPr>
          <w:rStyle w:val="CharPartText"/>
        </w:rPr>
        <w:t xml:space="preserve"> </w:t>
      </w:r>
    </w:p>
    <w:tbl>
      <w:tblPr>
        <w:tblW w:w="5000" w:type="pct"/>
        <w:tblBorders>
          <w:bottom w:val="single" w:sz="4" w:space="0" w:color="auto"/>
          <w:insideH w:val="single" w:sz="4" w:space="0" w:color="auto"/>
        </w:tblBorders>
        <w:tblLook w:val="0000" w:firstRow="0" w:lastRow="0" w:firstColumn="0" w:lastColumn="0" w:noHBand="0" w:noVBand="0"/>
      </w:tblPr>
      <w:tblGrid>
        <w:gridCol w:w="967"/>
        <w:gridCol w:w="7562"/>
      </w:tblGrid>
      <w:tr w:rsidR="004C16D7" w:rsidRPr="00F00002" w:rsidTr="000505B9">
        <w:trPr>
          <w:tblHeader/>
        </w:trPr>
        <w:tc>
          <w:tcPr>
            <w:tcW w:w="5000" w:type="pct"/>
            <w:gridSpan w:val="2"/>
            <w:tcBorders>
              <w:top w:val="single" w:sz="12" w:space="0" w:color="auto"/>
              <w:bottom w:val="single" w:sz="12" w:space="0" w:color="auto"/>
            </w:tcBorders>
          </w:tcPr>
          <w:p w:rsidR="004C16D7" w:rsidRPr="00F00002" w:rsidRDefault="004C16D7" w:rsidP="009F5EBC">
            <w:pPr>
              <w:pStyle w:val="Tabletext"/>
              <w:rPr>
                <w:b/>
              </w:rPr>
            </w:pPr>
            <w:r w:rsidRPr="00F00002">
              <w:rPr>
                <w:b/>
              </w:rPr>
              <w:t>Constitutionally protected superannuation funds</w:t>
            </w:r>
          </w:p>
        </w:tc>
      </w:tr>
      <w:tr w:rsidR="004C16D7" w:rsidRPr="00F00002" w:rsidTr="000505B9">
        <w:trPr>
          <w:tblHeader/>
        </w:trPr>
        <w:tc>
          <w:tcPr>
            <w:tcW w:w="567" w:type="pct"/>
            <w:tcBorders>
              <w:top w:val="single" w:sz="12" w:space="0" w:color="auto"/>
              <w:bottom w:val="single" w:sz="12" w:space="0" w:color="auto"/>
            </w:tcBorders>
          </w:tcPr>
          <w:p w:rsidR="004C16D7" w:rsidRPr="00F00002" w:rsidRDefault="004C16D7" w:rsidP="003F23AA">
            <w:pPr>
              <w:pStyle w:val="TableHeading"/>
            </w:pPr>
            <w:r w:rsidRPr="00F00002">
              <w:t>Item</w:t>
            </w:r>
          </w:p>
        </w:tc>
        <w:tc>
          <w:tcPr>
            <w:tcW w:w="4433" w:type="pct"/>
            <w:tcBorders>
              <w:top w:val="single" w:sz="12" w:space="0" w:color="auto"/>
              <w:bottom w:val="single" w:sz="12" w:space="0" w:color="auto"/>
            </w:tcBorders>
          </w:tcPr>
          <w:p w:rsidR="004C16D7" w:rsidRPr="00F00002" w:rsidRDefault="004C16D7" w:rsidP="003F23AA">
            <w:pPr>
              <w:pStyle w:val="TableHeading"/>
            </w:pPr>
            <w:r w:rsidRPr="00F00002">
              <w:t>Legislation</w:t>
            </w:r>
          </w:p>
        </w:tc>
      </w:tr>
      <w:tr w:rsidR="004C16D7" w:rsidRPr="00F00002" w:rsidTr="000505B9">
        <w:tc>
          <w:tcPr>
            <w:tcW w:w="5000" w:type="pct"/>
            <w:gridSpan w:val="2"/>
            <w:tcBorders>
              <w:top w:val="single" w:sz="12" w:space="0" w:color="auto"/>
              <w:bottom w:val="single" w:sz="12" w:space="0" w:color="auto"/>
            </w:tcBorders>
          </w:tcPr>
          <w:p w:rsidR="004C16D7" w:rsidRPr="00F00002" w:rsidRDefault="004C16D7" w:rsidP="00D150ED">
            <w:pPr>
              <w:pStyle w:val="Tabletext"/>
            </w:pPr>
            <w:r w:rsidRPr="00F00002">
              <w:rPr>
                <w:b/>
                <w:i/>
                <w:color w:val="000000"/>
              </w:rPr>
              <w:t>Part</w:t>
            </w:r>
            <w:r w:rsidR="00F00002">
              <w:rPr>
                <w:b/>
                <w:i/>
                <w:color w:val="000000"/>
              </w:rPr>
              <w:t> </w:t>
            </w:r>
            <w:r w:rsidRPr="00F00002">
              <w:rPr>
                <w:b/>
                <w:i/>
                <w:color w:val="000000"/>
              </w:rPr>
              <w:t>1</w:t>
            </w:r>
            <w:r w:rsidRPr="00F00002">
              <w:rPr>
                <w:b/>
                <w:i/>
                <w:color w:val="000000"/>
              </w:rPr>
              <w:tab/>
              <w:t>New South Wales</w:t>
            </w:r>
          </w:p>
        </w:tc>
      </w:tr>
      <w:tr w:rsidR="004C16D7" w:rsidRPr="00F00002" w:rsidTr="000505B9">
        <w:tblPrEx>
          <w:tblCellMar>
            <w:left w:w="80" w:type="dxa"/>
            <w:right w:w="80" w:type="dxa"/>
          </w:tblCellMar>
        </w:tblPrEx>
        <w:trPr>
          <w:cantSplit/>
        </w:trPr>
        <w:tc>
          <w:tcPr>
            <w:tcW w:w="567" w:type="pct"/>
            <w:tcBorders>
              <w:top w:val="single" w:sz="12" w:space="0" w:color="auto"/>
              <w:bottom w:val="single" w:sz="12" w:space="0" w:color="auto"/>
            </w:tcBorders>
          </w:tcPr>
          <w:p w:rsidR="004C16D7" w:rsidRPr="00F00002" w:rsidRDefault="004C16D7" w:rsidP="00D150ED">
            <w:pPr>
              <w:pStyle w:val="Tabletext"/>
            </w:pPr>
            <w:r w:rsidRPr="00F00002">
              <w:rPr>
                <w:color w:val="000000"/>
              </w:rPr>
              <w:t>101</w:t>
            </w:r>
          </w:p>
        </w:tc>
        <w:tc>
          <w:tcPr>
            <w:tcW w:w="4433" w:type="pct"/>
            <w:tcBorders>
              <w:top w:val="single" w:sz="12" w:space="0" w:color="auto"/>
              <w:bottom w:val="single" w:sz="12" w:space="0" w:color="auto"/>
            </w:tcBorders>
          </w:tcPr>
          <w:p w:rsidR="004C16D7" w:rsidRPr="00F00002" w:rsidRDefault="004C16D7" w:rsidP="00D150ED">
            <w:pPr>
              <w:pStyle w:val="Tabletext"/>
            </w:pPr>
            <w:r w:rsidRPr="00F00002">
              <w:rPr>
                <w:i/>
                <w:color w:val="000000"/>
              </w:rPr>
              <w:t>Judges’ Pensions Act 1953</w:t>
            </w:r>
          </w:p>
        </w:tc>
      </w:tr>
      <w:tr w:rsidR="004C16D7" w:rsidRPr="00F00002" w:rsidTr="000505B9">
        <w:tc>
          <w:tcPr>
            <w:tcW w:w="5000" w:type="pct"/>
            <w:gridSpan w:val="2"/>
            <w:tcBorders>
              <w:top w:val="single" w:sz="12" w:space="0" w:color="auto"/>
              <w:bottom w:val="single" w:sz="12" w:space="0" w:color="auto"/>
            </w:tcBorders>
          </w:tcPr>
          <w:p w:rsidR="004C16D7" w:rsidRPr="00F00002" w:rsidRDefault="004C16D7" w:rsidP="00D150ED">
            <w:pPr>
              <w:pStyle w:val="Tabletext"/>
            </w:pPr>
            <w:r w:rsidRPr="00F00002">
              <w:rPr>
                <w:b/>
                <w:i/>
                <w:color w:val="000000"/>
              </w:rPr>
              <w:t>Part</w:t>
            </w:r>
            <w:r w:rsidR="00F00002">
              <w:rPr>
                <w:b/>
                <w:i/>
                <w:color w:val="000000"/>
              </w:rPr>
              <w:t> </w:t>
            </w:r>
            <w:r w:rsidRPr="00F00002">
              <w:rPr>
                <w:b/>
                <w:i/>
                <w:color w:val="000000"/>
              </w:rPr>
              <w:t>2</w:t>
            </w:r>
            <w:r w:rsidRPr="00F00002">
              <w:rPr>
                <w:b/>
                <w:i/>
                <w:color w:val="000000"/>
              </w:rPr>
              <w:tab/>
              <w:t>Victoria</w:t>
            </w:r>
          </w:p>
        </w:tc>
      </w:tr>
      <w:tr w:rsidR="004C16D7" w:rsidRPr="00F00002" w:rsidTr="000505B9">
        <w:tblPrEx>
          <w:tblCellMar>
            <w:left w:w="80" w:type="dxa"/>
            <w:right w:w="80" w:type="dxa"/>
          </w:tblCellMar>
        </w:tblPrEx>
        <w:trPr>
          <w:cantSplit/>
        </w:trPr>
        <w:tc>
          <w:tcPr>
            <w:tcW w:w="567" w:type="pct"/>
            <w:tcBorders>
              <w:top w:val="single" w:sz="12" w:space="0" w:color="auto"/>
            </w:tcBorders>
          </w:tcPr>
          <w:p w:rsidR="004C16D7" w:rsidRPr="00F00002" w:rsidRDefault="004C16D7" w:rsidP="00D150ED">
            <w:pPr>
              <w:pStyle w:val="Tabletext"/>
            </w:pPr>
            <w:r w:rsidRPr="00F00002">
              <w:rPr>
                <w:color w:val="000000"/>
              </w:rPr>
              <w:t>201</w:t>
            </w:r>
          </w:p>
        </w:tc>
        <w:tc>
          <w:tcPr>
            <w:tcW w:w="4433" w:type="pct"/>
            <w:tcBorders>
              <w:top w:val="single" w:sz="12" w:space="0" w:color="auto"/>
            </w:tcBorders>
          </w:tcPr>
          <w:p w:rsidR="004C16D7" w:rsidRPr="00F00002" w:rsidRDefault="004C16D7" w:rsidP="00D150ED">
            <w:pPr>
              <w:pStyle w:val="Tabletext"/>
            </w:pPr>
            <w:r w:rsidRPr="00F00002">
              <w:rPr>
                <w:b/>
                <w:color w:val="000000"/>
              </w:rPr>
              <w:t>Attorney</w:t>
            </w:r>
            <w:r w:rsidR="00F00002">
              <w:rPr>
                <w:b/>
                <w:color w:val="000000"/>
              </w:rPr>
              <w:noBreakHyphen/>
            </w:r>
            <w:r w:rsidRPr="00F00002">
              <w:rPr>
                <w:b/>
                <w:color w:val="000000"/>
              </w:rPr>
              <w:t>General and Solicitor</w:t>
            </w:r>
            <w:r w:rsidR="00F00002">
              <w:rPr>
                <w:b/>
                <w:color w:val="000000"/>
              </w:rPr>
              <w:noBreakHyphen/>
            </w:r>
            <w:r w:rsidRPr="00F00002">
              <w:rPr>
                <w:b/>
                <w:color w:val="000000"/>
              </w:rPr>
              <w:t>General Act 1972</w:t>
            </w:r>
          </w:p>
        </w:tc>
      </w:tr>
      <w:tr w:rsidR="004C16D7" w:rsidRPr="00F00002" w:rsidTr="000505B9">
        <w:tblPrEx>
          <w:tblCellMar>
            <w:left w:w="80" w:type="dxa"/>
            <w:right w:w="80" w:type="dxa"/>
          </w:tblCellMar>
        </w:tblPrEx>
        <w:trPr>
          <w:cantSplit/>
        </w:trPr>
        <w:tc>
          <w:tcPr>
            <w:tcW w:w="567" w:type="pct"/>
          </w:tcPr>
          <w:p w:rsidR="004C16D7" w:rsidRPr="00F00002" w:rsidRDefault="004C16D7" w:rsidP="00D150ED">
            <w:pPr>
              <w:pStyle w:val="Tabletext"/>
            </w:pPr>
            <w:r w:rsidRPr="00F00002">
              <w:rPr>
                <w:color w:val="000000"/>
              </w:rPr>
              <w:t>202</w:t>
            </w:r>
          </w:p>
        </w:tc>
        <w:tc>
          <w:tcPr>
            <w:tcW w:w="4433" w:type="pct"/>
          </w:tcPr>
          <w:p w:rsidR="004C16D7" w:rsidRPr="00F00002" w:rsidRDefault="004C16D7" w:rsidP="00D150ED">
            <w:pPr>
              <w:pStyle w:val="Tabletext"/>
            </w:pPr>
            <w:r w:rsidRPr="00F00002">
              <w:rPr>
                <w:b/>
                <w:color w:val="000000"/>
              </w:rPr>
              <w:t>Coal Mines (Pensions) Act 1958</w:t>
            </w:r>
          </w:p>
        </w:tc>
      </w:tr>
      <w:tr w:rsidR="004C16D7" w:rsidRPr="00F00002" w:rsidTr="000505B9">
        <w:tblPrEx>
          <w:tblCellMar>
            <w:left w:w="80" w:type="dxa"/>
            <w:right w:w="80" w:type="dxa"/>
          </w:tblCellMar>
        </w:tblPrEx>
        <w:trPr>
          <w:cantSplit/>
        </w:trPr>
        <w:tc>
          <w:tcPr>
            <w:tcW w:w="567" w:type="pct"/>
          </w:tcPr>
          <w:p w:rsidR="004C16D7" w:rsidRPr="00F00002" w:rsidRDefault="004C16D7" w:rsidP="00D150ED">
            <w:pPr>
              <w:pStyle w:val="Tabletext"/>
            </w:pPr>
            <w:r w:rsidRPr="00F00002">
              <w:rPr>
                <w:color w:val="000000"/>
              </w:rPr>
              <w:t>203</w:t>
            </w:r>
          </w:p>
        </w:tc>
        <w:tc>
          <w:tcPr>
            <w:tcW w:w="4433" w:type="pct"/>
          </w:tcPr>
          <w:p w:rsidR="004C16D7" w:rsidRPr="00F00002" w:rsidRDefault="004C16D7" w:rsidP="00D150ED">
            <w:pPr>
              <w:pStyle w:val="Tabletext"/>
            </w:pPr>
            <w:r w:rsidRPr="00F00002">
              <w:rPr>
                <w:b/>
                <w:color w:val="000000"/>
              </w:rPr>
              <w:t>Constitution Act 1975</w:t>
            </w:r>
          </w:p>
        </w:tc>
      </w:tr>
      <w:tr w:rsidR="004C16D7" w:rsidRPr="00F00002" w:rsidTr="000505B9">
        <w:tblPrEx>
          <w:tblCellMar>
            <w:left w:w="80" w:type="dxa"/>
            <w:right w:w="80" w:type="dxa"/>
          </w:tblCellMar>
        </w:tblPrEx>
        <w:trPr>
          <w:cantSplit/>
        </w:trPr>
        <w:tc>
          <w:tcPr>
            <w:tcW w:w="567" w:type="pct"/>
          </w:tcPr>
          <w:p w:rsidR="004C16D7" w:rsidRPr="00F00002" w:rsidRDefault="004C16D7" w:rsidP="00D150ED">
            <w:pPr>
              <w:pStyle w:val="Tabletext"/>
            </w:pPr>
            <w:r w:rsidRPr="00F00002">
              <w:rPr>
                <w:color w:val="000000"/>
              </w:rPr>
              <w:t>204</w:t>
            </w:r>
          </w:p>
        </w:tc>
        <w:tc>
          <w:tcPr>
            <w:tcW w:w="4433" w:type="pct"/>
          </w:tcPr>
          <w:p w:rsidR="004C16D7" w:rsidRPr="00F00002" w:rsidRDefault="004C16D7" w:rsidP="00D150ED">
            <w:pPr>
              <w:pStyle w:val="Tabletext"/>
            </w:pPr>
            <w:r w:rsidRPr="00F00002">
              <w:rPr>
                <w:b/>
                <w:color w:val="000000"/>
              </w:rPr>
              <w:t>County Court Act 1958</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rPr>
                <w:color w:val="000000"/>
              </w:rPr>
            </w:pPr>
            <w:r w:rsidRPr="00F00002">
              <w:t>205</w:t>
            </w:r>
          </w:p>
        </w:tc>
        <w:tc>
          <w:tcPr>
            <w:tcW w:w="4433" w:type="pct"/>
          </w:tcPr>
          <w:p w:rsidR="00124E30" w:rsidRPr="00F00002" w:rsidRDefault="00124E30" w:rsidP="00D150ED">
            <w:pPr>
              <w:pStyle w:val="Tabletext"/>
              <w:rPr>
                <w:b/>
                <w:color w:val="000000"/>
              </w:rPr>
            </w:pPr>
            <w:r w:rsidRPr="00F00002">
              <w:rPr>
                <w:b/>
              </w:rPr>
              <w:t>Magistrates’ Court Act 1989</w:t>
            </w:r>
          </w:p>
        </w:tc>
      </w:tr>
      <w:tr w:rsidR="00F57B37" w:rsidRPr="00F00002" w:rsidTr="000505B9">
        <w:tblPrEx>
          <w:tblCellMar>
            <w:left w:w="80" w:type="dxa"/>
            <w:right w:w="80" w:type="dxa"/>
          </w:tblCellMar>
        </w:tblPrEx>
        <w:trPr>
          <w:cantSplit/>
        </w:trPr>
        <w:tc>
          <w:tcPr>
            <w:tcW w:w="567" w:type="pct"/>
          </w:tcPr>
          <w:p w:rsidR="00F57B37" w:rsidRPr="00F00002" w:rsidRDefault="00F57B37" w:rsidP="00D150ED">
            <w:pPr>
              <w:pStyle w:val="Tabletext"/>
              <w:rPr>
                <w:color w:val="000000"/>
              </w:rPr>
            </w:pPr>
            <w:bookmarkStart w:id="244" w:name="BK_S12P128L15C1"/>
            <w:bookmarkEnd w:id="244"/>
            <w:r w:rsidRPr="00F00002">
              <w:rPr>
                <w:color w:val="000000"/>
              </w:rPr>
              <w:t>210</w:t>
            </w:r>
          </w:p>
        </w:tc>
        <w:tc>
          <w:tcPr>
            <w:tcW w:w="4433" w:type="pct"/>
          </w:tcPr>
          <w:p w:rsidR="00F57B37" w:rsidRPr="00F00002" w:rsidRDefault="00F57B37" w:rsidP="007F5615">
            <w:pPr>
              <w:pStyle w:val="Tabletext"/>
              <w:rPr>
                <w:b/>
                <w:color w:val="000000"/>
              </w:rPr>
            </w:pPr>
            <w:r w:rsidRPr="00F00002">
              <w:rPr>
                <w:b/>
                <w:color w:val="000000"/>
              </w:rPr>
              <w:t xml:space="preserve">Ombudsman Act 1973 </w:t>
            </w:r>
            <w:r w:rsidRPr="00F00002">
              <w:rPr>
                <w:color w:val="000000"/>
              </w:rPr>
              <w:t>(subsection</w:t>
            </w:r>
            <w:r>
              <w:rPr>
                <w:color w:val="000000"/>
              </w:rPr>
              <w:t> </w:t>
            </w:r>
            <w:r w:rsidRPr="00F00002">
              <w:rPr>
                <w:color w:val="000000"/>
              </w:rPr>
              <w:t>9(2))</w:t>
            </w:r>
            <w:bookmarkStart w:id="245" w:name="opcCurrentPosition"/>
            <w:bookmarkEnd w:id="245"/>
          </w:p>
        </w:tc>
      </w:tr>
      <w:tr w:rsidR="00124E30" w:rsidRPr="00F00002" w:rsidTr="000505B9">
        <w:tblPrEx>
          <w:tblCellMar>
            <w:left w:w="80" w:type="dxa"/>
            <w:right w:w="80" w:type="dxa"/>
          </w:tblCellMar>
        </w:tblPrEx>
        <w:trPr>
          <w:cantSplit/>
        </w:trPr>
        <w:tc>
          <w:tcPr>
            <w:tcW w:w="567" w:type="pct"/>
            <w:tcBorders>
              <w:bottom w:val="single" w:sz="4" w:space="0" w:color="auto"/>
            </w:tcBorders>
          </w:tcPr>
          <w:p w:rsidR="00124E30" w:rsidRPr="00F00002" w:rsidRDefault="00124E30" w:rsidP="00D150ED">
            <w:pPr>
              <w:pStyle w:val="Tabletext"/>
            </w:pPr>
            <w:r w:rsidRPr="00F00002">
              <w:rPr>
                <w:color w:val="000000"/>
              </w:rPr>
              <w:t>211</w:t>
            </w:r>
          </w:p>
        </w:tc>
        <w:tc>
          <w:tcPr>
            <w:tcW w:w="4433" w:type="pct"/>
            <w:tcBorders>
              <w:bottom w:val="single" w:sz="4" w:space="0" w:color="auto"/>
            </w:tcBorders>
          </w:tcPr>
          <w:p w:rsidR="00124E30" w:rsidRPr="00F00002" w:rsidRDefault="00124E30" w:rsidP="00D150ED">
            <w:pPr>
              <w:pStyle w:val="Tabletext"/>
            </w:pPr>
            <w:r w:rsidRPr="00F00002">
              <w:rPr>
                <w:b/>
                <w:color w:val="000000"/>
              </w:rPr>
              <w:t>Public Prosecutions Act 1994</w:t>
            </w:r>
          </w:p>
        </w:tc>
      </w:tr>
      <w:tr w:rsidR="00124E30" w:rsidRPr="00F00002" w:rsidTr="000505B9">
        <w:tblPrEx>
          <w:tblCellMar>
            <w:left w:w="80" w:type="dxa"/>
            <w:right w:w="80" w:type="dxa"/>
          </w:tblCellMar>
        </w:tblPrEx>
        <w:trPr>
          <w:cantSplit/>
        </w:trPr>
        <w:tc>
          <w:tcPr>
            <w:tcW w:w="567" w:type="pct"/>
            <w:tcBorders>
              <w:top w:val="single" w:sz="4" w:space="0" w:color="auto"/>
              <w:bottom w:val="single" w:sz="12" w:space="0" w:color="auto"/>
            </w:tcBorders>
          </w:tcPr>
          <w:p w:rsidR="00124E30" w:rsidRPr="00F00002" w:rsidRDefault="00124E30" w:rsidP="00D150ED">
            <w:pPr>
              <w:pStyle w:val="Tabletext"/>
            </w:pPr>
            <w:r w:rsidRPr="00F00002">
              <w:rPr>
                <w:color w:val="000000"/>
              </w:rPr>
              <w:t>212</w:t>
            </w:r>
          </w:p>
        </w:tc>
        <w:tc>
          <w:tcPr>
            <w:tcW w:w="4433" w:type="pct"/>
            <w:tcBorders>
              <w:top w:val="single" w:sz="4" w:space="0" w:color="auto"/>
              <w:bottom w:val="single" w:sz="12" w:space="0" w:color="auto"/>
            </w:tcBorders>
          </w:tcPr>
          <w:p w:rsidR="00124E30" w:rsidRPr="00F00002" w:rsidRDefault="00124E30" w:rsidP="00D150ED">
            <w:pPr>
              <w:pStyle w:val="Tabletext"/>
            </w:pPr>
            <w:r w:rsidRPr="00F00002">
              <w:rPr>
                <w:b/>
                <w:color w:val="000000"/>
              </w:rPr>
              <w:t>Supreme Court Act 1986</w:t>
            </w:r>
          </w:p>
        </w:tc>
      </w:tr>
      <w:tr w:rsidR="00124E30" w:rsidRPr="00F00002" w:rsidTr="000505B9">
        <w:tc>
          <w:tcPr>
            <w:tcW w:w="5000" w:type="pct"/>
            <w:gridSpan w:val="2"/>
            <w:tcBorders>
              <w:top w:val="single" w:sz="12" w:space="0" w:color="auto"/>
              <w:bottom w:val="single" w:sz="12" w:space="0" w:color="auto"/>
            </w:tcBorders>
          </w:tcPr>
          <w:p w:rsidR="00124E30" w:rsidRPr="00F00002" w:rsidRDefault="00124E30" w:rsidP="00D150ED">
            <w:pPr>
              <w:pStyle w:val="Tabletext"/>
            </w:pPr>
            <w:r w:rsidRPr="00F00002">
              <w:rPr>
                <w:b/>
                <w:i/>
                <w:color w:val="000000"/>
              </w:rPr>
              <w:t>Part</w:t>
            </w:r>
            <w:r w:rsidR="00F00002">
              <w:rPr>
                <w:b/>
                <w:i/>
                <w:color w:val="000000"/>
              </w:rPr>
              <w:t> </w:t>
            </w:r>
            <w:r w:rsidRPr="00F00002">
              <w:rPr>
                <w:b/>
                <w:i/>
                <w:color w:val="000000"/>
              </w:rPr>
              <w:t>3</w:t>
            </w:r>
            <w:r w:rsidRPr="00F00002">
              <w:rPr>
                <w:b/>
                <w:i/>
                <w:color w:val="000000"/>
              </w:rPr>
              <w:tab/>
              <w:t>Queensland</w:t>
            </w:r>
          </w:p>
        </w:tc>
      </w:tr>
      <w:tr w:rsidR="00124E30" w:rsidRPr="00F00002" w:rsidTr="000505B9">
        <w:tblPrEx>
          <w:tblCellMar>
            <w:left w:w="80" w:type="dxa"/>
            <w:right w:w="80" w:type="dxa"/>
          </w:tblCellMar>
        </w:tblPrEx>
        <w:trPr>
          <w:cantSplit/>
        </w:trPr>
        <w:tc>
          <w:tcPr>
            <w:tcW w:w="567" w:type="pct"/>
            <w:tcBorders>
              <w:top w:val="single" w:sz="12" w:space="0" w:color="auto"/>
              <w:bottom w:val="single" w:sz="4" w:space="0" w:color="auto"/>
            </w:tcBorders>
          </w:tcPr>
          <w:p w:rsidR="00124E30" w:rsidRPr="00F00002" w:rsidRDefault="00124E30" w:rsidP="00D150ED">
            <w:pPr>
              <w:pStyle w:val="Tabletext"/>
            </w:pPr>
            <w:r w:rsidRPr="00F00002">
              <w:rPr>
                <w:color w:val="000000"/>
              </w:rPr>
              <w:t>301</w:t>
            </w:r>
          </w:p>
        </w:tc>
        <w:tc>
          <w:tcPr>
            <w:tcW w:w="4433" w:type="pct"/>
            <w:tcBorders>
              <w:top w:val="single" w:sz="12" w:space="0" w:color="auto"/>
              <w:bottom w:val="single" w:sz="4" w:space="0" w:color="auto"/>
            </w:tcBorders>
          </w:tcPr>
          <w:p w:rsidR="00124E30" w:rsidRPr="00F00002" w:rsidRDefault="00124E30" w:rsidP="00D150ED">
            <w:pPr>
              <w:pStyle w:val="Tabletext"/>
            </w:pPr>
            <w:r w:rsidRPr="00F00002">
              <w:rPr>
                <w:i/>
                <w:color w:val="000000"/>
              </w:rPr>
              <w:t>Governor’s Pension Act 1977</w:t>
            </w:r>
          </w:p>
        </w:tc>
      </w:tr>
      <w:tr w:rsidR="00124E30" w:rsidRPr="00F00002" w:rsidTr="000505B9">
        <w:tblPrEx>
          <w:tblCellMar>
            <w:left w:w="80" w:type="dxa"/>
            <w:right w:w="80" w:type="dxa"/>
          </w:tblCellMar>
        </w:tblPrEx>
        <w:trPr>
          <w:cantSplit/>
        </w:trPr>
        <w:tc>
          <w:tcPr>
            <w:tcW w:w="567" w:type="pct"/>
            <w:tcBorders>
              <w:top w:val="single" w:sz="4" w:space="0" w:color="auto"/>
              <w:bottom w:val="single" w:sz="12" w:space="0" w:color="auto"/>
            </w:tcBorders>
          </w:tcPr>
          <w:p w:rsidR="00124E30" w:rsidRPr="00F00002" w:rsidRDefault="00124E30" w:rsidP="00D150ED">
            <w:pPr>
              <w:pStyle w:val="Tabletext"/>
            </w:pPr>
            <w:r w:rsidRPr="00F00002">
              <w:rPr>
                <w:color w:val="000000"/>
              </w:rPr>
              <w:t>302</w:t>
            </w:r>
          </w:p>
        </w:tc>
        <w:tc>
          <w:tcPr>
            <w:tcW w:w="4433" w:type="pct"/>
            <w:tcBorders>
              <w:top w:val="single" w:sz="4" w:space="0" w:color="auto"/>
              <w:bottom w:val="single" w:sz="12" w:space="0" w:color="auto"/>
            </w:tcBorders>
          </w:tcPr>
          <w:p w:rsidR="00124E30" w:rsidRPr="00F00002" w:rsidRDefault="00124E30" w:rsidP="00D150ED">
            <w:pPr>
              <w:pStyle w:val="Tabletext"/>
            </w:pPr>
            <w:r w:rsidRPr="00F00002">
              <w:rPr>
                <w:i/>
                <w:color w:val="000000"/>
              </w:rPr>
              <w:t>Judges (Pensions and Long Leave) Act 1957</w:t>
            </w:r>
          </w:p>
        </w:tc>
      </w:tr>
      <w:tr w:rsidR="00124E30" w:rsidRPr="00F00002" w:rsidTr="000505B9">
        <w:tc>
          <w:tcPr>
            <w:tcW w:w="5000" w:type="pct"/>
            <w:gridSpan w:val="2"/>
            <w:tcBorders>
              <w:top w:val="single" w:sz="12" w:space="0" w:color="auto"/>
              <w:bottom w:val="single" w:sz="12" w:space="0" w:color="auto"/>
            </w:tcBorders>
          </w:tcPr>
          <w:p w:rsidR="00124E30" w:rsidRPr="00F00002" w:rsidRDefault="00124E30" w:rsidP="00D150ED">
            <w:pPr>
              <w:pStyle w:val="Tabletext"/>
            </w:pPr>
            <w:r w:rsidRPr="00F00002">
              <w:rPr>
                <w:b/>
                <w:i/>
                <w:color w:val="000000"/>
              </w:rPr>
              <w:t>Part</w:t>
            </w:r>
            <w:r w:rsidR="00F00002">
              <w:rPr>
                <w:b/>
                <w:i/>
                <w:color w:val="000000"/>
              </w:rPr>
              <w:t> </w:t>
            </w:r>
            <w:r w:rsidRPr="00F00002">
              <w:rPr>
                <w:b/>
                <w:i/>
                <w:color w:val="000000"/>
              </w:rPr>
              <w:t>4</w:t>
            </w:r>
            <w:r w:rsidRPr="00F00002">
              <w:rPr>
                <w:b/>
                <w:i/>
                <w:color w:val="000000"/>
              </w:rPr>
              <w:tab/>
              <w:t>Western Australia</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pPr>
            <w:r w:rsidRPr="00F00002">
              <w:rPr>
                <w:color w:val="000000"/>
              </w:rPr>
              <w:t>402</w:t>
            </w:r>
          </w:p>
        </w:tc>
        <w:tc>
          <w:tcPr>
            <w:tcW w:w="4433" w:type="pct"/>
          </w:tcPr>
          <w:p w:rsidR="00124E30" w:rsidRPr="00F00002" w:rsidRDefault="00124E30" w:rsidP="00D150ED">
            <w:pPr>
              <w:pStyle w:val="Tabletext"/>
            </w:pPr>
            <w:r w:rsidRPr="00F00002">
              <w:rPr>
                <w:i/>
                <w:color w:val="000000"/>
              </w:rPr>
              <w:t>Judges’ Salaries and Pensions Act 1950</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pPr>
            <w:r w:rsidRPr="00F00002">
              <w:rPr>
                <w:color w:val="000000"/>
              </w:rPr>
              <w:t>403</w:t>
            </w:r>
          </w:p>
        </w:tc>
        <w:tc>
          <w:tcPr>
            <w:tcW w:w="4433" w:type="pct"/>
          </w:tcPr>
          <w:p w:rsidR="00124E30" w:rsidRPr="00F00002" w:rsidRDefault="00124E30" w:rsidP="00D150ED">
            <w:pPr>
              <w:pStyle w:val="Tabletext"/>
            </w:pPr>
            <w:r w:rsidRPr="00F00002">
              <w:rPr>
                <w:i/>
                <w:color w:val="000000"/>
              </w:rPr>
              <w:t>Parliamentary Superannuation Act 1970</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pPr>
            <w:r w:rsidRPr="00F00002">
              <w:rPr>
                <w:color w:val="000000"/>
              </w:rPr>
              <w:t>404</w:t>
            </w:r>
          </w:p>
        </w:tc>
        <w:tc>
          <w:tcPr>
            <w:tcW w:w="4433" w:type="pct"/>
          </w:tcPr>
          <w:p w:rsidR="00124E30" w:rsidRPr="00F00002" w:rsidRDefault="00124E30" w:rsidP="009F5EBC">
            <w:pPr>
              <w:pStyle w:val="Tabletext"/>
            </w:pPr>
            <w:r w:rsidRPr="00F00002">
              <w:rPr>
                <w:i/>
                <w:color w:val="000000"/>
              </w:rPr>
              <w:t>State Superannuation Act 2000</w:t>
            </w:r>
          </w:p>
        </w:tc>
      </w:tr>
      <w:tr w:rsidR="00124E30" w:rsidRPr="00F00002" w:rsidTr="000505B9">
        <w:tc>
          <w:tcPr>
            <w:tcW w:w="5000" w:type="pct"/>
            <w:gridSpan w:val="2"/>
            <w:tcBorders>
              <w:top w:val="single" w:sz="4" w:space="0" w:color="auto"/>
              <w:bottom w:val="single" w:sz="12" w:space="0" w:color="auto"/>
            </w:tcBorders>
          </w:tcPr>
          <w:p w:rsidR="00124E30" w:rsidRPr="00F00002" w:rsidRDefault="00124E30" w:rsidP="00D150ED">
            <w:pPr>
              <w:pStyle w:val="Tabletext"/>
            </w:pPr>
            <w:r w:rsidRPr="00F00002">
              <w:rPr>
                <w:b/>
                <w:i/>
                <w:color w:val="000000"/>
              </w:rPr>
              <w:t>Part</w:t>
            </w:r>
            <w:r w:rsidR="00F00002">
              <w:rPr>
                <w:b/>
                <w:i/>
                <w:color w:val="000000"/>
              </w:rPr>
              <w:t> </w:t>
            </w:r>
            <w:r w:rsidRPr="00F00002">
              <w:rPr>
                <w:b/>
                <w:i/>
                <w:color w:val="000000"/>
              </w:rPr>
              <w:t>5</w:t>
            </w:r>
            <w:r w:rsidRPr="00F00002">
              <w:rPr>
                <w:b/>
                <w:i/>
                <w:color w:val="000000"/>
              </w:rPr>
              <w:tab/>
              <w:t>South Australia</w:t>
            </w:r>
          </w:p>
        </w:tc>
      </w:tr>
      <w:tr w:rsidR="00124E30" w:rsidRPr="00F00002" w:rsidTr="000505B9">
        <w:tblPrEx>
          <w:tblCellMar>
            <w:left w:w="80" w:type="dxa"/>
            <w:right w:w="80" w:type="dxa"/>
          </w:tblCellMar>
        </w:tblPrEx>
        <w:trPr>
          <w:cantSplit/>
        </w:trPr>
        <w:tc>
          <w:tcPr>
            <w:tcW w:w="567" w:type="pct"/>
            <w:tcBorders>
              <w:top w:val="single" w:sz="12" w:space="0" w:color="auto"/>
            </w:tcBorders>
          </w:tcPr>
          <w:p w:rsidR="00124E30" w:rsidRPr="00F00002" w:rsidRDefault="00124E30" w:rsidP="00D150ED">
            <w:pPr>
              <w:pStyle w:val="Tabletext"/>
            </w:pPr>
            <w:r w:rsidRPr="00F00002">
              <w:rPr>
                <w:color w:val="000000"/>
              </w:rPr>
              <w:t>501</w:t>
            </w:r>
          </w:p>
        </w:tc>
        <w:tc>
          <w:tcPr>
            <w:tcW w:w="4433" w:type="pct"/>
            <w:tcBorders>
              <w:top w:val="single" w:sz="12" w:space="0" w:color="auto"/>
            </w:tcBorders>
          </w:tcPr>
          <w:p w:rsidR="00124E30" w:rsidRPr="00F00002" w:rsidRDefault="00124E30" w:rsidP="00D150ED">
            <w:pPr>
              <w:pStyle w:val="Tabletext"/>
            </w:pPr>
            <w:r w:rsidRPr="00F00002">
              <w:rPr>
                <w:i/>
                <w:color w:val="000000"/>
              </w:rPr>
              <w:t>Governors’ Pensions Act 1976</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pPr>
            <w:r w:rsidRPr="00F00002">
              <w:rPr>
                <w:color w:val="000000"/>
              </w:rPr>
              <w:t>502</w:t>
            </w:r>
          </w:p>
        </w:tc>
        <w:tc>
          <w:tcPr>
            <w:tcW w:w="4433" w:type="pct"/>
          </w:tcPr>
          <w:p w:rsidR="00124E30" w:rsidRPr="00F00002" w:rsidRDefault="00124E30" w:rsidP="00D150ED">
            <w:pPr>
              <w:pStyle w:val="Tabletext"/>
            </w:pPr>
            <w:r w:rsidRPr="00F00002">
              <w:rPr>
                <w:i/>
                <w:color w:val="000000"/>
              </w:rPr>
              <w:t>Judges’ Pensions Act 1971</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pPr>
            <w:r w:rsidRPr="00F00002">
              <w:rPr>
                <w:color w:val="000000"/>
              </w:rPr>
              <w:t>503</w:t>
            </w:r>
          </w:p>
        </w:tc>
        <w:tc>
          <w:tcPr>
            <w:tcW w:w="4433" w:type="pct"/>
          </w:tcPr>
          <w:p w:rsidR="00124E30" w:rsidRPr="00F00002" w:rsidRDefault="00124E30" w:rsidP="00D150ED">
            <w:pPr>
              <w:pStyle w:val="Tabletext"/>
            </w:pPr>
            <w:r w:rsidRPr="00F00002">
              <w:rPr>
                <w:i/>
                <w:color w:val="000000"/>
              </w:rPr>
              <w:t>Parliamentary Superannuation Act 1974</w:t>
            </w:r>
          </w:p>
        </w:tc>
      </w:tr>
      <w:tr w:rsidR="00124E30" w:rsidRPr="00F00002" w:rsidTr="000505B9">
        <w:tblPrEx>
          <w:tblCellMar>
            <w:left w:w="80" w:type="dxa"/>
            <w:right w:w="80" w:type="dxa"/>
          </w:tblCellMar>
        </w:tblPrEx>
        <w:trPr>
          <w:cantSplit/>
        </w:trPr>
        <w:tc>
          <w:tcPr>
            <w:tcW w:w="567" w:type="pct"/>
          </w:tcPr>
          <w:p w:rsidR="00124E30" w:rsidRPr="00F00002" w:rsidRDefault="00124E30" w:rsidP="00D150ED">
            <w:pPr>
              <w:pStyle w:val="Tabletext"/>
            </w:pPr>
            <w:r w:rsidRPr="00F00002">
              <w:rPr>
                <w:color w:val="000000"/>
              </w:rPr>
              <w:t>504</w:t>
            </w:r>
          </w:p>
        </w:tc>
        <w:tc>
          <w:tcPr>
            <w:tcW w:w="4433" w:type="pct"/>
          </w:tcPr>
          <w:p w:rsidR="00124E30" w:rsidRPr="00F00002" w:rsidRDefault="00124E30" w:rsidP="00D150ED">
            <w:pPr>
              <w:pStyle w:val="Tabletext"/>
            </w:pPr>
            <w:r w:rsidRPr="00F00002">
              <w:rPr>
                <w:i/>
                <w:color w:val="000000"/>
              </w:rPr>
              <w:t>Police Superannuation Act 1990</w:t>
            </w:r>
            <w:r w:rsidRPr="00F00002">
              <w:rPr>
                <w:color w:val="000000"/>
              </w:rPr>
              <w:t xml:space="preserve"> </w:t>
            </w:r>
          </w:p>
        </w:tc>
      </w:tr>
      <w:tr w:rsidR="00124E30" w:rsidRPr="00F00002" w:rsidDel="007052BF" w:rsidTr="000505B9">
        <w:tblPrEx>
          <w:tblCellMar>
            <w:left w:w="80" w:type="dxa"/>
            <w:right w:w="80" w:type="dxa"/>
          </w:tblCellMar>
        </w:tblPrEx>
        <w:trPr>
          <w:cantSplit/>
        </w:trPr>
        <w:tc>
          <w:tcPr>
            <w:tcW w:w="567" w:type="pct"/>
            <w:tcBorders>
              <w:bottom w:val="single" w:sz="4" w:space="0" w:color="auto"/>
            </w:tcBorders>
          </w:tcPr>
          <w:p w:rsidR="00124E30" w:rsidRPr="00F00002" w:rsidDel="007052BF" w:rsidRDefault="00124E30" w:rsidP="00D150ED">
            <w:pPr>
              <w:pStyle w:val="Tabletext"/>
            </w:pPr>
            <w:r w:rsidRPr="00F00002">
              <w:rPr>
                <w:color w:val="000000"/>
              </w:rPr>
              <w:t>505</w:t>
            </w:r>
          </w:p>
        </w:tc>
        <w:tc>
          <w:tcPr>
            <w:tcW w:w="4433" w:type="pct"/>
            <w:tcBorders>
              <w:bottom w:val="single" w:sz="4" w:space="0" w:color="auto"/>
            </w:tcBorders>
          </w:tcPr>
          <w:p w:rsidR="00124E30" w:rsidRPr="00F00002" w:rsidDel="007052BF" w:rsidRDefault="00124E30" w:rsidP="007F5615">
            <w:pPr>
              <w:pStyle w:val="Tabletext"/>
            </w:pPr>
            <w:r w:rsidRPr="00F00002">
              <w:rPr>
                <w:i/>
              </w:rPr>
              <w:t xml:space="preserve">Southern State Superannuation Act 2009 </w:t>
            </w:r>
            <w:r w:rsidRPr="00F00002">
              <w:t>(other than section</w:t>
            </w:r>
            <w:r w:rsidR="00F00002">
              <w:t> </w:t>
            </w:r>
            <w:r w:rsidRPr="00F00002">
              <w:t>30(2)(h))</w:t>
            </w:r>
          </w:p>
        </w:tc>
      </w:tr>
      <w:tr w:rsidR="00124E30" w:rsidRPr="00F00002" w:rsidTr="000505B9">
        <w:tblPrEx>
          <w:tblCellMar>
            <w:left w:w="80" w:type="dxa"/>
            <w:right w:w="80" w:type="dxa"/>
          </w:tblCellMar>
        </w:tblPrEx>
        <w:trPr>
          <w:cantSplit/>
        </w:trPr>
        <w:tc>
          <w:tcPr>
            <w:tcW w:w="567" w:type="pct"/>
            <w:tcBorders>
              <w:top w:val="single" w:sz="4" w:space="0" w:color="auto"/>
              <w:bottom w:val="single" w:sz="4" w:space="0" w:color="auto"/>
            </w:tcBorders>
            <w:shd w:val="clear" w:color="auto" w:fill="auto"/>
          </w:tcPr>
          <w:p w:rsidR="00124E30" w:rsidRPr="00F00002" w:rsidRDefault="00124E30" w:rsidP="00D150ED">
            <w:pPr>
              <w:pStyle w:val="Tabletext"/>
            </w:pPr>
            <w:bookmarkStart w:id="246" w:name="CU_27220183"/>
            <w:bookmarkStart w:id="247" w:name="CU_27217139"/>
            <w:bookmarkEnd w:id="246"/>
            <w:bookmarkEnd w:id="247"/>
            <w:r w:rsidRPr="00F00002">
              <w:rPr>
                <w:color w:val="000000"/>
              </w:rPr>
              <w:t>506</w:t>
            </w:r>
          </w:p>
        </w:tc>
        <w:tc>
          <w:tcPr>
            <w:tcW w:w="4433" w:type="pct"/>
            <w:tcBorders>
              <w:top w:val="single" w:sz="4" w:space="0" w:color="auto"/>
              <w:bottom w:val="single" w:sz="4" w:space="0" w:color="auto"/>
            </w:tcBorders>
            <w:shd w:val="clear" w:color="auto" w:fill="auto"/>
          </w:tcPr>
          <w:p w:rsidR="00124E30" w:rsidRPr="00F00002" w:rsidRDefault="00124E30" w:rsidP="00D150ED">
            <w:pPr>
              <w:pStyle w:val="Tabletext"/>
            </w:pPr>
            <w:r w:rsidRPr="00F00002">
              <w:rPr>
                <w:i/>
                <w:color w:val="000000"/>
              </w:rPr>
              <w:t>Superannuation Act 1988</w:t>
            </w:r>
            <w:r w:rsidRPr="00F00002">
              <w:rPr>
                <w:color w:val="000000"/>
              </w:rPr>
              <w:t xml:space="preserve"> (other than section</w:t>
            </w:r>
            <w:r w:rsidR="00F00002">
              <w:rPr>
                <w:color w:val="000000"/>
              </w:rPr>
              <w:t> </w:t>
            </w:r>
            <w:r w:rsidRPr="00F00002">
              <w:rPr>
                <w:color w:val="000000"/>
              </w:rPr>
              <w:t>52 and Schedule</w:t>
            </w:r>
            <w:r w:rsidR="00F00002">
              <w:rPr>
                <w:color w:val="000000"/>
              </w:rPr>
              <w:t> </w:t>
            </w:r>
            <w:r w:rsidRPr="00F00002">
              <w:rPr>
                <w:color w:val="000000"/>
              </w:rPr>
              <w:t>3)</w:t>
            </w:r>
          </w:p>
        </w:tc>
      </w:tr>
      <w:tr w:rsidR="00124E30" w:rsidRPr="00F00002" w:rsidTr="000505B9">
        <w:tc>
          <w:tcPr>
            <w:tcW w:w="5000" w:type="pct"/>
            <w:gridSpan w:val="2"/>
            <w:tcBorders>
              <w:top w:val="single" w:sz="4" w:space="0" w:color="auto"/>
              <w:bottom w:val="single" w:sz="4" w:space="0" w:color="auto"/>
            </w:tcBorders>
          </w:tcPr>
          <w:p w:rsidR="00124E30" w:rsidRPr="00F00002" w:rsidRDefault="00124E30" w:rsidP="00D150ED">
            <w:pPr>
              <w:pStyle w:val="Tabletext"/>
            </w:pPr>
            <w:r w:rsidRPr="00F00002">
              <w:rPr>
                <w:b/>
                <w:i/>
                <w:color w:val="000000"/>
              </w:rPr>
              <w:t>Part</w:t>
            </w:r>
            <w:r w:rsidR="00F00002">
              <w:rPr>
                <w:b/>
                <w:i/>
                <w:color w:val="000000"/>
              </w:rPr>
              <w:t> </w:t>
            </w:r>
            <w:r w:rsidRPr="00F00002">
              <w:rPr>
                <w:b/>
                <w:i/>
                <w:color w:val="000000"/>
              </w:rPr>
              <w:t>6</w:t>
            </w:r>
            <w:r w:rsidRPr="00F00002">
              <w:rPr>
                <w:b/>
                <w:i/>
                <w:color w:val="000000"/>
              </w:rPr>
              <w:tab/>
              <w:t>Tasmania</w:t>
            </w:r>
          </w:p>
        </w:tc>
      </w:tr>
      <w:tr w:rsidR="00124E30" w:rsidRPr="00F00002" w:rsidTr="000505B9">
        <w:tblPrEx>
          <w:tblCellMar>
            <w:left w:w="80" w:type="dxa"/>
            <w:right w:w="80" w:type="dxa"/>
          </w:tblCellMar>
        </w:tblPrEx>
        <w:trPr>
          <w:cantSplit/>
        </w:trPr>
        <w:tc>
          <w:tcPr>
            <w:tcW w:w="567" w:type="pct"/>
            <w:tcBorders>
              <w:top w:val="single" w:sz="4" w:space="0" w:color="auto"/>
              <w:bottom w:val="single" w:sz="12" w:space="0" w:color="auto"/>
            </w:tcBorders>
            <w:shd w:val="clear" w:color="auto" w:fill="auto"/>
          </w:tcPr>
          <w:p w:rsidR="00124E30" w:rsidRPr="00F00002" w:rsidRDefault="00124E30" w:rsidP="00D150ED">
            <w:pPr>
              <w:pStyle w:val="Tabletext"/>
            </w:pPr>
            <w:bookmarkStart w:id="248" w:name="CU_29220268"/>
            <w:bookmarkStart w:id="249" w:name="CU_29217224"/>
            <w:bookmarkEnd w:id="248"/>
            <w:bookmarkEnd w:id="249"/>
            <w:r w:rsidRPr="00F00002">
              <w:rPr>
                <w:color w:val="000000"/>
              </w:rPr>
              <w:t>602</w:t>
            </w:r>
          </w:p>
        </w:tc>
        <w:tc>
          <w:tcPr>
            <w:tcW w:w="4433" w:type="pct"/>
            <w:tcBorders>
              <w:top w:val="single" w:sz="4" w:space="0" w:color="auto"/>
              <w:bottom w:val="single" w:sz="12" w:space="0" w:color="auto"/>
            </w:tcBorders>
            <w:shd w:val="clear" w:color="auto" w:fill="auto"/>
          </w:tcPr>
          <w:p w:rsidR="00124E30" w:rsidRPr="00F00002" w:rsidRDefault="00124E30" w:rsidP="00D150ED">
            <w:pPr>
              <w:pStyle w:val="Tabletext"/>
            </w:pPr>
            <w:r w:rsidRPr="00F00002">
              <w:rPr>
                <w:i/>
                <w:color w:val="000000"/>
              </w:rPr>
              <w:t>Judges’ Contributory Pensions Act 1968</w:t>
            </w:r>
          </w:p>
        </w:tc>
      </w:tr>
    </w:tbl>
    <w:p w:rsidR="0038739E" w:rsidRPr="00F00002" w:rsidRDefault="0038739E" w:rsidP="00655A14">
      <w:pPr>
        <w:pStyle w:val="ActHead1"/>
        <w:pageBreakBefore/>
      </w:pPr>
      <w:bookmarkStart w:id="250" w:name="BK_S12P129L1C1"/>
      <w:bookmarkStart w:id="251" w:name="_Toc31109790"/>
      <w:bookmarkEnd w:id="250"/>
      <w:r w:rsidRPr="00A26088">
        <w:rPr>
          <w:rStyle w:val="CharChapNo"/>
        </w:rPr>
        <w:lastRenderedPageBreak/>
        <w:t>Schedule</w:t>
      </w:r>
      <w:r w:rsidR="00F00002" w:rsidRPr="00A26088">
        <w:rPr>
          <w:rStyle w:val="CharChapNo"/>
        </w:rPr>
        <w:t> </w:t>
      </w:r>
      <w:r w:rsidRPr="00A26088">
        <w:rPr>
          <w:rStyle w:val="CharChapNo"/>
        </w:rPr>
        <w:t>5</w:t>
      </w:r>
      <w:r w:rsidRPr="00F00002">
        <w:t>—</w:t>
      </w:r>
      <w:r w:rsidRPr="00A26088">
        <w:rPr>
          <w:rStyle w:val="CharChapText"/>
        </w:rPr>
        <w:t>Approved Stock Exchanges</w:t>
      </w:r>
      <w:bookmarkEnd w:id="251"/>
    </w:p>
    <w:p w:rsidR="0038739E" w:rsidRPr="00F00002" w:rsidRDefault="0038739E" w:rsidP="0038739E">
      <w:pPr>
        <w:pStyle w:val="notemargin"/>
      </w:pPr>
      <w:r w:rsidRPr="00F00002">
        <w:t>Note:</w:t>
      </w:r>
      <w:r w:rsidRPr="00F00002">
        <w:tab/>
        <w:t>See regulation</w:t>
      </w:r>
      <w:r w:rsidR="00F00002">
        <w:t> </w:t>
      </w:r>
      <w:r w:rsidRPr="00F00002">
        <w:t>995</w:t>
      </w:r>
      <w:r w:rsidR="00F00002">
        <w:noBreakHyphen/>
      </w:r>
      <w:r w:rsidRPr="00F00002">
        <w:t>1.05.</w:t>
      </w:r>
    </w:p>
    <w:p w:rsidR="00A26088" w:rsidRPr="00A26088" w:rsidRDefault="00A26088" w:rsidP="00A26088">
      <w:pPr>
        <w:pStyle w:val="Header"/>
      </w:pPr>
      <w:bookmarkStart w:id="252" w:name="f_Check_Lines_below"/>
      <w:bookmarkEnd w:id="252"/>
      <w:r w:rsidRPr="00A26088">
        <w:rPr>
          <w:rStyle w:val="CharPartNo"/>
        </w:rPr>
        <w:t xml:space="preserve"> </w:t>
      </w:r>
      <w:r w:rsidRPr="00A26088">
        <w:rPr>
          <w:rStyle w:val="CharPartText"/>
        </w:rPr>
        <w:t xml:space="preserve"> </w:t>
      </w:r>
    </w:p>
    <w:tbl>
      <w:tblPr>
        <w:tblW w:w="0" w:type="auto"/>
        <w:tblInd w:w="113" w:type="dxa"/>
        <w:tblLayout w:type="fixed"/>
        <w:tblLook w:val="0000" w:firstRow="0" w:lastRow="0" w:firstColumn="0" w:lastColumn="0" w:noHBand="0" w:noVBand="0"/>
      </w:tblPr>
      <w:tblGrid>
        <w:gridCol w:w="8313"/>
      </w:tblGrid>
      <w:tr w:rsidR="0038739E" w:rsidRPr="00F00002" w:rsidTr="00A31E44">
        <w:trPr>
          <w:tblHeader/>
        </w:trPr>
        <w:tc>
          <w:tcPr>
            <w:tcW w:w="8313" w:type="dxa"/>
            <w:tcBorders>
              <w:top w:val="single" w:sz="12" w:space="0" w:color="auto"/>
              <w:bottom w:val="single" w:sz="12" w:space="0" w:color="auto"/>
            </w:tcBorders>
            <w:shd w:val="clear" w:color="auto" w:fill="auto"/>
          </w:tcPr>
          <w:p w:rsidR="0038739E" w:rsidRPr="00F00002" w:rsidRDefault="0038739E" w:rsidP="00A31E44">
            <w:pPr>
              <w:pStyle w:val="TableHeading"/>
            </w:pPr>
            <w:r w:rsidRPr="00F00002">
              <w:t>Approved Stock Exchanges</w:t>
            </w:r>
          </w:p>
        </w:tc>
      </w:tr>
      <w:tr w:rsidR="0038739E" w:rsidRPr="00F00002" w:rsidTr="00A31E44">
        <w:tc>
          <w:tcPr>
            <w:tcW w:w="8313" w:type="dxa"/>
            <w:tcBorders>
              <w:top w:val="single" w:sz="12" w:space="0" w:color="auto"/>
            </w:tcBorders>
            <w:shd w:val="clear" w:color="auto" w:fill="auto"/>
          </w:tcPr>
          <w:p w:rsidR="0038739E" w:rsidRPr="00F00002" w:rsidRDefault="0038739E" w:rsidP="00A31E44">
            <w:pPr>
              <w:pStyle w:val="TableHeading"/>
            </w:pPr>
            <w:r w:rsidRPr="00F00002">
              <w:t>Argentina</w:t>
            </w:r>
          </w:p>
        </w:tc>
      </w:tr>
      <w:tr w:rsidR="0038739E" w:rsidRPr="00F00002" w:rsidTr="00A31E44">
        <w:tc>
          <w:tcPr>
            <w:tcW w:w="8313" w:type="dxa"/>
            <w:shd w:val="clear" w:color="auto" w:fill="auto"/>
          </w:tcPr>
          <w:p w:rsidR="0038739E" w:rsidRPr="00F00002" w:rsidRDefault="0038739E" w:rsidP="00A31E44">
            <w:pPr>
              <w:pStyle w:val="Tabletext"/>
            </w:pPr>
            <w:r w:rsidRPr="00F00002">
              <w:t>Buenos Aires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Australia</w:t>
            </w:r>
          </w:p>
        </w:tc>
      </w:tr>
      <w:tr w:rsidR="0038739E" w:rsidRPr="00F00002" w:rsidTr="00A31E44">
        <w:tc>
          <w:tcPr>
            <w:tcW w:w="8313" w:type="dxa"/>
            <w:shd w:val="clear" w:color="auto" w:fill="auto"/>
          </w:tcPr>
          <w:p w:rsidR="0038739E" w:rsidRPr="00F00002" w:rsidRDefault="0038739E" w:rsidP="00A31E44">
            <w:pPr>
              <w:pStyle w:val="Tabletext"/>
            </w:pPr>
            <w:r w:rsidRPr="00F00002">
              <w:t>ASX, also known as Australian Securities Exchange</w:t>
            </w:r>
          </w:p>
        </w:tc>
      </w:tr>
      <w:tr w:rsidR="0038739E" w:rsidRPr="00F00002" w:rsidTr="00A31E44">
        <w:tc>
          <w:tcPr>
            <w:tcW w:w="8313" w:type="dxa"/>
            <w:shd w:val="clear" w:color="auto" w:fill="auto"/>
          </w:tcPr>
          <w:p w:rsidR="0038739E" w:rsidRPr="00F00002" w:rsidRDefault="0038739E" w:rsidP="00A31E44">
            <w:pPr>
              <w:pStyle w:val="Tabletext"/>
            </w:pPr>
            <w:r w:rsidRPr="00F00002">
              <w:t>Chi</w:t>
            </w:r>
            <w:r w:rsidR="00F00002">
              <w:noBreakHyphen/>
            </w:r>
            <w:r w:rsidRPr="00F00002">
              <w:t>X</w:t>
            </w:r>
          </w:p>
        </w:tc>
      </w:tr>
      <w:tr w:rsidR="0038739E" w:rsidRPr="00F00002" w:rsidTr="00A31E44">
        <w:tc>
          <w:tcPr>
            <w:tcW w:w="8313" w:type="dxa"/>
            <w:shd w:val="clear" w:color="auto" w:fill="auto"/>
          </w:tcPr>
          <w:p w:rsidR="0038739E" w:rsidRPr="00F00002" w:rsidRDefault="0038739E" w:rsidP="00A31E44">
            <w:pPr>
              <w:pStyle w:val="Tabletext"/>
            </w:pPr>
            <w:r w:rsidRPr="00F00002">
              <w:t>IR Plus Securities Exchange</w:t>
            </w:r>
          </w:p>
        </w:tc>
      </w:tr>
      <w:tr w:rsidR="0038739E" w:rsidRPr="00F00002" w:rsidTr="00A31E44">
        <w:tc>
          <w:tcPr>
            <w:tcW w:w="8313" w:type="dxa"/>
            <w:shd w:val="clear" w:color="auto" w:fill="auto"/>
          </w:tcPr>
          <w:p w:rsidR="0038739E" w:rsidRPr="00F00002" w:rsidRDefault="0038739E" w:rsidP="00A31E44">
            <w:pPr>
              <w:pStyle w:val="Tabletext"/>
            </w:pPr>
            <w:r w:rsidRPr="00F00002">
              <w:t>National Stock Exchange of Australia</w:t>
            </w:r>
          </w:p>
        </w:tc>
      </w:tr>
      <w:tr w:rsidR="0038739E" w:rsidRPr="00F00002" w:rsidTr="00A31E44">
        <w:tc>
          <w:tcPr>
            <w:tcW w:w="8313" w:type="dxa"/>
            <w:shd w:val="clear" w:color="auto" w:fill="auto"/>
          </w:tcPr>
          <w:p w:rsidR="0038739E" w:rsidRPr="00F00002" w:rsidRDefault="0038739E" w:rsidP="00A31E44">
            <w:pPr>
              <w:pStyle w:val="Tabletext"/>
            </w:pPr>
            <w:r w:rsidRPr="00F00002">
              <w:t>SSX, also known as Sydney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Austria</w:t>
            </w:r>
          </w:p>
        </w:tc>
      </w:tr>
      <w:tr w:rsidR="0038739E" w:rsidRPr="00F00002" w:rsidTr="00A31E44">
        <w:tc>
          <w:tcPr>
            <w:tcW w:w="8313" w:type="dxa"/>
            <w:shd w:val="clear" w:color="auto" w:fill="auto"/>
          </w:tcPr>
          <w:p w:rsidR="0038739E" w:rsidRPr="00F00002" w:rsidRDefault="0038739E" w:rsidP="00A31E44">
            <w:pPr>
              <w:pStyle w:val="Tabletext"/>
            </w:pPr>
            <w:r w:rsidRPr="00F00002">
              <w:t>Vienna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Belgium</w:t>
            </w:r>
          </w:p>
        </w:tc>
      </w:tr>
      <w:tr w:rsidR="0038739E" w:rsidRPr="00F00002" w:rsidTr="00A31E44">
        <w:tc>
          <w:tcPr>
            <w:tcW w:w="8313" w:type="dxa"/>
            <w:shd w:val="clear" w:color="auto" w:fill="auto"/>
          </w:tcPr>
          <w:p w:rsidR="0038739E" w:rsidRPr="00F00002" w:rsidRDefault="0038739E" w:rsidP="00A31E44">
            <w:pPr>
              <w:pStyle w:val="Tabletext"/>
            </w:pPr>
            <w:r w:rsidRPr="00F00002">
              <w:t>Euronext Brussels</w:t>
            </w:r>
          </w:p>
        </w:tc>
      </w:tr>
      <w:tr w:rsidR="0038739E" w:rsidRPr="00F00002" w:rsidTr="00A31E44">
        <w:tc>
          <w:tcPr>
            <w:tcW w:w="8313" w:type="dxa"/>
            <w:shd w:val="clear" w:color="auto" w:fill="auto"/>
          </w:tcPr>
          <w:p w:rsidR="0038739E" w:rsidRPr="00F00002" w:rsidRDefault="0038739E" w:rsidP="00A31E44">
            <w:pPr>
              <w:pStyle w:val="TableHeading"/>
            </w:pPr>
            <w:r w:rsidRPr="00F00002">
              <w:t>Bermuda</w:t>
            </w:r>
          </w:p>
        </w:tc>
      </w:tr>
      <w:tr w:rsidR="0038739E" w:rsidRPr="00F00002" w:rsidTr="00A31E44">
        <w:tc>
          <w:tcPr>
            <w:tcW w:w="8313" w:type="dxa"/>
            <w:shd w:val="clear" w:color="auto" w:fill="auto"/>
          </w:tcPr>
          <w:p w:rsidR="0038739E" w:rsidRPr="00F00002" w:rsidRDefault="0038739E" w:rsidP="00A31E44">
            <w:pPr>
              <w:pStyle w:val="Tabletext"/>
            </w:pPr>
            <w:r w:rsidRPr="00F00002">
              <w:t>Bermuda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Brazil</w:t>
            </w:r>
          </w:p>
        </w:tc>
      </w:tr>
      <w:tr w:rsidR="0038739E" w:rsidRPr="00F00002" w:rsidTr="00A31E44">
        <w:tc>
          <w:tcPr>
            <w:tcW w:w="8313" w:type="dxa"/>
            <w:shd w:val="clear" w:color="auto" w:fill="auto"/>
          </w:tcPr>
          <w:p w:rsidR="0038739E" w:rsidRPr="00F00002" w:rsidRDefault="0038739E" w:rsidP="00A31E44">
            <w:pPr>
              <w:pStyle w:val="Tabletext"/>
            </w:pPr>
            <w:r w:rsidRPr="00F00002">
              <w:t>B3, also known as BM&amp;F Bovespa</w:t>
            </w:r>
          </w:p>
        </w:tc>
      </w:tr>
      <w:tr w:rsidR="0038739E" w:rsidRPr="00F00002" w:rsidTr="00A31E44">
        <w:tc>
          <w:tcPr>
            <w:tcW w:w="8313" w:type="dxa"/>
            <w:shd w:val="clear" w:color="auto" w:fill="auto"/>
          </w:tcPr>
          <w:p w:rsidR="0038739E" w:rsidRPr="00F00002" w:rsidRDefault="0038739E" w:rsidP="00A31E44">
            <w:pPr>
              <w:pStyle w:val="TableHeading"/>
            </w:pPr>
            <w:r w:rsidRPr="00F00002">
              <w:t>Canada</w:t>
            </w:r>
          </w:p>
        </w:tc>
      </w:tr>
      <w:tr w:rsidR="0038739E" w:rsidRPr="00F00002" w:rsidTr="00A31E44">
        <w:tc>
          <w:tcPr>
            <w:tcW w:w="8313" w:type="dxa"/>
            <w:shd w:val="clear" w:color="auto" w:fill="auto"/>
          </w:tcPr>
          <w:p w:rsidR="0038739E" w:rsidRPr="00F00002" w:rsidRDefault="0038739E" w:rsidP="00A31E44">
            <w:pPr>
              <w:pStyle w:val="Tabletext"/>
            </w:pPr>
            <w:r w:rsidRPr="00F00002">
              <w:t>Montréal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Toronto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TSX Venture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Chile</w:t>
            </w:r>
          </w:p>
        </w:tc>
      </w:tr>
      <w:tr w:rsidR="0038739E" w:rsidRPr="00F00002" w:rsidTr="00A31E44">
        <w:tc>
          <w:tcPr>
            <w:tcW w:w="8313" w:type="dxa"/>
            <w:shd w:val="clear" w:color="auto" w:fill="auto"/>
          </w:tcPr>
          <w:p w:rsidR="0038739E" w:rsidRPr="00F00002" w:rsidRDefault="0038739E" w:rsidP="00A31E44">
            <w:pPr>
              <w:pStyle w:val="Tabletext"/>
            </w:pPr>
            <w:r w:rsidRPr="00F00002">
              <w:t>Santiago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Valparaiso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China</w:t>
            </w:r>
          </w:p>
        </w:tc>
      </w:tr>
      <w:tr w:rsidR="0038739E" w:rsidRPr="00F00002" w:rsidTr="00A31E44">
        <w:tc>
          <w:tcPr>
            <w:tcW w:w="8313" w:type="dxa"/>
            <w:shd w:val="clear" w:color="auto" w:fill="auto"/>
          </w:tcPr>
          <w:p w:rsidR="0038739E" w:rsidRPr="00F00002" w:rsidRDefault="0038739E" w:rsidP="00A31E44">
            <w:pPr>
              <w:pStyle w:val="Tabletext"/>
            </w:pPr>
            <w:r w:rsidRPr="00F00002">
              <w:t>Shanghai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Shenzhen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Colombia</w:t>
            </w:r>
          </w:p>
        </w:tc>
      </w:tr>
      <w:tr w:rsidR="0038739E" w:rsidRPr="00F00002" w:rsidTr="00A31E44">
        <w:tc>
          <w:tcPr>
            <w:tcW w:w="8313" w:type="dxa"/>
            <w:shd w:val="clear" w:color="auto" w:fill="auto"/>
          </w:tcPr>
          <w:p w:rsidR="0038739E" w:rsidRPr="00F00002" w:rsidRDefault="0038739E" w:rsidP="00A31E44">
            <w:pPr>
              <w:pStyle w:val="Tabletext"/>
            </w:pPr>
            <w:r w:rsidRPr="00F00002">
              <w:t>Colombia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Denmark</w:t>
            </w:r>
          </w:p>
        </w:tc>
      </w:tr>
      <w:tr w:rsidR="0038739E" w:rsidRPr="00F00002" w:rsidTr="00A31E44">
        <w:tc>
          <w:tcPr>
            <w:tcW w:w="8313" w:type="dxa"/>
            <w:shd w:val="clear" w:color="auto" w:fill="auto"/>
          </w:tcPr>
          <w:p w:rsidR="0038739E" w:rsidRPr="00F00002" w:rsidRDefault="0038739E" w:rsidP="00A31E44">
            <w:pPr>
              <w:pStyle w:val="Tabletext"/>
            </w:pPr>
            <w:r w:rsidRPr="00F00002">
              <w:t>Nasdaq Copenhagen</w:t>
            </w:r>
          </w:p>
        </w:tc>
      </w:tr>
      <w:tr w:rsidR="0038739E" w:rsidRPr="00F00002" w:rsidTr="00A31E44">
        <w:tc>
          <w:tcPr>
            <w:tcW w:w="8313" w:type="dxa"/>
            <w:shd w:val="clear" w:color="auto" w:fill="auto"/>
          </w:tcPr>
          <w:p w:rsidR="0038739E" w:rsidRPr="00F00002" w:rsidRDefault="0038739E" w:rsidP="00A31E44">
            <w:pPr>
              <w:pStyle w:val="TableHeading"/>
            </w:pPr>
            <w:r w:rsidRPr="00F00002">
              <w:t>Finland</w:t>
            </w:r>
          </w:p>
        </w:tc>
      </w:tr>
      <w:tr w:rsidR="0038739E" w:rsidRPr="00F00002" w:rsidTr="00A31E44">
        <w:tc>
          <w:tcPr>
            <w:tcW w:w="8313" w:type="dxa"/>
            <w:shd w:val="clear" w:color="auto" w:fill="auto"/>
          </w:tcPr>
          <w:p w:rsidR="0038739E" w:rsidRPr="00F00002" w:rsidRDefault="0038739E" w:rsidP="00A31E44">
            <w:pPr>
              <w:pStyle w:val="Tabletext"/>
            </w:pPr>
            <w:r w:rsidRPr="00F00002">
              <w:t>Nasdaq Helsinki</w:t>
            </w:r>
          </w:p>
        </w:tc>
      </w:tr>
      <w:tr w:rsidR="0038739E" w:rsidRPr="00F00002" w:rsidTr="00A31E44">
        <w:tc>
          <w:tcPr>
            <w:tcW w:w="8313" w:type="dxa"/>
            <w:shd w:val="clear" w:color="auto" w:fill="auto"/>
          </w:tcPr>
          <w:p w:rsidR="0038739E" w:rsidRPr="00F00002" w:rsidRDefault="0038739E" w:rsidP="00A31E44">
            <w:pPr>
              <w:pStyle w:val="TableHeading"/>
            </w:pPr>
            <w:r w:rsidRPr="00F00002">
              <w:t>France</w:t>
            </w:r>
          </w:p>
        </w:tc>
      </w:tr>
      <w:tr w:rsidR="0038739E" w:rsidRPr="00F00002" w:rsidTr="00A31E44">
        <w:tc>
          <w:tcPr>
            <w:tcW w:w="8313" w:type="dxa"/>
            <w:shd w:val="clear" w:color="auto" w:fill="auto"/>
          </w:tcPr>
          <w:p w:rsidR="0038739E" w:rsidRPr="00F00002" w:rsidRDefault="0038739E" w:rsidP="00A31E44">
            <w:pPr>
              <w:pStyle w:val="Tabletext"/>
            </w:pPr>
            <w:r w:rsidRPr="00F00002">
              <w:t>Euronext Paris</w:t>
            </w:r>
          </w:p>
        </w:tc>
      </w:tr>
      <w:tr w:rsidR="0038739E" w:rsidRPr="00F00002" w:rsidTr="00A31E44">
        <w:tc>
          <w:tcPr>
            <w:tcW w:w="8313" w:type="dxa"/>
            <w:shd w:val="clear" w:color="auto" w:fill="auto"/>
          </w:tcPr>
          <w:p w:rsidR="0038739E" w:rsidRPr="00F00002" w:rsidRDefault="0038739E" w:rsidP="00A31E44">
            <w:pPr>
              <w:pStyle w:val="TableHeading"/>
            </w:pPr>
            <w:r w:rsidRPr="00F00002">
              <w:lastRenderedPageBreak/>
              <w:t>Germany</w:t>
            </w:r>
          </w:p>
        </w:tc>
      </w:tr>
      <w:tr w:rsidR="0038739E" w:rsidRPr="00F00002" w:rsidTr="00A31E44">
        <w:tc>
          <w:tcPr>
            <w:tcW w:w="8313" w:type="dxa"/>
            <w:shd w:val="clear" w:color="auto" w:fill="auto"/>
          </w:tcPr>
          <w:p w:rsidR="0038739E" w:rsidRPr="00F00002" w:rsidRDefault="0038739E" w:rsidP="00A31E44">
            <w:pPr>
              <w:pStyle w:val="Tabletext"/>
            </w:pPr>
            <w:r w:rsidRPr="00F00002">
              <w:t>Berlin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Dusseldorf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Frankfurt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Hamburg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Hannover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Munich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Stuttgart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Greece</w:t>
            </w:r>
          </w:p>
        </w:tc>
      </w:tr>
      <w:tr w:rsidR="0038739E" w:rsidRPr="00F00002" w:rsidTr="00A31E44">
        <w:tc>
          <w:tcPr>
            <w:tcW w:w="8313" w:type="dxa"/>
            <w:shd w:val="clear" w:color="auto" w:fill="auto"/>
          </w:tcPr>
          <w:p w:rsidR="0038739E" w:rsidRPr="00F00002" w:rsidRDefault="0038739E" w:rsidP="00A31E44">
            <w:pPr>
              <w:pStyle w:val="Tabletext"/>
            </w:pPr>
            <w:r w:rsidRPr="00F00002">
              <w:t>ATHEX, also known as Athens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Hong Kong</w:t>
            </w:r>
          </w:p>
        </w:tc>
      </w:tr>
      <w:tr w:rsidR="0038739E" w:rsidRPr="00F00002" w:rsidTr="00A31E44">
        <w:tc>
          <w:tcPr>
            <w:tcW w:w="8313" w:type="dxa"/>
            <w:shd w:val="clear" w:color="auto" w:fill="auto"/>
          </w:tcPr>
          <w:p w:rsidR="0038739E" w:rsidRPr="00F00002" w:rsidRDefault="0038739E" w:rsidP="00A31E44">
            <w:pPr>
              <w:pStyle w:val="Tabletext"/>
            </w:pPr>
            <w:r w:rsidRPr="00F00002">
              <w:t>Hong Kong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Hungary</w:t>
            </w:r>
          </w:p>
        </w:tc>
      </w:tr>
      <w:tr w:rsidR="0038739E" w:rsidRPr="00F00002" w:rsidTr="00A31E44">
        <w:tc>
          <w:tcPr>
            <w:tcW w:w="8313" w:type="dxa"/>
            <w:shd w:val="clear" w:color="auto" w:fill="auto"/>
          </w:tcPr>
          <w:p w:rsidR="0038739E" w:rsidRPr="00F00002" w:rsidRDefault="0038739E" w:rsidP="00A31E44">
            <w:pPr>
              <w:pStyle w:val="Tabletext"/>
            </w:pPr>
            <w:r w:rsidRPr="00F00002">
              <w:t>Budapest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India</w:t>
            </w:r>
          </w:p>
        </w:tc>
      </w:tr>
      <w:tr w:rsidR="0038739E" w:rsidRPr="00F00002" w:rsidTr="00A31E44">
        <w:tc>
          <w:tcPr>
            <w:tcW w:w="8313" w:type="dxa"/>
            <w:shd w:val="clear" w:color="auto" w:fill="auto"/>
          </w:tcPr>
          <w:p w:rsidR="0038739E" w:rsidRPr="00F00002" w:rsidRDefault="0038739E" w:rsidP="00A31E44">
            <w:pPr>
              <w:pStyle w:val="Tabletext"/>
            </w:pPr>
            <w:r w:rsidRPr="00F00002">
              <w:t>Bombay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Calcutta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Indonesia</w:t>
            </w:r>
          </w:p>
        </w:tc>
      </w:tr>
      <w:tr w:rsidR="0038739E" w:rsidRPr="00F00002" w:rsidTr="00A31E44">
        <w:tc>
          <w:tcPr>
            <w:tcW w:w="8313" w:type="dxa"/>
            <w:shd w:val="clear" w:color="auto" w:fill="auto"/>
          </w:tcPr>
          <w:p w:rsidR="0038739E" w:rsidRPr="00F00002" w:rsidRDefault="0038739E" w:rsidP="00A31E44">
            <w:pPr>
              <w:pStyle w:val="Tabletext"/>
            </w:pPr>
            <w:r w:rsidRPr="00F00002">
              <w:t>Indonesia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Ireland</w:t>
            </w:r>
          </w:p>
        </w:tc>
      </w:tr>
      <w:tr w:rsidR="0038739E" w:rsidRPr="00F00002" w:rsidTr="00A31E44">
        <w:tc>
          <w:tcPr>
            <w:tcW w:w="8313" w:type="dxa"/>
            <w:shd w:val="clear" w:color="auto" w:fill="auto"/>
          </w:tcPr>
          <w:p w:rsidR="0038739E" w:rsidRPr="00F00002" w:rsidRDefault="0038739E" w:rsidP="00A31E44">
            <w:pPr>
              <w:pStyle w:val="Tabletext"/>
            </w:pPr>
            <w:r w:rsidRPr="00F00002">
              <w:t>Euronext Dublin</w:t>
            </w:r>
          </w:p>
        </w:tc>
      </w:tr>
      <w:tr w:rsidR="0038739E" w:rsidRPr="00F00002" w:rsidTr="00A31E44">
        <w:tc>
          <w:tcPr>
            <w:tcW w:w="8313" w:type="dxa"/>
            <w:shd w:val="clear" w:color="auto" w:fill="auto"/>
          </w:tcPr>
          <w:p w:rsidR="0038739E" w:rsidRPr="00F00002" w:rsidRDefault="0038739E" w:rsidP="00A31E44">
            <w:pPr>
              <w:pStyle w:val="TableHeading"/>
            </w:pPr>
            <w:r w:rsidRPr="00F00002">
              <w:t>Israel</w:t>
            </w:r>
          </w:p>
        </w:tc>
      </w:tr>
      <w:tr w:rsidR="0038739E" w:rsidRPr="00F00002" w:rsidTr="00A31E44">
        <w:tc>
          <w:tcPr>
            <w:tcW w:w="8313" w:type="dxa"/>
            <w:shd w:val="clear" w:color="auto" w:fill="auto"/>
          </w:tcPr>
          <w:p w:rsidR="0038739E" w:rsidRPr="00F00002" w:rsidRDefault="0038739E" w:rsidP="00A31E44">
            <w:pPr>
              <w:pStyle w:val="Tabletext"/>
            </w:pPr>
            <w:r w:rsidRPr="00F00002">
              <w:t>Tel Aviv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Italy</w:t>
            </w:r>
          </w:p>
        </w:tc>
      </w:tr>
      <w:tr w:rsidR="0038739E" w:rsidRPr="00F00002" w:rsidTr="00A31E44">
        <w:tc>
          <w:tcPr>
            <w:tcW w:w="8313" w:type="dxa"/>
            <w:shd w:val="clear" w:color="auto" w:fill="auto"/>
          </w:tcPr>
          <w:p w:rsidR="0038739E" w:rsidRPr="00F00002" w:rsidRDefault="0038739E" w:rsidP="00A31E44">
            <w:pPr>
              <w:pStyle w:val="Tabletext"/>
            </w:pPr>
            <w:r w:rsidRPr="00F00002">
              <w:t>Borsa Italiana, also known as Italian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Jamaica</w:t>
            </w:r>
          </w:p>
        </w:tc>
      </w:tr>
      <w:tr w:rsidR="0038739E" w:rsidRPr="00F00002" w:rsidTr="00A31E44">
        <w:tc>
          <w:tcPr>
            <w:tcW w:w="8313" w:type="dxa"/>
            <w:shd w:val="clear" w:color="auto" w:fill="auto"/>
          </w:tcPr>
          <w:p w:rsidR="0038739E" w:rsidRPr="00F00002" w:rsidRDefault="0038739E" w:rsidP="00A31E44">
            <w:pPr>
              <w:pStyle w:val="Tabletext"/>
            </w:pPr>
            <w:r w:rsidRPr="00F00002">
              <w:t>Jamaica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Japan</w:t>
            </w:r>
          </w:p>
        </w:tc>
      </w:tr>
      <w:tr w:rsidR="0038739E" w:rsidRPr="00F00002" w:rsidTr="00A31E44">
        <w:tc>
          <w:tcPr>
            <w:tcW w:w="8313" w:type="dxa"/>
            <w:shd w:val="clear" w:color="auto" w:fill="auto"/>
          </w:tcPr>
          <w:p w:rsidR="0038739E" w:rsidRPr="00F00002" w:rsidRDefault="0038739E" w:rsidP="00A31E44">
            <w:pPr>
              <w:pStyle w:val="Tabletext"/>
            </w:pPr>
            <w:r w:rsidRPr="00F00002">
              <w:t>Fukuoka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Nagoya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Osaka Securities Exchange</w:t>
            </w:r>
          </w:p>
        </w:tc>
      </w:tr>
      <w:tr w:rsidR="0038739E" w:rsidRPr="00F00002" w:rsidTr="00A31E44">
        <w:tc>
          <w:tcPr>
            <w:tcW w:w="8313" w:type="dxa"/>
            <w:shd w:val="clear" w:color="auto" w:fill="auto"/>
          </w:tcPr>
          <w:p w:rsidR="0038739E" w:rsidRPr="00F00002" w:rsidRDefault="0038739E" w:rsidP="00A31E44">
            <w:pPr>
              <w:pStyle w:val="Tabletext"/>
            </w:pPr>
            <w:r w:rsidRPr="00F00002">
              <w:t>Sapporo Securities Exchange</w:t>
            </w:r>
          </w:p>
        </w:tc>
      </w:tr>
      <w:tr w:rsidR="0038739E" w:rsidRPr="00F00002" w:rsidTr="00A31E44">
        <w:tc>
          <w:tcPr>
            <w:tcW w:w="8313" w:type="dxa"/>
            <w:shd w:val="clear" w:color="auto" w:fill="auto"/>
          </w:tcPr>
          <w:p w:rsidR="0038739E" w:rsidRPr="00F00002" w:rsidRDefault="0038739E" w:rsidP="00A31E44">
            <w:pPr>
              <w:pStyle w:val="Tabletext"/>
            </w:pPr>
            <w:r w:rsidRPr="00F00002">
              <w:t>Tokyo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Korea, Republic of</w:t>
            </w:r>
          </w:p>
        </w:tc>
      </w:tr>
      <w:tr w:rsidR="0038739E" w:rsidRPr="00F00002" w:rsidTr="00A31E44">
        <w:tc>
          <w:tcPr>
            <w:tcW w:w="8313" w:type="dxa"/>
            <w:shd w:val="clear" w:color="auto" w:fill="auto"/>
          </w:tcPr>
          <w:p w:rsidR="0038739E" w:rsidRPr="00F00002" w:rsidRDefault="0038739E" w:rsidP="00A31E44">
            <w:pPr>
              <w:pStyle w:val="Tabletext"/>
            </w:pPr>
            <w:r w:rsidRPr="00F00002">
              <w:t>Korea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Luxembourg</w:t>
            </w:r>
          </w:p>
        </w:tc>
      </w:tr>
      <w:tr w:rsidR="0038739E" w:rsidRPr="00F00002" w:rsidTr="00A31E44">
        <w:tc>
          <w:tcPr>
            <w:tcW w:w="8313" w:type="dxa"/>
            <w:shd w:val="clear" w:color="auto" w:fill="auto"/>
          </w:tcPr>
          <w:p w:rsidR="0038739E" w:rsidRPr="00F00002" w:rsidRDefault="0038739E" w:rsidP="00A31E44">
            <w:pPr>
              <w:pStyle w:val="Tabletext"/>
            </w:pPr>
            <w:r w:rsidRPr="00F00002">
              <w:t>Luxembourg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lastRenderedPageBreak/>
              <w:t>Malaysia</w:t>
            </w:r>
          </w:p>
        </w:tc>
      </w:tr>
      <w:tr w:rsidR="0038739E" w:rsidRPr="00F00002" w:rsidTr="00A31E44">
        <w:tc>
          <w:tcPr>
            <w:tcW w:w="8313" w:type="dxa"/>
            <w:shd w:val="clear" w:color="auto" w:fill="auto"/>
          </w:tcPr>
          <w:p w:rsidR="0038739E" w:rsidRPr="00F00002" w:rsidRDefault="0038739E" w:rsidP="00A31E44">
            <w:pPr>
              <w:pStyle w:val="Tabletext"/>
            </w:pPr>
            <w:r w:rsidRPr="00F00002">
              <w:t>Bursa Malaysia</w:t>
            </w:r>
          </w:p>
        </w:tc>
      </w:tr>
      <w:tr w:rsidR="0038739E" w:rsidRPr="00F00002" w:rsidTr="00A31E44">
        <w:tc>
          <w:tcPr>
            <w:tcW w:w="8313" w:type="dxa"/>
            <w:shd w:val="clear" w:color="auto" w:fill="auto"/>
          </w:tcPr>
          <w:p w:rsidR="0038739E" w:rsidRPr="00F00002" w:rsidRDefault="0038739E" w:rsidP="00A31E44">
            <w:pPr>
              <w:pStyle w:val="TableHeading"/>
            </w:pPr>
            <w:r w:rsidRPr="00F00002">
              <w:t>Mexico</w:t>
            </w:r>
          </w:p>
        </w:tc>
      </w:tr>
      <w:tr w:rsidR="0038739E" w:rsidRPr="00F00002" w:rsidTr="00A31E44">
        <w:tc>
          <w:tcPr>
            <w:tcW w:w="8313" w:type="dxa"/>
            <w:shd w:val="clear" w:color="auto" w:fill="auto"/>
          </w:tcPr>
          <w:p w:rsidR="0038739E" w:rsidRPr="00F00002" w:rsidRDefault="0038739E" w:rsidP="00A31E44">
            <w:pPr>
              <w:pStyle w:val="Tabletext"/>
            </w:pPr>
            <w:r w:rsidRPr="00F00002">
              <w:t>Mexican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Netherlands</w:t>
            </w:r>
          </w:p>
        </w:tc>
      </w:tr>
      <w:tr w:rsidR="0038739E" w:rsidRPr="00F00002" w:rsidTr="00A31E44">
        <w:tc>
          <w:tcPr>
            <w:tcW w:w="8313" w:type="dxa"/>
            <w:shd w:val="clear" w:color="auto" w:fill="auto"/>
          </w:tcPr>
          <w:p w:rsidR="0038739E" w:rsidRPr="00F00002" w:rsidRDefault="0038739E" w:rsidP="00A31E44">
            <w:pPr>
              <w:pStyle w:val="Tabletext"/>
            </w:pPr>
            <w:r w:rsidRPr="00F00002">
              <w:t>Euronext Amsterdam</w:t>
            </w:r>
          </w:p>
        </w:tc>
      </w:tr>
      <w:tr w:rsidR="0038739E" w:rsidRPr="00F00002" w:rsidTr="00A31E44">
        <w:tc>
          <w:tcPr>
            <w:tcW w:w="8313" w:type="dxa"/>
            <w:shd w:val="clear" w:color="auto" w:fill="auto"/>
          </w:tcPr>
          <w:p w:rsidR="0038739E" w:rsidRPr="00F00002" w:rsidRDefault="0038739E" w:rsidP="00A31E44">
            <w:pPr>
              <w:pStyle w:val="TableHeading"/>
            </w:pPr>
            <w:r w:rsidRPr="00F00002">
              <w:t>New Zealand</w:t>
            </w:r>
          </w:p>
        </w:tc>
      </w:tr>
      <w:tr w:rsidR="0038739E" w:rsidRPr="00F00002" w:rsidTr="00A31E44">
        <w:tc>
          <w:tcPr>
            <w:tcW w:w="8313" w:type="dxa"/>
            <w:shd w:val="clear" w:color="auto" w:fill="auto"/>
          </w:tcPr>
          <w:p w:rsidR="0038739E" w:rsidRPr="00F00002" w:rsidRDefault="0038739E" w:rsidP="00A31E44">
            <w:pPr>
              <w:pStyle w:val="Tabletext"/>
            </w:pPr>
            <w:r w:rsidRPr="00F00002">
              <w:t>NZX, also known as New Zealand’s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Nigeria</w:t>
            </w:r>
          </w:p>
        </w:tc>
      </w:tr>
      <w:tr w:rsidR="0038739E" w:rsidRPr="00F00002" w:rsidTr="00A31E44">
        <w:tc>
          <w:tcPr>
            <w:tcW w:w="8313" w:type="dxa"/>
            <w:shd w:val="clear" w:color="auto" w:fill="auto"/>
          </w:tcPr>
          <w:p w:rsidR="0038739E" w:rsidRPr="00F00002" w:rsidRDefault="0038739E" w:rsidP="00A31E44">
            <w:pPr>
              <w:pStyle w:val="Tabletext"/>
            </w:pPr>
            <w:r w:rsidRPr="00F00002">
              <w:t>Nigerian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Norway</w:t>
            </w:r>
          </w:p>
        </w:tc>
      </w:tr>
      <w:tr w:rsidR="0038739E" w:rsidRPr="00F00002" w:rsidTr="00A31E44">
        <w:tc>
          <w:tcPr>
            <w:tcW w:w="8313" w:type="dxa"/>
            <w:shd w:val="clear" w:color="auto" w:fill="auto"/>
          </w:tcPr>
          <w:p w:rsidR="0038739E" w:rsidRPr="00F00002" w:rsidRDefault="0038739E" w:rsidP="00A31E44">
            <w:pPr>
              <w:pStyle w:val="Tabletext"/>
            </w:pPr>
            <w:r w:rsidRPr="00F00002">
              <w:t>Oslo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Pakistan</w:t>
            </w:r>
          </w:p>
        </w:tc>
      </w:tr>
      <w:tr w:rsidR="0038739E" w:rsidRPr="00F00002" w:rsidTr="00A31E44">
        <w:tc>
          <w:tcPr>
            <w:tcW w:w="8313" w:type="dxa"/>
            <w:shd w:val="clear" w:color="auto" w:fill="auto"/>
          </w:tcPr>
          <w:p w:rsidR="0038739E" w:rsidRPr="00F00002" w:rsidRDefault="0038739E" w:rsidP="00A31E44">
            <w:pPr>
              <w:pStyle w:val="Tabletext"/>
            </w:pPr>
            <w:r w:rsidRPr="00F00002">
              <w:t>Pakistan Stock Exchange, also known as PSX</w:t>
            </w:r>
          </w:p>
        </w:tc>
      </w:tr>
      <w:tr w:rsidR="0038739E" w:rsidRPr="00F00002" w:rsidTr="00A31E44">
        <w:tc>
          <w:tcPr>
            <w:tcW w:w="8313" w:type="dxa"/>
            <w:shd w:val="clear" w:color="auto" w:fill="auto"/>
          </w:tcPr>
          <w:p w:rsidR="0038739E" w:rsidRPr="00F00002" w:rsidRDefault="0038739E" w:rsidP="00A31E44">
            <w:pPr>
              <w:pStyle w:val="TableHeading"/>
            </w:pPr>
            <w:r w:rsidRPr="00F00002">
              <w:t>Peru</w:t>
            </w:r>
          </w:p>
        </w:tc>
      </w:tr>
      <w:tr w:rsidR="0038739E" w:rsidRPr="00F00002" w:rsidTr="00A31E44">
        <w:tc>
          <w:tcPr>
            <w:tcW w:w="8313" w:type="dxa"/>
            <w:shd w:val="clear" w:color="auto" w:fill="auto"/>
          </w:tcPr>
          <w:p w:rsidR="0038739E" w:rsidRPr="00F00002" w:rsidRDefault="0038739E" w:rsidP="00A31E44">
            <w:pPr>
              <w:pStyle w:val="Tabletext"/>
            </w:pPr>
            <w:r w:rsidRPr="00F00002">
              <w:t>Lima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Philippines</w:t>
            </w:r>
          </w:p>
        </w:tc>
      </w:tr>
      <w:tr w:rsidR="0038739E" w:rsidRPr="00F00002" w:rsidTr="00A31E44">
        <w:tc>
          <w:tcPr>
            <w:tcW w:w="8313" w:type="dxa"/>
            <w:shd w:val="clear" w:color="auto" w:fill="auto"/>
          </w:tcPr>
          <w:p w:rsidR="0038739E" w:rsidRPr="00F00002" w:rsidRDefault="0038739E" w:rsidP="00A31E44">
            <w:pPr>
              <w:pStyle w:val="Tabletext"/>
            </w:pPr>
            <w:r w:rsidRPr="00F00002">
              <w:t>Philippine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Poland</w:t>
            </w:r>
          </w:p>
        </w:tc>
      </w:tr>
      <w:tr w:rsidR="0038739E" w:rsidRPr="00F00002" w:rsidTr="00A31E44">
        <w:tc>
          <w:tcPr>
            <w:tcW w:w="8313" w:type="dxa"/>
            <w:shd w:val="clear" w:color="auto" w:fill="auto"/>
          </w:tcPr>
          <w:p w:rsidR="0038739E" w:rsidRPr="00F00002" w:rsidRDefault="0038739E" w:rsidP="00A31E44">
            <w:pPr>
              <w:pStyle w:val="Tabletext"/>
            </w:pPr>
            <w:r w:rsidRPr="00F00002">
              <w:t>Warsaw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Portugal</w:t>
            </w:r>
          </w:p>
        </w:tc>
      </w:tr>
      <w:tr w:rsidR="0038739E" w:rsidRPr="00F00002" w:rsidTr="00A31E44">
        <w:tc>
          <w:tcPr>
            <w:tcW w:w="8313" w:type="dxa"/>
            <w:shd w:val="clear" w:color="auto" w:fill="auto"/>
          </w:tcPr>
          <w:p w:rsidR="0038739E" w:rsidRPr="00F00002" w:rsidRDefault="0038739E" w:rsidP="00A31E44">
            <w:pPr>
              <w:pStyle w:val="Tabletext"/>
            </w:pPr>
            <w:r w:rsidRPr="00F00002">
              <w:t>Euronext Lisbon</w:t>
            </w:r>
          </w:p>
        </w:tc>
      </w:tr>
      <w:tr w:rsidR="0038739E" w:rsidRPr="00F00002" w:rsidTr="00A31E44">
        <w:tc>
          <w:tcPr>
            <w:tcW w:w="8313" w:type="dxa"/>
            <w:shd w:val="clear" w:color="auto" w:fill="auto"/>
          </w:tcPr>
          <w:p w:rsidR="0038739E" w:rsidRPr="00F00002" w:rsidRDefault="0038739E" w:rsidP="00A31E44">
            <w:pPr>
              <w:pStyle w:val="TableHeading"/>
            </w:pPr>
            <w:r w:rsidRPr="00F00002">
              <w:t>Serbia</w:t>
            </w:r>
          </w:p>
        </w:tc>
      </w:tr>
      <w:tr w:rsidR="0038739E" w:rsidRPr="00F00002" w:rsidTr="00A31E44">
        <w:tc>
          <w:tcPr>
            <w:tcW w:w="8313" w:type="dxa"/>
            <w:shd w:val="clear" w:color="auto" w:fill="auto"/>
          </w:tcPr>
          <w:p w:rsidR="0038739E" w:rsidRPr="00F00002" w:rsidRDefault="0038739E" w:rsidP="00A31E44">
            <w:pPr>
              <w:pStyle w:val="Tabletext"/>
            </w:pPr>
            <w:r w:rsidRPr="00F00002">
              <w:t>Belgrade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Singapore</w:t>
            </w:r>
          </w:p>
        </w:tc>
      </w:tr>
      <w:tr w:rsidR="0038739E" w:rsidRPr="00F00002" w:rsidTr="00A31E44">
        <w:tc>
          <w:tcPr>
            <w:tcW w:w="8313" w:type="dxa"/>
            <w:shd w:val="clear" w:color="auto" w:fill="auto"/>
          </w:tcPr>
          <w:p w:rsidR="0038739E" w:rsidRPr="00F00002" w:rsidRDefault="0038739E" w:rsidP="00A31E44">
            <w:pPr>
              <w:pStyle w:val="Tabletext"/>
            </w:pPr>
            <w:r w:rsidRPr="00F00002">
              <w:t>Singapore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Slovakia</w:t>
            </w:r>
          </w:p>
        </w:tc>
      </w:tr>
      <w:tr w:rsidR="0038739E" w:rsidRPr="00F00002" w:rsidTr="00A31E44">
        <w:tc>
          <w:tcPr>
            <w:tcW w:w="8313" w:type="dxa"/>
            <w:shd w:val="clear" w:color="auto" w:fill="auto"/>
          </w:tcPr>
          <w:p w:rsidR="0038739E" w:rsidRPr="00F00002" w:rsidRDefault="0038739E" w:rsidP="00A31E44">
            <w:pPr>
              <w:pStyle w:val="Tabletext"/>
            </w:pPr>
            <w:r w:rsidRPr="00F00002">
              <w:t>Bratislava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Slovenia</w:t>
            </w:r>
          </w:p>
        </w:tc>
      </w:tr>
      <w:tr w:rsidR="0038739E" w:rsidRPr="00F00002" w:rsidTr="00A31E44">
        <w:tc>
          <w:tcPr>
            <w:tcW w:w="8313" w:type="dxa"/>
            <w:shd w:val="clear" w:color="auto" w:fill="auto"/>
          </w:tcPr>
          <w:p w:rsidR="0038739E" w:rsidRPr="00F00002" w:rsidRDefault="0038739E" w:rsidP="00A31E44">
            <w:pPr>
              <w:pStyle w:val="Tabletext"/>
            </w:pPr>
            <w:r w:rsidRPr="00F00002">
              <w:t>Ljubljana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South Africa</w:t>
            </w:r>
          </w:p>
        </w:tc>
      </w:tr>
      <w:tr w:rsidR="0038739E" w:rsidRPr="00F00002" w:rsidTr="00A31E44">
        <w:tc>
          <w:tcPr>
            <w:tcW w:w="8313" w:type="dxa"/>
            <w:shd w:val="clear" w:color="auto" w:fill="auto"/>
          </w:tcPr>
          <w:p w:rsidR="0038739E" w:rsidRPr="00F00002" w:rsidRDefault="0038739E" w:rsidP="00A31E44">
            <w:pPr>
              <w:pStyle w:val="Tabletext"/>
            </w:pPr>
            <w:r w:rsidRPr="00F00002">
              <w:t>Johannesburg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Spain</w:t>
            </w:r>
          </w:p>
        </w:tc>
      </w:tr>
      <w:tr w:rsidR="0038739E" w:rsidRPr="00F00002" w:rsidTr="00A31E44">
        <w:tc>
          <w:tcPr>
            <w:tcW w:w="8313" w:type="dxa"/>
            <w:shd w:val="clear" w:color="auto" w:fill="auto"/>
          </w:tcPr>
          <w:p w:rsidR="0038739E" w:rsidRPr="00F00002" w:rsidRDefault="0038739E" w:rsidP="00A31E44">
            <w:pPr>
              <w:pStyle w:val="Tabletext"/>
            </w:pPr>
            <w:r w:rsidRPr="00F00002">
              <w:t>Barcelona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Bilbao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Madrid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lastRenderedPageBreak/>
              <w:t>Valencia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Sri Lanka</w:t>
            </w:r>
          </w:p>
        </w:tc>
      </w:tr>
      <w:tr w:rsidR="0038739E" w:rsidRPr="00F00002" w:rsidTr="00A31E44">
        <w:tc>
          <w:tcPr>
            <w:tcW w:w="8313" w:type="dxa"/>
            <w:shd w:val="clear" w:color="auto" w:fill="auto"/>
          </w:tcPr>
          <w:p w:rsidR="0038739E" w:rsidRPr="00F00002" w:rsidRDefault="0038739E" w:rsidP="00A31E44">
            <w:pPr>
              <w:pStyle w:val="Tabletext"/>
            </w:pPr>
            <w:r w:rsidRPr="00F00002">
              <w:t>Colombo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Sweden</w:t>
            </w:r>
          </w:p>
        </w:tc>
      </w:tr>
      <w:tr w:rsidR="0038739E" w:rsidRPr="00F00002" w:rsidTr="00A31E44">
        <w:tc>
          <w:tcPr>
            <w:tcW w:w="8313" w:type="dxa"/>
            <w:shd w:val="clear" w:color="auto" w:fill="auto"/>
          </w:tcPr>
          <w:p w:rsidR="0038739E" w:rsidRPr="00F00002" w:rsidRDefault="0038739E" w:rsidP="00A31E44">
            <w:pPr>
              <w:pStyle w:val="Tabletext"/>
            </w:pPr>
            <w:r w:rsidRPr="00F00002">
              <w:t>Nasdaq Stockholm</w:t>
            </w:r>
          </w:p>
        </w:tc>
      </w:tr>
      <w:tr w:rsidR="0038739E" w:rsidRPr="00F00002" w:rsidTr="00A31E44">
        <w:tc>
          <w:tcPr>
            <w:tcW w:w="8313" w:type="dxa"/>
            <w:shd w:val="clear" w:color="auto" w:fill="auto"/>
          </w:tcPr>
          <w:p w:rsidR="0038739E" w:rsidRPr="00F00002" w:rsidRDefault="0038739E" w:rsidP="00A31E44">
            <w:pPr>
              <w:pStyle w:val="TableHeading"/>
            </w:pPr>
            <w:r w:rsidRPr="00F00002">
              <w:t>Switzerland</w:t>
            </w:r>
          </w:p>
        </w:tc>
      </w:tr>
      <w:tr w:rsidR="0038739E" w:rsidRPr="00F00002" w:rsidTr="00A31E44">
        <w:tc>
          <w:tcPr>
            <w:tcW w:w="8313" w:type="dxa"/>
            <w:shd w:val="clear" w:color="auto" w:fill="auto"/>
          </w:tcPr>
          <w:p w:rsidR="0038739E" w:rsidRPr="00F00002" w:rsidRDefault="0038739E" w:rsidP="00A31E44">
            <w:pPr>
              <w:pStyle w:val="Tabletext"/>
            </w:pPr>
            <w:r w:rsidRPr="00F00002">
              <w:t>SIX Swiss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Taiwan</w:t>
            </w:r>
          </w:p>
        </w:tc>
      </w:tr>
      <w:tr w:rsidR="0038739E" w:rsidRPr="00F00002" w:rsidTr="00A31E44">
        <w:tc>
          <w:tcPr>
            <w:tcW w:w="8313" w:type="dxa"/>
            <w:shd w:val="clear" w:color="auto" w:fill="auto"/>
          </w:tcPr>
          <w:p w:rsidR="0038739E" w:rsidRPr="00F00002" w:rsidRDefault="0038739E" w:rsidP="00A31E44">
            <w:pPr>
              <w:pStyle w:val="Tabletext"/>
            </w:pPr>
            <w:r w:rsidRPr="00F00002">
              <w:t>Taiwan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Thailand</w:t>
            </w:r>
          </w:p>
        </w:tc>
      </w:tr>
      <w:tr w:rsidR="0038739E" w:rsidRPr="00F00002" w:rsidTr="00A31E44">
        <w:tc>
          <w:tcPr>
            <w:tcW w:w="8313" w:type="dxa"/>
            <w:shd w:val="clear" w:color="auto" w:fill="auto"/>
          </w:tcPr>
          <w:p w:rsidR="0038739E" w:rsidRPr="00F00002" w:rsidRDefault="0038739E" w:rsidP="00A31E44">
            <w:pPr>
              <w:pStyle w:val="Tabletext"/>
            </w:pPr>
            <w:r w:rsidRPr="00F00002">
              <w:t>Stock Exchange of Thailand</w:t>
            </w:r>
          </w:p>
        </w:tc>
      </w:tr>
      <w:tr w:rsidR="0038739E" w:rsidRPr="00F00002" w:rsidTr="00A31E44">
        <w:tc>
          <w:tcPr>
            <w:tcW w:w="8313" w:type="dxa"/>
            <w:shd w:val="clear" w:color="auto" w:fill="auto"/>
          </w:tcPr>
          <w:p w:rsidR="0038739E" w:rsidRPr="00F00002" w:rsidRDefault="0038739E" w:rsidP="00A31E44">
            <w:pPr>
              <w:pStyle w:val="TableHeading"/>
            </w:pPr>
            <w:r w:rsidRPr="00F00002">
              <w:t>Trinidad and Tobago</w:t>
            </w:r>
          </w:p>
        </w:tc>
      </w:tr>
      <w:tr w:rsidR="0038739E" w:rsidRPr="00F00002" w:rsidTr="00A31E44">
        <w:tc>
          <w:tcPr>
            <w:tcW w:w="8313" w:type="dxa"/>
            <w:shd w:val="clear" w:color="auto" w:fill="auto"/>
          </w:tcPr>
          <w:p w:rsidR="0038739E" w:rsidRPr="00F00002" w:rsidRDefault="0038739E" w:rsidP="00A31E44">
            <w:pPr>
              <w:pStyle w:val="Tabletext"/>
            </w:pPr>
            <w:r w:rsidRPr="00F00002">
              <w:t>Trinidad and Tobago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Turkey</w:t>
            </w:r>
          </w:p>
        </w:tc>
      </w:tr>
      <w:tr w:rsidR="0038739E" w:rsidRPr="00F00002" w:rsidTr="00A31E44">
        <w:tc>
          <w:tcPr>
            <w:tcW w:w="8313" w:type="dxa"/>
            <w:shd w:val="clear" w:color="auto" w:fill="auto"/>
          </w:tcPr>
          <w:p w:rsidR="0038739E" w:rsidRPr="00F00002" w:rsidRDefault="0038739E" w:rsidP="00A31E44">
            <w:pPr>
              <w:pStyle w:val="Tabletext"/>
            </w:pPr>
            <w:r w:rsidRPr="00F00002">
              <w:t>Borsa Istanbul, also known as Istanbul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United Kingdom</w:t>
            </w:r>
          </w:p>
        </w:tc>
      </w:tr>
      <w:tr w:rsidR="0038739E" w:rsidRPr="00F00002" w:rsidTr="00A31E44">
        <w:tc>
          <w:tcPr>
            <w:tcW w:w="8313" w:type="dxa"/>
            <w:shd w:val="clear" w:color="auto" w:fill="auto"/>
          </w:tcPr>
          <w:p w:rsidR="0038739E" w:rsidRPr="00F00002" w:rsidRDefault="0038739E" w:rsidP="00A31E44">
            <w:pPr>
              <w:pStyle w:val="Tabletext"/>
            </w:pPr>
            <w:r w:rsidRPr="00F00002">
              <w:t>London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United States</w:t>
            </w:r>
          </w:p>
        </w:tc>
      </w:tr>
      <w:tr w:rsidR="0038739E" w:rsidRPr="00F00002" w:rsidTr="00A31E44">
        <w:tc>
          <w:tcPr>
            <w:tcW w:w="8313" w:type="dxa"/>
            <w:shd w:val="clear" w:color="auto" w:fill="auto"/>
          </w:tcPr>
          <w:p w:rsidR="0038739E" w:rsidRPr="00F00002" w:rsidRDefault="0038739E" w:rsidP="00A31E44">
            <w:pPr>
              <w:pStyle w:val="Tabletext"/>
            </w:pPr>
            <w:r w:rsidRPr="00F00002">
              <w:t>Chicago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NASDAQ OMX BX</w:t>
            </w:r>
          </w:p>
        </w:tc>
      </w:tr>
      <w:tr w:rsidR="0038739E" w:rsidRPr="00F00002" w:rsidTr="00A31E44">
        <w:tc>
          <w:tcPr>
            <w:tcW w:w="8313" w:type="dxa"/>
            <w:shd w:val="clear" w:color="auto" w:fill="auto"/>
          </w:tcPr>
          <w:p w:rsidR="0038739E" w:rsidRPr="00F00002" w:rsidRDefault="0038739E" w:rsidP="00A31E44">
            <w:pPr>
              <w:pStyle w:val="Tabletext"/>
            </w:pPr>
            <w:r w:rsidRPr="00F00002">
              <w:t>NASDAQ PHLX</w:t>
            </w:r>
          </w:p>
        </w:tc>
      </w:tr>
      <w:tr w:rsidR="0038739E" w:rsidRPr="00F00002" w:rsidTr="00A31E44">
        <w:tc>
          <w:tcPr>
            <w:tcW w:w="8313" w:type="dxa"/>
            <w:shd w:val="clear" w:color="auto" w:fill="auto"/>
          </w:tcPr>
          <w:p w:rsidR="0038739E" w:rsidRPr="00F00002" w:rsidRDefault="0038739E" w:rsidP="00A31E44">
            <w:pPr>
              <w:pStyle w:val="Tabletext"/>
            </w:pPr>
            <w:r w:rsidRPr="00F00002">
              <w:t>NASDAQ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NYSE, also known as New York Stock Exchange</w:t>
            </w:r>
          </w:p>
        </w:tc>
      </w:tr>
      <w:tr w:rsidR="0038739E" w:rsidRPr="00F00002" w:rsidTr="00A31E44">
        <w:tc>
          <w:tcPr>
            <w:tcW w:w="8313" w:type="dxa"/>
            <w:shd w:val="clear" w:color="auto" w:fill="auto"/>
          </w:tcPr>
          <w:p w:rsidR="0038739E" w:rsidRPr="00F00002" w:rsidRDefault="0038739E" w:rsidP="00A31E44">
            <w:pPr>
              <w:pStyle w:val="Tabletext"/>
            </w:pPr>
            <w:r w:rsidRPr="00F00002">
              <w:t>NYSE American</w:t>
            </w:r>
          </w:p>
        </w:tc>
      </w:tr>
      <w:tr w:rsidR="0038739E" w:rsidRPr="00F00002" w:rsidTr="00A31E44">
        <w:tc>
          <w:tcPr>
            <w:tcW w:w="8313" w:type="dxa"/>
            <w:shd w:val="clear" w:color="auto" w:fill="auto"/>
          </w:tcPr>
          <w:p w:rsidR="0038739E" w:rsidRPr="00F00002" w:rsidRDefault="0038739E" w:rsidP="00A31E44">
            <w:pPr>
              <w:pStyle w:val="Tabletext"/>
            </w:pPr>
            <w:r w:rsidRPr="00F00002">
              <w:t>NYSE American Options</w:t>
            </w:r>
          </w:p>
        </w:tc>
      </w:tr>
      <w:tr w:rsidR="0038739E" w:rsidRPr="00F00002" w:rsidTr="00A31E44">
        <w:tc>
          <w:tcPr>
            <w:tcW w:w="8313" w:type="dxa"/>
            <w:shd w:val="clear" w:color="auto" w:fill="auto"/>
          </w:tcPr>
          <w:p w:rsidR="0038739E" w:rsidRPr="00F00002" w:rsidRDefault="0038739E" w:rsidP="00A31E44">
            <w:pPr>
              <w:pStyle w:val="Tabletext"/>
            </w:pPr>
            <w:r w:rsidRPr="00F00002">
              <w:t>NYSE ARCA equities</w:t>
            </w:r>
          </w:p>
        </w:tc>
      </w:tr>
      <w:tr w:rsidR="0038739E" w:rsidRPr="00F00002" w:rsidTr="00A31E44">
        <w:tc>
          <w:tcPr>
            <w:tcW w:w="8313" w:type="dxa"/>
            <w:shd w:val="clear" w:color="auto" w:fill="auto"/>
          </w:tcPr>
          <w:p w:rsidR="0038739E" w:rsidRPr="00F00002" w:rsidRDefault="0038739E" w:rsidP="00A31E44">
            <w:pPr>
              <w:pStyle w:val="Tabletext"/>
            </w:pPr>
            <w:r w:rsidRPr="00F00002">
              <w:t>NYSE ARCA options</w:t>
            </w:r>
          </w:p>
        </w:tc>
      </w:tr>
      <w:tr w:rsidR="0038739E" w:rsidRPr="00F00002" w:rsidTr="00A31E44">
        <w:tc>
          <w:tcPr>
            <w:tcW w:w="8313" w:type="dxa"/>
            <w:shd w:val="clear" w:color="auto" w:fill="auto"/>
          </w:tcPr>
          <w:p w:rsidR="0038739E" w:rsidRPr="00F00002" w:rsidRDefault="0038739E" w:rsidP="00A31E44">
            <w:pPr>
              <w:pStyle w:val="Tabletext"/>
            </w:pPr>
            <w:r w:rsidRPr="00F00002">
              <w:t>NYSE National</w:t>
            </w:r>
          </w:p>
        </w:tc>
      </w:tr>
      <w:tr w:rsidR="0038739E" w:rsidRPr="00F00002" w:rsidTr="00A31E44">
        <w:tc>
          <w:tcPr>
            <w:tcW w:w="8313" w:type="dxa"/>
            <w:shd w:val="clear" w:color="auto" w:fill="auto"/>
          </w:tcPr>
          <w:p w:rsidR="0038739E" w:rsidRPr="00F00002" w:rsidRDefault="0038739E" w:rsidP="00A31E44">
            <w:pPr>
              <w:pStyle w:val="TableHeading"/>
            </w:pPr>
            <w:r w:rsidRPr="00F00002">
              <w:t>Uruguay</w:t>
            </w:r>
          </w:p>
        </w:tc>
      </w:tr>
      <w:tr w:rsidR="0038739E" w:rsidRPr="00F00002" w:rsidTr="00A31E44">
        <w:tc>
          <w:tcPr>
            <w:tcW w:w="8313" w:type="dxa"/>
            <w:shd w:val="clear" w:color="auto" w:fill="auto"/>
          </w:tcPr>
          <w:p w:rsidR="0038739E" w:rsidRPr="00F00002" w:rsidRDefault="0038739E" w:rsidP="00A31E44">
            <w:pPr>
              <w:pStyle w:val="Tabletext"/>
            </w:pPr>
            <w:r w:rsidRPr="00F00002">
              <w:t>Montevideo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Venezuela</w:t>
            </w:r>
          </w:p>
        </w:tc>
      </w:tr>
      <w:tr w:rsidR="0038739E" w:rsidRPr="00F00002" w:rsidTr="00A31E44">
        <w:tc>
          <w:tcPr>
            <w:tcW w:w="8313" w:type="dxa"/>
            <w:shd w:val="clear" w:color="auto" w:fill="auto"/>
          </w:tcPr>
          <w:p w:rsidR="0038739E" w:rsidRPr="00F00002" w:rsidRDefault="0038739E" w:rsidP="00A31E44">
            <w:pPr>
              <w:pStyle w:val="Tabletext"/>
            </w:pPr>
            <w:r w:rsidRPr="00F00002">
              <w:t>Caracas Stock Exchange</w:t>
            </w:r>
          </w:p>
        </w:tc>
      </w:tr>
      <w:tr w:rsidR="0038739E" w:rsidRPr="00F00002" w:rsidTr="00A31E44">
        <w:tc>
          <w:tcPr>
            <w:tcW w:w="8313" w:type="dxa"/>
            <w:shd w:val="clear" w:color="auto" w:fill="auto"/>
          </w:tcPr>
          <w:p w:rsidR="0038739E" w:rsidRPr="00F00002" w:rsidRDefault="0038739E" w:rsidP="00A31E44">
            <w:pPr>
              <w:pStyle w:val="TableHeading"/>
            </w:pPr>
            <w:r w:rsidRPr="00F00002">
              <w:t>Zimbabwe</w:t>
            </w:r>
          </w:p>
        </w:tc>
      </w:tr>
      <w:tr w:rsidR="0038739E" w:rsidRPr="00F00002" w:rsidTr="00A31E44">
        <w:tc>
          <w:tcPr>
            <w:tcW w:w="8313" w:type="dxa"/>
            <w:tcBorders>
              <w:bottom w:val="single" w:sz="12" w:space="0" w:color="auto"/>
            </w:tcBorders>
            <w:shd w:val="clear" w:color="auto" w:fill="auto"/>
          </w:tcPr>
          <w:p w:rsidR="0038739E" w:rsidRPr="00F00002" w:rsidRDefault="0038739E" w:rsidP="00A31E44">
            <w:pPr>
              <w:pStyle w:val="Tabletext"/>
            </w:pPr>
            <w:r w:rsidRPr="00F00002">
              <w:t>Zimbabwe Stock Exchange</w:t>
            </w:r>
          </w:p>
        </w:tc>
      </w:tr>
    </w:tbl>
    <w:p w:rsidR="0038739E" w:rsidRPr="00F00002" w:rsidRDefault="0038739E" w:rsidP="0038739E">
      <w:pPr>
        <w:pStyle w:val="Tabletext"/>
      </w:pPr>
    </w:p>
    <w:p w:rsidR="00A8737B" w:rsidRPr="00F00002" w:rsidRDefault="00A8737B" w:rsidP="003F23AA">
      <w:pPr>
        <w:sectPr w:rsidR="00A8737B" w:rsidRPr="00F00002" w:rsidSect="008035BA">
          <w:headerReference w:type="even" r:id="rId44"/>
          <w:headerReference w:type="default" r:id="rId45"/>
          <w:footerReference w:type="even" r:id="rId46"/>
          <w:footerReference w:type="default" r:id="rId47"/>
          <w:headerReference w:type="first" r:id="rId48"/>
          <w:footerReference w:type="first" r:id="rId49"/>
          <w:type w:val="continuous"/>
          <w:pgSz w:w="11907" w:h="16839" w:code="9"/>
          <w:pgMar w:top="2325" w:right="1797" w:bottom="1440" w:left="1797" w:header="720" w:footer="709" w:gutter="0"/>
          <w:cols w:space="720"/>
          <w:docGrid w:linePitch="299"/>
        </w:sectPr>
      </w:pPr>
    </w:p>
    <w:p w:rsidR="00E172D9" w:rsidRPr="00F00002" w:rsidRDefault="00E172D9" w:rsidP="00E172D9">
      <w:pPr>
        <w:pStyle w:val="ENotesHeading1"/>
        <w:pageBreakBefore/>
        <w:outlineLvl w:val="9"/>
      </w:pPr>
      <w:bookmarkStart w:id="253" w:name="_Toc31109791"/>
      <w:r w:rsidRPr="00F00002">
        <w:lastRenderedPageBreak/>
        <w:t>Endnotes</w:t>
      </w:r>
      <w:bookmarkEnd w:id="253"/>
    </w:p>
    <w:p w:rsidR="00EF4546" w:rsidRPr="00F00002" w:rsidRDefault="00EF4546" w:rsidP="00EF4546">
      <w:pPr>
        <w:pStyle w:val="ENotesHeading2"/>
        <w:spacing w:line="240" w:lineRule="auto"/>
        <w:outlineLvl w:val="9"/>
      </w:pPr>
      <w:bookmarkStart w:id="254" w:name="_Toc31109792"/>
      <w:r w:rsidRPr="00F00002">
        <w:t>Endnote 1—About the endnotes</w:t>
      </w:r>
      <w:bookmarkEnd w:id="254"/>
    </w:p>
    <w:p w:rsidR="00EF4546" w:rsidRPr="00F00002" w:rsidRDefault="00EF4546" w:rsidP="00EF4546">
      <w:pPr>
        <w:spacing w:after="120"/>
      </w:pPr>
      <w:r w:rsidRPr="00F00002">
        <w:t>The endnotes provide information about this compilation and the compiled law.</w:t>
      </w:r>
    </w:p>
    <w:p w:rsidR="00EF4546" w:rsidRPr="00F00002" w:rsidRDefault="00EF4546" w:rsidP="00EF4546">
      <w:pPr>
        <w:spacing w:after="120"/>
      </w:pPr>
      <w:r w:rsidRPr="00F00002">
        <w:t>The following endnotes are included in every compilation:</w:t>
      </w:r>
    </w:p>
    <w:p w:rsidR="00EF4546" w:rsidRPr="00F00002" w:rsidRDefault="00EF4546" w:rsidP="00EF4546">
      <w:r w:rsidRPr="00F00002">
        <w:t>Endnote 1—About the endnotes</w:t>
      </w:r>
    </w:p>
    <w:p w:rsidR="00EF4546" w:rsidRPr="00F00002" w:rsidRDefault="00EF4546" w:rsidP="00EF4546">
      <w:r w:rsidRPr="00F00002">
        <w:t>Endnote 2—Abbreviation key</w:t>
      </w:r>
    </w:p>
    <w:p w:rsidR="00EF4546" w:rsidRPr="00F00002" w:rsidRDefault="00EF4546" w:rsidP="00EF4546">
      <w:r w:rsidRPr="00F00002">
        <w:t>Endnote 3—Legislation history</w:t>
      </w:r>
    </w:p>
    <w:p w:rsidR="00EF4546" w:rsidRPr="00F00002" w:rsidRDefault="00EF4546" w:rsidP="00EF4546">
      <w:pPr>
        <w:spacing w:after="120"/>
      </w:pPr>
      <w:r w:rsidRPr="00F00002">
        <w:t>Endnote 4—Amendment history</w:t>
      </w:r>
    </w:p>
    <w:p w:rsidR="00EF4546" w:rsidRPr="00F00002" w:rsidRDefault="00EF4546" w:rsidP="00EF4546">
      <w:r w:rsidRPr="00F00002">
        <w:rPr>
          <w:b/>
        </w:rPr>
        <w:t>Abbreviation key—Endnote 2</w:t>
      </w:r>
    </w:p>
    <w:p w:rsidR="00EF4546" w:rsidRPr="00F00002" w:rsidRDefault="00EF4546" w:rsidP="00EF4546">
      <w:pPr>
        <w:spacing w:after="120"/>
      </w:pPr>
      <w:r w:rsidRPr="00F00002">
        <w:t>The abbreviation key sets out abbreviations that may be used in the endnotes.</w:t>
      </w:r>
    </w:p>
    <w:p w:rsidR="00EF4546" w:rsidRPr="00F00002" w:rsidRDefault="00EF4546" w:rsidP="00EF4546">
      <w:pPr>
        <w:rPr>
          <w:b/>
        </w:rPr>
      </w:pPr>
      <w:r w:rsidRPr="00F00002">
        <w:rPr>
          <w:b/>
        </w:rPr>
        <w:t>Legislation history and amendment history—Endnotes 3 and 4</w:t>
      </w:r>
    </w:p>
    <w:p w:rsidR="00EF4546" w:rsidRPr="00F00002" w:rsidRDefault="00EF4546" w:rsidP="00EF4546">
      <w:pPr>
        <w:spacing w:after="120"/>
      </w:pPr>
      <w:r w:rsidRPr="00F00002">
        <w:t>Amending laws are annotated in the legislation history and amendment history.</w:t>
      </w:r>
    </w:p>
    <w:p w:rsidR="00EF4546" w:rsidRPr="00F00002" w:rsidRDefault="00EF4546" w:rsidP="00EF4546">
      <w:pPr>
        <w:spacing w:after="120"/>
      </w:pPr>
      <w:r w:rsidRPr="00F0000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F4546" w:rsidRPr="00F00002" w:rsidRDefault="00EF4546" w:rsidP="00EF4546">
      <w:pPr>
        <w:spacing w:after="120"/>
      </w:pPr>
      <w:r w:rsidRPr="00F0000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F4546" w:rsidRPr="00F00002" w:rsidRDefault="00EF4546" w:rsidP="00EF4546">
      <w:pPr>
        <w:rPr>
          <w:b/>
        </w:rPr>
      </w:pPr>
      <w:r w:rsidRPr="00F00002">
        <w:rPr>
          <w:b/>
        </w:rPr>
        <w:t>Editorial changes</w:t>
      </w:r>
    </w:p>
    <w:p w:rsidR="00EF4546" w:rsidRPr="00F00002" w:rsidRDefault="00EF4546" w:rsidP="00EF4546">
      <w:pPr>
        <w:spacing w:after="120"/>
      </w:pPr>
      <w:r w:rsidRPr="00F00002">
        <w:t xml:space="preserve">The </w:t>
      </w:r>
      <w:r w:rsidRPr="00F00002">
        <w:rPr>
          <w:i/>
        </w:rPr>
        <w:t>Legislation Act 2003</w:t>
      </w:r>
      <w:r w:rsidRPr="00F0000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F4546" w:rsidRPr="00F00002" w:rsidRDefault="00EF4546" w:rsidP="00EF4546">
      <w:pPr>
        <w:spacing w:after="120"/>
      </w:pPr>
      <w:r w:rsidRPr="00F00002">
        <w:t xml:space="preserve">If the compilation includes editorial changes, the endnotes include a brief outline of the changes in general terms. Full details of any changes can be obtained from the Office of Parliamentary Counsel. </w:t>
      </w:r>
    </w:p>
    <w:p w:rsidR="00EF4546" w:rsidRPr="00F00002" w:rsidRDefault="00EF4546" w:rsidP="00EF4546">
      <w:pPr>
        <w:keepNext/>
      </w:pPr>
      <w:r w:rsidRPr="00F00002">
        <w:rPr>
          <w:b/>
        </w:rPr>
        <w:t>Misdescribed amendments</w:t>
      </w:r>
    </w:p>
    <w:p w:rsidR="00EF4546" w:rsidRPr="00F00002" w:rsidRDefault="00EF4546" w:rsidP="00EF4546">
      <w:pPr>
        <w:spacing w:after="120"/>
      </w:pPr>
      <w:r w:rsidRPr="00F0000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F4546" w:rsidRPr="00F00002" w:rsidRDefault="00EF4546" w:rsidP="00EF4546">
      <w:pPr>
        <w:spacing w:before="120"/>
      </w:pPr>
      <w:r w:rsidRPr="00F00002">
        <w:t>If a misdescribed amendment cannot be given effect as intended, the abbreviation “(md not incorp)” is added to the details of the amendment included in the amendment history.</w:t>
      </w:r>
    </w:p>
    <w:p w:rsidR="00EF4546" w:rsidRPr="00F00002" w:rsidRDefault="00EF4546" w:rsidP="00EF4546"/>
    <w:p w:rsidR="00EF4546" w:rsidRPr="00F00002" w:rsidRDefault="00EF4546" w:rsidP="00EF4546">
      <w:pPr>
        <w:pStyle w:val="ENotesHeading2"/>
        <w:pageBreakBefore/>
        <w:outlineLvl w:val="9"/>
      </w:pPr>
      <w:bookmarkStart w:id="255" w:name="_Toc31109793"/>
      <w:r w:rsidRPr="00F00002">
        <w:lastRenderedPageBreak/>
        <w:t>Endnote 2—Abbreviation key</w:t>
      </w:r>
      <w:bookmarkEnd w:id="255"/>
    </w:p>
    <w:p w:rsidR="00EF4546" w:rsidRPr="00F00002" w:rsidRDefault="00EF4546" w:rsidP="00EF4546">
      <w:pPr>
        <w:pStyle w:val="Tabletext"/>
      </w:pPr>
    </w:p>
    <w:tbl>
      <w:tblPr>
        <w:tblW w:w="5000" w:type="pct"/>
        <w:tblLook w:val="0000" w:firstRow="0" w:lastRow="0" w:firstColumn="0" w:lastColumn="0" w:noHBand="0" w:noVBand="0"/>
      </w:tblPr>
      <w:tblGrid>
        <w:gridCol w:w="4570"/>
        <w:gridCol w:w="3959"/>
      </w:tblGrid>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ad = added or inserted</w:t>
            </w:r>
          </w:p>
        </w:tc>
        <w:tc>
          <w:tcPr>
            <w:tcW w:w="2321" w:type="pct"/>
            <w:shd w:val="clear" w:color="auto" w:fill="auto"/>
          </w:tcPr>
          <w:p w:rsidR="00EF4546" w:rsidRPr="00F00002" w:rsidRDefault="00EF4546" w:rsidP="00EF4546">
            <w:pPr>
              <w:spacing w:before="60"/>
              <w:ind w:left="34"/>
              <w:rPr>
                <w:sz w:val="20"/>
              </w:rPr>
            </w:pPr>
            <w:r w:rsidRPr="00F00002">
              <w:rPr>
                <w:sz w:val="20"/>
              </w:rPr>
              <w:t>o = order(s)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am = amended</w:t>
            </w:r>
          </w:p>
        </w:tc>
        <w:tc>
          <w:tcPr>
            <w:tcW w:w="2321" w:type="pct"/>
            <w:shd w:val="clear" w:color="auto" w:fill="auto"/>
          </w:tcPr>
          <w:p w:rsidR="00EF4546" w:rsidRPr="00F00002" w:rsidRDefault="00EF4546" w:rsidP="00EF4546">
            <w:pPr>
              <w:spacing w:before="60"/>
              <w:ind w:left="34"/>
              <w:rPr>
                <w:sz w:val="20"/>
              </w:rPr>
            </w:pPr>
            <w:r w:rsidRPr="00F00002">
              <w:rPr>
                <w:sz w:val="20"/>
              </w:rPr>
              <w:t>Ord = Ordinance</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amdt = amendment</w:t>
            </w:r>
          </w:p>
        </w:tc>
        <w:tc>
          <w:tcPr>
            <w:tcW w:w="2321" w:type="pct"/>
            <w:shd w:val="clear" w:color="auto" w:fill="auto"/>
          </w:tcPr>
          <w:p w:rsidR="00EF4546" w:rsidRPr="00F00002" w:rsidRDefault="00EF4546" w:rsidP="00EF4546">
            <w:pPr>
              <w:spacing w:before="60"/>
              <w:ind w:left="34"/>
              <w:rPr>
                <w:sz w:val="20"/>
              </w:rPr>
            </w:pPr>
            <w:r w:rsidRPr="00F00002">
              <w:rPr>
                <w:sz w:val="20"/>
              </w:rPr>
              <w:t>orig = original</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c = clause(s)</w:t>
            </w:r>
          </w:p>
        </w:tc>
        <w:tc>
          <w:tcPr>
            <w:tcW w:w="2321" w:type="pct"/>
            <w:shd w:val="clear" w:color="auto" w:fill="auto"/>
          </w:tcPr>
          <w:p w:rsidR="00EF4546" w:rsidRPr="00F00002" w:rsidRDefault="00EF4546" w:rsidP="00EF4546">
            <w:pPr>
              <w:spacing w:before="60"/>
              <w:ind w:left="34"/>
              <w:rPr>
                <w:sz w:val="20"/>
              </w:rPr>
            </w:pPr>
            <w:r w:rsidRPr="00F00002">
              <w:rPr>
                <w:sz w:val="20"/>
              </w:rPr>
              <w:t>par = paragraph(s)/subparagraph(s)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C[x] = Compilation No. x</w:t>
            </w:r>
          </w:p>
        </w:tc>
        <w:tc>
          <w:tcPr>
            <w:tcW w:w="2321" w:type="pct"/>
            <w:shd w:val="clear" w:color="auto" w:fill="auto"/>
          </w:tcPr>
          <w:p w:rsidR="00EF4546" w:rsidRPr="00F00002" w:rsidRDefault="00EF4546" w:rsidP="00EF4546">
            <w:pPr>
              <w:ind w:left="34"/>
              <w:rPr>
                <w:sz w:val="20"/>
              </w:rPr>
            </w:pPr>
            <w:r w:rsidRPr="00F00002">
              <w:rPr>
                <w:sz w:val="20"/>
              </w:rPr>
              <w:t xml:space="preserve">    /sub</w:t>
            </w:r>
            <w:r w:rsidR="00F00002">
              <w:rPr>
                <w:sz w:val="20"/>
              </w:rPr>
              <w:noBreakHyphen/>
            </w:r>
            <w:r w:rsidRPr="00F00002">
              <w:rPr>
                <w:sz w:val="20"/>
              </w:rPr>
              <w:t>subparagraph(s)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Ch = Chapter(s)</w:t>
            </w:r>
          </w:p>
        </w:tc>
        <w:tc>
          <w:tcPr>
            <w:tcW w:w="2321" w:type="pct"/>
            <w:shd w:val="clear" w:color="auto" w:fill="auto"/>
          </w:tcPr>
          <w:p w:rsidR="00EF4546" w:rsidRPr="00F00002" w:rsidRDefault="00EF4546" w:rsidP="00EF4546">
            <w:pPr>
              <w:spacing w:before="60"/>
              <w:ind w:left="34"/>
              <w:rPr>
                <w:sz w:val="20"/>
              </w:rPr>
            </w:pPr>
            <w:r w:rsidRPr="00F00002">
              <w:rPr>
                <w:sz w:val="20"/>
              </w:rPr>
              <w:t>pres = present</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def = definition(s)</w:t>
            </w:r>
          </w:p>
        </w:tc>
        <w:tc>
          <w:tcPr>
            <w:tcW w:w="2321" w:type="pct"/>
            <w:shd w:val="clear" w:color="auto" w:fill="auto"/>
          </w:tcPr>
          <w:p w:rsidR="00EF4546" w:rsidRPr="00F00002" w:rsidRDefault="00EF4546" w:rsidP="00EF4546">
            <w:pPr>
              <w:spacing w:before="60"/>
              <w:ind w:left="34"/>
              <w:rPr>
                <w:sz w:val="20"/>
              </w:rPr>
            </w:pPr>
            <w:r w:rsidRPr="00F00002">
              <w:rPr>
                <w:sz w:val="20"/>
              </w:rPr>
              <w:t>prev = previous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Dict = Dictionary</w:t>
            </w:r>
          </w:p>
        </w:tc>
        <w:tc>
          <w:tcPr>
            <w:tcW w:w="2321" w:type="pct"/>
            <w:shd w:val="clear" w:color="auto" w:fill="auto"/>
          </w:tcPr>
          <w:p w:rsidR="00EF4546" w:rsidRPr="00F00002" w:rsidRDefault="00EF4546" w:rsidP="00EF4546">
            <w:pPr>
              <w:spacing w:before="60"/>
              <w:ind w:left="34"/>
              <w:rPr>
                <w:sz w:val="20"/>
              </w:rPr>
            </w:pPr>
            <w:r w:rsidRPr="00F00002">
              <w:rPr>
                <w:sz w:val="20"/>
              </w:rPr>
              <w:t>(prev…) = previously</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disallowed = disallowed by Parliament</w:t>
            </w:r>
          </w:p>
        </w:tc>
        <w:tc>
          <w:tcPr>
            <w:tcW w:w="2321" w:type="pct"/>
            <w:shd w:val="clear" w:color="auto" w:fill="auto"/>
          </w:tcPr>
          <w:p w:rsidR="00EF4546" w:rsidRPr="00F00002" w:rsidRDefault="00EF4546" w:rsidP="00EF4546">
            <w:pPr>
              <w:spacing w:before="60"/>
              <w:ind w:left="34"/>
              <w:rPr>
                <w:sz w:val="20"/>
              </w:rPr>
            </w:pPr>
            <w:r w:rsidRPr="00F00002">
              <w:rPr>
                <w:sz w:val="20"/>
              </w:rPr>
              <w:t>Pt = Part(s)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Div = Division(s)</w:t>
            </w:r>
          </w:p>
        </w:tc>
        <w:tc>
          <w:tcPr>
            <w:tcW w:w="2321" w:type="pct"/>
            <w:shd w:val="clear" w:color="auto" w:fill="auto"/>
          </w:tcPr>
          <w:p w:rsidR="00EF4546" w:rsidRPr="00F00002" w:rsidRDefault="00EF4546" w:rsidP="00EF4546">
            <w:pPr>
              <w:spacing w:before="60"/>
              <w:ind w:left="34"/>
              <w:rPr>
                <w:sz w:val="20"/>
              </w:rPr>
            </w:pPr>
            <w:r w:rsidRPr="00F00002">
              <w:rPr>
                <w:sz w:val="20"/>
              </w:rPr>
              <w:t>r = regulation(s)/rule(s)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ed = editorial change</w:t>
            </w:r>
          </w:p>
        </w:tc>
        <w:tc>
          <w:tcPr>
            <w:tcW w:w="2321" w:type="pct"/>
            <w:shd w:val="clear" w:color="auto" w:fill="auto"/>
          </w:tcPr>
          <w:p w:rsidR="00EF4546" w:rsidRPr="00F00002" w:rsidRDefault="00EF4546" w:rsidP="00EF4546">
            <w:pPr>
              <w:spacing w:before="60"/>
              <w:ind w:left="34"/>
              <w:rPr>
                <w:sz w:val="20"/>
              </w:rPr>
            </w:pPr>
            <w:r w:rsidRPr="00F00002">
              <w:rPr>
                <w:sz w:val="20"/>
              </w:rPr>
              <w:t>reloc = relocated</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exp = expires/expired or ceases/ceased to have</w:t>
            </w:r>
          </w:p>
        </w:tc>
        <w:tc>
          <w:tcPr>
            <w:tcW w:w="2321" w:type="pct"/>
            <w:shd w:val="clear" w:color="auto" w:fill="auto"/>
          </w:tcPr>
          <w:p w:rsidR="00EF4546" w:rsidRPr="00F00002" w:rsidRDefault="00EF4546" w:rsidP="00EF4546">
            <w:pPr>
              <w:spacing w:before="60"/>
              <w:ind w:left="34"/>
              <w:rPr>
                <w:sz w:val="20"/>
              </w:rPr>
            </w:pPr>
            <w:r w:rsidRPr="00F00002">
              <w:rPr>
                <w:sz w:val="20"/>
              </w:rPr>
              <w:t>renum = renumbered</w:t>
            </w:r>
          </w:p>
        </w:tc>
      </w:tr>
      <w:tr w:rsidR="00EF4546" w:rsidRPr="00F00002" w:rsidTr="000505B9">
        <w:tc>
          <w:tcPr>
            <w:tcW w:w="2679" w:type="pct"/>
            <w:shd w:val="clear" w:color="auto" w:fill="auto"/>
          </w:tcPr>
          <w:p w:rsidR="00EF4546" w:rsidRPr="00F00002" w:rsidRDefault="00EF4546" w:rsidP="00EF4546">
            <w:pPr>
              <w:ind w:left="34"/>
              <w:rPr>
                <w:sz w:val="20"/>
              </w:rPr>
            </w:pPr>
            <w:r w:rsidRPr="00F00002">
              <w:rPr>
                <w:sz w:val="20"/>
              </w:rPr>
              <w:t xml:space="preserve">    effect</w:t>
            </w:r>
          </w:p>
        </w:tc>
        <w:tc>
          <w:tcPr>
            <w:tcW w:w="2321" w:type="pct"/>
            <w:shd w:val="clear" w:color="auto" w:fill="auto"/>
          </w:tcPr>
          <w:p w:rsidR="00EF4546" w:rsidRPr="00F00002" w:rsidRDefault="00EF4546" w:rsidP="00EF4546">
            <w:pPr>
              <w:spacing w:before="60"/>
              <w:ind w:left="34"/>
              <w:rPr>
                <w:sz w:val="20"/>
              </w:rPr>
            </w:pPr>
            <w:r w:rsidRPr="00F00002">
              <w:rPr>
                <w:sz w:val="20"/>
              </w:rPr>
              <w:t>rep = repealed</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F = Federal Register of Legislation</w:t>
            </w:r>
          </w:p>
        </w:tc>
        <w:tc>
          <w:tcPr>
            <w:tcW w:w="2321" w:type="pct"/>
            <w:shd w:val="clear" w:color="auto" w:fill="auto"/>
          </w:tcPr>
          <w:p w:rsidR="00EF4546" w:rsidRPr="00F00002" w:rsidRDefault="00EF4546" w:rsidP="00EF4546">
            <w:pPr>
              <w:spacing w:before="60"/>
              <w:ind w:left="34"/>
              <w:rPr>
                <w:sz w:val="20"/>
              </w:rPr>
            </w:pPr>
            <w:r w:rsidRPr="00F00002">
              <w:rPr>
                <w:sz w:val="20"/>
              </w:rPr>
              <w:t>rs = repealed and substituted</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gaz = gazette</w:t>
            </w:r>
          </w:p>
        </w:tc>
        <w:tc>
          <w:tcPr>
            <w:tcW w:w="2321" w:type="pct"/>
            <w:shd w:val="clear" w:color="auto" w:fill="auto"/>
          </w:tcPr>
          <w:p w:rsidR="00EF4546" w:rsidRPr="00F00002" w:rsidRDefault="00EF4546" w:rsidP="00EF4546">
            <w:pPr>
              <w:spacing w:before="60"/>
              <w:ind w:left="34"/>
              <w:rPr>
                <w:sz w:val="20"/>
              </w:rPr>
            </w:pPr>
            <w:r w:rsidRPr="00F00002">
              <w:rPr>
                <w:sz w:val="20"/>
              </w:rPr>
              <w:t>s = section(s)/subsection(s)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 xml:space="preserve">LA = </w:t>
            </w:r>
            <w:r w:rsidRPr="00F00002">
              <w:rPr>
                <w:i/>
                <w:sz w:val="20"/>
              </w:rPr>
              <w:t>Legislation Act 2003</w:t>
            </w:r>
          </w:p>
        </w:tc>
        <w:tc>
          <w:tcPr>
            <w:tcW w:w="2321" w:type="pct"/>
            <w:shd w:val="clear" w:color="auto" w:fill="auto"/>
          </w:tcPr>
          <w:p w:rsidR="00EF4546" w:rsidRPr="00F00002" w:rsidRDefault="00EF4546" w:rsidP="00EF4546">
            <w:pPr>
              <w:spacing w:before="60"/>
              <w:ind w:left="34"/>
              <w:rPr>
                <w:sz w:val="20"/>
              </w:rPr>
            </w:pPr>
            <w:r w:rsidRPr="00F00002">
              <w:rPr>
                <w:sz w:val="20"/>
              </w:rPr>
              <w:t>Sch = Schedule(s)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 xml:space="preserve">LIA = </w:t>
            </w:r>
            <w:r w:rsidRPr="00F00002">
              <w:rPr>
                <w:i/>
                <w:sz w:val="20"/>
              </w:rPr>
              <w:t>Legislative Instruments Act 2003</w:t>
            </w:r>
          </w:p>
        </w:tc>
        <w:tc>
          <w:tcPr>
            <w:tcW w:w="2321" w:type="pct"/>
            <w:shd w:val="clear" w:color="auto" w:fill="auto"/>
          </w:tcPr>
          <w:p w:rsidR="00EF4546" w:rsidRPr="00F00002" w:rsidRDefault="00EF4546" w:rsidP="00EF4546">
            <w:pPr>
              <w:spacing w:before="60"/>
              <w:ind w:left="34"/>
              <w:rPr>
                <w:sz w:val="20"/>
              </w:rPr>
            </w:pPr>
            <w:r w:rsidRPr="00F00002">
              <w:rPr>
                <w:sz w:val="20"/>
              </w:rPr>
              <w:t>Sdiv = Subdivision(s)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(md) = misdescribed amendment can be given</w:t>
            </w:r>
          </w:p>
        </w:tc>
        <w:tc>
          <w:tcPr>
            <w:tcW w:w="2321" w:type="pct"/>
            <w:shd w:val="clear" w:color="auto" w:fill="auto"/>
          </w:tcPr>
          <w:p w:rsidR="00EF4546" w:rsidRPr="00F00002" w:rsidRDefault="00EF4546" w:rsidP="00EF4546">
            <w:pPr>
              <w:spacing w:before="60"/>
              <w:ind w:left="34"/>
              <w:rPr>
                <w:sz w:val="20"/>
              </w:rPr>
            </w:pPr>
            <w:r w:rsidRPr="00F00002">
              <w:rPr>
                <w:sz w:val="20"/>
              </w:rPr>
              <w:t>SLI = Select Legislative Instrument</w:t>
            </w:r>
          </w:p>
        </w:tc>
      </w:tr>
      <w:tr w:rsidR="00EF4546" w:rsidRPr="00F00002" w:rsidTr="000505B9">
        <w:tc>
          <w:tcPr>
            <w:tcW w:w="2679" w:type="pct"/>
            <w:shd w:val="clear" w:color="auto" w:fill="auto"/>
          </w:tcPr>
          <w:p w:rsidR="00EF4546" w:rsidRPr="00F00002" w:rsidRDefault="00EF4546" w:rsidP="00EF4546">
            <w:pPr>
              <w:ind w:left="34"/>
              <w:rPr>
                <w:sz w:val="20"/>
              </w:rPr>
            </w:pPr>
            <w:r w:rsidRPr="00F00002">
              <w:rPr>
                <w:sz w:val="20"/>
              </w:rPr>
              <w:t xml:space="preserve">    effect</w:t>
            </w:r>
          </w:p>
        </w:tc>
        <w:tc>
          <w:tcPr>
            <w:tcW w:w="2321" w:type="pct"/>
            <w:shd w:val="clear" w:color="auto" w:fill="auto"/>
          </w:tcPr>
          <w:p w:rsidR="00EF4546" w:rsidRPr="00F00002" w:rsidRDefault="00EF4546" w:rsidP="00EF4546">
            <w:pPr>
              <w:spacing w:before="60"/>
              <w:ind w:left="34"/>
              <w:rPr>
                <w:sz w:val="20"/>
              </w:rPr>
            </w:pPr>
            <w:r w:rsidRPr="00F00002">
              <w:rPr>
                <w:sz w:val="20"/>
              </w:rPr>
              <w:t>SR = Statutory Rules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(md not incorp) = misdescribed amendment</w:t>
            </w:r>
          </w:p>
        </w:tc>
        <w:tc>
          <w:tcPr>
            <w:tcW w:w="2321" w:type="pct"/>
            <w:shd w:val="clear" w:color="auto" w:fill="auto"/>
          </w:tcPr>
          <w:p w:rsidR="00EF4546" w:rsidRPr="00F00002" w:rsidRDefault="00EF4546" w:rsidP="00EF4546">
            <w:pPr>
              <w:spacing w:before="60"/>
              <w:ind w:left="34"/>
              <w:rPr>
                <w:sz w:val="20"/>
              </w:rPr>
            </w:pPr>
            <w:r w:rsidRPr="00F00002">
              <w:rPr>
                <w:sz w:val="20"/>
              </w:rPr>
              <w:t>Sub</w:t>
            </w:r>
            <w:r w:rsidR="00F00002">
              <w:rPr>
                <w:sz w:val="20"/>
              </w:rPr>
              <w:noBreakHyphen/>
            </w:r>
            <w:r w:rsidRPr="00F00002">
              <w:rPr>
                <w:sz w:val="20"/>
              </w:rPr>
              <w:t>Ch = Sub</w:t>
            </w:r>
            <w:r w:rsidR="00F00002">
              <w:rPr>
                <w:sz w:val="20"/>
              </w:rPr>
              <w:noBreakHyphen/>
            </w:r>
            <w:r w:rsidRPr="00F00002">
              <w:rPr>
                <w:sz w:val="20"/>
              </w:rPr>
              <w:t>Chapter(s)</w:t>
            </w:r>
          </w:p>
        </w:tc>
      </w:tr>
      <w:tr w:rsidR="00EF4546" w:rsidRPr="00F00002" w:rsidTr="000505B9">
        <w:tc>
          <w:tcPr>
            <w:tcW w:w="2679" w:type="pct"/>
            <w:shd w:val="clear" w:color="auto" w:fill="auto"/>
          </w:tcPr>
          <w:p w:rsidR="00EF4546" w:rsidRPr="00F00002" w:rsidRDefault="00EF4546" w:rsidP="00EF4546">
            <w:pPr>
              <w:ind w:left="34"/>
              <w:rPr>
                <w:sz w:val="20"/>
              </w:rPr>
            </w:pPr>
            <w:r w:rsidRPr="00F00002">
              <w:rPr>
                <w:sz w:val="20"/>
              </w:rPr>
              <w:t xml:space="preserve">    cannot be given effect</w:t>
            </w:r>
          </w:p>
        </w:tc>
        <w:tc>
          <w:tcPr>
            <w:tcW w:w="2321" w:type="pct"/>
            <w:shd w:val="clear" w:color="auto" w:fill="auto"/>
          </w:tcPr>
          <w:p w:rsidR="00EF4546" w:rsidRPr="00F00002" w:rsidRDefault="00EF4546" w:rsidP="00EF4546">
            <w:pPr>
              <w:spacing w:before="60"/>
              <w:ind w:left="34"/>
              <w:rPr>
                <w:sz w:val="20"/>
              </w:rPr>
            </w:pPr>
            <w:r w:rsidRPr="00F00002">
              <w:rPr>
                <w:sz w:val="20"/>
              </w:rPr>
              <w:t>SubPt = Subpart(s)</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mod = modified/modification</w:t>
            </w:r>
          </w:p>
        </w:tc>
        <w:tc>
          <w:tcPr>
            <w:tcW w:w="2321" w:type="pct"/>
            <w:shd w:val="clear" w:color="auto" w:fill="auto"/>
          </w:tcPr>
          <w:p w:rsidR="00EF4546" w:rsidRPr="00F00002" w:rsidRDefault="00EF4546" w:rsidP="00EF4546">
            <w:pPr>
              <w:spacing w:before="60"/>
              <w:ind w:left="34"/>
              <w:rPr>
                <w:sz w:val="20"/>
              </w:rPr>
            </w:pPr>
            <w:r w:rsidRPr="00F00002">
              <w:rPr>
                <w:sz w:val="20"/>
                <w:u w:val="single"/>
              </w:rPr>
              <w:t>underlining</w:t>
            </w:r>
            <w:r w:rsidRPr="00F00002">
              <w:rPr>
                <w:sz w:val="20"/>
              </w:rPr>
              <w:t xml:space="preserve"> = whole or part not</w:t>
            </w:r>
          </w:p>
        </w:tc>
      </w:tr>
      <w:tr w:rsidR="00EF4546" w:rsidRPr="00F00002" w:rsidTr="000505B9">
        <w:tc>
          <w:tcPr>
            <w:tcW w:w="2679" w:type="pct"/>
            <w:shd w:val="clear" w:color="auto" w:fill="auto"/>
          </w:tcPr>
          <w:p w:rsidR="00EF4546" w:rsidRPr="00F00002" w:rsidRDefault="00EF4546" w:rsidP="00EF4546">
            <w:pPr>
              <w:spacing w:before="60"/>
              <w:ind w:left="34"/>
              <w:rPr>
                <w:sz w:val="20"/>
              </w:rPr>
            </w:pPr>
            <w:r w:rsidRPr="00F00002">
              <w:rPr>
                <w:sz w:val="20"/>
              </w:rPr>
              <w:t>No. = Number(s)</w:t>
            </w:r>
          </w:p>
        </w:tc>
        <w:tc>
          <w:tcPr>
            <w:tcW w:w="2321" w:type="pct"/>
            <w:shd w:val="clear" w:color="auto" w:fill="auto"/>
          </w:tcPr>
          <w:p w:rsidR="00EF4546" w:rsidRPr="00F00002" w:rsidRDefault="00EF4546" w:rsidP="00EF4546">
            <w:pPr>
              <w:ind w:left="34"/>
              <w:rPr>
                <w:sz w:val="20"/>
              </w:rPr>
            </w:pPr>
            <w:r w:rsidRPr="00F00002">
              <w:rPr>
                <w:sz w:val="20"/>
              </w:rPr>
              <w:t xml:space="preserve">    commenced or to be commenced</w:t>
            </w:r>
          </w:p>
        </w:tc>
      </w:tr>
    </w:tbl>
    <w:p w:rsidR="00EF4546" w:rsidRPr="00F00002" w:rsidRDefault="00EF4546" w:rsidP="00EF4546">
      <w:pPr>
        <w:pStyle w:val="Tabletext"/>
      </w:pPr>
    </w:p>
    <w:p w:rsidR="003A6248" w:rsidRPr="00F00002" w:rsidRDefault="003A6248" w:rsidP="00135C25">
      <w:pPr>
        <w:pStyle w:val="ENotesHeading2"/>
        <w:pageBreakBefore/>
        <w:outlineLvl w:val="9"/>
      </w:pPr>
      <w:bookmarkStart w:id="256" w:name="_Toc31109794"/>
      <w:r w:rsidRPr="00F00002">
        <w:lastRenderedPageBreak/>
        <w:t>Endnote 3—Legislation history</w:t>
      </w:r>
      <w:bookmarkEnd w:id="256"/>
    </w:p>
    <w:p w:rsidR="00D150ED" w:rsidRPr="00F00002" w:rsidRDefault="00D150ED" w:rsidP="00DF44F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728"/>
        <w:gridCol w:w="2115"/>
        <w:gridCol w:w="2678"/>
        <w:gridCol w:w="2008"/>
      </w:tblGrid>
      <w:tr w:rsidR="00D150ED" w:rsidRPr="00F00002" w:rsidTr="000505B9">
        <w:trPr>
          <w:cantSplit/>
          <w:tblHeader/>
        </w:trPr>
        <w:tc>
          <w:tcPr>
            <w:tcW w:w="1013" w:type="pct"/>
            <w:tcBorders>
              <w:top w:val="single" w:sz="12" w:space="0" w:color="auto"/>
              <w:bottom w:val="single" w:sz="12" w:space="0" w:color="auto"/>
            </w:tcBorders>
            <w:shd w:val="clear" w:color="auto" w:fill="auto"/>
          </w:tcPr>
          <w:p w:rsidR="00D150ED" w:rsidRPr="00F00002" w:rsidRDefault="00D150ED" w:rsidP="00DF44F8">
            <w:pPr>
              <w:pStyle w:val="Tabletext"/>
              <w:keepNext/>
              <w:rPr>
                <w:rFonts w:ascii="Arial" w:hAnsi="Arial" w:cs="Arial"/>
                <w:b/>
                <w:sz w:val="16"/>
                <w:szCs w:val="16"/>
              </w:rPr>
            </w:pPr>
            <w:r w:rsidRPr="00F00002">
              <w:rPr>
                <w:rFonts w:ascii="Arial" w:hAnsi="Arial" w:cs="Arial"/>
                <w:b/>
                <w:sz w:val="16"/>
                <w:szCs w:val="16"/>
              </w:rPr>
              <w:t>Number and year</w:t>
            </w:r>
          </w:p>
        </w:tc>
        <w:tc>
          <w:tcPr>
            <w:tcW w:w="1240" w:type="pct"/>
            <w:tcBorders>
              <w:top w:val="single" w:sz="12" w:space="0" w:color="auto"/>
              <w:bottom w:val="single" w:sz="12" w:space="0" w:color="auto"/>
            </w:tcBorders>
            <w:shd w:val="clear" w:color="auto" w:fill="auto"/>
          </w:tcPr>
          <w:p w:rsidR="00D150ED" w:rsidRPr="00F00002" w:rsidRDefault="003003CA" w:rsidP="00200272">
            <w:pPr>
              <w:pStyle w:val="Tabletext"/>
              <w:keepNext/>
              <w:rPr>
                <w:rFonts w:ascii="Arial" w:hAnsi="Arial" w:cs="Arial"/>
                <w:b/>
                <w:sz w:val="16"/>
                <w:szCs w:val="16"/>
              </w:rPr>
            </w:pPr>
            <w:r w:rsidRPr="00F00002">
              <w:rPr>
                <w:rFonts w:ascii="Arial" w:hAnsi="Arial" w:cs="Arial"/>
                <w:b/>
                <w:sz w:val="16"/>
                <w:szCs w:val="16"/>
              </w:rPr>
              <w:t>FRLI registration or gazettal</w:t>
            </w:r>
          </w:p>
        </w:tc>
        <w:tc>
          <w:tcPr>
            <w:tcW w:w="1570" w:type="pct"/>
            <w:tcBorders>
              <w:top w:val="single" w:sz="12" w:space="0" w:color="auto"/>
              <w:bottom w:val="single" w:sz="12" w:space="0" w:color="auto"/>
            </w:tcBorders>
            <w:shd w:val="clear" w:color="auto" w:fill="auto"/>
          </w:tcPr>
          <w:p w:rsidR="00D150ED" w:rsidRPr="00F00002" w:rsidRDefault="00D150ED" w:rsidP="003F23AA">
            <w:pPr>
              <w:pStyle w:val="Tabletext"/>
              <w:keepNext/>
              <w:rPr>
                <w:rFonts w:ascii="Arial" w:hAnsi="Arial" w:cs="Arial"/>
                <w:b/>
                <w:sz w:val="16"/>
                <w:szCs w:val="16"/>
              </w:rPr>
            </w:pPr>
            <w:r w:rsidRPr="00F00002">
              <w:rPr>
                <w:rFonts w:ascii="Arial" w:hAnsi="Arial" w:cs="Arial"/>
                <w:b/>
                <w:sz w:val="16"/>
                <w:szCs w:val="16"/>
              </w:rPr>
              <w:t>Commencement</w:t>
            </w:r>
          </w:p>
        </w:tc>
        <w:tc>
          <w:tcPr>
            <w:tcW w:w="1177" w:type="pct"/>
            <w:tcBorders>
              <w:top w:val="single" w:sz="12" w:space="0" w:color="auto"/>
              <w:bottom w:val="single" w:sz="12" w:space="0" w:color="auto"/>
            </w:tcBorders>
            <w:shd w:val="clear" w:color="auto" w:fill="auto"/>
          </w:tcPr>
          <w:p w:rsidR="00D150ED" w:rsidRPr="00F00002" w:rsidRDefault="00D150ED" w:rsidP="00DF44F8">
            <w:pPr>
              <w:pStyle w:val="Tabletext"/>
              <w:keepNext/>
              <w:rPr>
                <w:rFonts w:ascii="Arial" w:hAnsi="Arial" w:cs="Arial"/>
                <w:b/>
                <w:sz w:val="16"/>
                <w:szCs w:val="16"/>
              </w:rPr>
            </w:pPr>
            <w:r w:rsidRPr="00F00002">
              <w:rPr>
                <w:rFonts w:ascii="Arial" w:hAnsi="Arial" w:cs="Arial"/>
                <w:b/>
                <w:sz w:val="16"/>
                <w:szCs w:val="16"/>
              </w:rPr>
              <w:t>Application, saving and transitional provisions</w:t>
            </w:r>
          </w:p>
        </w:tc>
      </w:tr>
      <w:tr w:rsidR="00D150ED" w:rsidRPr="00F00002" w:rsidTr="000505B9">
        <w:trPr>
          <w:cantSplit/>
        </w:trPr>
        <w:tc>
          <w:tcPr>
            <w:tcW w:w="1013" w:type="pct"/>
            <w:tcBorders>
              <w:top w:val="single" w:sz="12" w:space="0" w:color="auto"/>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1997 No.</w:t>
            </w:r>
            <w:r w:rsidR="00F00002">
              <w:rPr>
                <w:sz w:val="16"/>
                <w:szCs w:val="16"/>
              </w:rPr>
              <w:t> </w:t>
            </w:r>
            <w:r w:rsidRPr="00F00002">
              <w:rPr>
                <w:sz w:val="16"/>
                <w:szCs w:val="16"/>
              </w:rPr>
              <w:t>198</w:t>
            </w:r>
          </w:p>
        </w:tc>
        <w:tc>
          <w:tcPr>
            <w:tcW w:w="1240" w:type="pct"/>
            <w:tcBorders>
              <w:top w:val="single" w:sz="12" w:space="0" w:color="auto"/>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16</w:t>
            </w:r>
            <w:r w:rsidR="00F00002">
              <w:rPr>
                <w:sz w:val="16"/>
                <w:szCs w:val="16"/>
              </w:rPr>
              <w:t> </w:t>
            </w:r>
            <w:r w:rsidRPr="00F00002">
              <w:rPr>
                <w:sz w:val="16"/>
                <w:szCs w:val="16"/>
              </w:rPr>
              <w:t>July 1997</w:t>
            </w:r>
          </w:p>
        </w:tc>
        <w:tc>
          <w:tcPr>
            <w:tcW w:w="1570" w:type="pct"/>
            <w:tcBorders>
              <w:top w:val="single" w:sz="12" w:space="0" w:color="auto"/>
              <w:bottom w:val="single" w:sz="4" w:space="0" w:color="auto"/>
            </w:tcBorders>
            <w:shd w:val="clear" w:color="auto" w:fill="auto"/>
          </w:tcPr>
          <w:p w:rsidR="00D150ED" w:rsidRPr="00F00002" w:rsidRDefault="00D150ED" w:rsidP="008D2318">
            <w:pPr>
              <w:pStyle w:val="Tabletext"/>
              <w:rPr>
                <w:sz w:val="16"/>
                <w:szCs w:val="16"/>
              </w:rPr>
            </w:pPr>
            <w:r w:rsidRPr="00F00002">
              <w:rPr>
                <w:sz w:val="16"/>
                <w:szCs w:val="16"/>
              </w:rPr>
              <w:t>1</w:t>
            </w:r>
            <w:r w:rsidR="00F00002">
              <w:rPr>
                <w:sz w:val="16"/>
                <w:szCs w:val="16"/>
              </w:rPr>
              <w:t> </w:t>
            </w:r>
            <w:r w:rsidRPr="00F00002">
              <w:rPr>
                <w:sz w:val="16"/>
                <w:szCs w:val="16"/>
              </w:rPr>
              <w:t>July 1997</w:t>
            </w:r>
            <w:r w:rsidR="009B06B1" w:rsidRPr="00F00002">
              <w:rPr>
                <w:sz w:val="16"/>
                <w:szCs w:val="16"/>
              </w:rPr>
              <w:t xml:space="preserve"> (r 2)</w:t>
            </w:r>
          </w:p>
        </w:tc>
        <w:tc>
          <w:tcPr>
            <w:tcW w:w="1177" w:type="pct"/>
            <w:tcBorders>
              <w:top w:val="single" w:sz="12" w:space="0" w:color="auto"/>
              <w:bottom w:val="single" w:sz="4" w:space="0" w:color="auto"/>
            </w:tcBorders>
            <w:shd w:val="clear" w:color="auto" w:fill="auto"/>
          </w:tcPr>
          <w:p w:rsidR="00D150ED" w:rsidRPr="00F00002" w:rsidRDefault="00D150ED" w:rsidP="00EF172C">
            <w:pPr>
              <w:pStyle w:val="Tabletext"/>
              <w:rPr>
                <w:sz w:val="16"/>
                <w:szCs w:val="16"/>
              </w:rPr>
            </w:pP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1998 No.</w:t>
            </w:r>
            <w:r w:rsidR="00F00002">
              <w:rPr>
                <w:sz w:val="16"/>
                <w:szCs w:val="16"/>
              </w:rPr>
              <w:t> </w:t>
            </w:r>
            <w:r w:rsidRPr="00F00002">
              <w:rPr>
                <w:sz w:val="16"/>
                <w:szCs w:val="16"/>
              </w:rPr>
              <w:t>85</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14</w:t>
            </w:r>
            <w:r w:rsidR="00F00002">
              <w:rPr>
                <w:sz w:val="16"/>
                <w:szCs w:val="16"/>
              </w:rPr>
              <w:t> </w:t>
            </w:r>
            <w:r w:rsidRPr="00F00002">
              <w:rPr>
                <w:sz w:val="16"/>
                <w:szCs w:val="16"/>
              </w:rPr>
              <w:t>May 1998</w:t>
            </w:r>
          </w:p>
        </w:tc>
        <w:tc>
          <w:tcPr>
            <w:tcW w:w="1570" w:type="pct"/>
            <w:shd w:val="clear" w:color="auto" w:fill="auto"/>
          </w:tcPr>
          <w:p w:rsidR="00D150ED" w:rsidRPr="00F00002" w:rsidRDefault="00D150ED" w:rsidP="00CA679D">
            <w:pPr>
              <w:pStyle w:val="Tabletext"/>
              <w:rPr>
                <w:sz w:val="16"/>
                <w:szCs w:val="16"/>
              </w:rPr>
            </w:pPr>
            <w:r w:rsidRPr="00F00002">
              <w:rPr>
                <w:sz w:val="16"/>
                <w:szCs w:val="16"/>
              </w:rPr>
              <w:t>14</w:t>
            </w:r>
            <w:r w:rsidR="00F00002">
              <w:rPr>
                <w:sz w:val="16"/>
                <w:szCs w:val="16"/>
              </w:rPr>
              <w:t> </w:t>
            </w:r>
            <w:r w:rsidRPr="00F00002">
              <w:rPr>
                <w:sz w:val="16"/>
                <w:szCs w:val="16"/>
              </w:rPr>
              <w:t>May 1998</w:t>
            </w:r>
            <w:r w:rsidR="00CA679D" w:rsidRPr="00F00002">
              <w:rPr>
                <w:sz w:val="16"/>
                <w:szCs w:val="16"/>
              </w:rPr>
              <w:t xml:space="preserve"> (r 1)</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1999 No.</w:t>
            </w:r>
            <w:r w:rsidR="00F00002">
              <w:rPr>
                <w:sz w:val="16"/>
                <w:szCs w:val="16"/>
              </w:rPr>
              <w:t> </w:t>
            </w:r>
            <w:r w:rsidRPr="00F00002">
              <w:rPr>
                <w:sz w:val="16"/>
                <w:szCs w:val="16"/>
              </w:rPr>
              <w:t>12</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11 Feb 1999</w:t>
            </w:r>
          </w:p>
        </w:tc>
        <w:tc>
          <w:tcPr>
            <w:tcW w:w="1570" w:type="pct"/>
            <w:shd w:val="clear" w:color="auto" w:fill="auto"/>
          </w:tcPr>
          <w:p w:rsidR="00D150ED" w:rsidRPr="00F00002" w:rsidRDefault="00D150ED" w:rsidP="008D2318">
            <w:pPr>
              <w:pStyle w:val="Tabletext"/>
              <w:rPr>
                <w:sz w:val="16"/>
                <w:szCs w:val="16"/>
              </w:rPr>
            </w:pPr>
            <w:r w:rsidRPr="00F00002">
              <w:rPr>
                <w:sz w:val="16"/>
                <w:szCs w:val="16"/>
              </w:rPr>
              <w:t>11 Feb 1999</w:t>
            </w:r>
            <w:r w:rsidR="0002298F"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1999 No.</w:t>
            </w:r>
            <w:r w:rsidR="00F00002">
              <w:rPr>
                <w:sz w:val="16"/>
                <w:szCs w:val="16"/>
              </w:rPr>
              <w:t> </w:t>
            </w:r>
            <w:r w:rsidRPr="00F00002">
              <w:rPr>
                <w:sz w:val="16"/>
                <w:szCs w:val="16"/>
              </w:rPr>
              <w:t>78</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19</w:t>
            </w:r>
            <w:r w:rsidR="00F00002">
              <w:rPr>
                <w:sz w:val="16"/>
                <w:szCs w:val="16"/>
              </w:rPr>
              <w:t> </w:t>
            </w:r>
            <w:r w:rsidRPr="00F00002">
              <w:rPr>
                <w:sz w:val="16"/>
                <w:szCs w:val="16"/>
              </w:rPr>
              <w:t>May 1999</w:t>
            </w:r>
          </w:p>
        </w:tc>
        <w:tc>
          <w:tcPr>
            <w:tcW w:w="1570" w:type="pct"/>
            <w:shd w:val="clear" w:color="auto" w:fill="auto"/>
          </w:tcPr>
          <w:p w:rsidR="00D150ED" w:rsidRPr="00F00002" w:rsidRDefault="00D150ED" w:rsidP="00FE3C77">
            <w:pPr>
              <w:pStyle w:val="Tabletext"/>
              <w:rPr>
                <w:sz w:val="16"/>
                <w:szCs w:val="16"/>
              </w:rPr>
            </w:pPr>
            <w:r w:rsidRPr="00F00002">
              <w:rPr>
                <w:sz w:val="16"/>
                <w:szCs w:val="16"/>
              </w:rPr>
              <w:t>1</w:t>
            </w:r>
            <w:r w:rsidR="00F00002">
              <w:rPr>
                <w:sz w:val="16"/>
                <w:szCs w:val="16"/>
              </w:rPr>
              <w:t> </w:t>
            </w:r>
            <w:r w:rsidRPr="00F00002">
              <w:rPr>
                <w:sz w:val="16"/>
                <w:szCs w:val="16"/>
              </w:rPr>
              <w:t xml:space="preserve">July </w:t>
            </w:r>
            <w:r w:rsidR="0002298F" w:rsidRPr="00F00002">
              <w:rPr>
                <w:sz w:val="16"/>
                <w:szCs w:val="16"/>
              </w:rPr>
              <w:t>1997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1999 No.</w:t>
            </w:r>
            <w:r w:rsidR="00F00002">
              <w:rPr>
                <w:sz w:val="16"/>
                <w:szCs w:val="16"/>
              </w:rPr>
              <w:t> </w:t>
            </w:r>
            <w:r w:rsidRPr="00F00002">
              <w:rPr>
                <w:sz w:val="16"/>
                <w:szCs w:val="16"/>
              </w:rPr>
              <w:t>147</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30</w:t>
            </w:r>
            <w:r w:rsidR="00F00002">
              <w:rPr>
                <w:sz w:val="16"/>
                <w:szCs w:val="16"/>
              </w:rPr>
              <w:t> </w:t>
            </w:r>
            <w:r w:rsidRPr="00F00002">
              <w:rPr>
                <w:sz w:val="16"/>
                <w:szCs w:val="16"/>
              </w:rPr>
              <w:t>June 1999</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w:t>
            </w:r>
            <w:r w:rsidR="00F00002">
              <w:rPr>
                <w:sz w:val="16"/>
                <w:szCs w:val="16"/>
              </w:rPr>
              <w:t> </w:t>
            </w:r>
            <w:r w:rsidRPr="00F00002">
              <w:rPr>
                <w:sz w:val="16"/>
                <w:szCs w:val="16"/>
              </w:rPr>
              <w:t xml:space="preserve">July 1999 </w:t>
            </w:r>
            <w:r w:rsidR="0002298F" w:rsidRPr="00F00002">
              <w:rPr>
                <w:sz w:val="16"/>
                <w:szCs w:val="16"/>
              </w:rPr>
              <w:t>(r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2000 No.</w:t>
            </w:r>
            <w:r w:rsidR="00F00002">
              <w:rPr>
                <w:sz w:val="16"/>
                <w:szCs w:val="16"/>
              </w:rPr>
              <w:t> </w:t>
            </w:r>
            <w:r w:rsidRPr="00F00002">
              <w:rPr>
                <w:sz w:val="16"/>
                <w:szCs w:val="16"/>
              </w:rPr>
              <w:t>1</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7 Feb 2000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7 Feb 2000</w:t>
            </w:r>
            <w:r w:rsidR="0002298F"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2000 No.</w:t>
            </w:r>
            <w:r w:rsidR="00F00002">
              <w:rPr>
                <w:sz w:val="16"/>
                <w:szCs w:val="16"/>
              </w:rPr>
              <w:t> </w:t>
            </w:r>
            <w:r w:rsidRPr="00F00002">
              <w:rPr>
                <w:sz w:val="16"/>
                <w:szCs w:val="16"/>
              </w:rPr>
              <w:t>128</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22</w:t>
            </w:r>
            <w:r w:rsidR="00F00002">
              <w:rPr>
                <w:sz w:val="16"/>
                <w:szCs w:val="16"/>
              </w:rPr>
              <w:t> </w:t>
            </w:r>
            <w:r w:rsidRPr="00F00002">
              <w:rPr>
                <w:sz w:val="16"/>
                <w:szCs w:val="16"/>
              </w:rPr>
              <w:t>June 2000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22</w:t>
            </w:r>
            <w:r w:rsidR="00F00002">
              <w:rPr>
                <w:sz w:val="16"/>
                <w:szCs w:val="16"/>
              </w:rPr>
              <w:t> </w:t>
            </w:r>
            <w:r w:rsidRPr="00F00002">
              <w:rPr>
                <w:sz w:val="16"/>
                <w:szCs w:val="16"/>
              </w:rPr>
              <w:t>June 2000</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2001 No.</w:t>
            </w:r>
            <w:r w:rsidR="00F00002">
              <w:rPr>
                <w:sz w:val="16"/>
                <w:szCs w:val="16"/>
              </w:rPr>
              <w:t> </w:t>
            </w:r>
            <w:r w:rsidRPr="00F00002">
              <w:rPr>
                <w:sz w:val="16"/>
                <w:szCs w:val="16"/>
              </w:rPr>
              <w:t>18</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13 Feb 2001</w:t>
            </w:r>
          </w:p>
        </w:tc>
        <w:tc>
          <w:tcPr>
            <w:tcW w:w="1570" w:type="pct"/>
            <w:shd w:val="clear" w:color="auto" w:fill="auto"/>
          </w:tcPr>
          <w:p w:rsidR="00D150ED" w:rsidRPr="00F00002" w:rsidRDefault="00D150ED" w:rsidP="00FE3C77">
            <w:pPr>
              <w:pStyle w:val="Tabletext"/>
              <w:rPr>
                <w:sz w:val="16"/>
                <w:szCs w:val="16"/>
              </w:rPr>
            </w:pPr>
            <w:r w:rsidRPr="00F00002">
              <w:rPr>
                <w:sz w:val="16"/>
                <w:szCs w:val="16"/>
              </w:rPr>
              <w:t>1</w:t>
            </w:r>
            <w:r w:rsidR="00F00002">
              <w:rPr>
                <w:sz w:val="16"/>
                <w:szCs w:val="16"/>
              </w:rPr>
              <w:t> </w:t>
            </w:r>
            <w:r w:rsidRPr="00F00002">
              <w:rPr>
                <w:sz w:val="16"/>
                <w:szCs w:val="16"/>
              </w:rPr>
              <w:t>July 1997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2001 No.</w:t>
            </w:r>
            <w:r w:rsidR="00F00002">
              <w:rPr>
                <w:sz w:val="16"/>
                <w:szCs w:val="16"/>
              </w:rPr>
              <w:t> </w:t>
            </w:r>
            <w:r w:rsidRPr="00F00002">
              <w:rPr>
                <w:sz w:val="16"/>
                <w:szCs w:val="16"/>
              </w:rPr>
              <w:t>26</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23 Feb 2001</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23 Feb 2001</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2001 No.</w:t>
            </w:r>
            <w:r w:rsidR="00F00002">
              <w:rPr>
                <w:sz w:val="16"/>
                <w:szCs w:val="16"/>
              </w:rPr>
              <w:t> </w:t>
            </w:r>
            <w:r w:rsidRPr="00F00002">
              <w:rPr>
                <w:sz w:val="16"/>
                <w:szCs w:val="16"/>
              </w:rPr>
              <w:t>288</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5 Oct 2001</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5 Oct 2001</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2001 No.</w:t>
            </w:r>
            <w:r w:rsidR="00F00002">
              <w:rPr>
                <w:sz w:val="16"/>
                <w:szCs w:val="16"/>
              </w:rPr>
              <w:t> </w:t>
            </w:r>
            <w:r w:rsidRPr="00F00002">
              <w:rPr>
                <w:sz w:val="16"/>
                <w:szCs w:val="16"/>
              </w:rPr>
              <w:t>321</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15 Oct 2001</w:t>
            </w:r>
          </w:p>
        </w:tc>
        <w:tc>
          <w:tcPr>
            <w:tcW w:w="1570" w:type="pct"/>
            <w:shd w:val="clear" w:color="auto" w:fill="auto"/>
          </w:tcPr>
          <w:p w:rsidR="00D150ED" w:rsidRPr="00F00002" w:rsidRDefault="00B24BF9" w:rsidP="00EF172C">
            <w:pPr>
              <w:pStyle w:val="Tabletext"/>
              <w:rPr>
                <w:sz w:val="16"/>
                <w:szCs w:val="16"/>
              </w:rPr>
            </w:pPr>
            <w:r w:rsidRPr="00F00002">
              <w:rPr>
                <w:sz w:val="16"/>
                <w:szCs w:val="16"/>
              </w:rPr>
              <w:t xml:space="preserve">Sch 2: </w:t>
            </w:r>
            <w:r w:rsidR="00D150ED" w:rsidRPr="00F00002">
              <w:rPr>
                <w:sz w:val="16"/>
                <w:szCs w:val="16"/>
              </w:rPr>
              <w:t>15 Dec 2001</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2002 No.</w:t>
            </w:r>
            <w:r w:rsidR="00F00002">
              <w:rPr>
                <w:sz w:val="16"/>
                <w:szCs w:val="16"/>
              </w:rPr>
              <w:t> </w:t>
            </w:r>
            <w:r w:rsidRPr="00F00002">
              <w:rPr>
                <w:sz w:val="16"/>
                <w:szCs w:val="16"/>
              </w:rPr>
              <w:t>46</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7 Mar 2002</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7 Mar 2002</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2002 No.</w:t>
            </w:r>
            <w:r w:rsidR="00F00002">
              <w:rPr>
                <w:sz w:val="16"/>
                <w:szCs w:val="16"/>
              </w:rPr>
              <w:t> </w:t>
            </w:r>
            <w:r w:rsidRPr="00F00002">
              <w:rPr>
                <w:sz w:val="16"/>
                <w:szCs w:val="16"/>
              </w:rPr>
              <w:t>65</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5 Apr 2002</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5 Apr 2002</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2002 No.</w:t>
            </w:r>
            <w:r w:rsidR="00F00002">
              <w:rPr>
                <w:sz w:val="16"/>
                <w:szCs w:val="16"/>
              </w:rPr>
              <w:t> </w:t>
            </w:r>
            <w:r w:rsidRPr="00F00002">
              <w:rPr>
                <w:sz w:val="16"/>
                <w:szCs w:val="16"/>
              </w:rPr>
              <w:t>170</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3</w:t>
            </w:r>
            <w:r w:rsidR="00F00002">
              <w:rPr>
                <w:sz w:val="16"/>
                <w:szCs w:val="16"/>
              </w:rPr>
              <w:t> </w:t>
            </w:r>
            <w:r w:rsidRPr="00F00002">
              <w:rPr>
                <w:sz w:val="16"/>
                <w:szCs w:val="16"/>
              </w:rPr>
              <w:t>July 2002</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3</w:t>
            </w:r>
            <w:r w:rsidR="00F00002">
              <w:rPr>
                <w:sz w:val="16"/>
                <w:szCs w:val="16"/>
              </w:rPr>
              <w:t> </w:t>
            </w:r>
            <w:r w:rsidRPr="00F00002">
              <w:rPr>
                <w:sz w:val="16"/>
                <w:szCs w:val="16"/>
              </w:rPr>
              <w:t>July 2002</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2002 No.</w:t>
            </w:r>
            <w:r w:rsidR="00F00002">
              <w:rPr>
                <w:sz w:val="16"/>
                <w:szCs w:val="16"/>
              </w:rPr>
              <w:t> </w:t>
            </w:r>
            <w:r w:rsidRPr="00F00002">
              <w:rPr>
                <w:sz w:val="16"/>
                <w:szCs w:val="16"/>
              </w:rPr>
              <w:t>172</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5</w:t>
            </w:r>
            <w:r w:rsidR="00F00002">
              <w:rPr>
                <w:sz w:val="16"/>
                <w:szCs w:val="16"/>
              </w:rPr>
              <w:t> </w:t>
            </w:r>
            <w:r w:rsidRPr="00F00002">
              <w:rPr>
                <w:sz w:val="16"/>
                <w:szCs w:val="16"/>
              </w:rPr>
              <w:t>July 2002</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5</w:t>
            </w:r>
            <w:r w:rsidR="00F00002">
              <w:rPr>
                <w:sz w:val="16"/>
                <w:szCs w:val="16"/>
              </w:rPr>
              <w:t> </w:t>
            </w:r>
            <w:r w:rsidRPr="00F00002">
              <w:rPr>
                <w:sz w:val="16"/>
                <w:szCs w:val="16"/>
              </w:rPr>
              <w:t>July 2002</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2003 No.</w:t>
            </w:r>
            <w:r w:rsidR="00F00002">
              <w:rPr>
                <w:sz w:val="16"/>
                <w:szCs w:val="16"/>
              </w:rPr>
              <w:t> </w:t>
            </w:r>
            <w:r w:rsidRPr="00F00002">
              <w:rPr>
                <w:sz w:val="16"/>
                <w:szCs w:val="16"/>
              </w:rPr>
              <w:t>39</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27 Mar 2003</w:t>
            </w:r>
          </w:p>
        </w:tc>
        <w:tc>
          <w:tcPr>
            <w:tcW w:w="1570" w:type="pct"/>
            <w:shd w:val="clear" w:color="auto" w:fill="auto"/>
          </w:tcPr>
          <w:p w:rsidR="00D150ED" w:rsidRPr="00F00002" w:rsidRDefault="00BA68DE" w:rsidP="00DB6101">
            <w:pPr>
              <w:pStyle w:val="Tabletext"/>
              <w:rPr>
                <w:sz w:val="16"/>
                <w:szCs w:val="16"/>
              </w:rPr>
            </w:pPr>
            <w:r w:rsidRPr="00F00002">
              <w:rPr>
                <w:sz w:val="16"/>
                <w:szCs w:val="16"/>
              </w:rPr>
              <w:t>Sch 2: 6</w:t>
            </w:r>
            <w:r w:rsidR="00F00002">
              <w:rPr>
                <w:sz w:val="16"/>
                <w:szCs w:val="16"/>
              </w:rPr>
              <w:t> </w:t>
            </w:r>
            <w:r w:rsidRPr="00F00002">
              <w:rPr>
                <w:sz w:val="16"/>
                <w:szCs w:val="16"/>
              </w:rPr>
              <w:t>July 2002 (r 2(</w:t>
            </w:r>
            <w:r w:rsidR="00DB6101" w:rsidRPr="00F00002">
              <w:rPr>
                <w:sz w:val="16"/>
                <w:szCs w:val="16"/>
              </w:rPr>
              <w:t>b</w:t>
            </w:r>
            <w:r w:rsidRPr="00F00002">
              <w:rPr>
                <w:sz w:val="16"/>
                <w:szCs w:val="16"/>
              </w:rPr>
              <w:t>))</w:t>
            </w:r>
            <w:r w:rsidR="00D150ED" w:rsidRPr="00F00002">
              <w:rPr>
                <w:sz w:val="16"/>
                <w:szCs w:val="16"/>
              </w:rPr>
              <w:br/>
              <w:t xml:space="preserve">Remainder: </w:t>
            </w:r>
            <w:r w:rsidR="009B06B1" w:rsidRPr="00F00002">
              <w:rPr>
                <w:sz w:val="16"/>
                <w:szCs w:val="16"/>
              </w:rPr>
              <w:t>1</w:t>
            </w:r>
            <w:r w:rsidR="00F00002">
              <w:rPr>
                <w:sz w:val="16"/>
                <w:szCs w:val="16"/>
              </w:rPr>
              <w:t> </w:t>
            </w:r>
            <w:r w:rsidR="009B06B1" w:rsidRPr="00F00002">
              <w:rPr>
                <w:sz w:val="16"/>
                <w:szCs w:val="16"/>
              </w:rPr>
              <w:t>July 2001 (r 2(a))</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2003 No.</w:t>
            </w:r>
            <w:r w:rsidR="00F00002">
              <w:rPr>
                <w:sz w:val="16"/>
                <w:szCs w:val="16"/>
              </w:rPr>
              <w:t> </w:t>
            </w:r>
            <w:r w:rsidRPr="00F00002">
              <w:rPr>
                <w:sz w:val="16"/>
                <w:szCs w:val="16"/>
              </w:rPr>
              <w:t>40</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27 Mar 2003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27 Mar 2003</w:t>
            </w:r>
            <w:r w:rsidR="00E007D1"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2003 No.</w:t>
            </w:r>
            <w:r w:rsidR="00F00002">
              <w:rPr>
                <w:sz w:val="16"/>
                <w:szCs w:val="16"/>
              </w:rPr>
              <w:t> </w:t>
            </w:r>
            <w:r w:rsidRPr="00F00002">
              <w:rPr>
                <w:sz w:val="16"/>
                <w:szCs w:val="16"/>
              </w:rPr>
              <w:t>108</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4</w:t>
            </w:r>
            <w:r w:rsidR="00F00002">
              <w:rPr>
                <w:sz w:val="16"/>
                <w:szCs w:val="16"/>
              </w:rPr>
              <w:t> </w:t>
            </w:r>
            <w:r w:rsidRPr="00F00002">
              <w:rPr>
                <w:sz w:val="16"/>
                <w:szCs w:val="16"/>
              </w:rPr>
              <w:t>June 2003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4</w:t>
            </w:r>
            <w:r w:rsidR="00F00002">
              <w:rPr>
                <w:sz w:val="16"/>
                <w:szCs w:val="16"/>
              </w:rPr>
              <w:t> </w:t>
            </w:r>
            <w:r w:rsidRPr="00F00002">
              <w:rPr>
                <w:sz w:val="16"/>
                <w:szCs w:val="16"/>
              </w:rPr>
              <w:t>June 2003</w:t>
            </w:r>
            <w:r w:rsidR="008803E6"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2003 No.</w:t>
            </w:r>
            <w:r w:rsidR="00F00002">
              <w:rPr>
                <w:sz w:val="16"/>
                <w:szCs w:val="16"/>
              </w:rPr>
              <w:t> </w:t>
            </w:r>
            <w:r w:rsidRPr="00F00002">
              <w:rPr>
                <w:sz w:val="16"/>
                <w:szCs w:val="16"/>
              </w:rPr>
              <w:t>373</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23 Dec 2003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23 Dec 2003</w:t>
            </w:r>
            <w:r w:rsidR="008803E6"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2004 No.</w:t>
            </w:r>
            <w:r w:rsidR="00F00002">
              <w:rPr>
                <w:sz w:val="16"/>
                <w:szCs w:val="16"/>
              </w:rPr>
              <w:t> </w:t>
            </w:r>
            <w:r w:rsidRPr="00F00002">
              <w:rPr>
                <w:sz w:val="16"/>
                <w:szCs w:val="16"/>
              </w:rPr>
              <w:t>52</w:t>
            </w:r>
          </w:p>
        </w:tc>
        <w:tc>
          <w:tcPr>
            <w:tcW w:w="1240" w:type="pct"/>
            <w:shd w:val="clear" w:color="auto" w:fill="auto"/>
          </w:tcPr>
          <w:p w:rsidR="00D150ED" w:rsidRPr="00F00002" w:rsidRDefault="00D150ED" w:rsidP="00D150ED">
            <w:pPr>
              <w:pStyle w:val="Tabletext"/>
              <w:rPr>
                <w:sz w:val="16"/>
                <w:szCs w:val="16"/>
              </w:rPr>
            </w:pPr>
            <w:r w:rsidRPr="00F00002">
              <w:rPr>
                <w:sz w:val="16"/>
                <w:szCs w:val="16"/>
              </w:rPr>
              <w:t>30 Mar 2004</w:t>
            </w:r>
          </w:p>
        </w:tc>
        <w:tc>
          <w:tcPr>
            <w:tcW w:w="1570" w:type="pct"/>
            <w:shd w:val="clear" w:color="auto" w:fill="auto"/>
          </w:tcPr>
          <w:p w:rsidR="00D150ED" w:rsidRPr="00F00002" w:rsidRDefault="00D150ED" w:rsidP="00D150ED">
            <w:pPr>
              <w:pStyle w:val="Tabletext"/>
              <w:rPr>
                <w:sz w:val="16"/>
                <w:szCs w:val="16"/>
              </w:rPr>
            </w:pPr>
            <w:r w:rsidRPr="00F00002">
              <w:rPr>
                <w:sz w:val="16"/>
                <w:szCs w:val="16"/>
              </w:rPr>
              <w:t>30 Mar 2004</w:t>
            </w:r>
            <w:r w:rsidR="00F62DEE" w:rsidRPr="00F00002">
              <w:rPr>
                <w:sz w:val="16"/>
                <w:szCs w:val="16"/>
              </w:rPr>
              <w:t xml:space="preserve"> (r 2)</w:t>
            </w:r>
          </w:p>
        </w:tc>
        <w:tc>
          <w:tcPr>
            <w:tcW w:w="1177" w:type="pct"/>
            <w:shd w:val="clear" w:color="auto" w:fill="auto"/>
          </w:tcPr>
          <w:p w:rsidR="00D150ED" w:rsidRPr="00F00002" w:rsidRDefault="00D150ED" w:rsidP="00D150ED">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2004 No.</w:t>
            </w:r>
            <w:r w:rsidR="00F00002">
              <w:rPr>
                <w:sz w:val="16"/>
                <w:szCs w:val="16"/>
              </w:rPr>
              <w:t> </w:t>
            </w:r>
            <w:r w:rsidRPr="00F00002">
              <w:rPr>
                <w:sz w:val="16"/>
                <w:szCs w:val="16"/>
              </w:rPr>
              <w:t>278</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26 Aug 2004</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26 Aug 2004</w:t>
            </w:r>
            <w:r w:rsidR="00395A2D"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2004 No.</w:t>
            </w:r>
            <w:r w:rsidR="00F00002">
              <w:rPr>
                <w:sz w:val="16"/>
                <w:szCs w:val="16"/>
              </w:rPr>
              <w:t> </w:t>
            </w:r>
            <w:r w:rsidRPr="00F00002">
              <w:rPr>
                <w:sz w:val="16"/>
                <w:szCs w:val="16"/>
              </w:rPr>
              <w:t>303</w:t>
            </w:r>
          </w:p>
        </w:tc>
        <w:tc>
          <w:tcPr>
            <w:tcW w:w="1240" w:type="pct"/>
            <w:shd w:val="clear" w:color="auto" w:fill="auto"/>
          </w:tcPr>
          <w:p w:rsidR="00D150ED" w:rsidRPr="00F00002" w:rsidRDefault="00D150ED" w:rsidP="00EF172C">
            <w:pPr>
              <w:pStyle w:val="Tabletext"/>
              <w:rPr>
                <w:sz w:val="16"/>
                <w:szCs w:val="16"/>
              </w:rPr>
            </w:pPr>
            <w:r w:rsidRPr="00F00002">
              <w:rPr>
                <w:sz w:val="16"/>
                <w:szCs w:val="16"/>
              </w:rPr>
              <w:t>7 Sept 2004</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7 Sept 2004</w:t>
            </w:r>
            <w:r w:rsidR="0059493C" w:rsidRPr="00F00002">
              <w:rPr>
                <w:sz w:val="16"/>
                <w:szCs w:val="16"/>
              </w:rPr>
              <w:t xml:space="preserve"> (r 2)</w:t>
            </w:r>
          </w:p>
        </w:tc>
        <w:tc>
          <w:tcPr>
            <w:tcW w:w="1177" w:type="pct"/>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2004 No.</w:t>
            </w:r>
            <w:r w:rsidR="00F00002">
              <w:rPr>
                <w:sz w:val="16"/>
                <w:szCs w:val="16"/>
              </w:rPr>
              <w:t> </w:t>
            </w:r>
            <w:r w:rsidRPr="00F00002">
              <w:rPr>
                <w:sz w:val="16"/>
                <w:szCs w:val="16"/>
              </w:rPr>
              <w:t>330</w:t>
            </w:r>
          </w:p>
        </w:tc>
        <w:tc>
          <w:tcPr>
            <w:tcW w:w="1240"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25 Nov 2004</w:t>
            </w:r>
          </w:p>
        </w:tc>
        <w:tc>
          <w:tcPr>
            <w:tcW w:w="1570"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25 Nov 2004</w:t>
            </w:r>
            <w:r w:rsidR="000C5F42" w:rsidRPr="00F00002">
              <w:rPr>
                <w:sz w:val="16"/>
                <w:szCs w:val="16"/>
              </w:rPr>
              <w:t xml:space="preserve"> (r 2)</w:t>
            </w:r>
          </w:p>
        </w:tc>
        <w:tc>
          <w:tcPr>
            <w:tcW w:w="1177"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tcBorders>
              <w:bottom w:val="single" w:sz="4" w:space="0" w:color="auto"/>
            </w:tcBorders>
            <w:shd w:val="clear" w:color="auto" w:fill="auto"/>
          </w:tcPr>
          <w:p w:rsidR="00D150ED" w:rsidRPr="00F00002" w:rsidRDefault="00D150ED" w:rsidP="00D150ED">
            <w:pPr>
              <w:pStyle w:val="Tabletext"/>
              <w:rPr>
                <w:sz w:val="16"/>
                <w:szCs w:val="16"/>
              </w:rPr>
            </w:pPr>
            <w:bookmarkStart w:id="257" w:name="CU_25227760"/>
            <w:bookmarkStart w:id="258" w:name="CU_25224716"/>
            <w:bookmarkEnd w:id="257"/>
            <w:bookmarkEnd w:id="258"/>
            <w:r w:rsidRPr="00F00002">
              <w:rPr>
                <w:sz w:val="16"/>
                <w:szCs w:val="16"/>
              </w:rPr>
              <w:t>2005 No.</w:t>
            </w:r>
            <w:r w:rsidR="00F00002">
              <w:rPr>
                <w:sz w:val="16"/>
                <w:szCs w:val="16"/>
              </w:rPr>
              <w:t> </w:t>
            </w:r>
            <w:r w:rsidRPr="00F00002">
              <w:rPr>
                <w:sz w:val="16"/>
                <w:szCs w:val="16"/>
              </w:rPr>
              <w:t>22</w:t>
            </w:r>
          </w:p>
        </w:tc>
        <w:tc>
          <w:tcPr>
            <w:tcW w:w="1240" w:type="pct"/>
            <w:tcBorders>
              <w:bottom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28 Feb 2005 (F2005L00314)</w:t>
            </w:r>
          </w:p>
        </w:tc>
        <w:tc>
          <w:tcPr>
            <w:tcW w:w="1570" w:type="pct"/>
            <w:tcBorders>
              <w:bottom w:val="single" w:sz="4" w:space="0" w:color="auto"/>
            </w:tcBorders>
            <w:shd w:val="clear" w:color="auto" w:fill="auto"/>
          </w:tcPr>
          <w:p w:rsidR="00D150ED" w:rsidRPr="00F00002" w:rsidRDefault="00D150ED" w:rsidP="00D150ED">
            <w:pPr>
              <w:pStyle w:val="Tabletext"/>
              <w:rPr>
                <w:sz w:val="16"/>
                <w:szCs w:val="16"/>
              </w:rPr>
            </w:pPr>
            <w:r w:rsidRPr="00F00002">
              <w:rPr>
                <w:sz w:val="16"/>
                <w:szCs w:val="16"/>
              </w:rPr>
              <w:t>1 Mar 2005</w:t>
            </w:r>
            <w:r w:rsidR="00F1197C" w:rsidRPr="00F00002">
              <w:rPr>
                <w:sz w:val="16"/>
                <w:szCs w:val="16"/>
              </w:rPr>
              <w:t xml:space="preserve"> (r 2)</w:t>
            </w:r>
          </w:p>
        </w:tc>
        <w:tc>
          <w:tcPr>
            <w:tcW w:w="1177" w:type="pct"/>
            <w:tcBorders>
              <w:bottom w:val="single" w:sz="4" w:space="0" w:color="auto"/>
            </w:tcBorders>
            <w:shd w:val="clear" w:color="auto" w:fill="auto"/>
          </w:tcPr>
          <w:p w:rsidR="00D150ED" w:rsidRPr="00F00002" w:rsidRDefault="00D150ED" w:rsidP="00D150ED">
            <w:pPr>
              <w:pStyle w:val="Tabletext"/>
              <w:rPr>
                <w:sz w:val="16"/>
                <w:szCs w:val="16"/>
              </w:rPr>
            </w:pPr>
            <w:r w:rsidRPr="00F00002">
              <w:rPr>
                <w:sz w:val="16"/>
                <w:szCs w:val="16"/>
              </w:rPr>
              <w:t>—</w:t>
            </w:r>
          </w:p>
        </w:tc>
      </w:tr>
      <w:tr w:rsidR="00D150ED" w:rsidRPr="00F00002" w:rsidTr="000505B9">
        <w:trPr>
          <w:cantSplit/>
        </w:trPr>
        <w:tc>
          <w:tcPr>
            <w:tcW w:w="1013"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2005 No.</w:t>
            </w:r>
            <w:r w:rsidR="00F00002">
              <w:rPr>
                <w:sz w:val="16"/>
                <w:szCs w:val="16"/>
              </w:rPr>
              <w:t> </w:t>
            </w:r>
            <w:r w:rsidRPr="00F00002">
              <w:rPr>
                <w:sz w:val="16"/>
                <w:szCs w:val="16"/>
              </w:rPr>
              <w:t>75</w:t>
            </w:r>
          </w:p>
        </w:tc>
        <w:tc>
          <w:tcPr>
            <w:tcW w:w="1240" w:type="pct"/>
            <w:tcBorders>
              <w:top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27 Apr 2005 (F2005L00940)</w:t>
            </w:r>
          </w:p>
        </w:tc>
        <w:tc>
          <w:tcPr>
            <w:tcW w:w="1570" w:type="pct"/>
            <w:tcBorders>
              <w:top w:val="single" w:sz="4" w:space="0" w:color="auto"/>
            </w:tcBorders>
            <w:shd w:val="clear" w:color="auto" w:fill="auto"/>
          </w:tcPr>
          <w:p w:rsidR="00D150ED" w:rsidRPr="00F00002" w:rsidRDefault="00F1197C" w:rsidP="00FE3C77">
            <w:pPr>
              <w:pStyle w:val="Tabletext"/>
              <w:rPr>
                <w:sz w:val="16"/>
                <w:szCs w:val="16"/>
              </w:rPr>
            </w:pPr>
            <w:r w:rsidRPr="00F00002">
              <w:rPr>
                <w:sz w:val="16"/>
                <w:szCs w:val="16"/>
              </w:rPr>
              <w:t>Sch 2</w:t>
            </w:r>
            <w:r w:rsidR="00D150ED" w:rsidRPr="00F00002">
              <w:rPr>
                <w:sz w:val="16"/>
                <w:szCs w:val="16"/>
              </w:rPr>
              <w:t>: 28 Apr 2005</w:t>
            </w:r>
            <w:r w:rsidR="001C5DF6" w:rsidRPr="00F00002">
              <w:rPr>
                <w:sz w:val="16"/>
                <w:szCs w:val="16"/>
              </w:rPr>
              <w:t xml:space="preserve"> (s 2(b))</w:t>
            </w:r>
            <w:r w:rsidRPr="00F00002">
              <w:rPr>
                <w:sz w:val="16"/>
                <w:szCs w:val="16"/>
              </w:rPr>
              <w:br/>
              <w:t>Remainder: 1</w:t>
            </w:r>
            <w:r w:rsidR="00F00002">
              <w:rPr>
                <w:sz w:val="16"/>
                <w:szCs w:val="16"/>
              </w:rPr>
              <w:t> </w:t>
            </w:r>
            <w:r w:rsidRPr="00F00002">
              <w:rPr>
                <w:sz w:val="16"/>
                <w:szCs w:val="16"/>
              </w:rPr>
              <w:t>July 2003</w:t>
            </w:r>
            <w:r w:rsidR="001C5DF6" w:rsidRPr="00F00002">
              <w:rPr>
                <w:sz w:val="16"/>
                <w:szCs w:val="16"/>
              </w:rPr>
              <w:t xml:space="preserve"> (s 2(a))</w:t>
            </w:r>
          </w:p>
        </w:tc>
        <w:tc>
          <w:tcPr>
            <w:tcW w:w="1177"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2005 No.</w:t>
            </w:r>
            <w:r w:rsidR="00F00002">
              <w:rPr>
                <w:sz w:val="16"/>
                <w:szCs w:val="16"/>
              </w:rPr>
              <w:t> </w:t>
            </w:r>
            <w:r w:rsidRPr="00F00002">
              <w:rPr>
                <w:sz w:val="16"/>
                <w:szCs w:val="16"/>
              </w:rPr>
              <w:t>102</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26</w:t>
            </w:r>
            <w:r w:rsidR="00F00002">
              <w:rPr>
                <w:sz w:val="16"/>
                <w:szCs w:val="16"/>
              </w:rPr>
              <w:t> </w:t>
            </w:r>
            <w:r w:rsidRPr="00F00002">
              <w:rPr>
                <w:sz w:val="16"/>
                <w:szCs w:val="16"/>
              </w:rPr>
              <w:t>May 2005 (F2005L01200)</w:t>
            </w:r>
          </w:p>
        </w:tc>
        <w:tc>
          <w:tcPr>
            <w:tcW w:w="1570" w:type="pct"/>
            <w:shd w:val="clear" w:color="auto" w:fill="auto"/>
          </w:tcPr>
          <w:p w:rsidR="00D150ED" w:rsidRPr="00F00002" w:rsidRDefault="00BE4DCA" w:rsidP="00FE3C77">
            <w:pPr>
              <w:pStyle w:val="Tabletext"/>
              <w:rPr>
                <w:sz w:val="16"/>
                <w:szCs w:val="16"/>
              </w:rPr>
            </w:pPr>
            <w:r w:rsidRPr="00F00002">
              <w:rPr>
                <w:sz w:val="16"/>
                <w:szCs w:val="16"/>
              </w:rPr>
              <w:t>Sch 2</w:t>
            </w:r>
            <w:r w:rsidR="00D150ED" w:rsidRPr="00F00002">
              <w:rPr>
                <w:sz w:val="16"/>
                <w:szCs w:val="16"/>
              </w:rPr>
              <w:t>: 27</w:t>
            </w:r>
            <w:r w:rsidR="00F00002">
              <w:rPr>
                <w:sz w:val="16"/>
                <w:szCs w:val="16"/>
              </w:rPr>
              <w:t> </w:t>
            </w:r>
            <w:r w:rsidR="00D150ED" w:rsidRPr="00F00002">
              <w:rPr>
                <w:sz w:val="16"/>
                <w:szCs w:val="16"/>
              </w:rPr>
              <w:t>May 2005</w:t>
            </w:r>
            <w:r w:rsidR="001C5DF6" w:rsidRPr="00F00002">
              <w:rPr>
                <w:sz w:val="16"/>
                <w:szCs w:val="16"/>
              </w:rPr>
              <w:t xml:space="preserve"> (s 2(b))</w:t>
            </w:r>
            <w:r w:rsidRPr="00F00002">
              <w:rPr>
                <w:sz w:val="16"/>
                <w:szCs w:val="16"/>
              </w:rPr>
              <w:br/>
              <w:t>Remainder: 1</w:t>
            </w:r>
            <w:r w:rsidR="00F00002">
              <w:rPr>
                <w:sz w:val="16"/>
                <w:szCs w:val="16"/>
              </w:rPr>
              <w:t> </w:t>
            </w:r>
            <w:r w:rsidRPr="00F00002">
              <w:rPr>
                <w:sz w:val="16"/>
                <w:szCs w:val="16"/>
              </w:rPr>
              <w:t>July 2001</w:t>
            </w:r>
            <w:r w:rsidR="001C5DF6" w:rsidRPr="00F00002">
              <w:rPr>
                <w:sz w:val="16"/>
                <w:szCs w:val="16"/>
              </w:rPr>
              <w:t xml:space="preserve"> (s 2(a))</w:t>
            </w:r>
          </w:p>
        </w:tc>
        <w:tc>
          <w:tcPr>
            <w:tcW w:w="1177" w:type="pct"/>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2005 No.</w:t>
            </w:r>
            <w:r w:rsidR="00F00002">
              <w:rPr>
                <w:sz w:val="16"/>
                <w:szCs w:val="16"/>
              </w:rPr>
              <w:t> </w:t>
            </w:r>
            <w:r w:rsidRPr="00F00002">
              <w:rPr>
                <w:sz w:val="16"/>
                <w:szCs w:val="16"/>
              </w:rPr>
              <w:t>207</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19 Sept 2005 (F2005L02673)</w:t>
            </w:r>
          </w:p>
        </w:tc>
        <w:tc>
          <w:tcPr>
            <w:tcW w:w="1570" w:type="pct"/>
            <w:shd w:val="clear" w:color="auto" w:fill="auto"/>
          </w:tcPr>
          <w:p w:rsidR="00D150ED" w:rsidRPr="00F00002" w:rsidRDefault="00A8330B" w:rsidP="00A8330B">
            <w:pPr>
              <w:pStyle w:val="Tabletext"/>
              <w:rPr>
                <w:sz w:val="16"/>
                <w:szCs w:val="16"/>
              </w:rPr>
            </w:pPr>
            <w:r w:rsidRPr="00F00002">
              <w:rPr>
                <w:sz w:val="16"/>
                <w:szCs w:val="16"/>
              </w:rPr>
              <w:t>Sch 1 (item</w:t>
            </w:r>
            <w:r w:rsidR="00F00002">
              <w:rPr>
                <w:sz w:val="16"/>
                <w:szCs w:val="16"/>
              </w:rPr>
              <w:t> </w:t>
            </w:r>
            <w:r w:rsidRPr="00F00002">
              <w:rPr>
                <w:sz w:val="16"/>
                <w:szCs w:val="16"/>
              </w:rPr>
              <w:t xml:space="preserve">54): </w:t>
            </w:r>
            <w:r w:rsidR="00D150ED" w:rsidRPr="00F00002">
              <w:rPr>
                <w:sz w:val="16"/>
                <w:szCs w:val="16"/>
              </w:rPr>
              <w:t>1 Oct 2005 (r</w:t>
            </w:r>
            <w:r w:rsidRPr="00F00002">
              <w:rPr>
                <w:sz w:val="16"/>
                <w:szCs w:val="16"/>
              </w:rPr>
              <w:t> </w:t>
            </w:r>
            <w:r w:rsidR="00D150ED" w:rsidRPr="00F00002">
              <w:rPr>
                <w:sz w:val="16"/>
                <w:szCs w:val="16"/>
              </w:rPr>
              <w:t>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2005 No.</w:t>
            </w:r>
            <w:r w:rsidR="00F00002">
              <w:rPr>
                <w:sz w:val="16"/>
                <w:szCs w:val="16"/>
              </w:rPr>
              <w:t> </w:t>
            </w:r>
            <w:r w:rsidRPr="00F00002">
              <w:rPr>
                <w:sz w:val="16"/>
                <w:szCs w:val="16"/>
              </w:rPr>
              <w:t>328</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19 Dec 2005 (F2005L04023)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20 Dec 2005</w:t>
            </w:r>
            <w:r w:rsidR="00525825" w:rsidRPr="00F00002">
              <w:rPr>
                <w:sz w:val="16"/>
                <w:szCs w:val="16"/>
              </w:rPr>
              <w:t xml:space="preserve"> (r 2)</w:t>
            </w:r>
          </w:p>
        </w:tc>
        <w:tc>
          <w:tcPr>
            <w:tcW w:w="1177" w:type="pct"/>
            <w:shd w:val="clear" w:color="auto" w:fill="auto"/>
          </w:tcPr>
          <w:p w:rsidR="00D150ED" w:rsidRPr="00F00002" w:rsidRDefault="00D150ED" w:rsidP="00D150ED">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2006 No.</w:t>
            </w:r>
            <w:r w:rsidR="00F00002">
              <w:rPr>
                <w:sz w:val="16"/>
                <w:szCs w:val="16"/>
              </w:rPr>
              <w:t> </w:t>
            </w:r>
            <w:r w:rsidRPr="00F00002">
              <w:rPr>
                <w:sz w:val="16"/>
                <w:szCs w:val="16"/>
              </w:rPr>
              <w:t>60</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22 Mar 2006 (F2006L00800)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23 Mar 2006</w:t>
            </w:r>
            <w:r w:rsidR="00525825" w:rsidRPr="00F00002">
              <w:rPr>
                <w:sz w:val="16"/>
                <w:szCs w:val="16"/>
              </w:rPr>
              <w:t xml:space="preserve"> (r 2)</w:t>
            </w:r>
          </w:p>
        </w:tc>
        <w:tc>
          <w:tcPr>
            <w:tcW w:w="1177" w:type="pct"/>
            <w:shd w:val="clear" w:color="auto" w:fill="auto"/>
          </w:tcPr>
          <w:p w:rsidR="00D150ED" w:rsidRPr="00F00002" w:rsidRDefault="00D150ED" w:rsidP="00D150ED">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lastRenderedPageBreak/>
              <w:t>2006 No.</w:t>
            </w:r>
            <w:r w:rsidR="00F00002">
              <w:rPr>
                <w:sz w:val="16"/>
                <w:szCs w:val="16"/>
              </w:rPr>
              <w:t> </w:t>
            </w:r>
            <w:r w:rsidRPr="00F00002">
              <w:rPr>
                <w:sz w:val="16"/>
                <w:szCs w:val="16"/>
              </w:rPr>
              <w:t>61</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22 Mar 2006 (F2006L00821)</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23 Mar 2006</w:t>
            </w:r>
            <w:r w:rsidR="00525825" w:rsidRPr="00F00002">
              <w:rPr>
                <w:sz w:val="16"/>
                <w:szCs w:val="16"/>
              </w:rPr>
              <w:t xml:space="preserve"> (r 2)</w:t>
            </w:r>
          </w:p>
        </w:tc>
        <w:tc>
          <w:tcPr>
            <w:tcW w:w="1177" w:type="pct"/>
            <w:shd w:val="clear" w:color="auto" w:fill="auto"/>
          </w:tcPr>
          <w:p w:rsidR="00D150ED" w:rsidRPr="00F00002" w:rsidRDefault="00D150ED" w:rsidP="00D150ED">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2006 No.</w:t>
            </w:r>
            <w:r w:rsidR="00F00002">
              <w:rPr>
                <w:sz w:val="16"/>
                <w:szCs w:val="16"/>
              </w:rPr>
              <w:t> </w:t>
            </w:r>
            <w:r w:rsidRPr="00F00002">
              <w:rPr>
                <w:sz w:val="16"/>
                <w:szCs w:val="16"/>
              </w:rPr>
              <w:t>216</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14 Aug 2006 (F2006L02613)</w:t>
            </w:r>
          </w:p>
        </w:tc>
        <w:tc>
          <w:tcPr>
            <w:tcW w:w="1570" w:type="pct"/>
            <w:shd w:val="clear" w:color="auto" w:fill="auto"/>
          </w:tcPr>
          <w:p w:rsidR="00D150ED" w:rsidRPr="00F00002" w:rsidRDefault="00D150ED" w:rsidP="00D516E5">
            <w:pPr>
              <w:pStyle w:val="Tabletext"/>
              <w:rPr>
                <w:sz w:val="16"/>
                <w:szCs w:val="16"/>
              </w:rPr>
            </w:pPr>
            <w:r w:rsidRPr="00F00002">
              <w:rPr>
                <w:sz w:val="16"/>
                <w:szCs w:val="16"/>
              </w:rPr>
              <w:t>Sch</w:t>
            </w:r>
            <w:r w:rsidR="00135C25" w:rsidRPr="00F00002">
              <w:rPr>
                <w:sz w:val="16"/>
                <w:szCs w:val="16"/>
              </w:rPr>
              <w:t> </w:t>
            </w:r>
            <w:r w:rsidR="00D516E5" w:rsidRPr="00F00002">
              <w:rPr>
                <w:sz w:val="16"/>
                <w:szCs w:val="16"/>
              </w:rPr>
              <w:t>1</w:t>
            </w:r>
            <w:r w:rsidRPr="00F00002">
              <w:rPr>
                <w:sz w:val="16"/>
                <w:szCs w:val="16"/>
              </w:rPr>
              <w:t>: 14 Sept 2006 (r 2(a))</w:t>
            </w:r>
          </w:p>
        </w:tc>
        <w:tc>
          <w:tcPr>
            <w:tcW w:w="1177" w:type="pct"/>
            <w:shd w:val="clear" w:color="auto" w:fill="auto"/>
          </w:tcPr>
          <w:p w:rsidR="00D150ED" w:rsidRPr="00F00002" w:rsidRDefault="00D150ED" w:rsidP="00FE3C77">
            <w:pPr>
              <w:pStyle w:val="Tabletext"/>
              <w:rPr>
                <w:sz w:val="16"/>
                <w:szCs w:val="16"/>
              </w:rPr>
            </w:pP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2006 No.</w:t>
            </w:r>
            <w:r w:rsidR="00F00002">
              <w:rPr>
                <w:sz w:val="16"/>
                <w:szCs w:val="16"/>
              </w:rPr>
              <w:t> </w:t>
            </w:r>
            <w:r w:rsidRPr="00F00002">
              <w:rPr>
                <w:sz w:val="16"/>
                <w:szCs w:val="16"/>
              </w:rPr>
              <w:t>306</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17 Nov 2006 (F2006L03670)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18 Nov 2006</w:t>
            </w:r>
            <w:r w:rsidR="00525825"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2006 No.</w:t>
            </w:r>
            <w:r w:rsidR="00F00002">
              <w:rPr>
                <w:sz w:val="16"/>
                <w:szCs w:val="16"/>
              </w:rPr>
              <w:t> </w:t>
            </w:r>
            <w:r w:rsidRPr="00F00002">
              <w:rPr>
                <w:sz w:val="16"/>
                <w:szCs w:val="16"/>
              </w:rPr>
              <w:t>367</w:t>
            </w:r>
          </w:p>
        </w:tc>
        <w:tc>
          <w:tcPr>
            <w:tcW w:w="1240" w:type="pct"/>
            <w:shd w:val="clear" w:color="auto" w:fill="auto"/>
          </w:tcPr>
          <w:p w:rsidR="00D150ED" w:rsidRPr="00F00002" w:rsidRDefault="00D150ED" w:rsidP="00F200E7">
            <w:pPr>
              <w:pStyle w:val="Tabletext"/>
              <w:rPr>
                <w:sz w:val="16"/>
                <w:szCs w:val="16"/>
              </w:rPr>
            </w:pPr>
            <w:r w:rsidRPr="00F00002">
              <w:rPr>
                <w:sz w:val="16"/>
                <w:szCs w:val="16"/>
              </w:rPr>
              <w:t>14 Dec 2006 (F2006L03995)</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10</w:t>
            </w:r>
            <w:r w:rsidR="00F00002">
              <w:rPr>
                <w:sz w:val="16"/>
                <w:szCs w:val="16"/>
              </w:rPr>
              <w:t> </w:t>
            </w:r>
            <w:r w:rsidRPr="00F00002">
              <w:rPr>
                <w:sz w:val="16"/>
                <w:szCs w:val="16"/>
              </w:rPr>
              <w:t>June 2005</w:t>
            </w:r>
            <w:r w:rsidR="00525825"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2006 No.</w:t>
            </w:r>
            <w:r w:rsidR="00F00002">
              <w:rPr>
                <w:sz w:val="16"/>
                <w:szCs w:val="16"/>
              </w:rPr>
              <w:t> </w:t>
            </w:r>
            <w:r w:rsidRPr="00F00002">
              <w:rPr>
                <w:sz w:val="16"/>
                <w:szCs w:val="16"/>
              </w:rPr>
              <w:t>368</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14 Dec 2006 (F2006L04000)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15 Dec 2006</w:t>
            </w:r>
            <w:r w:rsidR="0078242F"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44</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23 Mar 2007 (F2007L00581)</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24 Mar 2007</w:t>
            </w:r>
            <w:r w:rsidR="00655E4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90</w:t>
            </w:r>
          </w:p>
        </w:tc>
        <w:tc>
          <w:tcPr>
            <w:tcW w:w="1240" w:type="pct"/>
            <w:tcBorders>
              <w:bottom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13 Apr 2007 (F2007L00956)</w:t>
            </w:r>
          </w:p>
        </w:tc>
        <w:tc>
          <w:tcPr>
            <w:tcW w:w="1570" w:type="pct"/>
            <w:tcBorders>
              <w:bottom w:val="single" w:sz="4" w:space="0" w:color="auto"/>
            </w:tcBorders>
            <w:shd w:val="clear" w:color="auto" w:fill="auto"/>
          </w:tcPr>
          <w:p w:rsidR="00D150ED" w:rsidRPr="00F00002" w:rsidRDefault="00672E95" w:rsidP="000A4D2C">
            <w:pPr>
              <w:pStyle w:val="Tabletext"/>
              <w:rPr>
                <w:sz w:val="16"/>
                <w:szCs w:val="16"/>
              </w:rPr>
            </w:pPr>
            <w:r w:rsidRPr="00F00002">
              <w:rPr>
                <w:sz w:val="16"/>
                <w:szCs w:val="16"/>
              </w:rPr>
              <w:t>r</w:t>
            </w:r>
            <w:r w:rsidR="00135C25" w:rsidRPr="00F00002">
              <w:rPr>
                <w:sz w:val="16"/>
                <w:szCs w:val="16"/>
              </w:rPr>
              <w:t> </w:t>
            </w:r>
            <w:r w:rsidR="00D150ED" w:rsidRPr="00F00002">
              <w:rPr>
                <w:sz w:val="16"/>
                <w:szCs w:val="16"/>
              </w:rPr>
              <w:t>1–3 and Sch</w:t>
            </w:r>
            <w:r w:rsidR="00135C25" w:rsidRPr="00F00002">
              <w:rPr>
                <w:sz w:val="16"/>
                <w:szCs w:val="16"/>
              </w:rPr>
              <w:t> </w:t>
            </w:r>
            <w:r w:rsidR="00D150ED" w:rsidRPr="00F00002">
              <w:rPr>
                <w:sz w:val="16"/>
                <w:szCs w:val="16"/>
              </w:rPr>
              <w:t>1: 14 Apr 2007</w:t>
            </w:r>
            <w:r w:rsidR="002D2D8E" w:rsidRPr="00F00002">
              <w:rPr>
                <w:sz w:val="16"/>
                <w:szCs w:val="16"/>
              </w:rPr>
              <w:t xml:space="preserve"> (</w:t>
            </w:r>
            <w:r w:rsidR="00E007D1" w:rsidRPr="00F00002">
              <w:rPr>
                <w:sz w:val="16"/>
                <w:szCs w:val="16"/>
              </w:rPr>
              <w:t>r</w:t>
            </w:r>
            <w:r w:rsidR="000A4D2C" w:rsidRPr="00F00002">
              <w:rPr>
                <w:sz w:val="16"/>
                <w:szCs w:val="16"/>
              </w:rPr>
              <w:t> </w:t>
            </w:r>
            <w:r w:rsidR="002D2D8E" w:rsidRPr="00F00002">
              <w:rPr>
                <w:sz w:val="16"/>
                <w:szCs w:val="16"/>
              </w:rPr>
              <w:t>2(a))</w:t>
            </w:r>
            <w:r w:rsidR="00D150ED" w:rsidRPr="00F00002">
              <w:rPr>
                <w:sz w:val="16"/>
                <w:szCs w:val="16"/>
              </w:rPr>
              <w:br/>
              <w:t xml:space="preserve">Remainder: </w:t>
            </w:r>
            <w:r w:rsidR="002D2D8E" w:rsidRPr="00F00002">
              <w:rPr>
                <w:sz w:val="16"/>
                <w:szCs w:val="16"/>
              </w:rPr>
              <w:t>1</w:t>
            </w:r>
            <w:r w:rsidR="00F00002">
              <w:rPr>
                <w:sz w:val="16"/>
                <w:szCs w:val="16"/>
              </w:rPr>
              <w:t> </w:t>
            </w:r>
            <w:r w:rsidR="002D2D8E" w:rsidRPr="00F00002">
              <w:rPr>
                <w:sz w:val="16"/>
                <w:szCs w:val="16"/>
              </w:rPr>
              <w:t>July 2007 (</w:t>
            </w:r>
            <w:r w:rsidR="00E007D1" w:rsidRPr="00F00002">
              <w:rPr>
                <w:sz w:val="16"/>
                <w:szCs w:val="16"/>
              </w:rPr>
              <w:t>r</w:t>
            </w:r>
            <w:r w:rsidR="002D2D8E" w:rsidRPr="00F00002">
              <w:rPr>
                <w:sz w:val="16"/>
                <w:szCs w:val="16"/>
              </w:rPr>
              <w:t xml:space="preserve"> 2</w:t>
            </w:r>
            <w:r w:rsidR="00FC6E2E" w:rsidRPr="00F00002">
              <w:rPr>
                <w:sz w:val="16"/>
                <w:szCs w:val="16"/>
              </w:rPr>
              <w:t xml:space="preserve">(b), </w:t>
            </w:r>
            <w:r w:rsidR="002D2D8E" w:rsidRPr="00F00002">
              <w:rPr>
                <w:sz w:val="16"/>
                <w:szCs w:val="16"/>
              </w:rPr>
              <w:t>(c))</w:t>
            </w:r>
          </w:p>
        </w:tc>
        <w:tc>
          <w:tcPr>
            <w:tcW w:w="1177" w:type="pct"/>
            <w:tcBorders>
              <w:bottom w:val="single" w:sz="4" w:space="0" w:color="auto"/>
            </w:tcBorders>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5</w:t>
            </w:r>
          </w:p>
        </w:tc>
      </w:tr>
      <w:tr w:rsidR="00D150ED" w:rsidRPr="00F00002" w:rsidTr="000505B9">
        <w:trPr>
          <w:cantSplit/>
        </w:trPr>
        <w:tc>
          <w:tcPr>
            <w:tcW w:w="1013" w:type="pct"/>
            <w:tcBorders>
              <w:bottom w:val="single" w:sz="4" w:space="0" w:color="auto"/>
            </w:tcBorders>
            <w:shd w:val="clear" w:color="auto" w:fill="auto"/>
          </w:tcPr>
          <w:p w:rsidR="00D150ED" w:rsidRPr="00F00002" w:rsidRDefault="00D150ED" w:rsidP="00EF172C">
            <w:pPr>
              <w:pStyle w:val="Tabletext"/>
              <w:rPr>
                <w:sz w:val="16"/>
                <w:szCs w:val="16"/>
              </w:rPr>
            </w:pPr>
            <w:bookmarkStart w:id="259" w:name="CU_38228776"/>
            <w:bookmarkStart w:id="260" w:name="CU_38225732"/>
            <w:bookmarkEnd w:id="259"/>
            <w:bookmarkEnd w:id="260"/>
            <w:r w:rsidRPr="00F00002">
              <w:rPr>
                <w:sz w:val="16"/>
                <w:szCs w:val="16"/>
              </w:rPr>
              <w:t>2007 No.</w:t>
            </w:r>
            <w:r w:rsidR="00F00002">
              <w:rPr>
                <w:sz w:val="16"/>
                <w:szCs w:val="16"/>
              </w:rPr>
              <w:t> </w:t>
            </w:r>
            <w:r w:rsidRPr="00F00002">
              <w:rPr>
                <w:sz w:val="16"/>
                <w:szCs w:val="16"/>
              </w:rPr>
              <w:t>103</w:t>
            </w:r>
          </w:p>
        </w:tc>
        <w:tc>
          <w:tcPr>
            <w:tcW w:w="1240" w:type="pct"/>
            <w:tcBorders>
              <w:bottom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27 Apr 2007 (F2007L01126)</w:t>
            </w:r>
          </w:p>
        </w:tc>
        <w:tc>
          <w:tcPr>
            <w:tcW w:w="1570"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1</w:t>
            </w:r>
            <w:r w:rsidR="00F00002">
              <w:rPr>
                <w:sz w:val="16"/>
                <w:szCs w:val="16"/>
              </w:rPr>
              <w:t> </w:t>
            </w:r>
            <w:r w:rsidRPr="00F00002">
              <w:rPr>
                <w:sz w:val="16"/>
                <w:szCs w:val="16"/>
              </w:rPr>
              <w:t>July 2007</w:t>
            </w:r>
            <w:r w:rsidR="00231F20" w:rsidRPr="00F00002">
              <w:rPr>
                <w:sz w:val="16"/>
                <w:szCs w:val="16"/>
              </w:rPr>
              <w:t xml:space="preserve"> (r 2)</w:t>
            </w:r>
          </w:p>
        </w:tc>
        <w:tc>
          <w:tcPr>
            <w:tcW w:w="1177" w:type="pct"/>
            <w:tcBorders>
              <w:bottom w:val="single" w:sz="4" w:space="0" w:color="auto"/>
            </w:tcBorders>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3</w:t>
            </w:r>
          </w:p>
        </w:tc>
      </w:tr>
      <w:tr w:rsidR="00D150ED" w:rsidRPr="00F00002" w:rsidTr="000505B9">
        <w:trPr>
          <w:cantSplit/>
        </w:trPr>
        <w:tc>
          <w:tcPr>
            <w:tcW w:w="1013"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177</w:t>
            </w:r>
          </w:p>
        </w:tc>
        <w:tc>
          <w:tcPr>
            <w:tcW w:w="1240" w:type="pct"/>
            <w:tcBorders>
              <w:top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26</w:t>
            </w:r>
            <w:r w:rsidR="00F00002">
              <w:rPr>
                <w:sz w:val="16"/>
                <w:szCs w:val="16"/>
              </w:rPr>
              <w:t> </w:t>
            </w:r>
            <w:r w:rsidRPr="00F00002">
              <w:rPr>
                <w:sz w:val="16"/>
                <w:szCs w:val="16"/>
              </w:rPr>
              <w:t>June 2007 (F2007L01757)</w:t>
            </w:r>
          </w:p>
        </w:tc>
        <w:tc>
          <w:tcPr>
            <w:tcW w:w="1570"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27</w:t>
            </w:r>
            <w:r w:rsidR="00F00002">
              <w:rPr>
                <w:sz w:val="16"/>
                <w:szCs w:val="16"/>
              </w:rPr>
              <w:t> </w:t>
            </w:r>
            <w:r w:rsidRPr="00F00002">
              <w:rPr>
                <w:sz w:val="16"/>
                <w:szCs w:val="16"/>
              </w:rPr>
              <w:t>June 2007</w:t>
            </w:r>
            <w:r w:rsidR="00231F20" w:rsidRPr="00F00002">
              <w:rPr>
                <w:sz w:val="16"/>
                <w:szCs w:val="16"/>
              </w:rPr>
              <w:t xml:space="preserve"> (r 2)</w:t>
            </w:r>
          </w:p>
        </w:tc>
        <w:tc>
          <w:tcPr>
            <w:tcW w:w="1177"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178</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26</w:t>
            </w:r>
            <w:r w:rsidR="00F00002">
              <w:rPr>
                <w:sz w:val="16"/>
                <w:szCs w:val="16"/>
              </w:rPr>
              <w:t> </w:t>
            </w:r>
            <w:r w:rsidRPr="00F00002">
              <w:rPr>
                <w:sz w:val="16"/>
                <w:szCs w:val="16"/>
              </w:rPr>
              <w:t>June 2007 (F2007L01735)</w:t>
            </w:r>
          </w:p>
        </w:tc>
        <w:tc>
          <w:tcPr>
            <w:tcW w:w="1570" w:type="pct"/>
            <w:shd w:val="clear" w:color="auto" w:fill="auto"/>
          </w:tcPr>
          <w:p w:rsidR="00D150ED" w:rsidRPr="00F00002" w:rsidRDefault="00D150ED" w:rsidP="00FE3C77">
            <w:pPr>
              <w:pStyle w:val="Tabletext"/>
              <w:rPr>
                <w:sz w:val="16"/>
                <w:szCs w:val="16"/>
              </w:rPr>
            </w:pPr>
            <w:r w:rsidRPr="00F00002">
              <w:rPr>
                <w:sz w:val="16"/>
                <w:szCs w:val="16"/>
              </w:rPr>
              <w:t>27</w:t>
            </w:r>
            <w:r w:rsidR="00F00002">
              <w:rPr>
                <w:sz w:val="16"/>
                <w:szCs w:val="16"/>
              </w:rPr>
              <w:t> </w:t>
            </w:r>
            <w:r w:rsidRPr="00F00002">
              <w:rPr>
                <w:sz w:val="16"/>
                <w:szCs w:val="16"/>
              </w:rPr>
              <w:t>June 2007 (r 2</w:t>
            </w:r>
            <w:r w:rsidR="00E26BB0" w:rsidRPr="00F00002">
              <w:rPr>
                <w:sz w:val="16"/>
                <w:szCs w:val="16"/>
              </w:rPr>
              <w:t>(b)</w:t>
            </w:r>
            <w:r w:rsidRPr="00F00002">
              <w:rPr>
                <w:sz w:val="16"/>
                <w:szCs w:val="16"/>
              </w:rPr>
              <w:t>)</w:t>
            </w:r>
          </w:p>
        </w:tc>
        <w:tc>
          <w:tcPr>
            <w:tcW w:w="1177" w:type="pct"/>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shd w:val="clear" w:color="auto" w:fill="auto"/>
          </w:tcPr>
          <w:p w:rsidR="00D150ED" w:rsidRPr="00F00002" w:rsidRDefault="00D150ED" w:rsidP="003D3FF0">
            <w:pPr>
              <w:pStyle w:val="Tabletext"/>
              <w:rPr>
                <w:sz w:val="16"/>
                <w:szCs w:val="16"/>
              </w:rPr>
            </w:pPr>
            <w:r w:rsidRPr="00F00002">
              <w:rPr>
                <w:sz w:val="16"/>
                <w:szCs w:val="16"/>
              </w:rPr>
              <w:t>2007 No.</w:t>
            </w:r>
            <w:r w:rsidR="00F00002">
              <w:rPr>
                <w:sz w:val="16"/>
                <w:szCs w:val="16"/>
              </w:rPr>
              <w:t> </w:t>
            </w:r>
            <w:r w:rsidRPr="00F00002">
              <w:rPr>
                <w:sz w:val="16"/>
                <w:szCs w:val="16"/>
              </w:rPr>
              <w:t>202</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29</w:t>
            </w:r>
            <w:r w:rsidR="00F00002">
              <w:rPr>
                <w:sz w:val="16"/>
                <w:szCs w:val="16"/>
              </w:rPr>
              <w:t> </w:t>
            </w:r>
            <w:r w:rsidRPr="00F00002">
              <w:rPr>
                <w:sz w:val="16"/>
                <w:szCs w:val="16"/>
              </w:rPr>
              <w:t>June 2007 (F2007L01893)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w:t>
            </w:r>
            <w:r w:rsidR="00F00002">
              <w:rPr>
                <w:sz w:val="16"/>
                <w:szCs w:val="16"/>
              </w:rPr>
              <w:t> </w:t>
            </w:r>
            <w:r w:rsidRPr="00F00002">
              <w:rPr>
                <w:sz w:val="16"/>
                <w:szCs w:val="16"/>
              </w:rPr>
              <w:t>July 2007</w:t>
            </w:r>
            <w:r w:rsidR="00231F2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328</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 Oct 2007 (F2007L03775)</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3 Oct 2007</w:t>
            </w:r>
            <w:r w:rsidR="003A01AB" w:rsidRPr="00F00002">
              <w:rPr>
                <w:sz w:val="16"/>
                <w:szCs w:val="16"/>
              </w:rPr>
              <w:t xml:space="preserve"> (r 2)</w:t>
            </w:r>
          </w:p>
        </w:tc>
        <w:tc>
          <w:tcPr>
            <w:tcW w:w="1177" w:type="pct"/>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329</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 Oct 2007 (F2007L03793)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3 Oct 2007</w:t>
            </w:r>
            <w:r w:rsidR="00330BED"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2007 No.</w:t>
            </w:r>
            <w:r w:rsidR="00F00002">
              <w:rPr>
                <w:sz w:val="16"/>
                <w:szCs w:val="16"/>
              </w:rPr>
              <w:t> </w:t>
            </w:r>
            <w:r w:rsidRPr="00F00002">
              <w:rPr>
                <w:sz w:val="16"/>
                <w:szCs w:val="16"/>
              </w:rPr>
              <w:t>330</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 Oct 2007 (F2007L03803)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3 Oct 2007</w:t>
            </w:r>
            <w:r w:rsidR="00330BED"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2008 No.</w:t>
            </w:r>
            <w:r w:rsidR="00F00002">
              <w:rPr>
                <w:sz w:val="16"/>
                <w:szCs w:val="16"/>
              </w:rPr>
              <w:t> </w:t>
            </w:r>
            <w:r w:rsidRPr="00F00002">
              <w:rPr>
                <w:sz w:val="16"/>
                <w:szCs w:val="16"/>
              </w:rPr>
              <w:t>35</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25 Mar 2008 (F2008L00923)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26 Mar 2008</w:t>
            </w:r>
            <w:r w:rsidR="00D05B8C"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2008 No.</w:t>
            </w:r>
            <w:r w:rsidR="00F00002">
              <w:rPr>
                <w:sz w:val="16"/>
                <w:szCs w:val="16"/>
              </w:rPr>
              <w:t> </w:t>
            </w:r>
            <w:r w:rsidRPr="00F00002">
              <w:rPr>
                <w:sz w:val="16"/>
                <w:szCs w:val="16"/>
              </w:rPr>
              <w:t>81</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16</w:t>
            </w:r>
            <w:r w:rsidR="00F00002">
              <w:rPr>
                <w:sz w:val="16"/>
                <w:szCs w:val="16"/>
              </w:rPr>
              <w:t> </w:t>
            </w:r>
            <w:r w:rsidRPr="00F00002">
              <w:rPr>
                <w:sz w:val="16"/>
                <w:szCs w:val="16"/>
              </w:rPr>
              <w:t>May 2008 (F2008L01434)</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17</w:t>
            </w:r>
            <w:r w:rsidR="00F00002">
              <w:rPr>
                <w:sz w:val="16"/>
                <w:szCs w:val="16"/>
              </w:rPr>
              <w:t> </w:t>
            </w:r>
            <w:r w:rsidRPr="00F00002">
              <w:rPr>
                <w:sz w:val="16"/>
                <w:szCs w:val="16"/>
              </w:rPr>
              <w:t>May 2008</w:t>
            </w:r>
            <w:r w:rsidR="00D05B8C"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2008 No.</w:t>
            </w:r>
            <w:r w:rsidR="00F00002">
              <w:rPr>
                <w:sz w:val="16"/>
                <w:szCs w:val="16"/>
              </w:rPr>
              <w:t> </w:t>
            </w:r>
            <w:r w:rsidRPr="00F00002">
              <w:rPr>
                <w:sz w:val="16"/>
                <w:szCs w:val="16"/>
              </w:rPr>
              <w:t>131</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29</w:t>
            </w:r>
            <w:r w:rsidR="00F00002">
              <w:rPr>
                <w:sz w:val="16"/>
                <w:szCs w:val="16"/>
              </w:rPr>
              <w:t> </w:t>
            </w:r>
            <w:r w:rsidRPr="00F00002">
              <w:rPr>
                <w:sz w:val="16"/>
                <w:szCs w:val="16"/>
              </w:rPr>
              <w:t>June 2008 (F2008L02183)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w:t>
            </w:r>
            <w:r w:rsidR="00F00002">
              <w:rPr>
                <w:sz w:val="16"/>
                <w:szCs w:val="16"/>
              </w:rPr>
              <w:t> </w:t>
            </w:r>
            <w:r w:rsidRPr="00F00002">
              <w:rPr>
                <w:sz w:val="16"/>
                <w:szCs w:val="16"/>
              </w:rPr>
              <w:t>July 2008</w:t>
            </w:r>
            <w:r w:rsidR="00A07E1F"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2008 No.</w:t>
            </w:r>
            <w:r w:rsidR="00F00002">
              <w:rPr>
                <w:sz w:val="16"/>
                <w:szCs w:val="16"/>
              </w:rPr>
              <w:t> </w:t>
            </w:r>
            <w:r w:rsidRPr="00F00002">
              <w:rPr>
                <w:sz w:val="16"/>
                <w:szCs w:val="16"/>
              </w:rPr>
              <w:t>144</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29</w:t>
            </w:r>
            <w:r w:rsidR="00F00002">
              <w:rPr>
                <w:sz w:val="16"/>
                <w:szCs w:val="16"/>
              </w:rPr>
              <w:t> </w:t>
            </w:r>
            <w:r w:rsidRPr="00F00002">
              <w:rPr>
                <w:sz w:val="16"/>
                <w:szCs w:val="16"/>
              </w:rPr>
              <w:t>June 2008 (F2008L02193)</w:t>
            </w:r>
          </w:p>
        </w:tc>
        <w:tc>
          <w:tcPr>
            <w:tcW w:w="1570" w:type="pct"/>
            <w:shd w:val="clear" w:color="auto" w:fill="auto"/>
          </w:tcPr>
          <w:p w:rsidR="00D150ED" w:rsidRPr="00F00002" w:rsidRDefault="00672E95" w:rsidP="0044775B">
            <w:pPr>
              <w:pStyle w:val="Tabletext"/>
              <w:rPr>
                <w:sz w:val="16"/>
                <w:szCs w:val="16"/>
              </w:rPr>
            </w:pPr>
            <w:r w:rsidRPr="00F00002">
              <w:rPr>
                <w:sz w:val="16"/>
                <w:szCs w:val="16"/>
              </w:rPr>
              <w:t>r</w:t>
            </w:r>
            <w:r w:rsidR="00135C25" w:rsidRPr="00F00002">
              <w:rPr>
                <w:sz w:val="16"/>
                <w:szCs w:val="16"/>
              </w:rPr>
              <w:t> </w:t>
            </w:r>
            <w:r w:rsidR="00D150ED" w:rsidRPr="00F00002">
              <w:rPr>
                <w:sz w:val="16"/>
                <w:szCs w:val="16"/>
              </w:rPr>
              <w:t>1–3 and Sch</w:t>
            </w:r>
            <w:r w:rsidR="00135C25" w:rsidRPr="00F00002">
              <w:rPr>
                <w:sz w:val="16"/>
                <w:szCs w:val="16"/>
              </w:rPr>
              <w:t> </w:t>
            </w:r>
            <w:r w:rsidR="006E0220" w:rsidRPr="00F00002">
              <w:rPr>
                <w:sz w:val="16"/>
                <w:szCs w:val="16"/>
              </w:rPr>
              <w:t xml:space="preserve">1: </w:t>
            </w:r>
            <w:r w:rsidR="00D150ED" w:rsidRPr="00F00002">
              <w:rPr>
                <w:sz w:val="16"/>
                <w:szCs w:val="16"/>
              </w:rPr>
              <w:t>1</w:t>
            </w:r>
            <w:r w:rsidR="00F00002">
              <w:rPr>
                <w:sz w:val="16"/>
                <w:szCs w:val="16"/>
              </w:rPr>
              <w:t> </w:t>
            </w:r>
            <w:r w:rsidR="00D150ED" w:rsidRPr="00F00002">
              <w:rPr>
                <w:sz w:val="16"/>
                <w:szCs w:val="16"/>
              </w:rPr>
              <w:t>July 2007</w:t>
            </w:r>
            <w:r w:rsidR="00806891" w:rsidRPr="00F00002">
              <w:rPr>
                <w:sz w:val="16"/>
                <w:szCs w:val="16"/>
              </w:rPr>
              <w:t xml:space="preserve"> (s</w:t>
            </w:r>
            <w:r w:rsidR="0044775B" w:rsidRPr="00F00002">
              <w:rPr>
                <w:sz w:val="16"/>
                <w:szCs w:val="16"/>
              </w:rPr>
              <w:t> </w:t>
            </w:r>
            <w:r w:rsidR="00806891" w:rsidRPr="00F00002">
              <w:rPr>
                <w:sz w:val="16"/>
                <w:szCs w:val="16"/>
              </w:rPr>
              <w:t>2(a)</w:t>
            </w:r>
            <w:r w:rsidR="0034690C" w:rsidRPr="00F00002">
              <w:rPr>
                <w:sz w:val="16"/>
                <w:szCs w:val="16"/>
              </w:rPr>
              <w:t>)</w:t>
            </w:r>
            <w:r w:rsidR="00D150ED" w:rsidRPr="00F00002">
              <w:rPr>
                <w:sz w:val="16"/>
                <w:szCs w:val="16"/>
              </w:rPr>
              <w:br/>
              <w:t>Remainder: 30</w:t>
            </w:r>
            <w:r w:rsidR="00F00002">
              <w:rPr>
                <w:sz w:val="16"/>
                <w:szCs w:val="16"/>
              </w:rPr>
              <w:t> </w:t>
            </w:r>
            <w:r w:rsidR="00D150ED" w:rsidRPr="00F00002">
              <w:rPr>
                <w:sz w:val="16"/>
                <w:szCs w:val="16"/>
              </w:rPr>
              <w:t>June 2008</w:t>
            </w:r>
            <w:r w:rsidR="00181EC4" w:rsidRPr="00F00002">
              <w:rPr>
                <w:sz w:val="16"/>
                <w:szCs w:val="16"/>
              </w:rPr>
              <w:t xml:space="preserve"> (s</w:t>
            </w:r>
            <w:r w:rsidR="0044775B" w:rsidRPr="00F00002">
              <w:rPr>
                <w:sz w:val="16"/>
                <w:szCs w:val="16"/>
              </w:rPr>
              <w:t> </w:t>
            </w:r>
            <w:r w:rsidR="00181EC4" w:rsidRPr="00F00002">
              <w:rPr>
                <w:sz w:val="16"/>
                <w:szCs w:val="16"/>
              </w:rPr>
              <w:t>2(b))</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2008 No.</w:t>
            </w:r>
            <w:r w:rsidR="00F00002">
              <w:rPr>
                <w:sz w:val="16"/>
                <w:szCs w:val="16"/>
              </w:rPr>
              <w:t> </w:t>
            </w:r>
            <w:r w:rsidRPr="00F00002">
              <w:rPr>
                <w:sz w:val="16"/>
                <w:szCs w:val="16"/>
              </w:rPr>
              <w:t>145</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29</w:t>
            </w:r>
            <w:r w:rsidR="00F00002">
              <w:rPr>
                <w:sz w:val="16"/>
                <w:szCs w:val="16"/>
              </w:rPr>
              <w:t> </w:t>
            </w:r>
            <w:r w:rsidRPr="00F00002">
              <w:rPr>
                <w:sz w:val="16"/>
                <w:szCs w:val="16"/>
              </w:rPr>
              <w:t>June 2008 (F2008L02266)</w:t>
            </w:r>
          </w:p>
        </w:tc>
        <w:tc>
          <w:tcPr>
            <w:tcW w:w="1570" w:type="pct"/>
            <w:shd w:val="clear" w:color="auto" w:fill="auto"/>
          </w:tcPr>
          <w:p w:rsidR="00D150ED" w:rsidRPr="00F00002" w:rsidRDefault="00D150ED" w:rsidP="00FE3C77">
            <w:pPr>
              <w:pStyle w:val="Tabletext"/>
              <w:rPr>
                <w:sz w:val="16"/>
                <w:szCs w:val="16"/>
              </w:rPr>
            </w:pPr>
            <w:r w:rsidRPr="00F00002">
              <w:rPr>
                <w:sz w:val="16"/>
                <w:szCs w:val="16"/>
              </w:rPr>
              <w:t>24</w:t>
            </w:r>
            <w:r w:rsidR="00F00002">
              <w:rPr>
                <w:sz w:val="16"/>
                <w:szCs w:val="16"/>
              </w:rPr>
              <w:t> </w:t>
            </w:r>
            <w:r w:rsidRPr="00F00002">
              <w:rPr>
                <w:sz w:val="16"/>
                <w:szCs w:val="16"/>
              </w:rPr>
              <w:t>June 2008 (r 2)</w:t>
            </w:r>
          </w:p>
        </w:tc>
        <w:tc>
          <w:tcPr>
            <w:tcW w:w="1177" w:type="pct"/>
            <w:shd w:val="clear" w:color="auto" w:fill="auto"/>
          </w:tcPr>
          <w:p w:rsidR="00D150ED" w:rsidRPr="00F00002" w:rsidRDefault="00672E95" w:rsidP="00D729A1">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2009 No.</w:t>
            </w:r>
            <w:r w:rsidR="00F00002">
              <w:rPr>
                <w:sz w:val="16"/>
                <w:szCs w:val="16"/>
              </w:rPr>
              <w:t> </w:t>
            </w:r>
            <w:r w:rsidRPr="00F00002">
              <w:rPr>
                <w:sz w:val="16"/>
                <w:szCs w:val="16"/>
              </w:rPr>
              <w:t>13</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6 Feb 2009 (F2009L00235)</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7 Feb 2009</w:t>
            </w:r>
            <w:r w:rsidR="00726C4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2009 No.</w:t>
            </w:r>
            <w:r w:rsidR="00F00002">
              <w:rPr>
                <w:sz w:val="16"/>
                <w:szCs w:val="16"/>
              </w:rPr>
              <w:t> </w:t>
            </w:r>
            <w:r w:rsidRPr="00F00002">
              <w:rPr>
                <w:sz w:val="16"/>
                <w:szCs w:val="16"/>
              </w:rPr>
              <w:t>54</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30 Mar 2009 (F2009L01191)</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31 Mar 2009</w:t>
            </w:r>
            <w:r w:rsidR="0027007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2009 No.</w:t>
            </w:r>
            <w:r w:rsidR="00F00002">
              <w:rPr>
                <w:sz w:val="16"/>
                <w:szCs w:val="16"/>
              </w:rPr>
              <w:t> </w:t>
            </w:r>
            <w:r w:rsidRPr="00F00002">
              <w:rPr>
                <w:sz w:val="16"/>
                <w:szCs w:val="16"/>
              </w:rPr>
              <w:t>177</w:t>
            </w:r>
          </w:p>
        </w:tc>
        <w:tc>
          <w:tcPr>
            <w:tcW w:w="1240" w:type="pct"/>
            <w:tcBorders>
              <w:bottom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10</w:t>
            </w:r>
            <w:r w:rsidR="00F00002">
              <w:rPr>
                <w:sz w:val="16"/>
                <w:szCs w:val="16"/>
              </w:rPr>
              <w:t> </w:t>
            </w:r>
            <w:r w:rsidRPr="00F00002">
              <w:rPr>
                <w:sz w:val="16"/>
                <w:szCs w:val="16"/>
              </w:rPr>
              <w:t>July 2009 (F2009L02714)</w:t>
            </w:r>
          </w:p>
        </w:tc>
        <w:tc>
          <w:tcPr>
            <w:tcW w:w="1570"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11</w:t>
            </w:r>
            <w:r w:rsidR="00F00002">
              <w:rPr>
                <w:sz w:val="16"/>
                <w:szCs w:val="16"/>
              </w:rPr>
              <w:t> </w:t>
            </w:r>
            <w:r w:rsidRPr="00F00002">
              <w:rPr>
                <w:sz w:val="16"/>
                <w:szCs w:val="16"/>
              </w:rPr>
              <w:t>July 2009</w:t>
            </w:r>
            <w:r w:rsidR="0080313E" w:rsidRPr="00F00002">
              <w:rPr>
                <w:sz w:val="16"/>
                <w:szCs w:val="16"/>
              </w:rPr>
              <w:t xml:space="preserve"> (r 2)</w:t>
            </w:r>
          </w:p>
        </w:tc>
        <w:tc>
          <w:tcPr>
            <w:tcW w:w="1177" w:type="pct"/>
            <w:tcBorders>
              <w:bottom w:val="single" w:sz="4" w:space="0" w:color="auto"/>
            </w:tcBorders>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tcBorders>
              <w:bottom w:val="single" w:sz="4" w:space="0" w:color="auto"/>
            </w:tcBorders>
            <w:shd w:val="clear" w:color="auto" w:fill="auto"/>
          </w:tcPr>
          <w:p w:rsidR="00D150ED" w:rsidRPr="00F00002" w:rsidRDefault="00D150ED" w:rsidP="00EF172C">
            <w:pPr>
              <w:pStyle w:val="Tabletext"/>
              <w:rPr>
                <w:sz w:val="16"/>
                <w:szCs w:val="16"/>
              </w:rPr>
            </w:pPr>
            <w:bookmarkStart w:id="261" w:name="CU_53229732"/>
            <w:bookmarkStart w:id="262" w:name="CU_53226688"/>
            <w:bookmarkEnd w:id="261"/>
            <w:bookmarkEnd w:id="262"/>
            <w:r w:rsidRPr="00F00002">
              <w:rPr>
                <w:sz w:val="16"/>
                <w:szCs w:val="16"/>
              </w:rPr>
              <w:t>2009 No.</w:t>
            </w:r>
            <w:r w:rsidR="00F00002">
              <w:rPr>
                <w:sz w:val="16"/>
                <w:szCs w:val="16"/>
              </w:rPr>
              <w:t> </w:t>
            </w:r>
            <w:r w:rsidRPr="00F00002">
              <w:rPr>
                <w:sz w:val="16"/>
                <w:szCs w:val="16"/>
              </w:rPr>
              <w:t>247</w:t>
            </w:r>
          </w:p>
        </w:tc>
        <w:tc>
          <w:tcPr>
            <w:tcW w:w="1240" w:type="pct"/>
            <w:tcBorders>
              <w:bottom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21 Sept 2009 (F2009L03523)</w:t>
            </w:r>
          </w:p>
        </w:tc>
        <w:tc>
          <w:tcPr>
            <w:tcW w:w="1570"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22 Sept 2009</w:t>
            </w:r>
            <w:r w:rsidR="002145FA" w:rsidRPr="00F00002">
              <w:rPr>
                <w:sz w:val="16"/>
                <w:szCs w:val="16"/>
              </w:rPr>
              <w:t xml:space="preserve"> (r 2)</w:t>
            </w:r>
          </w:p>
        </w:tc>
        <w:tc>
          <w:tcPr>
            <w:tcW w:w="1177" w:type="pct"/>
            <w:tcBorders>
              <w:bottom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2009 No.</w:t>
            </w:r>
            <w:r w:rsidR="00F00002">
              <w:rPr>
                <w:sz w:val="16"/>
                <w:szCs w:val="16"/>
              </w:rPr>
              <w:t> </w:t>
            </w:r>
            <w:r w:rsidRPr="00F00002">
              <w:rPr>
                <w:sz w:val="16"/>
                <w:szCs w:val="16"/>
              </w:rPr>
              <w:t>388</w:t>
            </w:r>
          </w:p>
        </w:tc>
        <w:tc>
          <w:tcPr>
            <w:tcW w:w="1240" w:type="pct"/>
            <w:tcBorders>
              <w:top w:val="single" w:sz="4" w:space="0" w:color="auto"/>
            </w:tcBorders>
            <w:shd w:val="clear" w:color="auto" w:fill="auto"/>
          </w:tcPr>
          <w:p w:rsidR="00D150ED" w:rsidRPr="00F00002" w:rsidRDefault="00D150ED" w:rsidP="00FE3C77">
            <w:pPr>
              <w:pStyle w:val="Tabletext"/>
              <w:rPr>
                <w:sz w:val="16"/>
                <w:szCs w:val="16"/>
              </w:rPr>
            </w:pPr>
            <w:r w:rsidRPr="00F00002">
              <w:rPr>
                <w:sz w:val="16"/>
                <w:szCs w:val="16"/>
              </w:rPr>
              <w:t>16 Dec 2009 (F2009L04411)</w:t>
            </w:r>
          </w:p>
        </w:tc>
        <w:tc>
          <w:tcPr>
            <w:tcW w:w="1570" w:type="pct"/>
            <w:tcBorders>
              <w:top w:val="single" w:sz="4" w:space="0" w:color="auto"/>
            </w:tcBorders>
            <w:shd w:val="clear" w:color="auto" w:fill="auto"/>
          </w:tcPr>
          <w:p w:rsidR="00D150ED" w:rsidRPr="00F00002" w:rsidRDefault="00672E95" w:rsidP="00B63D50">
            <w:pPr>
              <w:pStyle w:val="Tabletext"/>
              <w:rPr>
                <w:sz w:val="16"/>
                <w:szCs w:val="16"/>
              </w:rPr>
            </w:pPr>
            <w:r w:rsidRPr="00F00002">
              <w:rPr>
                <w:sz w:val="16"/>
                <w:szCs w:val="16"/>
              </w:rPr>
              <w:t>r</w:t>
            </w:r>
            <w:r w:rsidR="00135C25" w:rsidRPr="00F00002">
              <w:rPr>
                <w:sz w:val="16"/>
                <w:szCs w:val="16"/>
              </w:rPr>
              <w:t> </w:t>
            </w:r>
            <w:r w:rsidR="00D150ED" w:rsidRPr="00F00002">
              <w:rPr>
                <w:sz w:val="16"/>
                <w:szCs w:val="16"/>
              </w:rPr>
              <w:t>1–3 and Sch</w:t>
            </w:r>
            <w:r w:rsidR="00135C25" w:rsidRPr="00F00002">
              <w:rPr>
                <w:sz w:val="16"/>
                <w:szCs w:val="16"/>
              </w:rPr>
              <w:t> </w:t>
            </w:r>
            <w:r w:rsidR="00D150ED" w:rsidRPr="00F00002">
              <w:rPr>
                <w:sz w:val="16"/>
                <w:szCs w:val="16"/>
              </w:rPr>
              <w:t>1:</w:t>
            </w:r>
            <w:r w:rsidR="00012D3D" w:rsidRPr="00F00002">
              <w:rPr>
                <w:sz w:val="16"/>
                <w:szCs w:val="16"/>
              </w:rPr>
              <w:t xml:space="preserve"> </w:t>
            </w:r>
            <w:r w:rsidR="00D150ED" w:rsidRPr="00F00002">
              <w:rPr>
                <w:sz w:val="16"/>
                <w:szCs w:val="16"/>
              </w:rPr>
              <w:t>1</w:t>
            </w:r>
            <w:r w:rsidR="00F00002">
              <w:rPr>
                <w:sz w:val="16"/>
                <w:szCs w:val="16"/>
              </w:rPr>
              <w:t> </w:t>
            </w:r>
            <w:r w:rsidR="00D150ED" w:rsidRPr="00F00002">
              <w:rPr>
                <w:sz w:val="16"/>
                <w:szCs w:val="16"/>
              </w:rPr>
              <w:t>July 2008</w:t>
            </w:r>
            <w:r w:rsidR="00EF0D5A" w:rsidRPr="00F00002">
              <w:rPr>
                <w:sz w:val="16"/>
                <w:szCs w:val="16"/>
              </w:rPr>
              <w:t xml:space="preserve"> (r</w:t>
            </w:r>
            <w:r w:rsidR="00B63D50" w:rsidRPr="00F00002">
              <w:rPr>
                <w:sz w:val="16"/>
                <w:szCs w:val="16"/>
              </w:rPr>
              <w:t> </w:t>
            </w:r>
            <w:r w:rsidR="00EF0D5A" w:rsidRPr="00F00002">
              <w:rPr>
                <w:sz w:val="16"/>
                <w:szCs w:val="16"/>
              </w:rPr>
              <w:t>2(a))</w:t>
            </w:r>
            <w:r w:rsidR="00D150ED" w:rsidRPr="00F00002">
              <w:rPr>
                <w:sz w:val="16"/>
                <w:szCs w:val="16"/>
              </w:rPr>
              <w:br/>
            </w:r>
            <w:r w:rsidRPr="00F00002">
              <w:rPr>
                <w:sz w:val="16"/>
                <w:szCs w:val="16"/>
              </w:rPr>
              <w:t>r</w:t>
            </w:r>
            <w:r w:rsidR="00D150ED" w:rsidRPr="00F00002">
              <w:rPr>
                <w:sz w:val="16"/>
                <w:szCs w:val="16"/>
              </w:rPr>
              <w:t xml:space="preserve"> 4 and Sch</w:t>
            </w:r>
            <w:r w:rsidR="00135C25" w:rsidRPr="00F00002">
              <w:rPr>
                <w:sz w:val="16"/>
                <w:szCs w:val="16"/>
              </w:rPr>
              <w:t> </w:t>
            </w:r>
            <w:r w:rsidR="00D150ED" w:rsidRPr="00F00002">
              <w:rPr>
                <w:sz w:val="16"/>
                <w:szCs w:val="16"/>
              </w:rPr>
              <w:t>2: 1 Aug 2009</w:t>
            </w:r>
            <w:r w:rsidR="00EF0D5A" w:rsidRPr="00F00002">
              <w:rPr>
                <w:sz w:val="16"/>
                <w:szCs w:val="16"/>
              </w:rPr>
              <w:t xml:space="preserve"> (r</w:t>
            </w:r>
            <w:r w:rsidR="00B63D50" w:rsidRPr="00F00002">
              <w:rPr>
                <w:sz w:val="16"/>
                <w:szCs w:val="16"/>
              </w:rPr>
              <w:t> </w:t>
            </w:r>
            <w:r w:rsidR="00EF0D5A" w:rsidRPr="00F00002">
              <w:rPr>
                <w:sz w:val="16"/>
                <w:szCs w:val="16"/>
              </w:rPr>
              <w:t>2(b))</w:t>
            </w:r>
            <w:r w:rsidRPr="00F00002">
              <w:rPr>
                <w:sz w:val="16"/>
                <w:szCs w:val="16"/>
              </w:rPr>
              <w:br/>
            </w:r>
            <w:r w:rsidR="001C3B83" w:rsidRPr="00F00002">
              <w:rPr>
                <w:sz w:val="16"/>
                <w:szCs w:val="16"/>
              </w:rPr>
              <w:t>Remainder</w:t>
            </w:r>
            <w:r w:rsidR="00D150ED" w:rsidRPr="00F00002">
              <w:rPr>
                <w:sz w:val="16"/>
                <w:szCs w:val="16"/>
              </w:rPr>
              <w:t>:</w:t>
            </w:r>
            <w:r w:rsidR="00012D3D" w:rsidRPr="00F00002">
              <w:rPr>
                <w:sz w:val="16"/>
                <w:szCs w:val="16"/>
              </w:rPr>
              <w:t xml:space="preserve"> </w:t>
            </w:r>
            <w:r w:rsidR="00D150ED" w:rsidRPr="00F00002">
              <w:rPr>
                <w:sz w:val="16"/>
                <w:szCs w:val="16"/>
              </w:rPr>
              <w:t>17 Dec 2009</w:t>
            </w:r>
            <w:r w:rsidR="00EF0D5A" w:rsidRPr="00F00002">
              <w:rPr>
                <w:sz w:val="16"/>
                <w:szCs w:val="16"/>
              </w:rPr>
              <w:t xml:space="preserve"> (r</w:t>
            </w:r>
            <w:r w:rsidR="00B63D50" w:rsidRPr="00F00002">
              <w:rPr>
                <w:sz w:val="16"/>
                <w:szCs w:val="16"/>
              </w:rPr>
              <w:t> </w:t>
            </w:r>
            <w:r w:rsidR="00EF0D5A" w:rsidRPr="00F00002">
              <w:rPr>
                <w:sz w:val="16"/>
                <w:szCs w:val="16"/>
              </w:rPr>
              <w:t xml:space="preserve"> 2(c))</w:t>
            </w:r>
          </w:p>
        </w:tc>
        <w:tc>
          <w:tcPr>
            <w:tcW w:w="1177" w:type="pct"/>
            <w:tcBorders>
              <w:top w:val="single" w:sz="4" w:space="0" w:color="auto"/>
            </w:tcBorders>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2010 No.</w:t>
            </w:r>
            <w:r w:rsidR="00F00002">
              <w:rPr>
                <w:sz w:val="16"/>
                <w:szCs w:val="16"/>
              </w:rPr>
              <w:t> </w:t>
            </w:r>
            <w:r w:rsidRPr="00F00002">
              <w:rPr>
                <w:sz w:val="16"/>
                <w:szCs w:val="16"/>
              </w:rPr>
              <w:t>8</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11 Feb 2010 (F2010L00318)</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w:t>
            </w:r>
            <w:r w:rsidR="00F00002">
              <w:rPr>
                <w:sz w:val="16"/>
                <w:szCs w:val="16"/>
              </w:rPr>
              <w:t> </w:t>
            </w:r>
            <w:r w:rsidRPr="00F00002">
              <w:rPr>
                <w:sz w:val="16"/>
                <w:szCs w:val="16"/>
              </w:rPr>
              <w:t>July 2009</w:t>
            </w:r>
            <w:r w:rsidR="00E63B1D"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2010 No.</w:t>
            </w:r>
            <w:r w:rsidR="00F00002">
              <w:rPr>
                <w:sz w:val="16"/>
                <w:szCs w:val="16"/>
              </w:rPr>
              <w:t> </w:t>
            </w:r>
            <w:r w:rsidRPr="00F00002">
              <w:rPr>
                <w:sz w:val="16"/>
                <w:szCs w:val="16"/>
              </w:rPr>
              <w:t>9</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11 Feb 2010 (F2010L00303)</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12 Feb 2010</w:t>
            </w:r>
            <w:r w:rsidR="00E63B1D"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2010 No.</w:t>
            </w:r>
            <w:r w:rsidR="00F00002">
              <w:rPr>
                <w:sz w:val="16"/>
                <w:szCs w:val="16"/>
              </w:rPr>
              <w:t> </w:t>
            </w:r>
            <w:r w:rsidRPr="00F00002">
              <w:rPr>
                <w:sz w:val="16"/>
                <w:szCs w:val="16"/>
              </w:rPr>
              <w:t>73</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14 Apr 2010 (F2010L00917)</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15 Apr 2010</w:t>
            </w:r>
            <w:r w:rsidR="00DC19B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lastRenderedPageBreak/>
              <w:t>2010 No.</w:t>
            </w:r>
            <w:r w:rsidR="00F00002">
              <w:rPr>
                <w:sz w:val="16"/>
                <w:szCs w:val="16"/>
              </w:rPr>
              <w:t> </w:t>
            </w:r>
            <w:r w:rsidRPr="00F00002">
              <w:rPr>
                <w:sz w:val="16"/>
                <w:szCs w:val="16"/>
              </w:rPr>
              <w:t>74</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15 Apr 2010 (F2010L00850)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16 Apr 2010</w:t>
            </w:r>
            <w:r w:rsidR="00DC19B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2011 No.</w:t>
            </w:r>
            <w:r w:rsidR="00F00002">
              <w:rPr>
                <w:sz w:val="16"/>
                <w:szCs w:val="16"/>
              </w:rPr>
              <w:t> </w:t>
            </w:r>
            <w:r w:rsidRPr="00F00002">
              <w:rPr>
                <w:sz w:val="16"/>
                <w:szCs w:val="16"/>
              </w:rPr>
              <w:t>5</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14 Feb 2011 (F2011L00251)</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15 Feb 2011</w:t>
            </w:r>
            <w:r w:rsidR="00DC19B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2011 No.</w:t>
            </w:r>
            <w:r w:rsidR="00F00002">
              <w:rPr>
                <w:sz w:val="16"/>
                <w:szCs w:val="16"/>
              </w:rPr>
              <w:t> </w:t>
            </w:r>
            <w:r w:rsidRPr="00F00002">
              <w:rPr>
                <w:sz w:val="16"/>
                <w:szCs w:val="16"/>
              </w:rPr>
              <w:t>35</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15 Mar 2011 (F2011L00420)</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16 Mar 2011</w:t>
            </w:r>
            <w:r w:rsidR="00DC19B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2011 No.</w:t>
            </w:r>
            <w:r w:rsidR="00F00002">
              <w:rPr>
                <w:sz w:val="16"/>
                <w:szCs w:val="16"/>
              </w:rPr>
              <w:t> </w:t>
            </w:r>
            <w:r w:rsidRPr="00F00002">
              <w:rPr>
                <w:sz w:val="16"/>
                <w:szCs w:val="16"/>
              </w:rPr>
              <w:t>57</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21 Apr 2011 (F2011L00634)</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22 Apr 2011</w:t>
            </w:r>
            <w:r w:rsidR="00DC19B0"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2011 No.</w:t>
            </w:r>
            <w:r w:rsidR="00F00002">
              <w:rPr>
                <w:sz w:val="16"/>
                <w:szCs w:val="16"/>
              </w:rPr>
              <w:t> </w:t>
            </w:r>
            <w:r w:rsidRPr="00F00002">
              <w:rPr>
                <w:sz w:val="16"/>
                <w:szCs w:val="16"/>
              </w:rPr>
              <w:t>80</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3</w:t>
            </w:r>
            <w:r w:rsidR="00F00002">
              <w:rPr>
                <w:sz w:val="16"/>
                <w:szCs w:val="16"/>
              </w:rPr>
              <w:t> </w:t>
            </w:r>
            <w:r w:rsidRPr="00F00002">
              <w:rPr>
                <w:sz w:val="16"/>
                <w:szCs w:val="16"/>
              </w:rPr>
              <w:t>June 2011 (F2011L00942)</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26 Mar 2009</w:t>
            </w:r>
            <w:r w:rsidR="00DC19B0" w:rsidRPr="00F00002">
              <w:rPr>
                <w:sz w:val="16"/>
                <w:szCs w:val="16"/>
              </w:rPr>
              <w:t xml:space="preserve"> (r 2)</w:t>
            </w:r>
          </w:p>
        </w:tc>
        <w:tc>
          <w:tcPr>
            <w:tcW w:w="1177" w:type="pct"/>
            <w:shd w:val="clear" w:color="auto" w:fill="auto"/>
          </w:tcPr>
          <w:p w:rsidR="00D150ED" w:rsidRPr="00F00002" w:rsidRDefault="00672E95" w:rsidP="00FE3C77">
            <w:pPr>
              <w:pStyle w:val="Tabletext"/>
              <w:rPr>
                <w:sz w:val="16"/>
                <w:szCs w:val="16"/>
              </w:rPr>
            </w:pPr>
            <w:r w:rsidRPr="00F00002">
              <w:rPr>
                <w:sz w:val="16"/>
                <w:szCs w:val="16"/>
              </w:rPr>
              <w:t>r</w:t>
            </w:r>
            <w:r w:rsidR="00D150ED" w:rsidRPr="00F00002">
              <w:rPr>
                <w:sz w:val="16"/>
                <w:szCs w:val="16"/>
              </w:rPr>
              <w:t xml:space="preserve"> 4</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2011 No.</w:t>
            </w:r>
            <w:r w:rsidR="00F00002">
              <w:rPr>
                <w:sz w:val="16"/>
                <w:szCs w:val="16"/>
              </w:rPr>
              <w:t> </w:t>
            </w:r>
            <w:r w:rsidRPr="00F00002">
              <w:rPr>
                <w:sz w:val="16"/>
                <w:szCs w:val="16"/>
              </w:rPr>
              <w:t>120</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30</w:t>
            </w:r>
            <w:r w:rsidR="00F00002">
              <w:rPr>
                <w:sz w:val="16"/>
                <w:szCs w:val="16"/>
              </w:rPr>
              <w:t> </w:t>
            </w:r>
            <w:r w:rsidRPr="00F00002">
              <w:rPr>
                <w:sz w:val="16"/>
                <w:szCs w:val="16"/>
              </w:rPr>
              <w:t>June 2011 (F2011L01364)</w:t>
            </w:r>
          </w:p>
        </w:tc>
        <w:tc>
          <w:tcPr>
            <w:tcW w:w="1570" w:type="pct"/>
            <w:shd w:val="clear" w:color="auto" w:fill="auto"/>
          </w:tcPr>
          <w:p w:rsidR="00D150ED" w:rsidRPr="00F00002" w:rsidRDefault="0061683E" w:rsidP="0061683E">
            <w:pPr>
              <w:pStyle w:val="Tabletext"/>
              <w:rPr>
                <w:sz w:val="16"/>
                <w:szCs w:val="16"/>
              </w:rPr>
            </w:pPr>
            <w:r w:rsidRPr="00F00002">
              <w:rPr>
                <w:sz w:val="16"/>
                <w:szCs w:val="16"/>
              </w:rPr>
              <w:t>Sch 2 (item</w:t>
            </w:r>
            <w:r w:rsidR="00F00002">
              <w:rPr>
                <w:sz w:val="16"/>
                <w:szCs w:val="16"/>
              </w:rPr>
              <w:t> </w:t>
            </w:r>
            <w:r w:rsidRPr="00F00002">
              <w:rPr>
                <w:sz w:val="16"/>
                <w:szCs w:val="16"/>
              </w:rPr>
              <w:t xml:space="preserve">43): </w:t>
            </w:r>
            <w:r w:rsidR="00D150ED" w:rsidRPr="00F00002">
              <w:rPr>
                <w:sz w:val="16"/>
                <w:szCs w:val="16"/>
              </w:rPr>
              <w:t>1</w:t>
            </w:r>
            <w:r w:rsidR="00F00002">
              <w:rPr>
                <w:sz w:val="16"/>
                <w:szCs w:val="16"/>
              </w:rPr>
              <w:t> </w:t>
            </w:r>
            <w:r w:rsidR="00D150ED" w:rsidRPr="00F00002">
              <w:rPr>
                <w:sz w:val="16"/>
                <w:szCs w:val="16"/>
              </w:rPr>
              <w:t>July 2011</w:t>
            </w:r>
            <w:r w:rsidR="00DC19B0" w:rsidRPr="00F00002">
              <w:rPr>
                <w:sz w:val="16"/>
                <w:szCs w:val="16"/>
              </w:rPr>
              <w:t xml:space="preserve"> (r</w:t>
            </w:r>
            <w:r w:rsidRPr="00F00002">
              <w:rPr>
                <w:sz w:val="16"/>
                <w:szCs w:val="16"/>
              </w:rPr>
              <w:t> </w:t>
            </w:r>
            <w:r w:rsidR="00DC19B0" w:rsidRPr="00F00002">
              <w:rPr>
                <w:sz w:val="16"/>
                <w:szCs w:val="16"/>
              </w:rPr>
              <w:t>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2011 No.</w:t>
            </w:r>
            <w:r w:rsidR="00F00002">
              <w:rPr>
                <w:sz w:val="16"/>
                <w:szCs w:val="16"/>
              </w:rPr>
              <w:t> </w:t>
            </w:r>
            <w:r w:rsidRPr="00F00002">
              <w:rPr>
                <w:sz w:val="16"/>
                <w:szCs w:val="16"/>
              </w:rPr>
              <w:t>182</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5 Oct 2011 (F2011L02022)</w:t>
            </w:r>
          </w:p>
        </w:tc>
        <w:tc>
          <w:tcPr>
            <w:tcW w:w="1570" w:type="pct"/>
            <w:shd w:val="clear" w:color="auto" w:fill="auto"/>
          </w:tcPr>
          <w:p w:rsidR="00D150ED" w:rsidRPr="00F00002" w:rsidRDefault="00D150ED" w:rsidP="00EF172C">
            <w:pPr>
              <w:pStyle w:val="Tabletext"/>
              <w:rPr>
                <w:sz w:val="16"/>
                <w:szCs w:val="16"/>
              </w:rPr>
            </w:pPr>
            <w:r w:rsidRPr="00F00002">
              <w:rPr>
                <w:sz w:val="16"/>
                <w:szCs w:val="16"/>
              </w:rPr>
              <w:t>6 Oct 2011</w:t>
            </w:r>
            <w:r w:rsidR="00F20106" w:rsidRPr="00F00002">
              <w:rPr>
                <w:sz w:val="16"/>
                <w:szCs w:val="16"/>
              </w:rPr>
              <w:t xml:space="preserve"> (r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2012 No.</w:t>
            </w:r>
            <w:r w:rsidR="00F00002">
              <w:rPr>
                <w:sz w:val="16"/>
                <w:szCs w:val="16"/>
              </w:rPr>
              <w:t> </w:t>
            </w:r>
            <w:r w:rsidRPr="00F00002">
              <w:rPr>
                <w:sz w:val="16"/>
                <w:szCs w:val="16"/>
              </w:rPr>
              <w:t>47</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11 Apr 2012 (F2012L00835)</w:t>
            </w:r>
          </w:p>
        </w:tc>
        <w:tc>
          <w:tcPr>
            <w:tcW w:w="1570" w:type="pct"/>
            <w:shd w:val="clear" w:color="auto" w:fill="auto"/>
          </w:tcPr>
          <w:p w:rsidR="00D150ED" w:rsidRPr="00F00002" w:rsidRDefault="00D150ED" w:rsidP="00FE3C77">
            <w:pPr>
              <w:pStyle w:val="Tabletext"/>
              <w:rPr>
                <w:sz w:val="16"/>
                <w:szCs w:val="16"/>
              </w:rPr>
            </w:pPr>
            <w:r w:rsidRPr="00F00002">
              <w:rPr>
                <w:sz w:val="16"/>
                <w:szCs w:val="16"/>
              </w:rPr>
              <w:t>12 Apr 2012</w:t>
            </w:r>
            <w:r w:rsidR="00F20106" w:rsidRPr="00F00002">
              <w:rPr>
                <w:sz w:val="16"/>
                <w:szCs w:val="16"/>
              </w:rPr>
              <w:t xml:space="preserve"> (</w:t>
            </w:r>
            <w:r w:rsidR="0069452B" w:rsidRPr="00F00002">
              <w:rPr>
                <w:sz w:val="16"/>
                <w:szCs w:val="16"/>
              </w:rPr>
              <w:t>s</w:t>
            </w:r>
            <w:r w:rsidR="00F20106" w:rsidRPr="00F00002">
              <w:rPr>
                <w:sz w:val="16"/>
                <w:szCs w:val="16"/>
              </w:rPr>
              <w:t xml:space="preserve">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D150ED" w:rsidRPr="00F00002" w:rsidTr="000505B9">
        <w:trPr>
          <w:cantSplit/>
        </w:trPr>
        <w:tc>
          <w:tcPr>
            <w:tcW w:w="1013" w:type="pct"/>
            <w:shd w:val="clear" w:color="auto" w:fill="auto"/>
          </w:tcPr>
          <w:p w:rsidR="00D150ED" w:rsidRPr="00F00002" w:rsidRDefault="00D150ED" w:rsidP="00EF172C">
            <w:pPr>
              <w:pStyle w:val="Tabletext"/>
              <w:rPr>
                <w:sz w:val="16"/>
                <w:szCs w:val="16"/>
              </w:rPr>
            </w:pPr>
            <w:r w:rsidRPr="00F00002">
              <w:rPr>
                <w:sz w:val="16"/>
                <w:szCs w:val="16"/>
              </w:rPr>
              <w:t>2012 No.</w:t>
            </w:r>
            <w:r w:rsidR="00F00002">
              <w:rPr>
                <w:sz w:val="16"/>
                <w:szCs w:val="16"/>
              </w:rPr>
              <w:t> </w:t>
            </w:r>
            <w:r w:rsidRPr="00F00002">
              <w:rPr>
                <w:sz w:val="16"/>
                <w:szCs w:val="16"/>
              </w:rPr>
              <w:t>310</w:t>
            </w:r>
          </w:p>
        </w:tc>
        <w:tc>
          <w:tcPr>
            <w:tcW w:w="1240" w:type="pct"/>
            <w:shd w:val="clear" w:color="auto" w:fill="auto"/>
          </w:tcPr>
          <w:p w:rsidR="00D150ED" w:rsidRPr="00F00002" w:rsidRDefault="00D150ED" w:rsidP="00FE3C77">
            <w:pPr>
              <w:pStyle w:val="Tabletext"/>
              <w:rPr>
                <w:sz w:val="16"/>
                <w:szCs w:val="16"/>
              </w:rPr>
            </w:pPr>
            <w:r w:rsidRPr="00F00002">
              <w:rPr>
                <w:sz w:val="16"/>
                <w:szCs w:val="16"/>
              </w:rPr>
              <w:t>11 Dec 2012 (F2012L02398)</w:t>
            </w:r>
          </w:p>
        </w:tc>
        <w:tc>
          <w:tcPr>
            <w:tcW w:w="1570" w:type="pct"/>
            <w:shd w:val="clear" w:color="auto" w:fill="auto"/>
          </w:tcPr>
          <w:p w:rsidR="00D150ED" w:rsidRPr="00F00002" w:rsidRDefault="00D150ED" w:rsidP="00FE3C77">
            <w:pPr>
              <w:pStyle w:val="Tabletext"/>
              <w:rPr>
                <w:sz w:val="16"/>
                <w:szCs w:val="16"/>
              </w:rPr>
            </w:pPr>
            <w:r w:rsidRPr="00F00002">
              <w:rPr>
                <w:sz w:val="16"/>
                <w:szCs w:val="16"/>
              </w:rPr>
              <w:t>12 Dec 2012</w:t>
            </w:r>
            <w:r w:rsidR="00F20106" w:rsidRPr="00F00002">
              <w:rPr>
                <w:sz w:val="16"/>
                <w:szCs w:val="16"/>
              </w:rPr>
              <w:t xml:space="preserve"> (</w:t>
            </w:r>
            <w:r w:rsidR="0069452B" w:rsidRPr="00F00002">
              <w:rPr>
                <w:sz w:val="16"/>
                <w:szCs w:val="16"/>
              </w:rPr>
              <w:t>s</w:t>
            </w:r>
            <w:r w:rsidR="00F20106" w:rsidRPr="00F00002">
              <w:rPr>
                <w:sz w:val="16"/>
                <w:szCs w:val="16"/>
              </w:rPr>
              <w:t xml:space="preserve"> 2)</w:t>
            </w:r>
          </w:p>
        </w:tc>
        <w:tc>
          <w:tcPr>
            <w:tcW w:w="1177" w:type="pct"/>
            <w:shd w:val="clear" w:color="auto" w:fill="auto"/>
          </w:tcPr>
          <w:p w:rsidR="00D150ED" w:rsidRPr="00F00002" w:rsidRDefault="00D150ED" w:rsidP="00EF172C">
            <w:pPr>
              <w:pStyle w:val="Tabletext"/>
              <w:rPr>
                <w:sz w:val="16"/>
                <w:szCs w:val="16"/>
              </w:rPr>
            </w:pPr>
            <w:r w:rsidRPr="00F00002">
              <w:rPr>
                <w:sz w:val="16"/>
                <w:szCs w:val="16"/>
              </w:rPr>
              <w:t>—</w:t>
            </w:r>
          </w:p>
        </w:tc>
      </w:tr>
      <w:tr w:rsidR="00260DE7" w:rsidRPr="00F00002" w:rsidTr="000505B9">
        <w:trPr>
          <w:cantSplit/>
        </w:trPr>
        <w:tc>
          <w:tcPr>
            <w:tcW w:w="1013" w:type="pct"/>
            <w:tcBorders>
              <w:bottom w:val="single" w:sz="4" w:space="0" w:color="auto"/>
            </w:tcBorders>
            <w:shd w:val="clear" w:color="auto" w:fill="auto"/>
          </w:tcPr>
          <w:p w:rsidR="00260DE7" w:rsidRPr="00F00002" w:rsidRDefault="00012D3D" w:rsidP="00012D3D">
            <w:pPr>
              <w:pStyle w:val="Tabletext"/>
              <w:rPr>
                <w:sz w:val="16"/>
                <w:szCs w:val="16"/>
              </w:rPr>
            </w:pPr>
            <w:r w:rsidRPr="00F00002">
              <w:rPr>
                <w:sz w:val="16"/>
                <w:szCs w:val="16"/>
              </w:rPr>
              <w:t xml:space="preserve">24, </w:t>
            </w:r>
            <w:r w:rsidR="00260DE7" w:rsidRPr="00F00002">
              <w:rPr>
                <w:sz w:val="16"/>
                <w:szCs w:val="16"/>
              </w:rPr>
              <w:t>2013</w:t>
            </w:r>
          </w:p>
        </w:tc>
        <w:tc>
          <w:tcPr>
            <w:tcW w:w="1240" w:type="pct"/>
            <w:tcBorders>
              <w:bottom w:val="single" w:sz="4" w:space="0" w:color="auto"/>
            </w:tcBorders>
            <w:shd w:val="clear" w:color="auto" w:fill="auto"/>
          </w:tcPr>
          <w:p w:rsidR="00260DE7" w:rsidRPr="00F00002" w:rsidRDefault="00260DE7" w:rsidP="00FE3C77">
            <w:pPr>
              <w:pStyle w:val="Tabletext"/>
              <w:rPr>
                <w:sz w:val="16"/>
                <w:szCs w:val="16"/>
              </w:rPr>
            </w:pPr>
            <w:r w:rsidRPr="00F00002">
              <w:rPr>
                <w:sz w:val="16"/>
                <w:szCs w:val="16"/>
              </w:rPr>
              <w:t>4 Mar 2013 (F2013L00394)</w:t>
            </w:r>
          </w:p>
        </w:tc>
        <w:tc>
          <w:tcPr>
            <w:tcW w:w="1570" w:type="pct"/>
            <w:tcBorders>
              <w:bottom w:val="single" w:sz="4" w:space="0" w:color="auto"/>
            </w:tcBorders>
            <w:shd w:val="clear" w:color="auto" w:fill="auto"/>
          </w:tcPr>
          <w:p w:rsidR="00260DE7" w:rsidRPr="00F00002" w:rsidRDefault="00260DE7" w:rsidP="00EF172C">
            <w:pPr>
              <w:pStyle w:val="Tabletext"/>
              <w:rPr>
                <w:sz w:val="16"/>
                <w:szCs w:val="16"/>
              </w:rPr>
            </w:pPr>
            <w:r w:rsidRPr="00F00002">
              <w:rPr>
                <w:sz w:val="16"/>
                <w:szCs w:val="16"/>
              </w:rPr>
              <w:t>5 Mar 2013</w:t>
            </w:r>
            <w:r w:rsidR="00F20106" w:rsidRPr="00F00002">
              <w:rPr>
                <w:sz w:val="16"/>
                <w:szCs w:val="16"/>
              </w:rPr>
              <w:t xml:space="preserve"> (</w:t>
            </w:r>
            <w:r w:rsidR="0069452B" w:rsidRPr="00F00002">
              <w:rPr>
                <w:sz w:val="16"/>
                <w:szCs w:val="16"/>
              </w:rPr>
              <w:t>s</w:t>
            </w:r>
            <w:r w:rsidR="00F20106" w:rsidRPr="00F00002">
              <w:rPr>
                <w:sz w:val="16"/>
                <w:szCs w:val="16"/>
              </w:rPr>
              <w:t xml:space="preserve"> 2)</w:t>
            </w:r>
          </w:p>
        </w:tc>
        <w:tc>
          <w:tcPr>
            <w:tcW w:w="1177" w:type="pct"/>
            <w:tcBorders>
              <w:bottom w:val="single" w:sz="4" w:space="0" w:color="auto"/>
            </w:tcBorders>
            <w:shd w:val="clear" w:color="auto" w:fill="auto"/>
          </w:tcPr>
          <w:p w:rsidR="00260DE7" w:rsidRPr="00F00002" w:rsidRDefault="00260DE7" w:rsidP="00EF172C">
            <w:pPr>
              <w:pStyle w:val="Tabletext"/>
              <w:rPr>
                <w:sz w:val="16"/>
                <w:szCs w:val="16"/>
              </w:rPr>
            </w:pPr>
            <w:r w:rsidRPr="00F00002">
              <w:rPr>
                <w:sz w:val="16"/>
                <w:szCs w:val="16"/>
              </w:rPr>
              <w:t>—</w:t>
            </w:r>
          </w:p>
        </w:tc>
      </w:tr>
      <w:tr w:rsidR="00973409" w:rsidRPr="00F00002" w:rsidTr="000505B9">
        <w:trPr>
          <w:cantSplit/>
        </w:trPr>
        <w:tc>
          <w:tcPr>
            <w:tcW w:w="1013" w:type="pct"/>
            <w:tcBorders>
              <w:bottom w:val="single" w:sz="4" w:space="0" w:color="auto"/>
            </w:tcBorders>
            <w:shd w:val="clear" w:color="auto" w:fill="auto"/>
          </w:tcPr>
          <w:p w:rsidR="00973409" w:rsidRPr="00F00002" w:rsidRDefault="00973409" w:rsidP="00012D3D">
            <w:pPr>
              <w:pStyle w:val="Tabletext"/>
              <w:rPr>
                <w:sz w:val="16"/>
                <w:szCs w:val="16"/>
              </w:rPr>
            </w:pPr>
            <w:bookmarkStart w:id="263" w:name="CU_68230678"/>
            <w:bookmarkStart w:id="264" w:name="CU_68227634"/>
            <w:bookmarkEnd w:id="263"/>
            <w:bookmarkEnd w:id="264"/>
            <w:r w:rsidRPr="00F00002">
              <w:rPr>
                <w:sz w:val="16"/>
                <w:szCs w:val="16"/>
              </w:rPr>
              <w:t>84, 2013</w:t>
            </w:r>
          </w:p>
        </w:tc>
        <w:tc>
          <w:tcPr>
            <w:tcW w:w="1240" w:type="pct"/>
            <w:tcBorders>
              <w:bottom w:val="single" w:sz="4" w:space="0" w:color="auto"/>
            </w:tcBorders>
            <w:shd w:val="clear" w:color="auto" w:fill="auto"/>
          </w:tcPr>
          <w:p w:rsidR="00973409" w:rsidRPr="00F00002" w:rsidRDefault="00973409" w:rsidP="00FE3C77">
            <w:pPr>
              <w:pStyle w:val="Tabletext"/>
              <w:rPr>
                <w:sz w:val="16"/>
                <w:szCs w:val="16"/>
              </w:rPr>
            </w:pPr>
            <w:r w:rsidRPr="00F00002">
              <w:rPr>
                <w:sz w:val="16"/>
                <w:szCs w:val="16"/>
              </w:rPr>
              <w:t>16</w:t>
            </w:r>
            <w:r w:rsidR="00F00002">
              <w:rPr>
                <w:sz w:val="16"/>
                <w:szCs w:val="16"/>
              </w:rPr>
              <w:t> </w:t>
            </w:r>
            <w:r w:rsidRPr="00F00002">
              <w:rPr>
                <w:sz w:val="16"/>
                <w:szCs w:val="16"/>
              </w:rPr>
              <w:t>May 2013 (F2013L00784)</w:t>
            </w:r>
          </w:p>
        </w:tc>
        <w:tc>
          <w:tcPr>
            <w:tcW w:w="1570" w:type="pct"/>
            <w:tcBorders>
              <w:bottom w:val="single" w:sz="4" w:space="0" w:color="auto"/>
            </w:tcBorders>
            <w:shd w:val="clear" w:color="auto" w:fill="auto"/>
          </w:tcPr>
          <w:p w:rsidR="00973409" w:rsidRPr="00F00002" w:rsidRDefault="00973409" w:rsidP="0069452B">
            <w:pPr>
              <w:pStyle w:val="Tabletext"/>
              <w:rPr>
                <w:sz w:val="16"/>
                <w:szCs w:val="16"/>
              </w:rPr>
            </w:pPr>
            <w:r w:rsidRPr="00F00002">
              <w:rPr>
                <w:sz w:val="16"/>
                <w:szCs w:val="16"/>
              </w:rPr>
              <w:t>17</w:t>
            </w:r>
            <w:r w:rsidR="00F00002">
              <w:rPr>
                <w:sz w:val="16"/>
                <w:szCs w:val="16"/>
              </w:rPr>
              <w:t> </w:t>
            </w:r>
            <w:r w:rsidRPr="00F00002">
              <w:rPr>
                <w:sz w:val="16"/>
                <w:szCs w:val="16"/>
              </w:rPr>
              <w:t>May 2013</w:t>
            </w:r>
            <w:r w:rsidR="00F20106" w:rsidRPr="00F00002">
              <w:rPr>
                <w:sz w:val="16"/>
                <w:szCs w:val="16"/>
              </w:rPr>
              <w:t xml:space="preserve"> (</w:t>
            </w:r>
            <w:r w:rsidR="0069452B" w:rsidRPr="00F00002">
              <w:rPr>
                <w:sz w:val="16"/>
                <w:szCs w:val="16"/>
              </w:rPr>
              <w:t>s</w:t>
            </w:r>
            <w:r w:rsidR="00F20106" w:rsidRPr="00F00002">
              <w:rPr>
                <w:sz w:val="16"/>
                <w:szCs w:val="16"/>
              </w:rPr>
              <w:t xml:space="preserve"> 2)</w:t>
            </w:r>
          </w:p>
        </w:tc>
        <w:tc>
          <w:tcPr>
            <w:tcW w:w="1177" w:type="pct"/>
            <w:tcBorders>
              <w:bottom w:val="single" w:sz="4" w:space="0" w:color="auto"/>
            </w:tcBorders>
            <w:shd w:val="clear" w:color="auto" w:fill="auto"/>
          </w:tcPr>
          <w:p w:rsidR="00973409" w:rsidRPr="00F00002" w:rsidRDefault="00973409" w:rsidP="00EF172C">
            <w:pPr>
              <w:pStyle w:val="Tabletext"/>
              <w:rPr>
                <w:sz w:val="16"/>
                <w:szCs w:val="16"/>
              </w:rPr>
            </w:pPr>
            <w:r w:rsidRPr="00F00002">
              <w:rPr>
                <w:sz w:val="16"/>
                <w:szCs w:val="16"/>
              </w:rPr>
              <w:t>—</w:t>
            </w:r>
          </w:p>
        </w:tc>
      </w:tr>
      <w:tr w:rsidR="00F80674" w:rsidRPr="00F00002" w:rsidTr="000505B9">
        <w:trPr>
          <w:cantSplit/>
        </w:trPr>
        <w:tc>
          <w:tcPr>
            <w:tcW w:w="1013" w:type="pct"/>
            <w:tcBorders>
              <w:top w:val="single" w:sz="4" w:space="0" w:color="auto"/>
            </w:tcBorders>
            <w:shd w:val="clear" w:color="auto" w:fill="auto"/>
          </w:tcPr>
          <w:p w:rsidR="00F80674" w:rsidRPr="00F00002" w:rsidRDefault="00F80674" w:rsidP="00012D3D">
            <w:pPr>
              <w:pStyle w:val="Tabletext"/>
              <w:rPr>
                <w:sz w:val="16"/>
                <w:szCs w:val="16"/>
              </w:rPr>
            </w:pPr>
            <w:r w:rsidRPr="00F00002">
              <w:rPr>
                <w:sz w:val="16"/>
                <w:szCs w:val="16"/>
              </w:rPr>
              <w:t>103, 2013</w:t>
            </w:r>
          </w:p>
        </w:tc>
        <w:tc>
          <w:tcPr>
            <w:tcW w:w="1240" w:type="pct"/>
            <w:tcBorders>
              <w:top w:val="single" w:sz="4" w:space="0" w:color="auto"/>
            </w:tcBorders>
            <w:shd w:val="clear" w:color="auto" w:fill="auto"/>
          </w:tcPr>
          <w:p w:rsidR="00F80674" w:rsidRPr="00F00002" w:rsidRDefault="00F80674" w:rsidP="00FE3C77">
            <w:pPr>
              <w:pStyle w:val="Tabletext"/>
              <w:rPr>
                <w:sz w:val="16"/>
                <w:szCs w:val="16"/>
              </w:rPr>
            </w:pPr>
            <w:r w:rsidRPr="00F00002">
              <w:rPr>
                <w:sz w:val="16"/>
                <w:szCs w:val="16"/>
              </w:rPr>
              <w:t>3</w:t>
            </w:r>
            <w:r w:rsidR="00F00002">
              <w:rPr>
                <w:sz w:val="16"/>
                <w:szCs w:val="16"/>
              </w:rPr>
              <w:t> </w:t>
            </w:r>
            <w:r w:rsidRPr="00F00002">
              <w:rPr>
                <w:sz w:val="16"/>
                <w:szCs w:val="16"/>
              </w:rPr>
              <w:t>June 2013 (F2013L00894)</w:t>
            </w:r>
          </w:p>
        </w:tc>
        <w:tc>
          <w:tcPr>
            <w:tcW w:w="1570" w:type="pct"/>
            <w:tcBorders>
              <w:top w:val="single" w:sz="4" w:space="0" w:color="auto"/>
            </w:tcBorders>
            <w:shd w:val="clear" w:color="auto" w:fill="auto"/>
          </w:tcPr>
          <w:p w:rsidR="00F80674" w:rsidRPr="00F00002" w:rsidRDefault="00F80674" w:rsidP="00EF172C">
            <w:pPr>
              <w:pStyle w:val="Tabletext"/>
              <w:rPr>
                <w:sz w:val="16"/>
                <w:szCs w:val="16"/>
              </w:rPr>
            </w:pPr>
            <w:r w:rsidRPr="00F00002">
              <w:rPr>
                <w:sz w:val="16"/>
                <w:szCs w:val="16"/>
              </w:rPr>
              <w:t>4</w:t>
            </w:r>
            <w:r w:rsidR="00F00002">
              <w:rPr>
                <w:sz w:val="16"/>
                <w:szCs w:val="16"/>
              </w:rPr>
              <w:t> </w:t>
            </w:r>
            <w:r w:rsidRPr="00F00002">
              <w:rPr>
                <w:sz w:val="16"/>
                <w:szCs w:val="16"/>
              </w:rPr>
              <w:t>June 2013</w:t>
            </w:r>
            <w:r w:rsidR="00F20106" w:rsidRPr="00F00002">
              <w:rPr>
                <w:sz w:val="16"/>
                <w:szCs w:val="16"/>
              </w:rPr>
              <w:t xml:space="preserve"> (</w:t>
            </w:r>
            <w:r w:rsidR="0069452B" w:rsidRPr="00F00002">
              <w:rPr>
                <w:sz w:val="16"/>
                <w:szCs w:val="16"/>
              </w:rPr>
              <w:t>s</w:t>
            </w:r>
            <w:r w:rsidR="00F20106" w:rsidRPr="00F00002">
              <w:rPr>
                <w:sz w:val="16"/>
                <w:szCs w:val="16"/>
              </w:rPr>
              <w:t xml:space="preserve"> 2)</w:t>
            </w:r>
          </w:p>
        </w:tc>
        <w:tc>
          <w:tcPr>
            <w:tcW w:w="1177" w:type="pct"/>
            <w:tcBorders>
              <w:top w:val="single" w:sz="4" w:space="0" w:color="auto"/>
            </w:tcBorders>
            <w:shd w:val="clear" w:color="auto" w:fill="auto"/>
          </w:tcPr>
          <w:p w:rsidR="00F80674" w:rsidRPr="00F00002" w:rsidRDefault="00F80674" w:rsidP="00EF172C">
            <w:pPr>
              <w:pStyle w:val="Tabletext"/>
              <w:rPr>
                <w:sz w:val="16"/>
                <w:szCs w:val="16"/>
              </w:rPr>
            </w:pPr>
            <w:r w:rsidRPr="00F00002">
              <w:rPr>
                <w:sz w:val="16"/>
                <w:szCs w:val="16"/>
              </w:rPr>
              <w:t>—</w:t>
            </w:r>
          </w:p>
        </w:tc>
      </w:tr>
      <w:tr w:rsidR="003C0958" w:rsidRPr="00F00002" w:rsidTr="000505B9">
        <w:trPr>
          <w:cantSplit/>
        </w:trPr>
        <w:tc>
          <w:tcPr>
            <w:tcW w:w="1013" w:type="pct"/>
            <w:shd w:val="clear" w:color="auto" w:fill="auto"/>
          </w:tcPr>
          <w:p w:rsidR="003C0958" w:rsidRPr="00F00002" w:rsidRDefault="003C0958" w:rsidP="00012D3D">
            <w:pPr>
              <w:pStyle w:val="Tabletext"/>
              <w:rPr>
                <w:sz w:val="16"/>
                <w:szCs w:val="16"/>
              </w:rPr>
            </w:pPr>
            <w:r w:rsidRPr="00F00002">
              <w:rPr>
                <w:sz w:val="16"/>
                <w:szCs w:val="16"/>
              </w:rPr>
              <w:t>127, 2013</w:t>
            </w:r>
          </w:p>
        </w:tc>
        <w:tc>
          <w:tcPr>
            <w:tcW w:w="1240" w:type="pct"/>
            <w:shd w:val="clear" w:color="auto" w:fill="auto"/>
          </w:tcPr>
          <w:p w:rsidR="003C0958" w:rsidRPr="00F00002" w:rsidRDefault="003C0958" w:rsidP="0079701A">
            <w:pPr>
              <w:pStyle w:val="Tabletext"/>
              <w:rPr>
                <w:sz w:val="16"/>
                <w:szCs w:val="16"/>
              </w:rPr>
            </w:pPr>
            <w:r w:rsidRPr="00F00002">
              <w:rPr>
                <w:sz w:val="16"/>
                <w:szCs w:val="16"/>
              </w:rPr>
              <w:t>17</w:t>
            </w:r>
            <w:r w:rsidR="00F00002">
              <w:rPr>
                <w:sz w:val="16"/>
                <w:szCs w:val="16"/>
              </w:rPr>
              <w:t> </w:t>
            </w:r>
            <w:r w:rsidRPr="00F00002">
              <w:rPr>
                <w:sz w:val="16"/>
                <w:szCs w:val="16"/>
              </w:rPr>
              <w:t>June 2013 (F2013L01019)</w:t>
            </w:r>
          </w:p>
        </w:tc>
        <w:tc>
          <w:tcPr>
            <w:tcW w:w="1570" w:type="pct"/>
            <w:shd w:val="clear" w:color="auto" w:fill="auto"/>
          </w:tcPr>
          <w:p w:rsidR="003C0958" w:rsidRPr="00F00002" w:rsidRDefault="003C0958" w:rsidP="00EF172C">
            <w:pPr>
              <w:pStyle w:val="Tabletext"/>
              <w:rPr>
                <w:sz w:val="16"/>
                <w:szCs w:val="16"/>
              </w:rPr>
            </w:pPr>
            <w:r w:rsidRPr="00F00002">
              <w:rPr>
                <w:sz w:val="16"/>
                <w:szCs w:val="16"/>
              </w:rPr>
              <w:t>18</w:t>
            </w:r>
            <w:r w:rsidR="00F00002">
              <w:rPr>
                <w:sz w:val="16"/>
                <w:szCs w:val="16"/>
              </w:rPr>
              <w:t> </w:t>
            </w:r>
            <w:r w:rsidRPr="00F00002">
              <w:rPr>
                <w:sz w:val="16"/>
                <w:szCs w:val="16"/>
              </w:rPr>
              <w:t>June 2013</w:t>
            </w:r>
            <w:r w:rsidR="00F20106" w:rsidRPr="00F00002">
              <w:rPr>
                <w:sz w:val="16"/>
                <w:szCs w:val="16"/>
              </w:rPr>
              <w:t xml:space="preserve"> (</w:t>
            </w:r>
            <w:r w:rsidR="0069452B" w:rsidRPr="00F00002">
              <w:rPr>
                <w:sz w:val="16"/>
                <w:szCs w:val="16"/>
              </w:rPr>
              <w:t>s</w:t>
            </w:r>
            <w:r w:rsidR="00F20106" w:rsidRPr="00F00002">
              <w:rPr>
                <w:sz w:val="16"/>
                <w:szCs w:val="16"/>
              </w:rPr>
              <w:t xml:space="preserve"> 2)</w:t>
            </w:r>
          </w:p>
        </w:tc>
        <w:tc>
          <w:tcPr>
            <w:tcW w:w="1177" w:type="pct"/>
            <w:shd w:val="clear" w:color="auto" w:fill="auto"/>
          </w:tcPr>
          <w:p w:rsidR="003C0958" w:rsidRPr="00F00002" w:rsidRDefault="003C0958" w:rsidP="00EF172C">
            <w:pPr>
              <w:pStyle w:val="Tabletext"/>
              <w:rPr>
                <w:sz w:val="16"/>
                <w:szCs w:val="16"/>
              </w:rPr>
            </w:pPr>
            <w:r w:rsidRPr="00F00002">
              <w:rPr>
                <w:sz w:val="16"/>
                <w:szCs w:val="16"/>
              </w:rPr>
              <w:t>—</w:t>
            </w:r>
          </w:p>
        </w:tc>
      </w:tr>
      <w:tr w:rsidR="003A6248" w:rsidRPr="00F00002" w:rsidTr="000505B9">
        <w:trPr>
          <w:cantSplit/>
        </w:trPr>
        <w:tc>
          <w:tcPr>
            <w:tcW w:w="1013" w:type="pct"/>
            <w:shd w:val="clear" w:color="auto" w:fill="auto"/>
          </w:tcPr>
          <w:p w:rsidR="003A6248" w:rsidRPr="00F00002" w:rsidRDefault="003A6248" w:rsidP="009F5EBC">
            <w:pPr>
              <w:pStyle w:val="Tabletext"/>
              <w:rPr>
                <w:sz w:val="16"/>
                <w:szCs w:val="16"/>
              </w:rPr>
            </w:pPr>
            <w:r w:rsidRPr="00F00002">
              <w:rPr>
                <w:sz w:val="16"/>
                <w:szCs w:val="16"/>
              </w:rPr>
              <w:t>2</w:t>
            </w:r>
            <w:r w:rsidR="005612E4" w:rsidRPr="00F00002">
              <w:rPr>
                <w:sz w:val="16"/>
                <w:szCs w:val="16"/>
              </w:rPr>
              <w:t>7</w:t>
            </w:r>
            <w:r w:rsidRPr="00F00002">
              <w:rPr>
                <w:sz w:val="16"/>
                <w:szCs w:val="16"/>
              </w:rPr>
              <w:t>9, 2013</w:t>
            </w:r>
          </w:p>
        </w:tc>
        <w:tc>
          <w:tcPr>
            <w:tcW w:w="1240" w:type="pct"/>
            <w:shd w:val="clear" w:color="auto" w:fill="auto"/>
          </w:tcPr>
          <w:p w:rsidR="003A6248" w:rsidRPr="00F00002" w:rsidRDefault="003A6248" w:rsidP="00FE3C77">
            <w:pPr>
              <w:pStyle w:val="Tabletext"/>
              <w:rPr>
                <w:sz w:val="16"/>
                <w:szCs w:val="16"/>
              </w:rPr>
            </w:pPr>
            <w:r w:rsidRPr="00F00002">
              <w:rPr>
                <w:sz w:val="16"/>
                <w:szCs w:val="16"/>
              </w:rPr>
              <w:t>16 Dec 2013 (F2013L02123)</w:t>
            </w:r>
          </w:p>
        </w:tc>
        <w:tc>
          <w:tcPr>
            <w:tcW w:w="1570" w:type="pct"/>
            <w:shd w:val="clear" w:color="auto" w:fill="auto"/>
          </w:tcPr>
          <w:p w:rsidR="003A6248" w:rsidRPr="00F00002" w:rsidRDefault="003A6248" w:rsidP="00286CFC">
            <w:pPr>
              <w:pStyle w:val="Tabletext"/>
              <w:rPr>
                <w:sz w:val="16"/>
                <w:szCs w:val="16"/>
              </w:rPr>
            </w:pPr>
            <w:r w:rsidRPr="00F00002">
              <w:rPr>
                <w:sz w:val="16"/>
                <w:szCs w:val="16"/>
              </w:rPr>
              <w:t>Sch 1 (items</w:t>
            </w:r>
            <w:r w:rsidR="00F00002">
              <w:rPr>
                <w:sz w:val="16"/>
                <w:szCs w:val="16"/>
              </w:rPr>
              <w:t> </w:t>
            </w:r>
            <w:r w:rsidRPr="00F00002">
              <w:rPr>
                <w:sz w:val="16"/>
                <w:szCs w:val="16"/>
              </w:rPr>
              <w:t>11–22):</w:t>
            </w:r>
            <w:r w:rsidR="00174F85" w:rsidRPr="00F00002">
              <w:rPr>
                <w:sz w:val="16"/>
                <w:szCs w:val="16"/>
              </w:rPr>
              <w:t xml:space="preserve"> </w:t>
            </w:r>
            <w:r w:rsidRPr="00F00002">
              <w:rPr>
                <w:sz w:val="16"/>
                <w:szCs w:val="16"/>
              </w:rPr>
              <w:t>17 Dec 2013</w:t>
            </w:r>
            <w:r w:rsidR="00937172" w:rsidRPr="00F00002">
              <w:rPr>
                <w:sz w:val="16"/>
                <w:szCs w:val="16"/>
              </w:rPr>
              <w:t xml:space="preserve"> (</w:t>
            </w:r>
            <w:r w:rsidR="0069452B" w:rsidRPr="00F00002">
              <w:rPr>
                <w:sz w:val="16"/>
                <w:szCs w:val="16"/>
              </w:rPr>
              <w:t>s</w:t>
            </w:r>
            <w:r w:rsidR="00286CFC" w:rsidRPr="00F00002">
              <w:rPr>
                <w:sz w:val="16"/>
                <w:szCs w:val="16"/>
              </w:rPr>
              <w:t> </w:t>
            </w:r>
            <w:r w:rsidR="00937172" w:rsidRPr="00F00002">
              <w:rPr>
                <w:sz w:val="16"/>
                <w:szCs w:val="16"/>
              </w:rPr>
              <w:t>2)</w:t>
            </w:r>
          </w:p>
        </w:tc>
        <w:tc>
          <w:tcPr>
            <w:tcW w:w="1177" w:type="pct"/>
            <w:shd w:val="clear" w:color="auto" w:fill="auto"/>
          </w:tcPr>
          <w:p w:rsidR="003A6248" w:rsidRPr="00F00002" w:rsidRDefault="003A6248" w:rsidP="00EF172C">
            <w:pPr>
              <w:pStyle w:val="Tabletext"/>
              <w:rPr>
                <w:sz w:val="16"/>
                <w:szCs w:val="16"/>
              </w:rPr>
            </w:pPr>
            <w:r w:rsidRPr="00F00002">
              <w:rPr>
                <w:sz w:val="16"/>
                <w:szCs w:val="16"/>
              </w:rPr>
              <w:t>—</w:t>
            </w:r>
          </w:p>
        </w:tc>
      </w:tr>
      <w:tr w:rsidR="00BC262D" w:rsidRPr="00F00002" w:rsidTr="000505B9">
        <w:trPr>
          <w:cantSplit/>
        </w:trPr>
        <w:tc>
          <w:tcPr>
            <w:tcW w:w="1013" w:type="pct"/>
            <w:shd w:val="clear" w:color="auto" w:fill="auto"/>
          </w:tcPr>
          <w:p w:rsidR="00BC262D" w:rsidRPr="00F00002" w:rsidRDefault="00BC262D" w:rsidP="009F5EBC">
            <w:pPr>
              <w:pStyle w:val="Tabletext"/>
              <w:rPr>
                <w:sz w:val="16"/>
                <w:szCs w:val="16"/>
              </w:rPr>
            </w:pPr>
            <w:r w:rsidRPr="00F00002">
              <w:rPr>
                <w:sz w:val="16"/>
                <w:szCs w:val="16"/>
              </w:rPr>
              <w:t>6, 2014</w:t>
            </w:r>
          </w:p>
        </w:tc>
        <w:tc>
          <w:tcPr>
            <w:tcW w:w="1240" w:type="pct"/>
            <w:shd w:val="clear" w:color="auto" w:fill="auto"/>
          </w:tcPr>
          <w:p w:rsidR="00BC262D" w:rsidRPr="00F00002" w:rsidRDefault="00BC262D" w:rsidP="00FE3C77">
            <w:pPr>
              <w:pStyle w:val="Tabletext"/>
              <w:rPr>
                <w:sz w:val="16"/>
                <w:szCs w:val="16"/>
              </w:rPr>
            </w:pPr>
            <w:r w:rsidRPr="00F00002">
              <w:rPr>
                <w:sz w:val="16"/>
                <w:szCs w:val="16"/>
              </w:rPr>
              <w:t>19 Feb 2014 (F2014L00159)</w:t>
            </w:r>
          </w:p>
        </w:tc>
        <w:tc>
          <w:tcPr>
            <w:tcW w:w="1570" w:type="pct"/>
            <w:shd w:val="clear" w:color="auto" w:fill="auto"/>
          </w:tcPr>
          <w:p w:rsidR="00BC262D" w:rsidRPr="00F00002" w:rsidRDefault="00BC262D" w:rsidP="00BC262D">
            <w:pPr>
              <w:pStyle w:val="Tabletext"/>
              <w:rPr>
                <w:sz w:val="16"/>
                <w:szCs w:val="16"/>
              </w:rPr>
            </w:pPr>
            <w:r w:rsidRPr="00F00002">
              <w:rPr>
                <w:sz w:val="16"/>
                <w:szCs w:val="16"/>
              </w:rPr>
              <w:t>Sch 1: 20 Feb 2014</w:t>
            </w:r>
            <w:r w:rsidR="00937172" w:rsidRPr="00F00002">
              <w:rPr>
                <w:sz w:val="16"/>
                <w:szCs w:val="16"/>
              </w:rPr>
              <w:t xml:space="preserve"> (</w:t>
            </w:r>
            <w:r w:rsidR="0069452B" w:rsidRPr="00F00002">
              <w:rPr>
                <w:sz w:val="16"/>
                <w:szCs w:val="16"/>
              </w:rPr>
              <w:t>s</w:t>
            </w:r>
            <w:r w:rsidR="00937172" w:rsidRPr="00F00002">
              <w:rPr>
                <w:sz w:val="16"/>
                <w:szCs w:val="16"/>
              </w:rPr>
              <w:t xml:space="preserve"> 2)</w:t>
            </w:r>
          </w:p>
        </w:tc>
        <w:tc>
          <w:tcPr>
            <w:tcW w:w="1177" w:type="pct"/>
            <w:shd w:val="clear" w:color="auto" w:fill="auto"/>
          </w:tcPr>
          <w:p w:rsidR="00BC262D" w:rsidRPr="00F00002" w:rsidRDefault="00BC262D" w:rsidP="00EF172C">
            <w:pPr>
              <w:pStyle w:val="Tabletext"/>
              <w:rPr>
                <w:sz w:val="16"/>
                <w:szCs w:val="16"/>
              </w:rPr>
            </w:pPr>
            <w:r w:rsidRPr="00F00002">
              <w:rPr>
                <w:sz w:val="16"/>
                <w:szCs w:val="16"/>
              </w:rPr>
              <w:t>—</w:t>
            </w:r>
          </w:p>
        </w:tc>
      </w:tr>
      <w:tr w:rsidR="002532D3" w:rsidRPr="00F00002" w:rsidTr="000505B9">
        <w:trPr>
          <w:cantSplit/>
        </w:trPr>
        <w:tc>
          <w:tcPr>
            <w:tcW w:w="1013" w:type="pct"/>
            <w:shd w:val="clear" w:color="auto" w:fill="auto"/>
          </w:tcPr>
          <w:p w:rsidR="002532D3" w:rsidRPr="00F00002" w:rsidRDefault="002532D3" w:rsidP="009F5EBC">
            <w:pPr>
              <w:pStyle w:val="Tabletext"/>
              <w:rPr>
                <w:sz w:val="16"/>
                <w:szCs w:val="16"/>
              </w:rPr>
            </w:pPr>
            <w:r w:rsidRPr="00F00002">
              <w:rPr>
                <w:sz w:val="16"/>
                <w:szCs w:val="16"/>
              </w:rPr>
              <w:t>52, 2014</w:t>
            </w:r>
          </w:p>
        </w:tc>
        <w:tc>
          <w:tcPr>
            <w:tcW w:w="1240" w:type="pct"/>
            <w:shd w:val="clear" w:color="auto" w:fill="auto"/>
          </w:tcPr>
          <w:p w:rsidR="002532D3" w:rsidRPr="00F00002" w:rsidRDefault="002532D3" w:rsidP="00FE3C77">
            <w:pPr>
              <w:pStyle w:val="Tabletext"/>
            </w:pPr>
            <w:r w:rsidRPr="00F00002">
              <w:rPr>
                <w:sz w:val="16"/>
                <w:szCs w:val="16"/>
              </w:rPr>
              <w:t>16</w:t>
            </w:r>
            <w:r w:rsidR="00F00002">
              <w:rPr>
                <w:sz w:val="16"/>
                <w:szCs w:val="16"/>
              </w:rPr>
              <w:t> </w:t>
            </w:r>
            <w:r w:rsidRPr="00F00002">
              <w:rPr>
                <w:sz w:val="16"/>
                <w:szCs w:val="16"/>
              </w:rPr>
              <w:t>May 2014 (F2014L00549)</w:t>
            </w:r>
          </w:p>
        </w:tc>
        <w:tc>
          <w:tcPr>
            <w:tcW w:w="1570" w:type="pct"/>
            <w:shd w:val="clear" w:color="auto" w:fill="auto"/>
          </w:tcPr>
          <w:p w:rsidR="002532D3" w:rsidRPr="00F00002" w:rsidRDefault="002532D3" w:rsidP="00BC262D">
            <w:pPr>
              <w:pStyle w:val="Tabletext"/>
              <w:rPr>
                <w:sz w:val="16"/>
                <w:szCs w:val="16"/>
              </w:rPr>
            </w:pPr>
            <w:r w:rsidRPr="00F00002">
              <w:rPr>
                <w:sz w:val="16"/>
                <w:szCs w:val="16"/>
              </w:rPr>
              <w:t>Sch 3: 17</w:t>
            </w:r>
            <w:r w:rsidR="00F00002">
              <w:rPr>
                <w:sz w:val="16"/>
                <w:szCs w:val="16"/>
              </w:rPr>
              <w:t> </w:t>
            </w:r>
            <w:r w:rsidRPr="00F00002">
              <w:rPr>
                <w:sz w:val="16"/>
                <w:szCs w:val="16"/>
              </w:rPr>
              <w:t>May 2014</w:t>
            </w:r>
            <w:r w:rsidR="0069452B" w:rsidRPr="00F00002">
              <w:rPr>
                <w:sz w:val="16"/>
                <w:szCs w:val="16"/>
              </w:rPr>
              <w:t xml:space="preserve"> (s 2)</w:t>
            </w:r>
          </w:p>
        </w:tc>
        <w:tc>
          <w:tcPr>
            <w:tcW w:w="1177" w:type="pct"/>
            <w:shd w:val="clear" w:color="auto" w:fill="auto"/>
          </w:tcPr>
          <w:p w:rsidR="002532D3" w:rsidRPr="00F00002" w:rsidRDefault="002532D3" w:rsidP="00EF172C">
            <w:pPr>
              <w:pStyle w:val="Tabletext"/>
              <w:rPr>
                <w:sz w:val="16"/>
                <w:szCs w:val="16"/>
              </w:rPr>
            </w:pPr>
            <w:r w:rsidRPr="00F00002">
              <w:rPr>
                <w:sz w:val="16"/>
                <w:szCs w:val="16"/>
              </w:rPr>
              <w:t>—</w:t>
            </w:r>
          </w:p>
        </w:tc>
      </w:tr>
      <w:tr w:rsidR="00923707" w:rsidRPr="00F00002" w:rsidTr="000505B9">
        <w:trPr>
          <w:cantSplit/>
        </w:trPr>
        <w:tc>
          <w:tcPr>
            <w:tcW w:w="1013" w:type="pct"/>
            <w:shd w:val="clear" w:color="auto" w:fill="auto"/>
          </w:tcPr>
          <w:p w:rsidR="00923707" w:rsidRPr="00F00002" w:rsidRDefault="00923707" w:rsidP="009F5EBC">
            <w:pPr>
              <w:pStyle w:val="Tabletext"/>
              <w:rPr>
                <w:sz w:val="16"/>
                <w:szCs w:val="16"/>
              </w:rPr>
            </w:pPr>
            <w:r w:rsidRPr="00F00002">
              <w:rPr>
                <w:sz w:val="16"/>
                <w:szCs w:val="16"/>
              </w:rPr>
              <w:t>90, 2014</w:t>
            </w:r>
          </w:p>
        </w:tc>
        <w:tc>
          <w:tcPr>
            <w:tcW w:w="1240" w:type="pct"/>
            <w:shd w:val="clear" w:color="auto" w:fill="auto"/>
          </w:tcPr>
          <w:p w:rsidR="00923707" w:rsidRPr="00F00002" w:rsidRDefault="00923707" w:rsidP="00FE3C77">
            <w:pPr>
              <w:pStyle w:val="Tabletext"/>
              <w:rPr>
                <w:sz w:val="16"/>
                <w:szCs w:val="16"/>
              </w:rPr>
            </w:pPr>
            <w:r w:rsidRPr="00F00002">
              <w:rPr>
                <w:sz w:val="16"/>
                <w:szCs w:val="16"/>
              </w:rPr>
              <w:t>13</w:t>
            </w:r>
            <w:r w:rsidR="00F00002">
              <w:rPr>
                <w:sz w:val="16"/>
                <w:szCs w:val="16"/>
              </w:rPr>
              <w:t> </w:t>
            </w:r>
            <w:r w:rsidRPr="00F00002">
              <w:rPr>
                <w:sz w:val="16"/>
                <w:szCs w:val="16"/>
              </w:rPr>
              <w:t>June 2014 (F2014L00712</w:t>
            </w:r>
            <w:r w:rsidR="00084D7B" w:rsidRPr="00F00002">
              <w:rPr>
                <w:sz w:val="16"/>
                <w:szCs w:val="16"/>
              </w:rPr>
              <w:t>)</w:t>
            </w:r>
          </w:p>
        </w:tc>
        <w:tc>
          <w:tcPr>
            <w:tcW w:w="1570" w:type="pct"/>
            <w:shd w:val="clear" w:color="auto" w:fill="auto"/>
          </w:tcPr>
          <w:p w:rsidR="00923707" w:rsidRPr="00F00002" w:rsidRDefault="00923707" w:rsidP="00BC262D">
            <w:pPr>
              <w:pStyle w:val="Tabletext"/>
              <w:rPr>
                <w:sz w:val="16"/>
                <w:szCs w:val="16"/>
              </w:rPr>
            </w:pPr>
            <w:r w:rsidRPr="00F00002">
              <w:rPr>
                <w:sz w:val="16"/>
                <w:szCs w:val="16"/>
              </w:rPr>
              <w:t>Sch 2: 14</w:t>
            </w:r>
            <w:r w:rsidR="00F00002">
              <w:rPr>
                <w:sz w:val="16"/>
                <w:szCs w:val="16"/>
              </w:rPr>
              <w:t> </w:t>
            </w:r>
            <w:r w:rsidRPr="00F00002">
              <w:rPr>
                <w:sz w:val="16"/>
                <w:szCs w:val="16"/>
              </w:rPr>
              <w:t>June 2014</w:t>
            </w:r>
            <w:r w:rsidR="0069452B" w:rsidRPr="00F00002">
              <w:rPr>
                <w:sz w:val="16"/>
                <w:szCs w:val="16"/>
              </w:rPr>
              <w:t xml:space="preserve"> (s 2)</w:t>
            </w:r>
          </w:p>
        </w:tc>
        <w:tc>
          <w:tcPr>
            <w:tcW w:w="1177" w:type="pct"/>
            <w:shd w:val="clear" w:color="auto" w:fill="auto"/>
          </w:tcPr>
          <w:p w:rsidR="00923707" w:rsidRPr="00F00002" w:rsidRDefault="00923707" w:rsidP="00EF172C">
            <w:pPr>
              <w:pStyle w:val="Tabletext"/>
              <w:rPr>
                <w:sz w:val="16"/>
                <w:szCs w:val="16"/>
              </w:rPr>
            </w:pPr>
            <w:r w:rsidRPr="00F00002">
              <w:rPr>
                <w:sz w:val="16"/>
                <w:szCs w:val="16"/>
              </w:rPr>
              <w:t>—</w:t>
            </w:r>
          </w:p>
        </w:tc>
      </w:tr>
      <w:tr w:rsidR="003B0B75" w:rsidRPr="00F00002" w:rsidTr="000505B9">
        <w:trPr>
          <w:cantSplit/>
        </w:trPr>
        <w:tc>
          <w:tcPr>
            <w:tcW w:w="1013" w:type="pct"/>
            <w:shd w:val="clear" w:color="auto" w:fill="auto"/>
          </w:tcPr>
          <w:p w:rsidR="003B0B75" w:rsidRPr="00F00002" w:rsidRDefault="003B0B75" w:rsidP="009F5EBC">
            <w:pPr>
              <w:pStyle w:val="Tabletext"/>
              <w:rPr>
                <w:sz w:val="16"/>
                <w:szCs w:val="16"/>
              </w:rPr>
            </w:pPr>
            <w:r w:rsidRPr="00F00002">
              <w:rPr>
                <w:sz w:val="16"/>
                <w:szCs w:val="16"/>
              </w:rPr>
              <w:t>17, 2015</w:t>
            </w:r>
          </w:p>
        </w:tc>
        <w:tc>
          <w:tcPr>
            <w:tcW w:w="1240" w:type="pct"/>
            <w:shd w:val="clear" w:color="auto" w:fill="auto"/>
          </w:tcPr>
          <w:p w:rsidR="003B0B75" w:rsidRPr="00F00002" w:rsidRDefault="003B0B75" w:rsidP="00EF172C">
            <w:pPr>
              <w:pStyle w:val="Tabletext"/>
              <w:rPr>
                <w:sz w:val="16"/>
                <w:szCs w:val="16"/>
              </w:rPr>
            </w:pPr>
            <w:r w:rsidRPr="00F00002">
              <w:rPr>
                <w:sz w:val="16"/>
                <w:szCs w:val="16"/>
              </w:rPr>
              <w:t>2 Mar 2015 (F2015L00240</w:t>
            </w:r>
            <w:r w:rsidRPr="00F00002">
              <w:rPr>
                <w:bCs/>
                <w:sz w:val="16"/>
                <w:szCs w:val="16"/>
              </w:rPr>
              <w:t>)</w:t>
            </w:r>
          </w:p>
        </w:tc>
        <w:tc>
          <w:tcPr>
            <w:tcW w:w="1570" w:type="pct"/>
            <w:shd w:val="clear" w:color="auto" w:fill="auto"/>
          </w:tcPr>
          <w:p w:rsidR="003B0B75" w:rsidRPr="00F00002" w:rsidRDefault="00FA6C9E" w:rsidP="00BC262D">
            <w:pPr>
              <w:pStyle w:val="Tabletext"/>
              <w:rPr>
                <w:sz w:val="16"/>
                <w:szCs w:val="16"/>
              </w:rPr>
            </w:pPr>
            <w:r w:rsidRPr="00F00002">
              <w:rPr>
                <w:sz w:val="16"/>
                <w:szCs w:val="16"/>
              </w:rPr>
              <w:t>3 Mar 2015 (s 2)</w:t>
            </w:r>
          </w:p>
        </w:tc>
        <w:tc>
          <w:tcPr>
            <w:tcW w:w="1177" w:type="pct"/>
            <w:shd w:val="clear" w:color="auto" w:fill="auto"/>
          </w:tcPr>
          <w:p w:rsidR="003B0B75" w:rsidRPr="00F00002" w:rsidRDefault="00FA6C9E" w:rsidP="00EF172C">
            <w:pPr>
              <w:pStyle w:val="Tabletext"/>
              <w:rPr>
                <w:sz w:val="16"/>
                <w:szCs w:val="16"/>
              </w:rPr>
            </w:pPr>
            <w:r w:rsidRPr="00F00002">
              <w:rPr>
                <w:sz w:val="16"/>
                <w:szCs w:val="16"/>
              </w:rPr>
              <w:t>—</w:t>
            </w:r>
          </w:p>
        </w:tc>
      </w:tr>
      <w:tr w:rsidR="0032457A" w:rsidRPr="00F00002" w:rsidTr="000505B9">
        <w:trPr>
          <w:cantSplit/>
        </w:trPr>
        <w:tc>
          <w:tcPr>
            <w:tcW w:w="1013" w:type="pct"/>
            <w:shd w:val="clear" w:color="auto" w:fill="auto"/>
          </w:tcPr>
          <w:p w:rsidR="0032457A" w:rsidRPr="00F00002" w:rsidRDefault="0032457A" w:rsidP="009F5EBC">
            <w:pPr>
              <w:pStyle w:val="Tabletext"/>
              <w:rPr>
                <w:sz w:val="16"/>
                <w:szCs w:val="16"/>
              </w:rPr>
            </w:pPr>
            <w:r w:rsidRPr="00F00002">
              <w:rPr>
                <w:sz w:val="16"/>
                <w:szCs w:val="16"/>
              </w:rPr>
              <w:t>39, 2015</w:t>
            </w:r>
          </w:p>
        </w:tc>
        <w:tc>
          <w:tcPr>
            <w:tcW w:w="1240" w:type="pct"/>
            <w:shd w:val="clear" w:color="auto" w:fill="auto"/>
          </w:tcPr>
          <w:p w:rsidR="0032457A" w:rsidRPr="00F00002" w:rsidRDefault="0032457A" w:rsidP="009D3D24">
            <w:pPr>
              <w:pStyle w:val="Tabletext"/>
              <w:rPr>
                <w:sz w:val="16"/>
                <w:szCs w:val="16"/>
              </w:rPr>
            </w:pPr>
            <w:r w:rsidRPr="00F00002">
              <w:rPr>
                <w:sz w:val="16"/>
                <w:szCs w:val="16"/>
              </w:rPr>
              <w:t>30 Mar 2015</w:t>
            </w:r>
            <w:r w:rsidR="009D3D24" w:rsidRPr="00F00002">
              <w:rPr>
                <w:sz w:val="16"/>
                <w:szCs w:val="16"/>
              </w:rPr>
              <w:t xml:space="preserve"> </w:t>
            </w:r>
            <w:r w:rsidRPr="00F00002">
              <w:rPr>
                <w:sz w:val="16"/>
                <w:szCs w:val="16"/>
              </w:rPr>
              <w:t>(F2015L00367)</w:t>
            </w:r>
          </w:p>
        </w:tc>
        <w:tc>
          <w:tcPr>
            <w:tcW w:w="1570" w:type="pct"/>
            <w:shd w:val="clear" w:color="auto" w:fill="auto"/>
          </w:tcPr>
          <w:p w:rsidR="0032457A" w:rsidRPr="00F00002" w:rsidRDefault="009D3D24" w:rsidP="009D3D24">
            <w:pPr>
              <w:pStyle w:val="Tabletext"/>
              <w:rPr>
                <w:sz w:val="16"/>
                <w:szCs w:val="16"/>
              </w:rPr>
            </w:pPr>
            <w:r w:rsidRPr="00F00002">
              <w:rPr>
                <w:sz w:val="16"/>
                <w:szCs w:val="16"/>
              </w:rPr>
              <w:t xml:space="preserve">Sch 2: </w:t>
            </w:r>
            <w:r w:rsidR="0032457A" w:rsidRPr="00F00002">
              <w:rPr>
                <w:sz w:val="16"/>
                <w:szCs w:val="16"/>
              </w:rPr>
              <w:t>31 Mar 2015 (s 2 item</w:t>
            </w:r>
            <w:r w:rsidR="00F00002">
              <w:rPr>
                <w:sz w:val="16"/>
                <w:szCs w:val="16"/>
              </w:rPr>
              <w:t> </w:t>
            </w:r>
            <w:r w:rsidR="0032457A" w:rsidRPr="00F00002">
              <w:rPr>
                <w:sz w:val="16"/>
                <w:szCs w:val="16"/>
              </w:rPr>
              <w:t>4)</w:t>
            </w:r>
          </w:p>
        </w:tc>
        <w:tc>
          <w:tcPr>
            <w:tcW w:w="1177" w:type="pct"/>
            <w:shd w:val="clear" w:color="auto" w:fill="auto"/>
          </w:tcPr>
          <w:p w:rsidR="0032457A" w:rsidRPr="00F00002" w:rsidRDefault="0032457A" w:rsidP="00EF172C">
            <w:pPr>
              <w:pStyle w:val="Tabletext"/>
              <w:rPr>
                <w:sz w:val="16"/>
                <w:szCs w:val="16"/>
              </w:rPr>
            </w:pPr>
            <w:r w:rsidRPr="00F00002">
              <w:rPr>
                <w:sz w:val="16"/>
                <w:szCs w:val="16"/>
              </w:rPr>
              <w:t>—</w:t>
            </w:r>
          </w:p>
        </w:tc>
      </w:tr>
      <w:tr w:rsidR="00396E31" w:rsidRPr="00F00002" w:rsidTr="000505B9">
        <w:trPr>
          <w:cantSplit/>
        </w:trPr>
        <w:tc>
          <w:tcPr>
            <w:tcW w:w="1013" w:type="pct"/>
            <w:shd w:val="clear" w:color="auto" w:fill="auto"/>
          </w:tcPr>
          <w:p w:rsidR="00396E31" w:rsidRPr="00F00002" w:rsidRDefault="00396E31" w:rsidP="009F5EBC">
            <w:pPr>
              <w:pStyle w:val="Tabletext"/>
              <w:rPr>
                <w:sz w:val="16"/>
                <w:szCs w:val="16"/>
              </w:rPr>
            </w:pPr>
            <w:r w:rsidRPr="00F00002">
              <w:rPr>
                <w:sz w:val="16"/>
                <w:szCs w:val="16"/>
              </w:rPr>
              <w:t>63, 2015</w:t>
            </w:r>
          </w:p>
        </w:tc>
        <w:tc>
          <w:tcPr>
            <w:tcW w:w="1240" w:type="pct"/>
            <w:shd w:val="clear" w:color="auto" w:fill="auto"/>
          </w:tcPr>
          <w:p w:rsidR="00396E31" w:rsidRPr="00F00002" w:rsidRDefault="00396E31" w:rsidP="009D3D24">
            <w:pPr>
              <w:pStyle w:val="Tabletext"/>
              <w:rPr>
                <w:sz w:val="16"/>
                <w:szCs w:val="16"/>
              </w:rPr>
            </w:pPr>
            <w:r w:rsidRPr="00F00002">
              <w:rPr>
                <w:sz w:val="16"/>
                <w:szCs w:val="16"/>
              </w:rPr>
              <w:t>1</w:t>
            </w:r>
            <w:r w:rsidR="00F00002">
              <w:rPr>
                <w:sz w:val="16"/>
                <w:szCs w:val="16"/>
              </w:rPr>
              <w:t> </w:t>
            </w:r>
            <w:r w:rsidRPr="00F00002">
              <w:rPr>
                <w:sz w:val="16"/>
                <w:szCs w:val="16"/>
              </w:rPr>
              <w:t>May 2015 (F2015L00630)</w:t>
            </w:r>
          </w:p>
        </w:tc>
        <w:tc>
          <w:tcPr>
            <w:tcW w:w="1570" w:type="pct"/>
            <w:shd w:val="clear" w:color="auto" w:fill="auto"/>
          </w:tcPr>
          <w:p w:rsidR="00396E31" w:rsidRPr="00F00002" w:rsidRDefault="00396E31" w:rsidP="009D3D24">
            <w:pPr>
              <w:pStyle w:val="Tabletext"/>
              <w:rPr>
                <w:sz w:val="16"/>
                <w:szCs w:val="16"/>
              </w:rPr>
            </w:pPr>
            <w:r w:rsidRPr="00F00002">
              <w:rPr>
                <w:sz w:val="16"/>
                <w:szCs w:val="16"/>
              </w:rPr>
              <w:t>Sch 1: 1</w:t>
            </w:r>
            <w:r w:rsidR="00F00002">
              <w:rPr>
                <w:sz w:val="16"/>
                <w:szCs w:val="16"/>
              </w:rPr>
              <w:t> </w:t>
            </w:r>
            <w:r w:rsidRPr="00F00002">
              <w:rPr>
                <w:sz w:val="16"/>
                <w:szCs w:val="16"/>
              </w:rPr>
              <w:t>July 2015 (s 2)</w:t>
            </w:r>
          </w:p>
        </w:tc>
        <w:tc>
          <w:tcPr>
            <w:tcW w:w="1177" w:type="pct"/>
            <w:shd w:val="clear" w:color="auto" w:fill="auto"/>
          </w:tcPr>
          <w:p w:rsidR="00396E31" w:rsidRPr="00F00002" w:rsidRDefault="00396E31" w:rsidP="00EF172C">
            <w:pPr>
              <w:pStyle w:val="Tabletext"/>
              <w:rPr>
                <w:sz w:val="16"/>
                <w:szCs w:val="16"/>
              </w:rPr>
            </w:pPr>
            <w:r w:rsidRPr="00F00002">
              <w:rPr>
                <w:sz w:val="16"/>
                <w:szCs w:val="16"/>
              </w:rPr>
              <w:t>—</w:t>
            </w:r>
          </w:p>
        </w:tc>
      </w:tr>
      <w:tr w:rsidR="00396E31" w:rsidRPr="00F00002" w:rsidTr="000505B9">
        <w:trPr>
          <w:cantSplit/>
        </w:trPr>
        <w:tc>
          <w:tcPr>
            <w:tcW w:w="1013" w:type="pct"/>
            <w:shd w:val="clear" w:color="auto" w:fill="auto"/>
          </w:tcPr>
          <w:p w:rsidR="00396E31" w:rsidRPr="00F00002" w:rsidRDefault="00396E31" w:rsidP="009F5EBC">
            <w:pPr>
              <w:pStyle w:val="Tabletext"/>
              <w:rPr>
                <w:sz w:val="16"/>
                <w:szCs w:val="16"/>
              </w:rPr>
            </w:pPr>
            <w:r w:rsidRPr="00F00002">
              <w:rPr>
                <w:sz w:val="16"/>
                <w:szCs w:val="16"/>
              </w:rPr>
              <w:t>110, 2015</w:t>
            </w:r>
          </w:p>
        </w:tc>
        <w:tc>
          <w:tcPr>
            <w:tcW w:w="1240" w:type="pct"/>
            <w:shd w:val="clear" w:color="auto" w:fill="auto"/>
          </w:tcPr>
          <w:p w:rsidR="00396E31" w:rsidRPr="00F00002" w:rsidRDefault="00233926" w:rsidP="009D3D24">
            <w:pPr>
              <w:pStyle w:val="Tabletext"/>
              <w:rPr>
                <w:sz w:val="16"/>
                <w:szCs w:val="16"/>
              </w:rPr>
            </w:pPr>
            <w:r w:rsidRPr="00F00002">
              <w:rPr>
                <w:sz w:val="16"/>
                <w:szCs w:val="16"/>
              </w:rPr>
              <w:t>29</w:t>
            </w:r>
            <w:r w:rsidR="00F00002">
              <w:rPr>
                <w:sz w:val="16"/>
                <w:szCs w:val="16"/>
              </w:rPr>
              <w:t> </w:t>
            </w:r>
            <w:r w:rsidRPr="00F00002">
              <w:rPr>
                <w:sz w:val="16"/>
                <w:szCs w:val="16"/>
              </w:rPr>
              <w:t xml:space="preserve">June 2015 </w:t>
            </w:r>
            <w:r w:rsidRPr="00F00002">
              <w:rPr>
                <w:bCs/>
                <w:sz w:val="16"/>
                <w:szCs w:val="16"/>
              </w:rPr>
              <w:t>(F2015L00968)</w:t>
            </w:r>
          </w:p>
        </w:tc>
        <w:tc>
          <w:tcPr>
            <w:tcW w:w="1570" w:type="pct"/>
            <w:shd w:val="clear" w:color="auto" w:fill="auto"/>
          </w:tcPr>
          <w:p w:rsidR="00396E31" w:rsidRPr="00F00002" w:rsidRDefault="00396E31" w:rsidP="00707853">
            <w:pPr>
              <w:pStyle w:val="Tabletext"/>
              <w:rPr>
                <w:sz w:val="16"/>
                <w:szCs w:val="16"/>
              </w:rPr>
            </w:pPr>
            <w:r w:rsidRPr="00F00002">
              <w:rPr>
                <w:sz w:val="16"/>
                <w:szCs w:val="16"/>
              </w:rPr>
              <w:t>Sch 1 (item</w:t>
            </w:r>
            <w:r w:rsidR="00F00002">
              <w:rPr>
                <w:sz w:val="16"/>
                <w:szCs w:val="16"/>
              </w:rPr>
              <w:t> </w:t>
            </w:r>
            <w:r w:rsidRPr="00F00002">
              <w:rPr>
                <w:sz w:val="16"/>
                <w:szCs w:val="16"/>
              </w:rPr>
              <w:t>1): 1</w:t>
            </w:r>
            <w:r w:rsidR="00F00002">
              <w:rPr>
                <w:sz w:val="16"/>
                <w:szCs w:val="16"/>
              </w:rPr>
              <w:t> </w:t>
            </w:r>
            <w:r w:rsidRPr="00F00002">
              <w:rPr>
                <w:sz w:val="16"/>
                <w:szCs w:val="16"/>
              </w:rPr>
              <w:t>July 2015 (s</w:t>
            </w:r>
            <w:r w:rsidR="00761ACE" w:rsidRPr="00F00002">
              <w:rPr>
                <w:sz w:val="16"/>
                <w:szCs w:val="16"/>
              </w:rPr>
              <w:t> </w:t>
            </w:r>
            <w:r w:rsidRPr="00F00002">
              <w:rPr>
                <w:sz w:val="16"/>
                <w:szCs w:val="16"/>
              </w:rPr>
              <w:t>2(1) item</w:t>
            </w:r>
            <w:r w:rsidR="00F00002">
              <w:rPr>
                <w:sz w:val="16"/>
                <w:szCs w:val="16"/>
              </w:rPr>
              <w:t> </w:t>
            </w:r>
            <w:r w:rsidRPr="00F00002">
              <w:rPr>
                <w:sz w:val="16"/>
                <w:szCs w:val="16"/>
              </w:rPr>
              <w:t>1)</w:t>
            </w:r>
          </w:p>
        </w:tc>
        <w:tc>
          <w:tcPr>
            <w:tcW w:w="1177" w:type="pct"/>
            <w:shd w:val="clear" w:color="auto" w:fill="auto"/>
          </w:tcPr>
          <w:p w:rsidR="00396E31" w:rsidRPr="00F00002" w:rsidRDefault="00396E31" w:rsidP="00EF172C">
            <w:pPr>
              <w:pStyle w:val="Tabletext"/>
              <w:rPr>
                <w:sz w:val="16"/>
                <w:szCs w:val="16"/>
              </w:rPr>
            </w:pPr>
            <w:r w:rsidRPr="00F00002">
              <w:rPr>
                <w:sz w:val="16"/>
                <w:szCs w:val="16"/>
              </w:rPr>
              <w:t>—</w:t>
            </w:r>
          </w:p>
        </w:tc>
      </w:tr>
      <w:tr w:rsidR="002D776D" w:rsidRPr="00F00002" w:rsidTr="000505B9">
        <w:trPr>
          <w:cantSplit/>
        </w:trPr>
        <w:tc>
          <w:tcPr>
            <w:tcW w:w="1013" w:type="pct"/>
            <w:tcBorders>
              <w:bottom w:val="single" w:sz="12" w:space="0" w:color="auto"/>
            </w:tcBorders>
            <w:shd w:val="clear" w:color="auto" w:fill="auto"/>
          </w:tcPr>
          <w:p w:rsidR="002D776D" w:rsidRPr="00F00002" w:rsidRDefault="002D776D" w:rsidP="009F5EBC">
            <w:pPr>
              <w:pStyle w:val="Tabletext"/>
              <w:rPr>
                <w:sz w:val="16"/>
                <w:szCs w:val="16"/>
              </w:rPr>
            </w:pPr>
            <w:r w:rsidRPr="00F00002">
              <w:rPr>
                <w:sz w:val="16"/>
                <w:szCs w:val="16"/>
              </w:rPr>
              <w:t>156, 2015</w:t>
            </w:r>
          </w:p>
        </w:tc>
        <w:tc>
          <w:tcPr>
            <w:tcW w:w="1240" w:type="pct"/>
            <w:tcBorders>
              <w:bottom w:val="single" w:sz="12" w:space="0" w:color="auto"/>
            </w:tcBorders>
            <w:shd w:val="clear" w:color="auto" w:fill="auto"/>
          </w:tcPr>
          <w:p w:rsidR="002D776D" w:rsidRPr="00F00002" w:rsidRDefault="002D776D" w:rsidP="009D3D24">
            <w:pPr>
              <w:pStyle w:val="Tabletext"/>
              <w:rPr>
                <w:sz w:val="16"/>
                <w:szCs w:val="16"/>
              </w:rPr>
            </w:pPr>
            <w:r w:rsidRPr="00F00002">
              <w:rPr>
                <w:sz w:val="16"/>
                <w:szCs w:val="16"/>
              </w:rPr>
              <w:t>9 Sept 2015 (F2015L01416)</w:t>
            </w:r>
          </w:p>
        </w:tc>
        <w:tc>
          <w:tcPr>
            <w:tcW w:w="1570" w:type="pct"/>
            <w:tcBorders>
              <w:bottom w:val="single" w:sz="12" w:space="0" w:color="auto"/>
            </w:tcBorders>
            <w:shd w:val="clear" w:color="auto" w:fill="auto"/>
          </w:tcPr>
          <w:p w:rsidR="002D776D" w:rsidRPr="00F00002" w:rsidRDefault="002D776D" w:rsidP="00937A78">
            <w:pPr>
              <w:pStyle w:val="Tabletext"/>
              <w:rPr>
                <w:sz w:val="16"/>
                <w:szCs w:val="16"/>
              </w:rPr>
            </w:pPr>
            <w:r w:rsidRPr="00F00002">
              <w:rPr>
                <w:sz w:val="16"/>
                <w:szCs w:val="16"/>
              </w:rPr>
              <w:t>Sch 1 (items</w:t>
            </w:r>
            <w:r w:rsidR="00F00002">
              <w:rPr>
                <w:sz w:val="16"/>
                <w:szCs w:val="16"/>
              </w:rPr>
              <w:t> </w:t>
            </w:r>
            <w:r w:rsidRPr="00F00002">
              <w:rPr>
                <w:sz w:val="16"/>
                <w:szCs w:val="16"/>
              </w:rPr>
              <w:t>2, 3): 10 Sept 2015 (s</w:t>
            </w:r>
            <w:r w:rsidR="00937A78" w:rsidRPr="00F00002">
              <w:rPr>
                <w:sz w:val="16"/>
                <w:szCs w:val="16"/>
              </w:rPr>
              <w:t> </w:t>
            </w:r>
            <w:r w:rsidRPr="00F00002">
              <w:rPr>
                <w:sz w:val="16"/>
                <w:szCs w:val="16"/>
              </w:rPr>
              <w:t>2(1) item</w:t>
            </w:r>
            <w:r w:rsidR="00F00002">
              <w:rPr>
                <w:sz w:val="16"/>
                <w:szCs w:val="16"/>
              </w:rPr>
              <w:t> </w:t>
            </w:r>
            <w:r w:rsidRPr="00F00002">
              <w:rPr>
                <w:sz w:val="16"/>
                <w:szCs w:val="16"/>
              </w:rPr>
              <w:t>1)</w:t>
            </w:r>
          </w:p>
        </w:tc>
        <w:tc>
          <w:tcPr>
            <w:tcW w:w="1177" w:type="pct"/>
            <w:tcBorders>
              <w:bottom w:val="single" w:sz="12" w:space="0" w:color="auto"/>
            </w:tcBorders>
            <w:shd w:val="clear" w:color="auto" w:fill="auto"/>
          </w:tcPr>
          <w:p w:rsidR="002D776D" w:rsidRPr="00F00002" w:rsidRDefault="000A4ABD" w:rsidP="00D67040">
            <w:pPr>
              <w:pStyle w:val="Tabletext"/>
              <w:rPr>
                <w:sz w:val="16"/>
                <w:szCs w:val="16"/>
              </w:rPr>
            </w:pPr>
            <w:r w:rsidRPr="00F00002">
              <w:rPr>
                <w:sz w:val="16"/>
                <w:szCs w:val="16"/>
              </w:rPr>
              <w:t>SLI No 155, 2015 (s 23)</w:t>
            </w:r>
          </w:p>
        </w:tc>
      </w:tr>
    </w:tbl>
    <w:p w:rsidR="00F251A1" w:rsidRPr="00F00002" w:rsidRDefault="00F251A1" w:rsidP="00F251A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251A1" w:rsidRPr="00F00002" w:rsidTr="000505B9">
        <w:trPr>
          <w:cantSplit/>
          <w:tblHeader/>
        </w:trPr>
        <w:tc>
          <w:tcPr>
            <w:tcW w:w="1250" w:type="pct"/>
            <w:tcBorders>
              <w:top w:val="single" w:sz="12" w:space="0" w:color="auto"/>
              <w:bottom w:val="single" w:sz="12" w:space="0" w:color="auto"/>
            </w:tcBorders>
            <w:shd w:val="clear" w:color="auto" w:fill="auto"/>
          </w:tcPr>
          <w:p w:rsidR="00F251A1" w:rsidRPr="00F00002" w:rsidRDefault="00F251A1" w:rsidP="00F251A1">
            <w:pPr>
              <w:pStyle w:val="ENoteTableHeading"/>
            </w:pPr>
            <w:r w:rsidRPr="00F00002">
              <w:t>Name</w:t>
            </w:r>
          </w:p>
        </w:tc>
        <w:tc>
          <w:tcPr>
            <w:tcW w:w="1250" w:type="pct"/>
            <w:tcBorders>
              <w:top w:val="single" w:sz="12" w:space="0" w:color="auto"/>
              <w:bottom w:val="single" w:sz="12" w:space="0" w:color="auto"/>
            </w:tcBorders>
            <w:shd w:val="clear" w:color="auto" w:fill="auto"/>
          </w:tcPr>
          <w:p w:rsidR="00F251A1" w:rsidRPr="00F00002" w:rsidRDefault="00D57D83" w:rsidP="00F251A1">
            <w:pPr>
              <w:pStyle w:val="ENoteTableHeading"/>
            </w:pPr>
            <w:r w:rsidRPr="00F00002">
              <w:t>R</w:t>
            </w:r>
            <w:r w:rsidR="00F251A1" w:rsidRPr="00F00002">
              <w:t>egistration</w:t>
            </w:r>
          </w:p>
        </w:tc>
        <w:tc>
          <w:tcPr>
            <w:tcW w:w="1250" w:type="pct"/>
            <w:tcBorders>
              <w:top w:val="single" w:sz="12" w:space="0" w:color="auto"/>
              <w:bottom w:val="single" w:sz="12" w:space="0" w:color="auto"/>
            </w:tcBorders>
            <w:shd w:val="clear" w:color="auto" w:fill="auto"/>
          </w:tcPr>
          <w:p w:rsidR="00F251A1" w:rsidRPr="00F00002" w:rsidRDefault="00F251A1" w:rsidP="00F251A1">
            <w:pPr>
              <w:pStyle w:val="ENoteTableHeading"/>
            </w:pPr>
            <w:r w:rsidRPr="00F00002">
              <w:t>Commencement</w:t>
            </w:r>
          </w:p>
        </w:tc>
        <w:tc>
          <w:tcPr>
            <w:tcW w:w="1250" w:type="pct"/>
            <w:tcBorders>
              <w:top w:val="single" w:sz="12" w:space="0" w:color="auto"/>
              <w:bottom w:val="single" w:sz="12" w:space="0" w:color="auto"/>
            </w:tcBorders>
            <w:shd w:val="clear" w:color="auto" w:fill="auto"/>
          </w:tcPr>
          <w:p w:rsidR="00F251A1" w:rsidRPr="00F00002" w:rsidRDefault="00F251A1" w:rsidP="00F251A1">
            <w:pPr>
              <w:pStyle w:val="ENoteTableHeading"/>
            </w:pPr>
            <w:r w:rsidRPr="00F00002">
              <w:t>Application, saving and transitional provisions</w:t>
            </w:r>
          </w:p>
        </w:tc>
      </w:tr>
      <w:tr w:rsidR="00F251A1" w:rsidRPr="00F00002" w:rsidTr="000505B9">
        <w:trPr>
          <w:cantSplit/>
        </w:trPr>
        <w:tc>
          <w:tcPr>
            <w:tcW w:w="1250" w:type="pct"/>
            <w:tcBorders>
              <w:top w:val="single" w:sz="12" w:space="0" w:color="auto"/>
              <w:bottom w:val="single" w:sz="4" w:space="0" w:color="auto"/>
            </w:tcBorders>
            <w:shd w:val="clear" w:color="auto" w:fill="auto"/>
          </w:tcPr>
          <w:p w:rsidR="00F251A1" w:rsidRPr="00F00002" w:rsidRDefault="00F251A1" w:rsidP="00F251A1">
            <w:pPr>
              <w:pStyle w:val="ENoteTableText"/>
            </w:pPr>
            <w:r w:rsidRPr="00F00002">
              <w:t>Treasury Laws Amendment (2016 Measures No.</w:t>
            </w:r>
            <w:r w:rsidR="00F00002">
              <w:t> </w:t>
            </w:r>
            <w:r w:rsidRPr="00F00002">
              <w:t>1) Regulation</w:t>
            </w:r>
            <w:r w:rsidR="00F00002">
              <w:t> </w:t>
            </w:r>
            <w:r w:rsidRPr="00F00002">
              <w:t>2016</w:t>
            </w:r>
          </w:p>
        </w:tc>
        <w:tc>
          <w:tcPr>
            <w:tcW w:w="1250" w:type="pct"/>
            <w:tcBorders>
              <w:top w:val="single" w:sz="12" w:space="0" w:color="auto"/>
              <w:bottom w:val="single" w:sz="4" w:space="0" w:color="auto"/>
            </w:tcBorders>
            <w:shd w:val="clear" w:color="auto" w:fill="auto"/>
          </w:tcPr>
          <w:p w:rsidR="00F251A1" w:rsidRPr="00F00002" w:rsidRDefault="00F251A1" w:rsidP="00F251A1">
            <w:pPr>
              <w:pStyle w:val="ENoteTableText"/>
            </w:pPr>
            <w:r w:rsidRPr="00F00002">
              <w:t>26 Feb 2016 (F2016L00156)</w:t>
            </w:r>
          </w:p>
        </w:tc>
        <w:tc>
          <w:tcPr>
            <w:tcW w:w="1250" w:type="pct"/>
            <w:tcBorders>
              <w:top w:val="single" w:sz="12" w:space="0" w:color="auto"/>
              <w:bottom w:val="single" w:sz="4" w:space="0" w:color="auto"/>
            </w:tcBorders>
            <w:shd w:val="clear" w:color="auto" w:fill="auto"/>
          </w:tcPr>
          <w:p w:rsidR="00F251A1" w:rsidRPr="00F00002" w:rsidRDefault="00F251A1" w:rsidP="00D1356F">
            <w:pPr>
              <w:pStyle w:val="ENoteTableText"/>
            </w:pPr>
            <w:r w:rsidRPr="00F00002">
              <w:t>Sch 1: 27 Feb 2016 (s</w:t>
            </w:r>
            <w:r w:rsidR="00D1356F" w:rsidRPr="00F00002">
              <w:t> </w:t>
            </w:r>
            <w:r w:rsidRPr="00F00002">
              <w:t>2(1) item</w:t>
            </w:r>
            <w:r w:rsidR="00F00002">
              <w:t> </w:t>
            </w:r>
            <w:r w:rsidRPr="00F00002">
              <w:t>1)</w:t>
            </w:r>
          </w:p>
        </w:tc>
        <w:tc>
          <w:tcPr>
            <w:tcW w:w="1250" w:type="pct"/>
            <w:tcBorders>
              <w:top w:val="single" w:sz="12" w:space="0" w:color="auto"/>
              <w:bottom w:val="single" w:sz="4" w:space="0" w:color="auto"/>
            </w:tcBorders>
            <w:shd w:val="clear" w:color="auto" w:fill="auto"/>
          </w:tcPr>
          <w:p w:rsidR="00F251A1" w:rsidRPr="00F00002" w:rsidRDefault="00F251A1" w:rsidP="00F251A1">
            <w:pPr>
              <w:pStyle w:val="ENoteTableText"/>
            </w:pPr>
            <w:r w:rsidRPr="00F00002">
              <w:rPr>
                <w:szCs w:val="16"/>
              </w:rPr>
              <w:t>—</w:t>
            </w:r>
          </w:p>
        </w:tc>
      </w:tr>
      <w:tr w:rsidR="00D57D83" w:rsidRPr="00F00002" w:rsidTr="00DB21B2">
        <w:trPr>
          <w:cantSplit/>
        </w:trPr>
        <w:tc>
          <w:tcPr>
            <w:tcW w:w="1250" w:type="pct"/>
            <w:tcBorders>
              <w:top w:val="single" w:sz="4" w:space="0" w:color="auto"/>
              <w:bottom w:val="single" w:sz="4" w:space="0" w:color="auto"/>
            </w:tcBorders>
            <w:shd w:val="clear" w:color="auto" w:fill="auto"/>
          </w:tcPr>
          <w:p w:rsidR="00D57D83" w:rsidRPr="00F00002" w:rsidRDefault="00D57D83" w:rsidP="00F251A1">
            <w:pPr>
              <w:pStyle w:val="ENoteTableText"/>
            </w:pPr>
            <w:r w:rsidRPr="00F00002">
              <w:lastRenderedPageBreak/>
              <w:t>Acts and Instruments (Framework Reform) (Consequential Amendments) Regulation</w:t>
            </w:r>
            <w:r w:rsidR="00F00002">
              <w:t> </w:t>
            </w:r>
            <w:r w:rsidRPr="00F00002">
              <w:t>2016</w:t>
            </w:r>
          </w:p>
        </w:tc>
        <w:tc>
          <w:tcPr>
            <w:tcW w:w="1250" w:type="pct"/>
            <w:tcBorders>
              <w:top w:val="single" w:sz="4" w:space="0" w:color="auto"/>
              <w:bottom w:val="single" w:sz="4" w:space="0" w:color="auto"/>
            </w:tcBorders>
            <w:shd w:val="clear" w:color="auto" w:fill="auto"/>
          </w:tcPr>
          <w:p w:rsidR="00D57D83" w:rsidRPr="00F00002" w:rsidRDefault="00D57D83" w:rsidP="00F251A1">
            <w:pPr>
              <w:pStyle w:val="ENoteTableText"/>
            </w:pPr>
            <w:r w:rsidRPr="00F00002">
              <w:t>29 Feb 2016 (F2016L00170)</w:t>
            </w:r>
          </w:p>
        </w:tc>
        <w:tc>
          <w:tcPr>
            <w:tcW w:w="1250" w:type="pct"/>
            <w:tcBorders>
              <w:top w:val="single" w:sz="4" w:space="0" w:color="auto"/>
              <w:bottom w:val="single" w:sz="4" w:space="0" w:color="auto"/>
            </w:tcBorders>
            <w:shd w:val="clear" w:color="auto" w:fill="auto"/>
          </w:tcPr>
          <w:p w:rsidR="00D57D83" w:rsidRPr="00F00002" w:rsidRDefault="00D57D83" w:rsidP="00D1356F">
            <w:pPr>
              <w:pStyle w:val="ENoteTableText"/>
            </w:pPr>
            <w:r w:rsidRPr="00F00002">
              <w:t>Sch 1 (items</w:t>
            </w:r>
            <w:r w:rsidR="00F00002">
              <w:t> </w:t>
            </w:r>
            <w:r w:rsidRPr="00F00002">
              <w:t>22, 23): 5 Mar 2016 (s 2(1) item</w:t>
            </w:r>
            <w:r w:rsidR="00F00002">
              <w:t> </w:t>
            </w:r>
            <w:r w:rsidRPr="00F00002">
              <w:t>1)</w:t>
            </w:r>
          </w:p>
        </w:tc>
        <w:tc>
          <w:tcPr>
            <w:tcW w:w="1250" w:type="pct"/>
            <w:tcBorders>
              <w:top w:val="single" w:sz="4" w:space="0" w:color="auto"/>
              <w:bottom w:val="single" w:sz="4" w:space="0" w:color="auto"/>
            </w:tcBorders>
            <w:shd w:val="clear" w:color="auto" w:fill="auto"/>
          </w:tcPr>
          <w:p w:rsidR="00D57D83" w:rsidRPr="00F00002" w:rsidRDefault="00D57D83" w:rsidP="00F251A1">
            <w:pPr>
              <w:pStyle w:val="ENoteTableText"/>
              <w:rPr>
                <w:szCs w:val="16"/>
              </w:rPr>
            </w:pPr>
            <w:r w:rsidRPr="00F00002">
              <w:rPr>
                <w:szCs w:val="16"/>
              </w:rPr>
              <w:t>—</w:t>
            </w:r>
          </w:p>
        </w:tc>
      </w:tr>
      <w:tr w:rsidR="00903C4B" w:rsidRPr="00F00002" w:rsidTr="00753F70">
        <w:trPr>
          <w:cantSplit/>
        </w:trPr>
        <w:tc>
          <w:tcPr>
            <w:tcW w:w="1250" w:type="pct"/>
            <w:tcBorders>
              <w:top w:val="single" w:sz="4" w:space="0" w:color="auto"/>
              <w:bottom w:val="single" w:sz="4" w:space="0" w:color="auto"/>
            </w:tcBorders>
            <w:shd w:val="clear" w:color="auto" w:fill="auto"/>
          </w:tcPr>
          <w:p w:rsidR="00903C4B" w:rsidRPr="00F00002" w:rsidRDefault="00903C4B" w:rsidP="00F251A1">
            <w:pPr>
              <w:pStyle w:val="ENoteTableText"/>
            </w:pPr>
            <w:r w:rsidRPr="00F00002">
              <w:t>Tax Laws Amendment (Foreign Resident Capital Gains Withholding Payments) Regulation</w:t>
            </w:r>
            <w:r w:rsidR="00F00002">
              <w:t> </w:t>
            </w:r>
            <w:r w:rsidRPr="00F00002">
              <w:t>2016</w:t>
            </w:r>
          </w:p>
        </w:tc>
        <w:tc>
          <w:tcPr>
            <w:tcW w:w="1250" w:type="pct"/>
            <w:tcBorders>
              <w:top w:val="single" w:sz="4" w:space="0" w:color="auto"/>
              <w:bottom w:val="single" w:sz="4" w:space="0" w:color="auto"/>
            </w:tcBorders>
            <w:shd w:val="clear" w:color="auto" w:fill="auto"/>
          </w:tcPr>
          <w:p w:rsidR="00903C4B" w:rsidRPr="00F00002" w:rsidRDefault="00903C4B" w:rsidP="00F251A1">
            <w:pPr>
              <w:pStyle w:val="ENoteTableText"/>
            </w:pPr>
            <w:r w:rsidRPr="00F00002">
              <w:t>9</w:t>
            </w:r>
            <w:r w:rsidR="00F00002">
              <w:t> </w:t>
            </w:r>
            <w:r w:rsidRPr="00F00002">
              <w:t>May 2016 (F2016L00711)</w:t>
            </w:r>
          </w:p>
        </w:tc>
        <w:tc>
          <w:tcPr>
            <w:tcW w:w="1250" w:type="pct"/>
            <w:tcBorders>
              <w:top w:val="single" w:sz="4" w:space="0" w:color="auto"/>
              <w:bottom w:val="single" w:sz="4" w:space="0" w:color="auto"/>
            </w:tcBorders>
            <w:shd w:val="clear" w:color="auto" w:fill="auto"/>
          </w:tcPr>
          <w:p w:rsidR="00903C4B" w:rsidRPr="00F00002" w:rsidRDefault="00903C4B" w:rsidP="00D1356F">
            <w:pPr>
              <w:pStyle w:val="ENoteTableText"/>
            </w:pPr>
            <w:r w:rsidRPr="00F00002">
              <w:t>Sch 1 (item</w:t>
            </w:r>
            <w:r w:rsidR="00F00002">
              <w:t> </w:t>
            </w:r>
            <w:r w:rsidRPr="00F00002">
              <w:t>1): 1</w:t>
            </w:r>
            <w:r w:rsidR="00F00002">
              <w:t> </w:t>
            </w:r>
            <w:r w:rsidRPr="00F00002">
              <w:t>July 2016 (s 2(1) item</w:t>
            </w:r>
            <w:r w:rsidR="00F00002">
              <w:t> </w:t>
            </w:r>
            <w:r w:rsidRPr="00F00002">
              <w:t>2)</w:t>
            </w:r>
          </w:p>
        </w:tc>
        <w:tc>
          <w:tcPr>
            <w:tcW w:w="1250" w:type="pct"/>
            <w:tcBorders>
              <w:top w:val="single" w:sz="4" w:space="0" w:color="auto"/>
              <w:bottom w:val="single" w:sz="4" w:space="0" w:color="auto"/>
            </w:tcBorders>
            <w:shd w:val="clear" w:color="auto" w:fill="auto"/>
          </w:tcPr>
          <w:p w:rsidR="00903C4B" w:rsidRPr="00F00002" w:rsidRDefault="00903C4B" w:rsidP="00F251A1">
            <w:pPr>
              <w:pStyle w:val="ENoteTableText"/>
              <w:rPr>
                <w:szCs w:val="16"/>
              </w:rPr>
            </w:pPr>
            <w:r w:rsidRPr="00F00002">
              <w:rPr>
                <w:szCs w:val="16"/>
              </w:rPr>
              <w:t>—</w:t>
            </w:r>
          </w:p>
        </w:tc>
      </w:tr>
      <w:tr w:rsidR="004319E4" w:rsidRPr="00F00002" w:rsidTr="00AF2DDC">
        <w:trPr>
          <w:cantSplit/>
        </w:trPr>
        <w:tc>
          <w:tcPr>
            <w:tcW w:w="1250" w:type="pct"/>
            <w:tcBorders>
              <w:top w:val="single" w:sz="4" w:space="0" w:color="auto"/>
              <w:bottom w:val="single" w:sz="4" w:space="0" w:color="auto"/>
            </w:tcBorders>
            <w:shd w:val="clear" w:color="auto" w:fill="auto"/>
          </w:tcPr>
          <w:p w:rsidR="004319E4" w:rsidRPr="00F00002" w:rsidRDefault="004319E4" w:rsidP="00F251A1">
            <w:pPr>
              <w:pStyle w:val="ENoteTableText"/>
            </w:pPr>
            <w:r w:rsidRPr="00F00002">
              <w:t>Treasury Laws Amendment (2016 Measures No.</w:t>
            </w:r>
            <w:r w:rsidR="00F00002">
              <w:t> </w:t>
            </w:r>
            <w:r w:rsidRPr="00F00002">
              <w:t>3) Regulation</w:t>
            </w:r>
            <w:r w:rsidR="00F00002">
              <w:t> </w:t>
            </w:r>
            <w:r w:rsidRPr="00F00002">
              <w:t>2016</w:t>
            </w:r>
          </w:p>
        </w:tc>
        <w:tc>
          <w:tcPr>
            <w:tcW w:w="1250" w:type="pct"/>
            <w:tcBorders>
              <w:top w:val="single" w:sz="4" w:space="0" w:color="auto"/>
              <w:bottom w:val="single" w:sz="4" w:space="0" w:color="auto"/>
            </w:tcBorders>
            <w:shd w:val="clear" w:color="auto" w:fill="auto"/>
          </w:tcPr>
          <w:p w:rsidR="004319E4" w:rsidRPr="00F00002" w:rsidRDefault="004319E4" w:rsidP="00F251A1">
            <w:pPr>
              <w:pStyle w:val="ENoteTableText"/>
            </w:pPr>
            <w:r w:rsidRPr="00F00002">
              <w:t>17 Oct 2016 (F2016L01625)</w:t>
            </w:r>
          </w:p>
        </w:tc>
        <w:tc>
          <w:tcPr>
            <w:tcW w:w="1250" w:type="pct"/>
            <w:tcBorders>
              <w:top w:val="single" w:sz="4" w:space="0" w:color="auto"/>
              <w:bottom w:val="single" w:sz="4" w:space="0" w:color="auto"/>
            </w:tcBorders>
            <w:shd w:val="clear" w:color="auto" w:fill="auto"/>
          </w:tcPr>
          <w:p w:rsidR="004319E4" w:rsidRPr="00F00002" w:rsidRDefault="004319E4" w:rsidP="00D1356F">
            <w:pPr>
              <w:pStyle w:val="ENoteTableText"/>
            </w:pPr>
            <w:r w:rsidRPr="00F00002">
              <w:t>Sch 2 (items</w:t>
            </w:r>
            <w:r w:rsidR="00F00002">
              <w:t> </w:t>
            </w:r>
            <w:r w:rsidRPr="00F00002">
              <w:t>2, 3): 18 Oct 2016 (s 2(1) item</w:t>
            </w:r>
            <w:r w:rsidR="00F00002">
              <w:t> </w:t>
            </w:r>
            <w:r w:rsidRPr="00F00002">
              <w:t>3)</w:t>
            </w:r>
          </w:p>
        </w:tc>
        <w:tc>
          <w:tcPr>
            <w:tcW w:w="1250" w:type="pct"/>
            <w:tcBorders>
              <w:top w:val="single" w:sz="4" w:space="0" w:color="auto"/>
              <w:bottom w:val="single" w:sz="4" w:space="0" w:color="auto"/>
            </w:tcBorders>
            <w:shd w:val="clear" w:color="auto" w:fill="auto"/>
          </w:tcPr>
          <w:p w:rsidR="004319E4" w:rsidRPr="00F00002" w:rsidRDefault="004319E4" w:rsidP="00F251A1">
            <w:pPr>
              <w:pStyle w:val="ENoteTableText"/>
              <w:rPr>
                <w:szCs w:val="16"/>
              </w:rPr>
            </w:pPr>
            <w:r w:rsidRPr="00F00002">
              <w:rPr>
                <w:szCs w:val="16"/>
              </w:rPr>
              <w:t>—</w:t>
            </w:r>
          </w:p>
        </w:tc>
      </w:tr>
      <w:tr w:rsidR="00465211" w:rsidRPr="00F00002" w:rsidTr="00286CFC">
        <w:trPr>
          <w:cantSplit/>
        </w:trPr>
        <w:tc>
          <w:tcPr>
            <w:tcW w:w="1250" w:type="pct"/>
            <w:tcBorders>
              <w:top w:val="single" w:sz="4" w:space="0" w:color="auto"/>
              <w:bottom w:val="single" w:sz="4" w:space="0" w:color="auto"/>
            </w:tcBorders>
            <w:shd w:val="clear" w:color="auto" w:fill="auto"/>
          </w:tcPr>
          <w:p w:rsidR="00465211" w:rsidRPr="00F00002" w:rsidRDefault="00465211" w:rsidP="00F251A1">
            <w:pPr>
              <w:pStyle w:val="ENoteTableText"/>
            </w:pPr>
            <w:r w:rsidRPr="00F00002">
              <w:t>Treasury Laws Amendment (Fair and Sustainable Superannuation) Regulations</w:t>
            </w:r>
            <w:r w:rsidR="00F00002">
              <w:t> </w:t>
            </w:r>
            <w:r w:rsidRPr="00F00002">
              <w:t>2017</w:t>
            </w:r>
          </w:p>
        </w:tc>
        <w:tc>
          <w:tcPr>
            <w:tcW w:w="1250" w:type="pct"/>
            <w:tcBorders>
              <w:top w:val="single" w:sz="4" w:space="0" w:color="auto"/>
              <w:bottom w:val="single" w:sz="4" w:space="0" w:color="auto"/>
            </w:tcBorders>
            <w:shd w:val="clear" w:color="auto" w:fill="auto"/>
          </w:tcPr>
          <w:p w:rsidR="00465211" w:rsidRPr="00F00002" w:rsidRDefault="00465211" w:rsidP="00F251A1">
            <w:pPr>
              <w:pStyle w:val="ENoteTableText"/>
            </w:pPr>
            <w:r w:rsidRPr="00F00002">
              <w:t>27 Mar 2017 (F2017L00321)</w:t>
            </w:r>
          </w:p>
        </w:tc>
        <w:tc>
          <w:tcPr>
            <w:tcW w:w="1250" w:type="pct"/>
            <w:tcBorders>
              <w:top w:val="single" w:sz="4" w:space="0" w:color="auto"/>
              <w:bottom w:val="single" w:sz="4" w:space="0" w:color="auto"/>
            </w:tcBorders>
            <w:shd w:val="clear" w:color="auto" w:fill="auto"/>
          </w:tcPr>
          <w:p w:rsidR="00465211" w:rsidRPr="00F00002" w:rsidRDefault="00465211" w:rsidP="00BD51BC">
            <w:pPr>
              <w:pStyle w:val="ENoteTableText"/>
            </w:pPr>
            <w:r w:rsidRPr="00F00002">
              <w:t>Sch 1 (items</w:t>
            </w:r>
            <w:r w:rsidR="00F00002">
              <w:t> </w:t>
            </w:r>
            <w:r w:rsidRPr="00F00002">
              <w:t>2–4), Sch 2</w:t>
            </w:r>
            <w:r w:rsidR="00A70121" w:rsidRPr="00F00002">
              <w:t>, Sch 5, Sch 6, Sch 7 (items</w:t>
            </w:r>
            <w:r w:rsidR="00F00002">
              <w:t> </w:t>
            </w:r>
            <w:r w:rsidR="00A70121" w:rsidRPr="00F00002">
              <w:t>1–3), Sch 9 (item</w:t>
            </w:r>
            <w:r w:rsidR="00F00002">
              <w:t> </w:t>
            </w:r>
            <w:r w:rsidR="00A70121" w:rsidRPr="00F00002">
              <w:t>1) and Sch 10 (item</w:t>
            </w:r>
            <w:r w:rsidR="00F00002">
              <w:t> </w:t>
            </w:r>
            <w:r w:rsidR="00A70121" w:rsidRPr="00F00002">
              <w:t>2): 28 Mar 2017 (s</w:t>
            </w:r>
            <w:r w:rsidR="00BD51BC" w:rsidRPr="00F00002">
              <w:t> </w:t>
            </w:r>
            <w:r w:rsidR="00A70121" w:rsidRPr="00F00002">
              <w:t>2(1) items</w:t>
            </w:r>
            <w:r w:rsidR="00F00002">
              <w:t> </w:t>
            </w:r>
            <w:r w:rsidR="00A70121" w:rsidRPr="00F00002">
              <w:t>2, 4, 7)</w:t>
            </w:r>
            <w:r w:rsidRPr="00F00002">
              <w:t xml:space="preserve"> </w:t>
            </w:r>
          </w:p>
        </w:tc>
        <w:tc>
          <w:tcPr>
            <w:tcW w:w="1250" w:type="pct"/>
            <w:tcBorders>
              <w:top w:val="single" w:sz="4" w:space="0" w:color="auto"/>
              <w:bottom w:val="single" w:sz="4" w:space="0" w:color="auto"/>
            </w:tcBorders>
            <w:shd w:val="clear" w:color="auto" w:fill="auto"/>
          </w:tcPr>
          <w:p w:rsidR="00465211" w:rsidRPr="00F00002" w:rsidRDefault="00A70121" w:rsidP="00F251A1">
            <w:pPr>
              <w:pStyle w:val="ENoteTableText"/>
              <w:rPr>
                <w:szCs w:val="16"/>
              </w:rPr>
            </w:pPr>
            <w:r w:rsidRPr="00F00002">
              <w:rPr>
                <w:szCs w:val="16"/>
              </w:rPr>
              <w:t>—</w:t>
            </w:r>
          </w:p>
        </w:tc>
      </w:tr>
      <w:tr w:rsidR="003003CA" w:rsidRPr="00F00002" w:rsidTr="00450B06">
        <w:trPr>
          <w:cantSplit/>
        </w:trPr>
        <w:tc>
          <w:tcPr>
            <w:tcW w:w="1250" w:type="pct"/>
            <w:tcBorders>
              <w:top w:val="single" w:sz="4" w:space="0" w:color="auto"/>
              <w:bottom w:val="single" w:sz="4" w:space="0" w:color="auto"/>
            </w:tcBorders>
            <w:shd w:val="clear" w:color="auto" w:fill="auto"/>
          </w:tcPr>
          <w:p w:rsidR="003003CA" w:rsidRPr="00F00002" w:rsidRDefault="003003CA" w:rsidP="00F251A1">
            <w:pPr>
              <w:pStyle w:val="ENoteTableText"/>
            </w:pPr>
            <w:r w:rsidRPr="00F00002">
              <w:t>Treasury Laws Amendment (2017 Measures No.</w:t>
            </w:r>
            <w:r w:rsidR="00F00002">
              <w:t> </w:t>
            </w:r>
            <w:r w:rsidRPr="00F00002">
              <w:t>1) Regulations</w:t>
            </w:r>
            <w:r w:rsidR="00F00002">
              <w:t> </w:t>
            </w:r>
            <w:r w:rsidRPr="00F00002">
              <w:t>2017</w:t>
            </w:r>
          </w:p>
        </w:tc>
        <w:tc>
          <w:tcPr>
            <w:tcW w:w="1250" w:type="pct"/>
            <w:tcBorders>
              <w:top w:val="single" w:sz="4" w:space="0" w:color="auto"/>
              <w:bottom w:val="single" w:sz="4" w:space="0" w:color="auto"/>
            </w:tcBorders>
            <w:shd w:val="clear" w:color="auto" w:fill="auto"/>
          </w:tcPr>
          <w:p w:rsidR="003003CA" w:rsidRPr="00F00002" w:rsidRDefault="003003CA" w:rsidP="00F251A1">
            <w:pPr>
              <w:pStyle w:val="ENoteTableText"/>
            </w:pPr>
            <w:r w:rsidRPr="00F00002">
              <w:t>21</w:t>
            </w:r>
            <w:r w:rsidR="00F00002">
              <w:t> </w:t>
            </w:r>
            <w:r w:rsidRPr="00F00002">
              <w:t>June 2017 (F2017L00704)</w:t>
            </w:r>
          </w:p>
        </w:tc>
        <w:tc>
          <w:tcPr>
            <w:tcW w:w="1250" w:type="pct"/>
            <w:tcBorders>
              <w:top w:val="single" w:sz="4" w:space="0" w:color="auto"/>
              <w:bottom w:val="single" w:sz="4" w:space="0" w:color="auto"/>
            </w:tcBorders>
            <w:shd w:val="clear" w:color="auto" w:fill="auto"/>
          </w:tcPr>
          <w:p w:rsidR="003003CA" w:rsidRPr="00F00002" w:rsidRDefault="003003CA" w:rsidP="00BD51BC">
            <w:pPr>
              <w:pStyle w:val="ENoteTableText"/>
            </w:pPr>
            <w:r w:rsidRPr="00F00002">
              <w:t>Sch 1 (items</w:t>
            </w:r>
            <w:r w:rsidR="00F00002">
              <w:t> </w:t>
            </w:r>
            <w:r w:rsidRPr="00F00002">
              <w:t>1–9) and Sch 2: 1</w:t>
            </w:r>
            <w:r w:rsidR="00F00002">
              <w:t> </w:t>
            </w:r>
            <w:r w:rsidRPr="00F00002">
              <w:t>July 2017 (s 2(1) item</w:t>
            </w:r>
            <w:r w:rsidR="00F00002">
              <w:t> </w:t>
            </w:r>
            <w:r w:rsidRPr="00F00002">
              <w:t>1)</w:t>
            </w:r>
          </w:p>
        </w:tc>
        <w:tc>
          <w:tcPr>
            <w:tcW w:w="1250" w:type="pct"/>
            <w:tcBorders>
              <w:top w:val="single" w:sz="4" w:space="0" w:color="auto"/>
              <w:bottom w:val="single" w:sz="4" w:space="0" w:color="auto"/>
            </w:tcBorders>
            <w:shd w:val="clear" w:color="auto" w:fill="auto"/>
          </w:tcPr>
          <w:p w:rsidR="003003CA" w:rsidRPr="00F00002" w:rsidRDefault="003003CA" w:rsidP="00F251A1">
            <w:pPr>
              <w:pStyle w:val="ENoteTableText"/>
              <w:rPr>
                <w:szCs w:val="16"/>
              </w:rPr>
            </w:pPr>
            <w:r w:rsidRPr="00F00002">
              <w:rPr>
                <w:szCs w:val="16"/>
              </w:rPr>
              <w:t>—</w:t>
            </w:r>
          </w:p>
        </w:tc>
      </w:tr>
      <w:tr w:rsidR="00874D28" w:rsidRPr="00F00002" w:rsidTr="009B42AC">
        <w:trPr>
          <w:cantSplit/>
        </w:trPr>
        <w:tc>
          <w:tcPr>
            <w:tcW w:w="1250" w:type="pct"/>
            <w:tcBorders>
              <w:top w:val="single" w:sz="4" w:space="0" w:color="auto"/>
              <w:bottom w:val="single" w:sz="4" w:space="0" w:color="auto"/>
            </w:tcBorders>
            <w:shd w:val="clear" w:color="auto" w:fill="auto"/>
          </w:tcPr>
          <w:p w:rsidR="00874D28" w:rsidRPr="00F00002" w:rsidRDefault="00874D28" w:rsidP="00F251A1">
            <w:pPr>
              <w:pStyle w:val="ENoteTableText"/>
            </w:pPr>
            <w:r w:rsidRPr="00F00002">
              <w:t>Treasury Laws Amendment (2017 Measures No.</w:t>
            </w:r>
            <w:r w:rsidR="00F00002">
              <w:t> </w:t>
            </w:r>
            <w:r w:rsidRPr="00F00002">
              <w:t>2) Regulations</w:t>
            </w:r>
            <w:r w:rsidR="00F00002">
              <w:t> </w:t>
            </w:r>
            <w:r w:rsidRPr="00F00002">
              <w:t>2017</w:t>
            </w:r>
          </w:p>
        </w:tc>
        <w:tc>
          <w:tcPr>
            <w:tcW w:w="1250" w:type="pct"/>
            <w:tcBorders>
              <w:top w:val="single" w:sz="4" w:space="0" w:color="auto"/>
              <w:bottom w:val="single" w:sz="4" w:space="0" w:color="auto"/>
            </w:tcBorders>
            <w:shd w:val="clear" w:color="auto" w:fill="auto"/>
          </w:tcPr>
          <w:p w:rsidR="00874D28" w:rsidRPr="00F00002" w:rsidRDefault="00874D28" w:rsidP="00F251A1">
            <w:pPr>
              <w:pStyle w:val="ENoteTableText"/>
            </w:pPr>
            <w:r w:rsidRPr="00F00002">
              <w:t>17 Nov 2017 (F2017L01491)</w:t>
            </w:r>
          </w:p>
        </w:tc>
        <w:tc>
          <w:tcPr>
            <w:tcW w:w="1250" w:type="pct"/>
            <w:tcBorders>
              <w:top w:val="single" w:sz="4" w:space="0" w:color="auto"/>
              <w:bottom w:val="single" w:sz="4" w:space="0" w:color="auto"/>
            </w:tcBorders>
            <w:shd w:val="clear" w:color="auto" w:fill="auto"/>
          </w:tcPr>
          <w:p w:rsidR="00874D28" w:rsidRPr="00F00002" w:rsidRDefault="00874D28" w:rsidP="00450B06">
            <w:pPr>
              <w:pStyle w:val="ENoteTableText"/>
            </w:pPr>
            <w:r w:rsidRPr="00F00002">
              <w:t>Sch 1: 18 Nov 2017 (s 2(1)</w:t>
            </w:r>
            <w:r w:rsidR="002008A6" w:rsidRPr="00F00002">
              <w:t xml:space="preserve"> item</w:t>
            </w:r>
            <w:r w:rsidR="00F00002">
              <w:t> </w:t>
            </w:r>
            <w:r w:rsidR="002008A6" w:rsidRPr="00F00002">
              <w:t>1)</w:t>
            </w:r>
          </w:p>
        </w:tc>
        <w:tc>
          <w:tcPr>
            <w:tcW w:w="1250" w:type="pct"/>
            <w:tcBorders>
              <w:top w:val="single" w:sz="4" w:space="0" w:color="auto"/>
              <w:bottom w:val="single" w:sz="4" w:space="0" w:color="auto"/>
            </w:tcBorders>
            <w:shd w:val="clear" w:color="auto" w:fill="auto"/>
          </w:tcPr>
          <w:p w:rsidR="00874D28" w:rsidRPr="00F00002" w:rsidRDefault="002008A6" w:rsidP="00F251A1">
            <w:pPr>
              <w:pStyle w:val="ENoteTableText"/>
              <w:rPr>
                <w:szCs w:val="16"/>
              </w:rPr>
            </w:pPr>
            <w:r w:rsidRPr="00F00002">
              <w:rPr>
                <w:szCs w:val="16"/>
              </w:rPr>
              <w:t>—</w:t>
            </w:r>
          </w:p>
        </w:tc>
      </w:tr>
      <w:tr w:rsidR="00CE10E5" w:rsidRPr="00F00002" w:rsidTr="00DA005F">
        <w:trPr>
          <w:cantSplit/>
        </w:trPr>
        <w:tc>
          <w:tcPr>
            <w:tcW w:w="1250" w:type="pct"/>
            <w:tcBorders>
              <w:top w:val="single" w:sz="4" w:space="0" w:color="auto"/>
              <w:bottom w:val="single" w:sz="4" w:space="0" w:color="auto"/>
            </w:tcBorders>
            <w:shd w:val="clear" w:color="auto" w:fill="auto"/>
          </w:tcPr>
          <w:p w:rsidR="00CE10E5" w:rsidRPr="00F00002" w:rsidRDefault="00CE10E5" w:rsidP="00F251A1">
            <w:pPr>
              <w:pStyle w:val="ENoteTableText"/>
            </w:pPr>
            <w:r w:rsidRPr="00F00002">
              <w:t>Treasury Laws Amendment (2018 Measures No.</w:t>
            </w:r>
            <w:r w:rsidR="00F00002">
              <w:t> </w:t>
            </w:r>
            <w:r w:rsidRPr="00F00002">
              <w:t>1) Regulations</w:t>
            </w:r>
            <w:r w:rsidR="00F00002">
              <w:t> </w:t>
            </w:r>
            <w:r w:rsidRPr="00F00002">
              <w:t>2018</w:t>
            </w:r>
          </w:p>
        </w:tc>
        <w:tc>
          <w:tcPr>
            <w:tcW w:w="1250" w:type="pct"/>
            <w:tcBorders>
              <w:top w:val="single" w:sz="4" w:space="0" w:color="auto"/>
              <w:bottom w:val="single" w:sz="4" w:space="0" w:color="auto"/>
            </w:tcBorders>
            <w:shd w:val="clear" w:color="auto" w:fill="auto"/>
          </w:tcPr>
          <w:p w:rsidR="00CE10E5" w:rsidRPr="00F00002" w:rsidRDefault="00CE10E5" w:rsidP="00F251A1">
            <w:pPr>
              <w:pStyle w:val="ENoteTableText"/>
            </w:pPr>
            <w:r w:rsidRPr="00F00002">
              <w:t>22</w:t>
            </w:r>
            <w:r w:rsidR="00F00002">
              <w:t> </w:t>
            </w:r>
            <w:r w:rsidRPr="00F00002">
              <w:t>June 2018 (F2018L00831)</w:t>
            </w:r>
          </w:p>
        </w:tc>
        <w:tc>
          <w:tcPr>
            <w:tcW w:w="1250" w:type="pct"/>
            <w:tcBorders>
              <w:top w:val="single" w:sz="4" w:space="0" w:color="auto"/>
              <w:bottom w:val="single" w:sz="4" w:space="0" w:color="auto"/>
            </w:tcBorders>
            <w:shd w:val="clear" w:color="auto" w:fill="auto"/>
          </w:tcPr>
          <w:p w:rsidR="00CE10E5" w:rsidRPr="00F00002" w:rsidRDefault="00CE10E5" w:rsidP="00450B06">
            <w:pPr>
              <w:pStyle w:val="ENoteTableText"/>
            </w:pPr>
            <w:r w:rsidRPr="00F00002">
              <w:t>Sch 3: 23</w:t>
            </w:r>
            <w:r w:rsidR="00F00002">
              <w:t> </w:t>
            </w:r>
            <w:r w:rsidRPr="00F00002">
              <w:t>June 2018 (s 2(1) item</w:t>
            </w:r>
            <w:r w:rsidR="00F00002">
              <w:t> </w:t>
            </w:r>
            <w:r w:rsidRPr="00F00002">
              <w:t>1)</w:t>
            </w:r>
          </w:p>
        </w:tc>
        <w:tc>
          <w:tcPr>
            <w:tcW w:w="1250" w:type="pct"/>
            <w:tcBorders>
              <w:top w:val="single" w:sz="4" w:space="0" w:color="auto"/>
              <w:bottom w:val="single" w:sz="4" w:space="0" w:color="auto"/>
            </w:tcBorders>
            <w:shd w:val="clear" w:color="auto" w:fill="auto"/>
          </w:tcPr>
          <w:p w:rsidR="00CE10E5" w:rsidRPr="00F00002" w:rsidRDefault="00CE10E5" w:rsidP="00F251A1">
            <w:pPr>
              <w:pStyle w:val="ENoteTableText"/>
              <w:rPr>
                <w:szCs w:val="16"/>
              </w:rPr>
            </w:pPr>
            <w:r w:rsidRPr="00F00002">
              <w:rPr>
                <w:szCs w:val="16"/>
              </w:rPr>
              <w:t>—</w:t>
            </w:r>
          </w:p>
        </w:tc>
      </w:tr>
      <w:tr w:rsidR="00A0440A" w:rsidRPr="00F00002" w:rsidTr="00570629">
        <w:trPr>
          <w:cantSplit/>
        </w:trPr>
        <w:tc>
          <w:tcPr>
            <w:tcW w:w="1250" w:type="pct"/>
            <w:tcBorders>
              <w:top w:val="single" w:sz="4" w:space="0" w:color="auto"/>
              <w:bottom w:val="single" w:sz="4" w:space="0" w:color="auto"/>
            </w:tcBorders>
            <w:shd w:val="clear" w:color="auto" w:fill="auto"/>
          </w:tcPr>
          <w:p w:rsidR="00A0440A" w:rsidRPr="00F00002" w:rsidRDefault="00A0440A" w:rsidP="00F251A1">
            <w:pPr>
              <w:pStyle w:val="ENoteTableText"/>
            </w:pPr>
            <w:r w:rsidRPr="00F00002">
              <w:t>Treasury Laws Amendment (Miscellaneous Amendments) Regulations</w:t>
            </w:r>
            <w:r w:rsidR="00F00002">
              <w:t> </w:t>
            </w:r>
            <w:r w:rsidRPr="00F00002">
              <w:t>2018</w:t>
            </w:r>
          </w:p>
        </w:tc>
        <w:tc>
          <w:tcPr>
            <w:tcW w:w="1250" w:type="pct"/>
            <w:tcBorders>
              <w:top w:val="single" w:sz="4" w:space="0" w:color="auto"/>
              <w:bottom w:val="single" w:sz="4" w:space="0" w:color="auto"/>
            </w:tcBorders>
            <w:shd w:val="clear" w:color="auto" w:fill="auto"/>
          </w:tcPr>
          <w:p w:rsidR="00A0440A" w:rsidRPr="00F00002" w:rsidRDefault="00A0440A" w:rsidP="00F251A1">
            <w:pPr>
              <w:pStyle w:val="ENoteTableText"/>
            </w:pPr>
            <w:r w:rsidRPr="00F00002">
              <w:t>7 Dec 2018 (F2018L01691)</w:t>
            </w:r>
          </w:p>
        </w:tc>
        <w:tc>
          <w:tcPr>
            <w:tcW w:w="1250" w:type="pct"/>
            <w:tcBorders>
              <w:top w:val="single" w:sz="4" w:space="0" w:color="auto"/>
              <w:bottom w:val="single" w:sz="4" w:space="0" w:color="auto"/>
            </w:tcBorders>
            <w:shd w:val="clear" w:color="auto" w:fill="auto"/>
          </w:tcPr>
          <w:p w:rsidR="00A0440A" w:rsidRPr="00F00002" w:rsidRDefault="00A0440A" w:rsidP="00450B06">
            <w:pPr>
              <w:pStyle w:val="ENoteTableText"/>
            </w:pPr>
            <w:r w:rsidRPr="00F00002">
              <w:t>Sch 1 (items</w:t>
            </w:r>
            <w:r w:rsidR="00F00002">
              <w:t> </w:t>
            </w:r>
            <w:r w:rsidRPr="00F00002">
              <w:t>1–3): 1</w:t>
            </w:r>
            <w:r w:rsidR="00F00002">
              <w:t> </w:t>
            </w:r>
            <w:r w:rsidRPr="00F00002">
              <w:t>July 2017</w:t>
            </w:r>
            <w:r w:rsidR="00CA5CB5" w:rsidRPr="00F00002">
              <w:t xml:space="preserve"> (s 2(1) item</w:t>
            </w:r>
            <w:r w:rsidR="00F00002">
              <w:t> </w:t>
            </w:r>
            <w:r w:rsidR="00CA5CB5" w:rsidRPr="00F00002">
              <w:t>2)</w:t>
            </w:r>
            <w:r w:rsidRPr="00F00002">
              <w:br/>
            </w:r>
            <w:r w:rsidR="00CA5CB5" w:rsidRPr="00F00002">
              <w:t>Sch 1 (item</w:t>
            </w:r>
            <w:r w:rsidR="00F00002">
              <w:t> </w:t>
            </w:r>
            <w:r w:rsidR="00CA5CB5" w:rsidRPr="00F00002">
              <w:t>4): 1 Nov 2018 (s 2(1) item</w:t>
            </w:r>
            <w:r w:rsidR="00F00002">
              <w:t> </w:t>
            </w:r>
            <w:r w:rsidR="00CA5CB5" w:rsidRPr="00F00002">
              <w:t>3)</w:t>
            </w:r>
            <w:r w:rsidR="00CA5CB5" w:rsidRPr="00F00002">
              <w:br/>
              <w:t>Sch 1 (items</w:t>
            </w:r>
            <w:r w:rsidR="00F00002">
              <w:t> </w:t>
            </w:r>
            <w:r w:rsidR="00CA5CB5" w:rsidRPr="00F00002">
              <w:t>5–8): 8 Dec 2018 (s 2(1) item</w:t>
            </w:r>
            <w:r w:rsidR="00F00002">
              <w:t> </w:t>
            </w:r>
            <w:r w:rsidR="00CA5CB5" w:rsidRPr="00F00002">
              <w:t>4)</w:t>
            </w:r>
            <w:r w:rsidR="00CA5CB5" w:rsidRPr="00F00002">
              <w:br/>
              <w:t>Sch 1 (items</w:t>
            </w:r>
            <w:r w:rsidR="00F00002">
              <w:t> </w:t>
            </w:r>
            <w:r w:rsidR="00CA5CB5" w:rsidRPr="00F00002">
              <w:t>14–17): 1 Jan 2019 (s 2(1) item</w:t>
            </w:r>
            <w:r w:rsidR="00F00002">
              <w:t> </w:t>
            </w:r>
            <w:r w:rsidR="00CA5CB5" w:rsidRPr="00F00002">
              <w:t>5)</w:t>
            </w:r>
          </w:p>
        </w:tc>
        <w:tc>
          <w:tcPr>
            <w:tcW w:w="1250" w:type="pct"/>
            <w:tcBorders>
              <w:top w:val="single" w:sz="4" w:space="0" w:color="auto"/>
              <w:bottom w:val="single" w:sz="4" w:space="0" w:color="auto"/>
            </w:tcBorders>
            <w:shd w:val="clear" w:color="auto" w:fill="auto"/>
          </w:tcPr>
          <w:p w:rsidR="00A0440A" w:rsidRPr="00F00002" w:rsidRDefault="00CA5CB5" w:rsidP="00F251A1">
            <w:pPr>
              <w:pStyle w:val="ENoteTableText"/>
              <w:rPr>
                <w:szCs w:val="16"/>
              </w:rPr>
            </w:pPr>
            <w:r w:rsidRPr="00F00002">
              <w:rPr>
                <w:szCs w:val="16"/>
              </w:rPr>
              <w:t>—</w:t>
            </w:r>
          </w:p>
        </w:tc>
      </w:tr>
      <w:tr w:rsidR="004314BD" w:rsidRPr="00F00002" w:rsidTr="00180A91">
        <w:trPr>
          <w:cantSplit/>
        </w:trPr>
        <w:tc>
          <w:tcPr>
            <w:tcW w:w="1250" w:type="pct"/>
            <w:tcBorders>
              <w:top w:val="single" w:sz="4" w:space="0" w:color="auto"/>
              <w:bottom w:val="single" w:sz="4" w:space="0" w:color="auto"/>
            </w:tcBorders>
            <w:shd w:val="clear" w:color="auto" w:fill="auto"/>
          </w:tcPr>
          <w:p w:rsidR="004314BD" w:rsidRPr="00F00002" w:rsidRDefault="004314BD" w:rsidP="00F251A1">
            <w:pPr>
              <w:pStyle w:val="ENoteTableText"/>
            </w:pPr>
            <w:r w:rsidRPr="00F00002">
              <w:t>Treasury Laws Amendment (Mutual Equity Interests) Regulations</w:t>
            </w:r>
            <w:r w:rsidR="00F00002">
              <w:t> </w:t>
            </w:r>
            <w:r w:rsidRPr="00F00002">
              <w:t>2019</w:t>
            </w:r>
          </w:p>
        </w:tc>
        <w:tc>
          <w:tcPr>
            <w:tcW w:w="1250" w:type="pct"/>
            <w:tcBorders>
              <w:top w:val="single" w:sz="4" w:space="0" w:color="auto"/>
              <w:bottom w:val="single" w:sz="4" w:space="0" w:color="auto"/>
            </w:tcBorders>
            <w:shd w:val="clear" w:color="auto" w:fill="auto"/>
          </w:tcPr>
          <w:p w:rsidR="004314BD" w:rsidRPr="00F00002" w:rsidRDefault="004314BD" w:rsidP="00F251A1">
            <w:pPr>
              <w:pStyle w:val="ENoteTableText"/>
            </w:pPr>
            <w:r w:rsidRPr="00F00002">
              <w:t>25 Mar 2019 (F2019L00391)</w:t>
            </w:r>
          </w:p>
        </w:tc>
        <w:tc>
          <w:tcPr>
            <w:tcW w:w="1250" w:type="pct"/>
            <w:tcBorders>
              <w:top w:val="single" w:sz="4" w:space="0" w:color="auto"/>
              <w:bottom w:val="single" w:sz="4" w:space="0" w:color="auto"/>
            </w:tcBorders>
            <w:shd w:val="clear" w:color="auto" w:fill="auto"/>
          </w:tcPr>
          <w:p w:rsidR="004314BD" w:rsidRPr="00F00002" w:rsidRDefault="004314BD" w:rsidP="00450B06">
            <w:pPr>
              <w:pStyle w:val="ENoteTableText"/>
            </w:pPr>
            <w:r w:rsidRPr="00F00002">
              <w:t>26 Mar 2019 (s 2(1) item</w:t>
            </w:r>
            <w:r w:rsidR="00F00002">
              <w:t> </w:t>
            </w:r>
            <w:r w:rsidRPr="00F00002">
              <w:t>1)</w:t>
            </w:r>
          </w:p>
        </w:tc>
        <w:tc>
          <w:tcPr>
            <w:tcW w:w="1250" w:type="pct"/>
            <w:tcBorders>
              <w:top w:val="single" w:sz="4" w:space="0" w:color="auto"/>
              <w:bottom w:val="single" w:sz="4" w:space="0" w:color="auto"/>
            </w:tcBorders>
            <w:shd w:val="clear" w:color="auto" w:fill="auto"/>
          </w:tcPr>
          <w:p w:rsidR="004314BD" w:rsidRPr="00F00002" w:rsidRDefault="004314BD" w:rsidP="00F251A1">
            <w:pPr>
              <w:pStyle w:val="ENoteTableText"/>
              <w:rPr>
                <w:szCs w:val="16"/>
              </w:rPr>
            </w:pPr>
            <w:r w:rsidRPr="00F00002">
              <w:rPr>
                <w:szCs w:val="16"/>
              </w:rPr>
              <w:t>—</w:t>
            </w:r>
          </w:p>
        </w:tc>
      </w:tr>
      <w:tr w:rsidR="005F0ABA" w:rsidRPr="00F00002" w:rsidTr="00E320F8">
        <w:trPr>
          <w:cantSplit/>
        </w:trPr>
        <w:tc>
          <w:tcPr>
            <w:tcW w:w="1250" w:type="pct"/>
            <w:tcBorders>
              <w:top w:val="single" w:sz="4" w:space="0" w:color="auto"/>
              <w:bottom w:val="single" w:sz="4" w:space="0" w:color="auto"/>
            </w:tcBorders>
            <w:shd w:val="clear" w:color="auto" w:fill="auto"/>
          </w:tcPr>
          <w:p w:rsidR="005F0ABA" w:rsidRPr="00F00002" w:rsidRDefault="005F0ABA" w:rsidP="00F251A1">
            <w:pPr>
              <w:pStyle w:val="ENoteTableText"/>
            </w:pPr>
            <w:r w:rsidRPr="00F00002">
              <w:t>Income Tax Assessment Amendment (Kiribati Phoenix Islands Protected Area Conservation Trust) Regulations</w:t>
            </w:r>
            <w:r w:rsidR="00F00002">
              <w:t> </w:t>
            </w:r>
            <w:r w:rsidRPr="00F00002">
              <w:t>2019</w:t>
            </w:r>
          </w:p>
        </w:tc>
        <w:tc>
          <w:tcPr>
            <w:tcW w:w="1250" w:type="pct"/>
            <w:tcBorders>
              <w:top w:val="single" w:sz="4" w:space="0" w:color="auto"/>
              <w:bottom w:val="single" w:sz="4" w:space="0" w:color="auto"/>
            </w:tcBorders>
            <w:shd w:val="clear" w:color="auto" w:fill="auto"/>
          </w:tcPr>
          <w:p w:rsidR="005F0ABA" w:rsidRPr="00F00002" w:rsidRDefault="005F0ABA" w:rsidP="00F251A1">
            <w:pPr>
              <w:pStyle w:val="ENoteTableText"/>
            </w:pPr>
            <w:r w:rsidRPr="00F00002">
              <w:t>9 Sept 2019 (F2019L01167)</w:t>
            </w:r>
          </w:p>
        </w:tc>
        <w:tc>
          <w:tcPr>
            <w:tcW w:w="1250" w:type="pct"/>
            <w:tcBorders>
              <w:top w:val="single" w:sz="4" w:space="0" w:color="auto"/>
              <w:bottom w:val="single" w:sz="4" w:space="0" w:color="auto"/>
            </w:tcBorders>
            <w:shd w:val="clear" w:color="auto" w:fill="auto"/>
          </w:tcPr>
          <w:p w:rsidR="005F0ABA" w:rsidRPr="00F00002" w:rsidRDefault="005F0ABA" w:rsidP="00450B06">
            <w:pPr>
              <w:pStyle w:val="ENoteTableText"/>
            </w:pPr>
            <w:r w:rsidRPr="00F00002">
              <w:t>10 Sept 2019 (s 2(1) item</w:t>
            </w:r>
            <w:r w:rsidR="00F00002">
              <w:t> </w:t>
            </w:r>
            <w:r w:rsidRPr="00F00002">
              <w:t>1)</w:t>
            </w:r>
          </w:p>
        </w:tc>
        <w:tc>
          <w:tcPr>
            <w:tcW w:w="1250" w:type="pct"/>
            <w:tcBorders>
              <w:top w:val="single" w:sz="4" w:space="0" w:color="auto"/>
              <w:bottom w:val="single" w:sz="4" w:space="0" w:color="auto"/>
            </w:tcBorders>
            <w:shd w:val="clear" w:color="auto" w:fill="auto"/>
          </w:tcPr>
          <w:p w:rsidR="005F0ABA" w:rsidRPr="00F00002" w:rsidRDefault="005F0ABA" w:rsidP="00F251A1">
            <w:pPr>
              <w:pStyle w:val="ENoteTableText"/>
              <w:rPr>
                <w:szCs w:val="16"/>
              </w:rPr>
            </w:pPr>
            <w:r w:rsidRPr="00F00002">
              <w:rPr>
                <w:szCs w:val="16"/>
              </w:rPr>
              <w:t>—</w:t>
            </w:r>
          </w:p>
        </w:tc>
      </w:tr>
      <w:tr w:rsidR="000764F3" w:rsidRPr="00F00002" w:rsidTr="000505B9">
        <w:trPr>
          <w:cantSplit/>
        </w:trPr>
        <w:tc>
          <w:tcPr>
            <w:tcW w:w="1250" w:type="pct"/>
            <w:tcBorders>
              <w:top w:val="single" w:sz="4" w:space="0" w:color="auto"/>
              <w:bottom w:val="single" w:sz="12" w:space="0" w:color="auto"/>
            </w:tcBorders>
            <w:shd w:val="clear" w:color="auto" w:fill="auto"/>
          </w:tcPr>
          <w:p w:rsidR="000764F3" w:rsidRPr="00F00002" w:rsidRDefault="000764F3" w:rsidP="00066881">
            <w:pPr>
              <w:pStyle w:val="ENoteTableText"/>
            </w:pPr>
            <w:r w:rsidRPr="00F00002">
              <w:lastRenderedPageBreak/>
              <w:t>Treasury Laws Amendment (Miscellaneous Amendments) Regulations</w:t>
            </w:r>
            <w:r w:rsidR="00F00002">
              <w:t> </w:t>
            </w:r>
            <w:r w:rsidRPr="00F00002">
              <w:t>2019</w:t>
            </w:r>
          </w:p>
        </w:tc>
        <w:tc>
          <w:tcPr>
            <w:tcW w:w="1250" w:type="pct"/>
            <w:tcBorders>
              <w:top w:val="single" w:sz="4" w:space="0" w:color="auto"/>
              <w:bottom w:val="single" w:sz="12" w:space="0" w:color="auto"/>
            </w:tcBorders>
            <w:shd w:val="clear" w:color="auto" w:fill="auto"/>
          </w:tcPr>
          <w:p w:rsidR="000764F3" w:rsidRPr="00F00002" w:rsidRDefault="000764F3" w:rsidP="00F251A1">
            <w:pPr>
              <w:pStyle w:val="ENoteTableText"/>
            </w:pPr>
            <w:r w:rsidRPr="00F00002">
              <w:t>17 Dec 2019 (F2019L01641)</w:t>
            </w:r>
          </w:p>
        </w:tc>
        <w:tc>
          <w:tcPr>
            <w:tcW w:w="1250" w:type="pct"/>
            <w:tcBorders>
              <w:top w:val="single" w:sz="4" w:space="0" w:color="auto"/>
              <w:bottom w:val="single" w:sz="12" w:space="0" w:color="auto"/>
            </w:tcBorders>
            <w:shd w:val="clear" w:color="auto" w:fill="auto"/>
          </w:tcPr>
          <w:p w:rsidR="000764F3" w:rsidRPr="00F00002" w:rsidRDefault="00E469CA" w:rsidP="00E320F8">
            <w:pPr>
              <w:pStyle w:val="ENoteTableText"/>
            </w:pPr>
            <w:r w:rsidRPr="00F00002">
              <w:t>Sch 1 (item</w:t>
            </w:r>
            <w:r w:rsidR="00F00002">
              <w:t> </w:t>
            </w:r>
            <w:r w:rsidRPr="00F00002">
              <w:t>26) and Sch 5 (items</w:t>
            </w:r>
            <w:r w:rsidR="00F00002">
              <w:t> </w:t>
            </w:r>
            <w:r w:rsidRPr="00F00002">
              <w:t>1–8, 10): 18 Dec 2019 (s 2(1) item</w:t>
            </w:r>
            <w:r w:rsidR="005C737C" w:rsidRPr="00F00002">
              <w:t>s</w:t>
            </w:r>
            <w:r w:rsidR="00F00002">
              <w:t> </w:t>
            </w:r>
            <w:r w:rsidRPr="00F00002">
              <w:t>2, 5</w:t>
            </w:r>
            <w:r w:rsidR="00066881" w:rsidRPr="00F00002">
              <w:t>–</w:t>
            </w:r>
            <w:r w:rsidRPr="00F00002">
              <w:t>7)</w:t>
            </w:r>
          </w:p>
        </w:tc>
        <w:tc>
          <w:tcPr>
            <w:tcW w:w="1250" w:type="pct"/>
            <w:tcBorders>
              <w:top w:val="single" w:sz="4" w:space="0" w:color="auto"/>
              <w:bottom w:val="single" w:sz="12" w:space="0" w:color="auto"/>
            </w:tcBorders>
            <w:shd w:val="clear" w:color="auto" w:fill="auto"/>
          </w:tcPr>
          <w:p w:rsidR="000764F3" w:rsidRPr="00F00002" w:rsidRDefault="004041C0" w:rsidP="00F251A1">
            <w:pPr>
              <w:pStyle w:val="ENoteTableText"/>
              <w:rPr>
                <w:szCs w:val="16"/>
              </w:rPr>
            </w:pPr>
            <w:r w:rsidRPr="00F00002">
              <w:rPr>
                <w:szCs w:val="16"/>
              </w:rPr>
              <w:t>—</w:t>
            </w:r>
          </w:p>
        </w:tc>
      </w:tr>
    </w:tbl>
    <w:p w:rsidR="000B0D43" w:rsidRPr="00F00002" w:rsidRDefault="000B0D43" w:rsidP="000B0D43">
      <w:pPr>
        <w:pStyle w:val="Tabletext"/>
      </w:pPr>
    </w:p>
    <w:p w:rsidR="003A6248" w:rsidRPr="00F00002" w:rsidRDefault="003A6248" w:rsidP="00135C25">
      <w:pPr>
        <w:pStyle w:val="ENotesHeading2"/>
        <w:pageBreakBefore/>
        <w:outlineLvl w:val="9"/>
      </w:pPr>
      <w:bookmarkStart w:id="265" w:name="_Toc31109795"/>
      <w:r w:rsidRPr="00F00002">
        <w:lastRenderedPageBreak/>
        <w:t>Endnote 4—Amendment history</w:t>
      </w:r>
      <w:bookmarkEnd w:id="265"/>
    </w:p>
    <w:p w:rsidR="00D150ED" w:rsidRPr="00F00002" w:rsidRDefault="00D150ED" w:rsidP="00DF44F8">
      <w:pPr>
        <w:pStyle w:val="Tabletext"/>
      </w:pPr>
    </w:p>
    <w:tbl>
      <w:tblPr>
        <w:tblW w:w="5000" w:type="pct"/>
        <w:tblLook w:val="0000" w:firstRow="0" w:lastRow="0" w:firstColumn="0" w:lastColumn="0" w:noHBand="0" w:noVBand="0"/>
      </w:tblPr>
      <w:tblGrid>
        <w:gridCol w:w="2631"/>
        <w:gridCol w:w="5898"/>
      </w:tblGrid>
      <w:tr w:rsidR="00D150ED" w:rsidRPr="00F00002" w:rsidTr="0081299F">
        <w:trPr>
          <w:cantSplit/>
          <w:tblHeader/>
        </w:trPr>
        <w:tc>
          <w:tcPr>
            <w:tcW w:w="1542" w:type="pct"/>
            <w:tcBorders>
              <w:top w:val="single" w:sz="12" w:space="0" w:color="auto"/>
              <w:bottom w:val="single" w:sz="12" w:space="0" w:color="auto"/>
            </w:tcBorders>
            <w:shd w:val="clear" w:color="auto" w:fill="auto"/>
          </w:tcPr>
          <w:p w:rsidR="00D150ED" w:rsidRPr="00F00002" w:rsidRDefault="00D150ED" w:rsidP="00DF44F8">
            <w:pPr>
              <w:pStyle w:val="Tabletext"/>
              <w:keepNext/>
              <w:rPr>
                <w:rFonts w:ascii="Arial" w:hAnsi="Arial" w:cs="Arial"/>
                <w:b/>
                <w:sz w:val="16"/>
                <w:szCs w:val="16"/>
              </w:rPr>
            </w:pPr>
            <w:r w:rsidRPr="00F00002">
              <w:rPr>
                <w:rFonts w:ascii="Arial" w:hAnsi="Arial" w:cs="Arial"/>
                <w:b/>
                <w:sz w:val="16"/>
                <w:szCs w:val="16"/>
              </w:rPr>
              <w:t>Provision affected</w:t>
            </w:r>
          </w:p>
        </w:tc>
        <w:tc>
          <w:tcPr>
            <w:tcW w:w="3458" w:type="pct"/>
            <w:tcBorders>
              <w:top w:val="single" w:sz="12" w:space="0" w:color="auto"/>
              <w:bottom w:val="single" w:sz="12" w:space="0" w:color="auto"/>
            </w:tcBorders>
            <w:shd w:val="clear" w:color="auto" w:fill="auto"/>
          </w:tcPr>
          <w:p w:rsidR="00D150ED" w:rsidRPr="00F00002" w:rsidRDefault="00D150ED" w:rsidP="00DF44F8">
            <w:pPr>
              <w:pStyle w:val="Tabletext"/>
              <w:keepNext/>
              <w:rPr>
                <w:rFonts w:ascii="Arial" w:hAnsi="Arial" w:cs="Arial"/>
                <w:b/>
                <w:sz w:val="16"/>
                <w:szCs w:val="16"/>
              </w:rPr>
            </w:pPr>
            <w:r w:rsidRPr="00F00002">
              <w:rPr>
                <w:rFonts w:ascii="Arial" w:hAnsi="Arial" w:cs="Arial"/>
                <w:b/>
                <w:sz w:val="16"/>
                <w:szCs w:val="16"/>
              </w:rPr>
              <w:t>How affected</w:t>
            </w:r>
          </w:p>
        </w:tc>
      </w:tr>
      <w:tr w:rsidR="00D150ED" w:rsidRPr="00F00002" w:rsidTr="0081299F">
        <w:trPr>
          <w:cantSplit/>
        </w:trPr>
        <w:tc>
          <w:tcPr>
            <w:tcW w:w="1542" w:type="pct"/>
            <w:tcBorders>
              <w:top w:val="single" w:sz="12" w:space="0" w:color="auto"/>
            </w:tcBorders>
            <w:shd w:val="clear" w:color="auto" w:fill="auto"/>
          </w:tcPr>
          <w:p w:rsidR="00D150ED" w:rsidRPr="00F00002" w:rsidRDefault="00D150ED" w:rsidP="00D150ED">
            <w:pPr>
              <w:pStyle w:val="Tabletext"/>
              <w:rPr>
                <w:sz w:val="16"/>
                <w:szCs w:val="16"/>
              </w:rPr>
            </w:pPr>
            <w:r w:rsidRPr="00F00002">
              <w:rPr>
                <w:b/>
                <w:sz w:val="16"/>
                <w:szCs w:val="16"/>
              </w:rPr>
              <w:t>Part</w:t>
            </w:r>
            <w:r w:rsidR="00F00002">
              <w:rPr>
                <w:b/>
                <w:sz w:val="16"/>
                <w:szCs w:val="16"/>
              </w:rPr>
              <w:t> </w:t>
            </w:r>
            <w:r w:rsidRPr="00F00002">
              <w:rPr>
                <w:b/>
                <w:sz w:val="16"/>
                <w:szCs w:val="16"/>
              </w:rPr>
              <w:t>1</w:t>
            </w:r>
          </w:p>
        </w:tc>
        <w:tc>
          <w:tcPr>
            <w:tcW w:w="3458" w:type="pct"/>
            <w:tcBorders>
              <w:top w:val="single" w:sz="12" w:space="0" w:color="auto"/>
            </w:tcBorders>
            <w:shd w:val="clear" w:color="auto" w:fill="auto"/>
          </w:tcPr>
          <w:p w:rsidR="00D150ED" w:rsidRPr="00F00002" w:rsidRDefault="00D150ED" w:rsidP="00D150ED">
            <w:pPr>
              <w:pStyle w:val="Tabletext"/>
              <w:rPr>
                <w:sz w:val="16"/>
                <w:szCs w:val="16"/>
              </w:rPr>
            </w:pPr>
          </w:p>
        </w:tc>
      </w:tr>
      <w:tr w:rsidR="00D150ED" w:rsidRPr="00F00002" w:rsidTr="0081299F">
        <w:trPr>
          <w:cantSplit/>
        </w:trPr>
        <w:tc>
          <w:tcPr>
            <w:tcW w:w="1542" w:type="pct"/>
            <w:shd w:val="clear" w:color="auto" w:fill="auto"/>
          </w:tcPr>
          <w:p w:rsidR="00D150ED" w:rsidRPr="00F00002" w:rsidRDefault="00D150ED"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1</w:t>
            </w:r>
            <w:r w:rsidR="002444D1" w:rsidRPr="00F00002">
              <w:rPr>
                <w:sz w:val="16"/>
                <w:szCs w:val="16"/>
              </w:rPr>
              <w:t xml:space="preserve"> heading</w:t>
            </w:r>
            <w:r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2002 No</w:t>
            </w:r>
            <w:r w:rsidR="00135C25" w:rsidRPr="00F00002">
              <w:rPr>
                <w:sz w:val="16"/>
                <w:szCs w:val="16"/>
              </w:rPr>
              <w:t> </w:t>
            </w:r>
            <w:r w:rsidRPr="00F00002">
              <w:rPr>
                <w:sz w:val="16"/>
                <w:szCs w:val="16"/>
              </w:rPr>
              <w:t>172</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1</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rs 1999 No</w:t>
            </w:r>
            <w:r w:rsidR="00135C25" w:rsidRPr="00F00002">
              <w:rPr>
                <w:sz w:val="16"/>
                <w:szCs w:val="16"/>
              </w:rPr>
              <w:t> </w:t>
            </w:r>
            <w:r w:rsidRPr="00F00002">
              <w:rPr>
                <w:sz w:val="16"/>
                <w:szCs w:val="16"/>
              </w:rPr>
              <w:t>12</w:t>
            </w:r>
          </w:p>
        </w:tc>
      </w:tr>
      <w:tr w:rsidR="00A0185C" w:rsidRPr="00F00002" w:rsidTr="0081299F">
        <w:trPr>
          <w:cantSplit/>
        </w:trPr>
        <w:tc>
          <w:tcPr>
            <w:tcW w:w="1542" w:type="pct"/>
            <w:shd w:val="clear" w:color="auto" w:fill="auto"/>
          </w:tcPr>
          <w:p w:rsidR="00A0185C" w:rsidRPr="00F00002" w:rsidRDefault="00A0185C" w:rsidP="00FE3C77">
            <w:pPr>
              <w:pStyle w:val="Tabletext"/>
              <w:tabs>
                <w:tab w:val="center" w:leader="dot" w:pos="2268"/>
              </w:tabs>
              <w:rPr>
                <w:sz w:val="16"/>
                <w:szCs w:val="16"/>
              </w:rPr>
            </w:pPr>
            <w:r w:rsidRPr="00F00002">
              <w:rPr>
                <w:sz w:val="16"/>
                <w:szCs w:val="16"/>
              </w:rPr>
              <w:t>r 2</w:t>
            </w:r>
            <w:r w:rsidRPr="00F00002">
              <w:rPr>
                <w:sz w:val="16"/>
                <w:szCs w:val="16"/>
              </w:rPr>
              <w:tab/>
            </w:r>
          </w:p>
        </w:tc>
        <w:tc>
          <w:tcPr>
            <w:tcW w:w="3458" w:type="pct"/>
            <w:shd w:val="clear" w:color="auto" w:fill="auto"/>
          </w:tcPr>
          <w:p w:rsidR="00A0185C" w:rsidRPr="00F00002" w:rsidRDefault="00A0185C" w:rsidP="00FE3C77">
            <w:pPr>
              <w:pStyle w:val="Tabletext"/>
              <w:rPr>
                <w:sz w:val="16"/>
                <w:szCs w:val="16"/>
              </w:rPr>
            </w:pPr>
            <w:r w:rsidRPr="00F00002">
              <w:rPr>
                <w:sz w:val="16"/>
                <w:szCs w:val="16"/>
              </w:rPr>
              <w:t>rep LA s 48D</w:t>
            </w:r>
          </w:p>
        </w:tc>
      </w:tr>
      <w:tr w:rsidR="00D150ED" w:rsidRPr="00F00002" w:rsidTr="0081299F">
        <w:trPr>
          <w:cantSplit/>
        </w:trPr>
        <w:tc>
          <w:tcPr>
            <w:tcW w:w="1542" w:type="pct"/>
            <w:shd w:val="clear" w:color="auto" w:fill="auto"/>
          </w:tcPr>
          <w:p w:rsidR="00D150ED" w:rsidRPr="00F00002" w:rsidRDefault="00D150ED" w:rsidP="00D150ED">
            <w:pPr>
              <w:pStyle w:val="Tabletext"/>
              <w:rPr>
                <w:sz w:val="16"/>
                <w:szCs w:val="16"/>
              </w:rPr>
            </w:pPr>
            <w:r w:rsidRPr="00F00002">
              <w:rPr>
                <w:b/>
                <w:sz w:val="16"/>
                <w:szCs w:val="16"/>
              </w:rPr>
              <w:t>Part</w:t>
            </w:r>
            <w:r w:rsidR="00F00002">
              <w:rPr>
                <w:b/>
                <w:sz w:val="16"/>
                <w:szCs w:val="16"/>
              </w:rPr>
              <w:t> </w:t>
            </w:r>
            <w:r w:rsidRPr="00F00002">
              <w:rPr>
                <w:b/>
                <w:sz w:val="16"/>
                <w:szCs w:val="16"/>
              </w:rPr>
              <w:t>2</w:t>
            </w:r>
          </w:p>
        </w:tc>
        <w:tc>
          <w:tcPr>
            <w:tcW w:w="3458" w:type="pct"/>
            <w:shd w:val="clear" w:color="auto" w:fill="auto"/>
          </w:tcPr>
          <w:p w:rsidR="00D150ED" w:rsidRPr="00F00002" w:rsidRDefault="00D150ED" w:rsidP="00D150ED">
            <w:pPr>
              <w:pStyle w:val="Tabletext"/>
              <w:rPr>
                <w:sz w:val="16"/>
                <w:szCs w:val="16"/>
              </w:rPr>
            </w:pPr>
          </w:p>
        </w:tc>
      </w:tr>
      <w:tr w:rsidR="00D150ED" w:rsidRPr="00F00002" w:rsidTr="0081299F">
        <w:trPr>
          <w:cantSplit/>
        </w:trPr>
        <w:tc>
          <w:tcPr>
            <w:tcW w:w="1542" w:type="pct"/>
            <w:shd w:val="clear" w:color="auto" w:fill="auto"/>
          </w:tcPr>
          <w:p w:rsidR="00D150ED" w:rsidRPr="00F00002" w:rsidRDefault="00D150ED"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2</w:t>
            </w:r>
            <w:r w:rsidR="002444D1" w:rsidRPr="00F00002">
              <w:rPr>
                <w:sz w:val="16"/>
                <w:szCs w:val="16"/>
              </w:rPr>
              <w:t xml:space="preserve"> heading</w:t>
            </w:r>
            <w:r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2002 No</w:t>
            </w:r>
            <w:r w:rsidR="00135C25" w:rsidRPr="00F00002">
              <w:rPr>
                <w:sz w:val="16"/>
                <w:szCs w:val="16"/>
              </w:rPr>
              <w:t> </w:t>
            </w:r>
            <w:r w:rsidRPr="00F00002">
              <w:rPr>
                <w:sz w:val="16"/>
                <w:szCs w:val="16"/>
              </w:rPr>
              <w:t>172</w:t>
            </w:r>
          </w:p>
        </w:tc>
      </w:tr>
      <w:tr w:rsidR="00D150ED" w:rsidRPr="00F00002" w:rsidTr="0081299F">
        <w:trPr>
          <w:cantSplit/>
        </w:trPr>
        <w:tc>
          <w:tcPr>
            <w:tcW w:w="1542" w:type="pct"/>
            <w:shd w:val="clear" w:color="auto" w:fill="auto"/>
          </w:tcPr>
          <w:p w:rsidR="00D150ED" w:rsidRPr="00F00002" w:rsidRDefault="00D150ED" w:rsidP="00D150ED">
            <w:pPr>
              <w:pStyle w:val="Tabletext"/>
              <w:rPr>
                <w:sz w:val="16"/>
                <w:szCs w:val="16"/>
              </w:rPr>
            </w:pPr>
            <w:r w:rsidRPr="00F00002">
              <w:rPr>
                <w:b/>
                <w:sz w:val="16"/>
                <w:szCs w:val="16"/>
              </w:rPr>
              <w:t>Division</w:t>
            </w:r>
            <w:r w:rsidR="00F00002">
              <w:rPr>
                <w:b/>
                <w:sz w:val="16"/>
                <w:szCs w:val="16"/>
              </w:rPr>
              <w:t> </w:t>
            </w:r>
            <w:r w:rsidRPr="00F00002">
              <w:rPr>
                <w:b/>
                <w:sz w:val="16"/>
                <w:szCs w:val="16"/>
              </w:rPr>
              <w:t>26</w:t>
            </w:r>
          </w:p>
        </w:tc>
        <w:tc>
          <w:tcPr>
            <w:tcW w:w="3458" w:type="pct"/>
            <w:shd w:val="clear" w:color="auto" w:fill="auto"/>
          </w:tcPr>
          <w:p w:rsidR="00D150ED" w:rsidRPr="00F00002" w:rsidRDefault="00D150ED" w:rsidP="00D150ED">
            <w:pPr>
              <w:pStyle w:val="Tabletext"/>
              <w:rPr>
                <w:sz w:val="16"/>
                <w:szCs w:val="16"/>
              </w:rPr>
            </w:pPr>
          </w:p>
        </w:tc>
      </w:tr>
      <w:tr w:rsidR="00D150ED" w:rsidRPr="00F00002" w:rsidTr="0081299F">
        <w:trPr>
          <w:cantSplit/>
        </w:trPr>
        <w:tc>
          <w:tcPr>
            <w:tcW w:w="1542" w:type="pct"/>
            <w:shd w:val="clear" w:color="auto" w:fill="auto"/>
          </w:tcPr>
          <w:p w:rsidR="00D150ED" w:rsidRPr="00F00002" w:rsidRDefault="00D150ED" w:rsidP="00FE3C77">
            <w:pPr>
              <w:pStyle w:val="Tabletext"/>
              <w:tabs>
                <w:tab w:val="center" w:leader="dot" w:pos="2268"/>
              </w:tabs>
              <w:rPr>
                <w:sz w:val="16"/>
                <w:szCs w:val="16"/>
              </w:rPr>
            </w:pPr>
            <w:r w:rsidRPr="00F00002">
              <w:rPr>
                <w:sz w:val="16"/>
                <w:szCs w:val="16"/>
              </w:rPr>
              <w:t>Div</w:t>
            </w:r>
            <w:r w:rsidR="002444D1" w:rsidRPr="00F00002">
              <w:rPr>
                <w:sz w:val="16"/>
                <w:szCs w:val="16"/>
              </w:rPr>
              <w:t>ision</w:t>
            </w:r>
            <w:r w:rsidR="00F00002">
              <w:rPr>
                <w:sz w:val="16"/>
                <w:szCs w:val="16"/>
              </w:rPr>
              <w:t> </w:t>
            </w:r>
            <w:r w:rsidR="001E0161" w:rsidRPr="00F00002">
              <w:rPr>
                <w:sz w:val="16"/>
                <w:szCs w:val="16"/>
              </w:rPr>
              <w:t>26</w:t>
            </w:r>
            <w:r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2007 No</w:t>
            </w:r>
            <w:r w:rsidR="00135C25" w:rsidRPr="00F00002">
              <w:rPr>
                <w:sz w:val="16"/>
                <w:szCs w:val="16"/>
              </w:rPr>
              <w:t> </w:t>
            </w:r>
            <w:r w:rsidRPr="00F00002">
              <w:rPr>
                <w:sz w:val="16"/>
                <w:szCs w:val="16"/>
              </w:rPr>
              <w:t>90</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26</w:t>
            </w:r>
            <w:r w:rsidR="00F00002">
              <w:rPr>
                <w:sz w:val="16"/>
                <w:szCs w:val="16"/>
              </w:rPr>
              <w:noBreakHyphen/>
            </w:r>
            <w:r w:rsidR="00D150ED" w:rsidRPr="00F00002">
              <w:rPr>
                <w:sz w:val="16"/>
                <w:szCs w:val="16"/>
              </w:rPr>
              <w:t>85.01</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2007 No</w:t>
            </w:r>
            <w:r w:rsidR="00135C25" w:rsidRPr="00F00002">
              <w:rPr>
                <w:sz w:val="16"/>
                <w:szCs w:val="16"/>
              </w:rPr>
              <w:t> </w:t>
            </w:r>
            <w:r w:rsidRPr="00F00002">
              <w:rPr>
                <w:sz w:val="16"/>
                <w:szCs w:val="16"/>
              </w:rPr>
              <w:t>90</w:t>
            </w:r>
          </w:p>
        </w:tc>
      </w:tr>
      <w:tr w:rsidR="00D150ED" w:rsidRPr="00F00002" w:rsidTr="0081299F">
        <w:trPr>
          <w:cantSplit/>
        </w:trPr>
        <w:tc>
          <w:tcPr>
            <w:tcW w:w="1542" w:type="pct"/>
            <w:shd w:val="clear" w:color="auto" w:fill="auto"/>
          </w:tcPr>
          <w:p w:rsidR="00D150ED" w:rsidRPr="00F00002" w:rsidRDefault="00D150ED" w:rsidP="00C82B9A">
            <w:pPr>
              <w:pStyle w:val="Tabletext"/>
              <w:tabs>
                <w:tab w:val="center" w:leader="dot" w:pos="2268"/>
              </w:tabs>
              <w:rPr>
                <w:sz w:val="16"/>
                <w:szCs w:val="16"/>
              </w:rPr>
            </w:pPr>
            <w:r w:rsidRPr="00F00002">
              <w:rPr>
                <w:sz w:val="16"/>
                <w:szCs w:val="16"/>
              </w:rPr>
              <w:t>Div</w:t>
            </w:r>
            <w:r w:rsidR="002444D1" w:rsidRPr="00F00002">
              <w:rPr>
                <w:sz w:val="16"/>
                <w:szCs w:val="16"/>
              </w:rPr>
              <w:t>ision</w:t>
            </w:r>
            <w:r w:rsidR="00F00002">
              <w:rPr>
                <w:sz w:val="16"/>
                <w:szCs w:val="16"/>
              </w:rPr>
              <w:t> </w:t>
            </w:r>
            <w:r w:rsidRPr="00F00002">
              <w:rPr>
                <w:sz w:val="16"/>
                <w:szCs w:val="16"/>
              </w:rPr>
              <w:t>28</w:t>
            </w:r>
            <w:r w:rsidR="002444D1" w:rsidRPr="00F00002">
              <w:rPr>
                <w:sz w:val="16"/>
                <w:szCs w:val="16"/>
              </w:rPr>
              <w:t xml:space="preserve"> heading</w:t>
            </w:r>
            <w:r w:rsidRPr="00F00002">
              <w:rPr>
                <w:sz w:val="16"/>
                <w:szCs w:val="16"/>
              </w:rPr>
              <w:tab/>
            </w:r>
          </w:p>
        </w:tc>
        <w:tc>
          <w:tcPr>
            <w:tcW w:w="3458" w:type="pct"/>
            <w:shd w:val="clear" w:color="auto" w:fill="auto"/>
          </w:tcPr>
          <w:p w:rsidR="00D150ED" w:rsidRPr="00F00002" w:rsidRDefault="00D150ED" w:rsidP="00C82B9A">
            <w:pPr>
              <w:pStyle w:val="Tabletext"/>
              <w:rPr>
                <w:sz w:val="16"/>
                <w:szCs w:val="16"/>
              </w:rPr>
            </w:pPr>
            <w:r w:rsidRPr="00F00002">
              <w:rPr>
                <w:sz w:val="16"/>
                <w:szCs w:val="16"/>
              </w:rPr>
              <w:t>ad 2002 No</w:t>
            </w:r>
            <w:r w:rsidR="00135C25" w:rsidRPr="00F00002">
              <w:rPr>
                <w:sz w:val="16"/>
                <w:szCs w:val="16"/>
              </w:rPr>
              <w:t> </w:t>
            </w:r>
            <w:r w:rsidRPr="00F00002">
              <w:rPr>
                <w:sz w:val="16"/>
                <w:szCs w:val="16"/>
              </w:rPr>
              <w:t>172</w:t>
            </w:r>
          </w:p>
        </w:tc>
      </w:tr>
      <w:tr w:rsidR="00C82B9A" w:rsidRPr="00F00002" w:rsidTr="0081299F">
        <w:trPr>
          <w:cantSplit/>
        </w:trPr>
        <w:tc>
          <w:tcPr>
            <w:tcW w:w="1542" w:type="pct"/>
            <w:shd w:val="clear" w:color="auto" w:fill="auto"/>
          </w:tcPr>
          <w:p w:rsidR="00C82B9A" w:rsidRPr="00F00002" w:rsidRDefault="00C82B9A" w:rsidP="00C82B9A">
            <w:pPr>
              <w:pStyle w:val="Tabletext"/>
              <w:tabs>
                <w:tab w:val="center" w:leader="dot" w:pos="2268"/>
              </w:tabs>
              <w:rPr>
                <w:sz w:val="16"/>
                <w:szCs w:val="16"/>
              </w:rPr>
            </w:pPr>
          </w:p>
        </w:tc>
        <w:tc>
          <w:tcPr>
            <w:tcW w:w="3458" w:type="pct"/>
            <w:shd w:val="clear" w:color="auto" w:fill="auto"/>
          </w:tcPr>
          <w:p w:rsidR="00C82B9A" w:rsidRPr="00F00002" w:rsidRDefault="00C82B9A" w:rsidP="00C82B9A">
            <w:pPr>
              <w:pStyle w:val="Tabletext"/>
              <w:rPr>
                <w:sz w:val="16"/>
                <w:szCs w:val="16"/>
              </w:rPr>
            </w:pPr>
            <w:r w:rsidRPr="00F00002">
              <w:rPr>
                <w:sz w:val="16"/>
                <w:szCs w:val="16"/>
              </w:rPr>
              <w:t>rep F2016L00156</w:t>
            </w:r>
          </w:p>
        </w:tc>
      </w:tr>
      <w:tr w:rsidR="00C82B9A" w:rsidRPr="00F00002" w:rsidTr="0081299F">
        <w:trPr>
          <w:cantSplit/>
        </w:trPr>
        <w:tc>
          <w:tcPr>
            <w:tcW w:w="1542" w:type="pct"/>
            <w:shd w:val="clear" w:color="auto" w:fill="auto"/>
          </w:tcPr>
          <w:p w:rsidR="00C82B9A" w:rsidRPr="00F00002" w:rsidRDefault="00C82B9A" w:rsidP="00C82B9A">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28</w:t>
            </w:r>
            <w:r w:rsidRPr="00F00002">
              <w:rPr>
                <w:sz w:val="16"/>
                <w:szCs w:val="16"/>
              </w:rPr>
              <w:tab/>
            </w:r>
          </w:p>
        </w:tc>
        <w:tc>
          <w:tcPr>
            <w:tcW w:w="3458" w:type="pct"/>
            <w:shd w:val="clear" w:color="auto" w:fill="auto"/>
          </w:tcPr>
          <w:p w:rsidR="00C82B9A" w:rsidRPr="00F00002" w:rsidRDefault="00C82B9A" w:rsidP="007D6B7B">
            <w:pPr>
              <w:pStyle w:val="Tabletext"/>
              <w:rPr>
                <w:sz w:val="16"/>
                <w:szCs w:val="16"/>
              </w:rPr>
            </w:pPr>
            <w:r w:rsidRPr="00F00002">
              <w:rPr>
                <w:sz w:val="16"/>
                <w:szCs w:val="16"/>
              </w:rPr>
              <w:t>rep F2016L00156</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28</w:t>
            </w:r>
            <w:r w:rsidR="00F00002">
              <w:rPr>
                <w:sz w:val="16"/>
                <w:szCs w:val="16"/>
              </w:rPr>
              <w:noBreakHyphen/>
            </w:r>
            <w:r w:rsidR="00D150ED" w:rsidRPr="00F00002">
              <w:rPr>
                <w:sz w:val="16"/>
                <w:szCs w:val="16"/>
              </w:rPr>
              <w:t>25.01</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1998 No</w:t>
            </w:r>
            <w:r w:rsidR="00135C25" w:rsidRPr="00F00002">
              <w:rPr>
                <w:sz w:val="16"/>
                <w:szCs w:val="16"/>
              </w:rPr>
              <w:t> </w:t>
            </w:r>
            <w:r w:rsidRPr="00F00002">
              <w:rPr>
                <w:sz w:val="16"/>
                <w:szCs w:val="16"/>
              </w:rPr>
              <w:t>85</w:t>
            </w:r>
          </w:p>
        </w:tc>
      </w:tr>
      <w:tr w:rsidR="00D150ED" w:rsidRPr="00F00002" w:rsidTr="0081299F">
        <w:trPr>
          <w:cantSplit/>
        </w:trPr>
        <w:tc>
          <w:tcPr>
            <w:tcW w:w="1542" w:type="pct"/>
            <w:shd w:val="clear" w:color="auto" w:fill="auto"/>
          </w:tcPr>
          <w:p w:rsidR="00D150ED" w:rsidRPr="00F00002" w:rsidRDefault="00D150ED" w:rsidP="00DF44F8">
            <w:pPr>
              <w:tabs>
                <w:tab w:val="right" w:leader="dot" w:pos="2881"/>
              </w:tabs>
              <w:rPr>
                <w:rFonts w:cs="Times New Roman"/>
                <w:sz w:val="16"/>
                <w:szCs w:val="16"/>
              </w:rPr>
            </w:pPr>
          </w:p>
        </w:tc>
        <w:tc>
          <w:tcPr>
            <w:tcW w:w="3458" w:type="pct"/>
            <w:shd w:val="clear" w:color="auto" w:fill="auto"/>
          </w:tcPr>
          <w:p w:rsidR="00D150ED" w:rsidRPr="00F00002" w:rsidRDefault="00D150ED" w:rsidP="00FE3C77">
            <w:pPr>
              <w:pStyle w:val="Tabletext"/>
              <w:rPr>
                <w:sz w:val="16"/>
                <w:szCs w:val="16"/>
              </w:rPr>
            </w:pPr>
            <w:r w:rsidRPr="00F00002">
              <w:rPr>
                <w:sz w:val="16"/>
                <w:szCs w:val="16"/>
              </w:rPr>
              <w:t>am 1999 No</w:t>
            </w:r>
            <w:r w:rsidR="00135C25" w:rsidRPr="00F00002">
              <w:rPr>
                <w:sz w:val="16"/>
                <w:szCs w:val="16"/>
              </w:rPr>
              <w:t> </w:t>
            </w:r>
            <w:r w:rsidRPr="00F00002">
              <w:rPr>
                <w:sz w:val="16"/>
                <w:szCs w:val="16"/>
              </w:rPr>
              <w:t>12</w:t>
            </w:r>
          </w:p>
        </w:tc>
      </w:tr>
      <w:tr w:rsidR="00D150ED" w:rsidRPr="00F00002" w:rsidTr="0081299F">
        <w:trPr>
          <w:cantSplit/>
        </w:trPr>
        <w:tc>
          <w:tcPr>
            <w:tcW w:w="1542" w:type="pct"/>
            <w:shd w:val="clear" w:color="auto" w:fill="auto"/>
          </w:tcPr>
          <w:p w:rsidR="00D150ED" w:rsidRPr="00F00002" w:rsidRDefault="00D150ED" w:rsidP="00DF44F8">
            <w:pPr>
              <w:tabs>
                <w:tab w:val="right" w:leader="dot" w:pos="2881"/>
              </w:tabs>
              <w:rPr>
                <w:rFonts w:cs="Times New Roman"/>
                <w:sz w:val="16"/>
                <w:szCs w:val="16"/>
              </w:rPr>
            </w:pPr>
          </w:p>
        </w:tc>
        <w:tc>
          <w:tcPr>
            <w:tcW w:w="3458" w:type="pct"/>
            <w:shd w:val="clear" w:color="auto" w:fill="auto"/>
          </w:tcPr>
          <w:p w:rsidR="00D150ED" w:rsidRPr="00F00002" w:rsidRDefault="00D150ED" w:rsidP="00FE3C77">
            <w:pPr>
              <w:pStyle w:val="Tabletext"/>
              <w:rPr>
                <w:sz w:val="16"/>
                <w:szCs w:val="16"/>
              </w:rPr>
            </w:pPr>
            <w:r w:rsidRPr="00F00002">
              <w:rPr>
                <w:sz w:val="16"/>
                <w:szCs w:val="16"/>
              </w:rPr>
              <w:t>rs 2000 No</w:t>
            </w:r>
            <w:r w:rsidR="00135C25" w:rsidRPr="00F00002">
              <w:rPr>
                <w:sz w:val="16"/>
                <w:szCs w:val="16"/>
              </w:rPr>
              <w:t> </w:t>
            </w:r>
            <w:r w:rsidRPr="00F00002">
              <w:rPr>
                <w:sz w:val="16"/>
                <w:szCs w:val="16"/>
              </w:rPr>
              <w:t>1</w:t>
            </w:r>
          </w:p>
        </w:tc>
      </w:tr>
      <w:tr w:rsidR="001A561E" w:rsidRPr="00F00002" w:rsidTr="0081299F">
        <w:trPr>
          <w:cantSplit/>
        </w:trPr>
        <w:tc>
          <w:tcPr>
            <w:tcW w:w="1542" w:type="pct"/>
            <w:shd w:val="clear" w:color="auto" w:fill="auto"/>
          </w:tcPr>
          <w:p w:rsidR="001A561E" w:rsidRPr="00F00002" w:rsidRDefault="001A561E" w:rsidP="00DF44F8">
            <w:pPr>
              <w:tabs>
                <w:tab w:val="right" w:leader="dot" w:pos="2881"/>
              </w:tabs>
              <w:rPr>
                <w:rFonts w:cs="Times New Roman"/>
                <w:sz w:val="16"/>
                <w:szCs w:val="16"/>
              </w:rPr>
            </w:pPr>
          </w:p>
        </w:tc>
        <w:tc>
          <w:tcPr>
            <w:tcW w:w="3458" w:type="pct"/>
            <w:shd w:val="clear" w:color="auto" w:fill="auto"/>
          </w:tcPr>
          <w:p w:rsidR="001A561E" w:rsidRPr="00F00002" w:rsidRDefault="001A561E" w:rsidP="00FE3C77">
            <w:pPr>
              <w:pStyle w:val="Tabletext"/>
              <w:rPr>
                <w:sz w:val="16"/>
                <w:szCs w:val="16"/>
              </w:rPr>
            </w:pPr>
            <w:r w:rsidRPr="00F00002">
              <w:rPr>
                <w:sz w:val="16"/>
                <w:szCs w:val="16"/>
              </w:rPr>
              <w:t>rep F2016L00156</w:t>
            </w:r>
          </w:p>
        </w:tc>
      </w:tr>
      <w:tr w:rsidR="00D150ED" w:rsidRPr="00F00002" w:rsidTr="0081299F">
        <w:trPr>
          <w:cantSplit/>
        </w:trPr>
        <w:tc>
          <w:tcPr>
            <w:tcW w:w="1542" w:type="pct"/>
            <w:shd w:val="clear" w:color="auto" w:fill="auto"/>
          </w:tcPr>
          <w:p w:rsidR="00D150ED" w:rsidRPr="00F00002" w:rsidRDefault="00D150ED" w:rsidP="00D150ED">
            <w:pPr>
              <w:pStyle w:val="Tabletext"/>
              <w:rPr>
                <w:sz w:val="16"/>
                <w:szCs w:val="16"/>
              </w:rPr>
            </w:pPr>
            <w:r w:rsidRPr="00F00002">
              <w:rPr>
                <w:b/>
                <w:sz w:val="16"/>
                <w:szCs w:val="16"/>
              </w:rPr>
              <w:t>Division</w:t>
            </w:r>
            <w:r w:rsidR="00F00002">
              <w:rPr>
                <w:b/>
                <w:sz w:val="16"/>
                <w:szCs w:val="16"/>
              </w:rPr>
              <w:t> </w:t>
            </w:r>
            <w:r w:rsidRPr="00F00002">
              <w:rPr>
                <w:b/>
                <w:sz w:val="16"/>
                <w:szCs w:val="16"/>
              </w:rPr>
              <w:t>30</w:t>
            </w:r>
          </w:p>
        </w:tc>
        <w:tc>
          <w:tcPr>
            <w:tcW w:w="3458" w:type="pct"/>
            <w:shd w:val="clear" w:color="auto" w:fill="auto"/>
          </w:tcPr>
          <w:p w:rsidR="00D150ED" w:rsidRPr="00F00002" w:rsidRDefault="00D150ED" w:rsidP="00D150ED">
            <w:pPr>
              <w:pStyle w:val="Tabletext"/>
              <w:rPr>
                <w:sz w:val="16"/>
                <w:szCs w:val="16"/>
              </w:rPr>
            </w:pPr>
          </w:p>
        </w:tc>
      </w:tr>
      <w:tr w:rsidR="00D150ED" w:rsidRPr="00F00002" w:rsidTr="0081299F">
        <w:trPr>
          <w:cantSplit/>
        </w:trPr>
        <w:tc>
          <w:tcPr>
            <w:tcW w:w="1542" w:type="pct"/>
            <w:shd w:val="clear" w:color="auto" w:fill="auto"/>
          </w:tcPr>
          <w:p w:rsidR="00D150ED" w:rsidRPr="00F00002" w:rsidRDefault="00D150ED" w:rsidP="00FE3C77">
            <w:pPr>
              <w:pStyle w:val="Tabletext"/>
              <w:tabs>
                <w:tab w:val="center" w:leader="dot" w:pos="2268"/>
              </w:tabs>
              <w:rPr>
                <w:sz w:val="16"/>
                <w:szCs w:val="16"/>
              </w:rPr>
            </w:pPr>
            <w:r w:rsidRPr="00F00002">
              <w:rPr>
                <w:sz w:val="16"/>
                <w:szCs w:val="16"/>
              </w:rPr>
              <w:t>Div</w:t>
            </w:r>
            <w:r w:rsidR="002444D1" w:rsidRPr="00F00002">
              <w:rPr>
                <w:sz w:val="16"/>
                <w:szCs w:val="16"/>
              </w:rPr>
              <w:t>ision</w:t>
            </w:r>
            <w:r w:rsidR="00F00002">
              <w:rPr>
                <w:sz w:val="16"/>
                <w:szCs w:val="16"/>
              </w:rPr>
              <w:t> </w:t>
            </w:r>
            <w:r w:rsidRPr="00F00002">
              <w:rPr>
                <w:sz w:val="16"/>
                <w:szCs w:val="16"/>
              </w:rPr>
              <w:t>30</w:t>
            </w:r>
            <w:r w:rsidR="002444D1" w:rsidRPr="00F00002">
              <w:rPr>
                <w:sz w:val="16"/>
                <w:szCs w:val="16"/>
              </w:rPr>
              <w:t xml:space="preserve"> heading</w:t>
            </w:r>
            <w:r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2002 No</w:t>
            </w:r>
            <w:r w:rsidR="00135C25" w:rsidRPr="00F00002">
              <w:rPr>
                <w:sz w:val="16"/>
                <w:szCs w:val="16"/>
              </w:rPr>
              <w:t> </w:t>
            </w:r>
            <w:r w:rsidRPr="00F00002">
              <w:rPr>
                <w:sz w:val="16"/>
                <w:szCs w:val="16"/>
              </w:rPr>
              <w:t>172</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212.01</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D150ED" w:rsidP="00DF44F8">
            <w:pPr>
              <w:tabs>
                <w:tab w:val="right" w:leader="dot" w:pos="2881"/>
              </w:tabs>
              <w:rPr>
                <w:rFonts w:cs="Times New Roman"/>
                <w:sz w:val="16"/>
                <w:szCs w:val="16"/>
              </w:rPr>
            </w:pPr>
          </w:p>
        </w:tc>
        <w:tc>
          <w:tcPr>
            <w:tcW w:w="3458" w:type="pct"/>
            <w:shd w:val="clear" w:color="auto" w:fill="auto"/>
          </w:tcPr>
          <w:p w:rsidR="00D150ED" w:rsidRPr="00F00002" w:rsidRDefault="00D150ED" w:rsidP="00FE3C77">
            <w:pPr>
              <w:pStyle w:val="Tabletext"/>
              <w:rPr>
                <w:sz w:val="16"/>
                <w:szCs w:val="16"/>
              </w:rPr>
            </w:pPr>
            <w:r w:rsidRPr="00F00002">
              <w:rPr>
                <w:sz w:val="16"/>
                <w:szCs w:val="16"/>
              </w:rPr>
              <w:t>am 2002 No</w:t>
            </w:r>
            <w:r w:rsidR="00135C25" w:rsidRPr="00F00002">
              <w:rPr>
                <w:sz w:val="16"/>
                <w:szCs w:val="16"/>
              </w:rPr>
              <w:t> </w:t>
            </w:r>
            <w:r w:rsidRPr="00F00002">
              <w:rPr>
                <w:sz w:val="16"/>
                <w:szCs w:val="16"/>
              </w:rPr>
              <w:t>172</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212.02</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D150ED" w:rsidP="00DF44F8">
            <w:pPr>
              <w:tabs>
                <w:tab w:val="right" w:leader="dot" w:pos="2881"/>
              </w:tabs>
              <w:rPr>
                <w:rFonts w:cs="Times New Roman"/>
                <w:sz w:val="16"/>
                <w:szCs w:val="16"/>
              </w:rPr>
            </w:pPr>
          </w:p>
        </w:tc>
        <w:tc>
          <w:tcPr>
            <w:tcW w:w="3458" w:type="pct"/>
            <w:shd w:val="clear" w:color="auto" w:fill="auto"/>
          </w:tcPr>
          <w:p w:rsidR="00D150ED" w:rsidRPr="00F00002" w:rsidRDefault="00D150ED" w:rsidP="00FE3C77">
            <w:pPr>
              <w:pStyle w:val="Tabletext"/>
              <w:rPr>
                <w:sz w:val="16"/>
                <w:szCs w:val="16"/>
              </w:rPr>
            </w:pPr>
            <w:r w:rsidRPr="00F00002">
              <w:rPr>
                <w:sz w:val="16"/>
                <w:szCs w:val="16"/>
              </w:rPr>
              <w:t>rs 2002 No</w:t>
            </w:r>
            <w:r w:rsidR="00135C25" w:rsidRPr="00F00002">
              <w:rPr>
                <w:sz w:val="16"/>
                <w:szCs w:val="16"/>
              </w:rPr>
              <w:t> </w:t>
            </w:r>
            <w:r w:rsidRPr="00F00002">
              <w:rPr>
                <w:sz w:val="16"/>
                <w:szCs w:val="16"/>
              </w:rPr>
              <w:t>172</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am No 90, 2014</w:t>
            </w:r>
            <w:r w:rsidR="009F4D29" w:rsidRPr="00F00002">
              <w:rPr>
                <w:sz w:val="16"/>
                <w:szCs w:val="16"/>
              </w:rPr>
              <w:t>; No 39, 2015</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135C25" w:rsidRPr="00F00002">
              <w:rPr>
                <w:sz w:val="16"/>
                <w:szCs w:val="16"/>
              </w:rPr>
              <w:t> </w:t>
            </w:r>
            <w:r w:rsidR="00D150ED" w:rsidRPr="00F00002">
              <w:rPr>
                <w:sz w:val="16"/>
                <w:szCs w:val="16"/>
              </w:rPr>
              <w:t>30</w:t>
            </w:r>
            <w:r w:rsidR="00F00002">
              <w:rPr>
                <w:sz w:val="16"/>
                <w:szCs w:val="16"/>
              </w:rPr>
              <w:noBreakHyphen/>
            </w:r>
            <w:r w:rsidR="00D150ED" w:rsidRPr="00F00002">
              <w:rPr>
                <w:sz w:val="16"/>
                <w:szCs w:val="16"/>
              </w:rPr>
              <w:t>212.03, 30</w:t>
            </w:r>
            <w:r w:rsidR="00F00002">
              <w:rPr>
                <w:sz w:val="16"/>
                <w:szCs w:val="16"/>
              </w:rPr>
              <w:noBreakHyphen/>
            </w:r>
            <w:r w:rsidR="00D150ED" w:rsidRPr="00F00002">
              <w:rPr>
                <w:sz w:val="16"/>
                <w:szCs w:val="16"/>
              </w:rPr>
              <w:t>212.04</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D150ED" w:rsidP="00DF44F8">
            <w:pPr>
              <w:tabs>
                <w:tab w:val="right" w:leader="dot" w:pos="2881"/>
              </w:tabs>
              <w:rPr>
                <w:rFonts w:cs="Times New Roman"/>
                <w:sz w:val="16"/>
                <w:szCs w:val="16"/>
              </w:rPr>
            </w:pPr>
          </w:p>
        </w:tc>
        <w:tc>
          <w:tcPr>
            <w:tcW w:w="3458" w:type="pct"/>
            <w:shd w:val="clear" w:color="auto" w:fill="auto"/>
          </w:tcPr>
          <w:p w:rsidR="00D150ED" w:rsidRPr="00F00002" w:rsidRDefault="00D150ED" w:rsidP="00FE3C77">
            <w:pPr>
              <w:pStyle w:val="Tabletext"/>
              <w:rPr>
                <w:sz w:val="16"/>
                <w:szCs w:val="16"/>
              </w:rPr>
            </w:pPr>
            <w:r w:rsidRPr="00F00002">
              <w:rPr>
                <w:sz w:val="16"/>
                <w:szCs w:val="16"/>
              </w:rPr>
              <w:t>rep 2002 No</w:t>
            </w:r>
            <w:r w:rsidR="00135C25" w:rsidRPr="00F00002">
              <w:rPr>
                <w:sz w:val="16"/>
                <w:szCs w:val="16"/>
              </w:rPr>
              <w:t> </w:t>
            </w:r>
            <w:r w:rsidRPr="00F00002">
              <w:rPr>
                <w:sz w:val="16"/>
                <w:szCs w:val="16"/>
              </w:rPr>
              <w:t>172</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212.05</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212.06</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212.07</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212.08</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D150ED" w:rsidRPr="00F00002" w:rsidTr="0081299F">
        <w:trPr>
          <w:cantSplit/>
        </w:trPr>
        <w:tc>
          <w:tcPr>
            <w:tcW w:w="1542" w:type="pct"/>
            <w:shd w:val="clear" w:color="auto" w:fill="auto"/>
          </w:tcPr>
          <w:p w:rsidR="00D150ED" w:rsidRPr="00F00002" w:rsidRDefault="00672E95" w:rsidP="00FE3C77">
            <w:pPr>
              <w:pStyle w:val="Tabletext"/>
              <w:tabs>
                <w:tab w:val="center" w:leader="dot" w:pos="2268"/>
              </w:tabs>
              <w:rPr>
                <w:sz w:val="16"/>
                <w:szCs w:val="16"/>
              </w:rPr>
            </w:pPr>
            <w:r w:rsidRPr="00F00002">
              <w:rPr>
                <w:sz w:val="16"/>
                <w:szCs w:val="16"/>
              </w:rPr>
              <w:t>r</w:t>
            </w:r>
            <w:r w:rsidR="00D150ED" w:rsidRPr="00F00002">
              <w:rPr>
                <w:sz w:val="16"/>
                <w:szCs w:val="16"/>
              </w:rPr>
              <w:t xml:space="preserve"> 30</w:t>
            </w:r>
            <w:r w:rsidR="00F00002">
              <w:rPr>
                <w:sz w:val="16"/>
                <w:szCs w:val="16"/>
              </w:rPr>
              <w:noBreakHyphen/>
            </w:r>
            <w:r w:rsidR="00D150ED" w:rsidRPr="00F00002">
              <w:rPr>
                <w:sz w:val="16"/>
                <w:szCs w:val="16"/>
              </w:rPr>
              <w:t>212.09</w:t>
            </w:r>
            <w:r w:rsidR="00D150ED" w:rsidRPr="00F00002">
              <w:rPr>
                <w:sz w:val="16"/>
                <w:szCs w:val="16"/>
              </w:rPr>
              <w:tab/>
            </w:r>
          </w:p>
        </w:tc>
        <w:tc>
          <w:tcPr>
            <w:tcW w:w="3458" w:type="pct"/>
            <w:shd w:val="clear" w:color="auto" w:fill="auto"/>
          </w:tcPr>
          <w:p w:rsidR="00D150ED" w:rsidRPr="00F00002" w:rsidRDefault="00D150ED" w:rsidP="00FE3C77">
            <w:pPr>
              <w:pStyle w:val="Tabletext"/>
              <w:rPr>
                <w:sz w:val="16"/>
                <w:szCs w:val="16"/>
              </w:rPr>
            </w:pPr>
            <w:r w:rsidRPr="00F00002">
              <w:rPr>
                <w:sz w:val="16"/>
                <w:szCs w:val="16"/>
              </w:rPr>
              <w:t>ad 2000 No</w:t>
            </w:r>
            <w:r w:rsidR="00135C25" w:rsidRPr="00F00002">
              <w:rPr>
                <w:sz w:val="16"/>
                <w:szCs w:val="16"/>
              </w:rPr>
              <w:t> </w:t>
            </w:r>
            <w:r w:rsidRPr="00F00002">
              <w:rPr>
                <w:sz w:val="16"/>
                <w:szCs w:val="16"/>
              </w:rPr>
              <w:t>128</w:t>
            </w:r>
          </w:p>
        </w:tc>
      </w:tr>
      <w:tr w:rsidR="00923707" w:rsidRPr="00F00002" w:rsidTr="0081299F">
        <w:trPr>
          <w:cantSplit/>
        </w:trPr>
        <w:tc>
          <w:tcPr>
            <w:tcW w:w="1542" w:type="pct"/>
            <w:shd w:val="clear" w:color="auto" w:fill="auto"/>
          </w:tcPr>
          <w:p w:rsidR="00923707" w:rsidRPr="00F00002" w:rsidRDefault="00923707" w:rsidP="00672E95">
            <w:pPr>
              <w:pStyle w:val="Tabletext"/>
              <w:tabs>
                <w:tab w:val="center" w:leader="dot" w:pos="2268"/>
              </w:tabs>
              <w:rPr>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am No 90,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30</w:t>
            </w:r>
            <w:r w:rsidR="00F00002">
              <w:rPr>
                <w:sz w:val="16"/>
                <w:szCs w:val="16"/>
              </w:rPr>
              <w:noBreakHyphen/>
            </w:r>
            <w:r w:rsidRPr="00F00002">
              <w:rPr>
                <w:sz w:val="16"/>
                <w:szCs w:val="16"/>
              </w:rPr>
              <w:t>212.10</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2000 No 128</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am 2002 No 172</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rs No 90,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30</w:t>
            </w:r>
            <w:r w:rsidR="00F00002">
              <w:rPr>
                <w:sz w:val="16"/>
                <w:szCs w:val="16"/>
              </w:rPr>
              <w:noBreakHyphen/>
            </w:r>
            <w:r w:rsidRPr="00F00002">
              <w:rPr>
                <w:sz w:val="16"/>
                <w:szCs w:val="16"/>
              </w:rPr>
              <w:t>212.11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2000 No 128</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am 2002 No 172</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rs No 90,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30</w:t>
            </w:r>
            <w:r w:rsidR="00F00002">
              <w:rPr>
                <w:sz w:val="16"/>
                <w:szCs w:val="16"/>
              </w:rPr>
              <w:noBreakHyphen/>
            </w:r>
            <w:r w:rsidRPr="00F00002">
              <w:rPr>
                <w:sz w:val="16"/>
                <w:szCs w:val="16"/>
              </w:rPr>
              <w:t>212.12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2000 No 128</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31</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2444D1" w:rsidRPr="00F00002">
              <w:rPr>
                <w:sz w:val="16"/>
                <w:szCs w:val="16"/>
              </w:rPr>
              <w:t>ision</w:t>
            </w:r>
            <w:r w:rsidR="00F00002">
              <w:rPr>
                <w:sz w:val="16"/>
                <w:szCs w:val="16"/>
              </w:rPr>
              <w:t> </w:t>
            </w:r>
            <w:r w:rsidRPr="00F00002">
              <w:rPr>
                <w:sz w:val="16"/>
                <w:szCs w:val="16"/>
              </w:rPr>
              <w:t>31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672E95">
            <w:pPr>
              <w:pStyle w:val="Tabletext"/>
              <w:tabs>
                <w:tab w:val="center" w:leader="dot" w:pos="2268"/>
              </w:tabs>
              <w:rPr>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am No 90,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15.03</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15.04</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15.05</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15.06</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15.07</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672E95">
            <w:pPr>
              <w:pStyle w:val="Tabletext"/>
              <w:tabs>
                <w:tab w:val="center" w:leader="dot" w:pos="2268"/>
              </w:tabs>
              <w:rPr>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rs No 90,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15.08</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672E95">
            <w:pPr>
              <w:pStyle w:val="Tabletext"/>
              <w:tabs>
                <w:tab w:val="center" w:leader="dot" w:pos="2268"/>
              </w:tabs>
              <w:rPr>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rs No 90,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31</w:t>
            </w:r>
            <w:r w:rsidR="00F00002">
              <w:rPr>
                <w:sz w:val="16"/>
                <w:szCs w:val="16"/>
              </w:rPr>
              <w:noBreakHyphen/>
            </w:r>
            <w:r w:rsidRPr="00F00002">
              <w:rPr>
                <w:sz w:val="16"/>
                <w:szCs w:val="16"/>
              </w:rPr>
              <w:t>15.09</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50</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2444D1" w:rsidRPr="00F00002">
              <w:rPr>
                <w:sz w:val="16"/>
                <w:szCs w:val="16"/>
              </w:rPr>
              <w:t>ision</w:t>
            </w:r>
            <w:r w:rsidR="00F00002">
              <w:rPr>
                <w:sz w:val="16"/>
                <w:szCs w:val="16"/>
              </w:rPr>
              <w:t> </w:t>
            </w:r>
            <w:r w:rsidRPr="00F00002">
              <w:rPr>
                <w:sz w:val="16"/>
                <w:szCs w:val="16"/>
              </w:rPr>
              <w:t>50</w:t>
            </w:r>
            <w:r w:rsidR="002444D1" w:rsidRPr="00F00002">
              <w:rPr>
                <w:sz w:val="16"/>
                <w:szCs w:val="16"/>
              </w:rPr>
              <w:t xml:space="preserve"> heading</w:t>
            </w:r>
            <w:r w:rsidRPr="00F00002">
              <w:rPr>
                <w:sz w:val="16"/>
                <w:szCs w:val="16"/>
              </w:rPr>
              <w:tab/>
            </w:r>
          </w:p>
        </w:tc>
        <w:tc>
          <w:tcPr>
            <w:tcW w:w="3458" w:type="pct"/>
            <w:shd w:val="clear" w:color="auto" w:fill="auto"/>
          </w:tcPr>
          <w:p w:rsidR="00923707" w:rsidRPr="00F00002" w:rsidRDefault="00923707" w:rsidP="002444D1">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50</w:t>
            </w:r>
            <w:r w:rsidR="00F00002">
              <w:rPr>
                <w:sz w:val="16"/>
                <w:szCs w:val="16"/>
              </w:rPr>
              <w:noBreakHyphen/>
            </w:r>
            <w:r w:rsidRPr="00F00002">
              <w:rPr>
                <w:sz w:val="16"/>
                <w:szCs w:val="16"/>
              </w:rPr>
              <w:t>50.01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1999 No 78</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DA08C2">
            <w:pPr>
              <w:pStyle w:val="Tabletext"/>
              <w:rPr>
                <w:sz w:val="16"/>
                <w:szCs w:val="16"/>
              </w:rPr>
            </w:pPr>
            <w:r w:rsidRPr="00F00002">
              <w:rPr>
                <w:sz w:val="16"/>
                <w:szCs w:val="16"/>
              </w:rPr>
              <w:t>rs 2001 No 18; 2002 No 170; 2003 No 108</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am</w:t>
            </w:r>
            <w:r w:rsidR="00284A21" w:rsidRPr="00F00002">
              <w:rPr>
                <w:sz w:val="16"/>
                <w:szCs w:val="16"/>
              </w:rPr>
              <w:t xml:space="preserve"> </w:t>
            </w:r>
            <w:r w:rsidRPr="00F00002">
              <w:rPr>
                <w:sz w:val="16"/>
                <w:szCs w:val="16"/>
              </w:rPr>
              <w:t>2003 No 373; 2006 No 367</w:t>
            </w:r>
            <w:r w:rsidR="002008A6" w:rsidRPr="00F00002">
              <w:rPr>
                <w:sz w:val="16"/>
                <w:szCs w:val="16"/>
              </w:rPr>
              <w:t>; F2017L01491</w:t>
            </w:r>
          </w:p>
        </w:tc>
      </w:tr>
      <w:tr w:rsidR="00923707" w:rsidRPr="00F00002" w:rsidTr="0081299F">
        <w:trPr>
          <w:cantSplit/>
        </w:trPr>
        <w:tc>
          <w:tcPr>
            <w:tcW w:w="1542" w:type="pct"/>
            <w:shd w:val="clear" w:color="auto" w:fill="auto"/>
          </w:tcPr>
          <w:p w:rsidR="00923707" w:rsidRPr="00F00002" w:rsidRDefault="00923707" w:rsidP="00DA08C2">
            <w:pPr>
              <w:pStyle w:val="Tabletext"/>
              <w:tabs>
                <w:tab w:val="center" w:leader="dot" w:pos="2268"/>
              </w:tabs>
              <w:rPr>
                <w:sz w:val="16"/>
                <w:szCs w:val="16"/>
              </w:rPr>
            </w:pPr>
            <w:r w:rsidRPr="00F00002">
              <w:rPr>
                <w:sz w:val="16"/>
                <w:szCs w:val="16"/>
              </w:rPr>
              <w:t>r 50</w:t>
            </w:r>
            <w:r w:rsidR="00F00002">
              <w:rPr>
                <w:sz w:val="16"/>
                <w:szCs w:val="16"/>
              </w:rPr>
              <w:noBreakHyphen/>
            </w:r>
            <w:r w:rsidRPr="00F00002">
              <w:rPr>
                <w:sz w:val="16"/>
                <w:szCs w:val="16"/>
              </w:rPr>
              <w:t>50.02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2003 No 108</w:t>
            </w:r>
          </w:p>
        </w:tc>
      </w:tr>
      <w:tr w:rsidR="002008A6" w:rsidRPr="00F00002" w:rsidTr="0081299F">
        <w:trPr>
          <w:cantSplit/>
        </w:trPr>
        <w:tc>
          <w:tcPr>
            <w:tcW w:w="1542" w:type="pct"/>
            <w:shd w:val="clear" w:color="auto" w:fill="auto"/>
          </w:tcPr>
          <w:p w:rsidR="002008A6" w:rsidRPr="00F00002" w:rsidRDefault="002008A6" w:rsidP="00DA08C2">
            <w:pPr>
              <w:pStyle w:val="Tabletext"/>
              <w:tabs>
                <w:tab w:val="center" w:leader="dot" w:pos="2268"/>
              </w:tabs>
              <w:rPr>
                <w:sz w:val="16"/>
                <w:szCs w:val="16"/>
              </w:rPr>
            </w:pPr>
          </w:p>
        </w:tc>
        <w:tc>
          <w:tcPr>
            <w:tcW w:w="3458" w:type="pct"/>
            <w:shd w:val="clear" w:color="auto" w:fill="auto"/>
          </w:tcPr>
          <w:p w:rsidR="002008A6" w:rsidRPr="00F00002" w:rsidRDefault="002008A6" w:rsidP="00FE3C77">
            <w:pPr>
              <w:pStyle w:val="Tabletext"/>
              <w:rPr>
                <w:sz w:val="16"/>
                <w:szCs w:val="16"/>
              </w:rPr>
            </w:pPr>
            <w:r w:rsidRPr="00F00002">
              <w:rPr>
                <w:sz w:val="16"/>
                <w:szCs w:val="16"/>
              </w:rPr>
              <w:t>rs F2017L01491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50</w:t>
            </w:r>
            <w:r w:rsidR="00F00002">
              <w:rPr>
                <w:sz w:val="16"/>
                <w:szCs w:val="16"/>
              </w:rPr>
              <w:noBreakHyphen/>
            </w:r>
            <w:r w:rsidRPr="00F00002">
              <w:rPr>
                <w:sz w:val="16"/>
                <w:szCs w:val="16"/>
              </w:rPr>
              <w:t>50.03</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No 127, 2013</w:t>
            </w:r>
          </w:p>
        </w:tc>
      </w:tr>
      <w:tr w:rsidR="002008A6" w:rsidRPr="00F00002" w:rsidTr="0081299F">
        <w:trPr>
          <w:cantSplit/>
        </w:trPr>
        <w:tc>
          <w:tcPr>
            <w:tcW w:w="1542" w:type="pct"/>
            <w:shd w:val="clear" w:color="auto" w:fill="auto"/>
          </w:tcPr>
          <w:p w:rsidR="002008A6" w:rsidRPr="00F00002" w:rsidRDefault="002008A6" w:rsidP="00FE3C77">
            <w:pPr>
              <w:pStyle w:val="Tabletext"/>
              <w:tabs>
                <w:tab w:val="center" w:leader="dot" w:pos="2268"/>
              </w:tabs>
              <w:rPr>
                <w:sz w:val="16"/>
                <w:szCs w:val="16"/>
              </w:rPr>
            </w:pPr>
          </w:p>
        </w:tc>
        <w:tc>
          <w:tcPr>
            <w:tcW w:w="3458" w:type="pct"/>
            <w:shd w:val="clear" w:color="auto" w:fill="auto"/>
          </w:tcPr>
          <w:p w:rsidR="002008A6" w:rsidRPr="00F00002" w:rsidRDefault="002008A6" w:rsidP="00FE3C77">
            <w:pPr>
              <w:pStyle w:val="Tabletext"/>
              <w:rPr>
                <w:sz w:val="16"/>
                <w:szCs w:val="16"/>
              </w:rPr>
            </w:pPr>
            <w:r w:rsidRPr="00F00002">
              <w:rPr>
                <w:sz w:val="16"/>
                <w:szCs w:val="16"/>
              </w:rPr>
              <w:t>am F2017L01491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50</w:t>
            </w:r>
            <w:r w:rsidR="00F00002">
              <w:rPr>
                <w:sz w:val="16"/>
                <w:szCs w:val="16"/>
              </w:rPr>
              <w:noBreakHyphen/>
            </w:r>
            <w:r w:rsidRPr="00F00002">
              <w:rPr>
                <w:sz w:val="16"/>
                <w:szCs w:val="16"/>
              </w:rPr>
              <w:t>55.01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1999 No 78</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rep 2006 No 216</w:t>
            </w:r>
          </w:p>
        </w:tc>
      </w:tr>
      <w:tr w:rsidR="00436FBD" w:rsidRPr="00F00002" w:rsidTr="0081299F">
        <w:trPr>
          <w:cantSplit/>
        </w:trPr>
        <w:tc>
          <w:tcPr>
            <w:tcW w:w="1542" w:type="pct"/>
            <w:shd w:val="clear" w:color="auto" w:fill="auto"/>
          </w:tcPr>
          <w:p w:rsidR="00436FBD" w:rsidRPr="00F00002" w:rsidRDefault="00436FBD" w:rsidP="00DF44F8">
            <w:pPr>
              <w:tabs>
                <w:tab w:val="right" w:leader="dot" w:pos="2881"/>
              </w:tabs>
              <w:rPr>
                <w:rFonts w:cs="Times New Roman"/>
                <w:sz w:val="16"/>
                <w:szCs w:val="16"/>
              </w:rPr>
            </w:pPr>
          </w:p>
        </w:tc>
        <w:tc>
          <w:tcPr>
            <w:tcW w:w="3458" w:type="pct"/>
            <w:shd w:val="clear" w:color="auto" w:fill="auto"/>
          </w:tcPr>
          <w:p w:rsidR="00436FBD" w:rsidRPr="00F00002" w:rsidRDefault="00436FBD" w:rsidP="00FE3C77">
            <w:pPr>
              <w:pStyle w:val="Tabletext"/>
              <w:rPr>
                <w:sz w:val="16"/>
                <w:szCs w:val="16"/>
              </w:rPr>
            </w:pPr>
            <w:r w:rsidRPr="00F00002">
              <w:rPr>
                <w:sz w:val="16"/>
                <w:szCs w:val="16"/>
              </w:rPr>
              <w:t>ad F2019L01167</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50</w:t>
            </w:r>
            <w:r w:rsidR="00F00002">
              <w:rPr>
                <w:sz w:val="16"/>
                <w:szCs w:val="16"/>
              </w:rPr>
              <w:noBreakHyphen/>
            </w:r>
            <w:r w:rsidRPr="00F00002">
              <w:rPr>
                <w:sz w:val="16"/>
                <w:szCs w:val="16"/>
              </w:rPr>
              <w:t>70.01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1999 No 78</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rep 2006 No 216</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51</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DA08C2" w:rsidRPr="00F00002">
              <w:rPr>
                <w:sz w:val="16"/>
                <w:szCs w:val="16"/>
              </w:rPr>
              <w:t>ision</w:t>
            </w:r>
            <w:r w:rsidR="00F00002">
              <w:rPr>
                <w:sz w:val="16"/>
                <w:szCs w:val="16"/>
              </w:rPr>
              <w:t> </w:t>
            </w:r>
            <w:r w:rsidRPr="00F00002">
              <w:rPr>
                <w:sz w:val="16"/>
                <w:szCs w:val="16"/>
              </w:rPr>
              <w:t>51</w:t>
            </w:r>
            <w:r w:rsidR="00DA08C2" w:rsidRPr="00F00002">
              <w:rPr>
                <w:sz w:val="16"/>
                <w:szCs w:val="16"/>
              </w:rPr>
              <w:t xml:space="preserve"> heading</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51</w:t>
            </w:r>
            <w:r w:rsidR="00F00002">
              <w:rPr>
                <w:sz w:val="16"/>
                <w:szCs w:val="16"/>
              </w:rPr>
              <w:noBreakHyphen/>
            </w:r>
            <w:r w:rsidRPr="00F00002">
              <w:rPr>
                <w:sz w:val="16"/>
                <w:szCs w:val="16"/>
              </w:rPr>
              <w:t>5.01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rs 2004 No 278; 2006 No 368</w:t>
            </w:r>
          </w:p>
        </w:tc>
      </w:tr>
      <w:tr w:rsidR="00D57D83" w:rsidRPr="00F00002" w:rsidTr="0081299F">
        <w:trPr>
          <w:cantSplit/>
        </w:trPr>
        <w:tc>
          <w:tcPr>
            <w:tcW w:w="1542" w:type="pct"/>
            <w:shd w:val="clear" w:color="auto" w:fill="auto"/>
          </w:tcPr>
          <w:p w:rsidR="00D57D83" w:rsidRPr="00F00002" w:rsidRDefault="00D57D83" w:rsidP="00FE3C77">
            <w:pPr>
              <w:pStyle w:val="Tabletext"/>
              <w:tabs>
                <w:tab w:val="center" w:leader="dot" w:pos="2268"/>
              </w:tabs>
              <w:rPr>
                <w:sz w:val="16"/>
                <w:szCs w:val="16"/>
              </w:rPr>
            </w:pPr>
          </w:p>
        </w:tc>
        <w:tc>
          <w:tcPr>
            <w:tcW w:w="3458" w:type="pct"/>
            <w:shd w:val="clear" w:color="auto" w:fill="auto"/>
          </w:tcPr>
          <w:p w:rsidR="00D57D83" w:rsidRPr="00F00002" w:rsidRDefault="00D57D83" w:rsidP="00FE3C77">
            <w:pPr>
              <w:pStyle w:val="Tabletext"/>
              <w:rPr>
                <w:sz w:val="16"/>
                <w:szCs w:val="16"/>
              </w:rPr>
            </w:pPr>
            <w:r w:rsidRPr="00F00002">
              <w:rPr>
                <w:sz w:val="16"/>
                <w:szCs w:val="16"/>
              </w:rPr>
              <w:t>am F2016L00170</w:t>
            </w:r>
          </w:p>
        </w:tc>
      </w:tr>
      <w:tr w:rsidR="0072217E" w:rsidRPr="00F00002" w:rsidTr="0081299F">
        <w:trPr>
          <w:cantSplit/>
        </w:trPr>
        <w:tc>
          <w:tcPr>
            <w:tcW w:w="1542" w:type="pct"/>
            <w:shd w:val="clear" w:color="auto" w:fill="auto"/>
          </w:tcPr>
          <w:p w:rsidR="0072217E" w:rsidRPr="00F00002" w:rsidRDefault="0072217E" w:rsidP="00FE3C77">
            <w:pPr>
              <w:pStyle w:val="Tabletext"/>
              <w:tabs>
                <w:tab w:val="center" w:leader="dot" w:pos="2268"/>
              </w:tabs>
              <w:rPr>
                <w:sz w:val="16"/>
                <w:szCs w:val="16"/>
              </w:rPr>
            </w:pPr>
          </w:p>
        </w:tc>
        <w:tc>
          <w:tcPr>
            <w:tcW w:w="3458" w:type="pct"/>
            <w:shd w:val="clear" w:color="auto" w:fill="auto"/>
          </w:tcPr>
          <w:p w:rsidR="0072217E" w:rsidRPr="00F00002" w:rsidRDefault="0072217E" w:rsidP="00FE3C77">
            <w:pPr>
              <w:pStyle w:val="Tabletext"/>
              <w:rPr>
                <w:sz w:val="16"/>
                <w:szCs w:val="16"/>
              </w:rPr>
            </w:pPr>
            <w:r w:rsidRPr="00F00002">
              <w:rPr>
                <w:sz w:val="16"/>
                <w:szCs w:val="16"/>
              </w:rPr>
              <w:t>rs F2019L01641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lastRenderedPageBreak/>
              <w:t>r 51</w:t>
            </w:r>
            <w:r w:rsidR="00F00002">
              <w:rPr>
                <w:sz w:val="16"/>
                <w:szCs w:val="16"/>
              </w:rPr>
              <w:noBreakHyphen/>
            </w:r>
            <w:r w:rsidRPr="00F00002">
              <w:rPr>
                <w:sz w:val="16"/>
                <w:szCs w:val="16"/>
              </w:rPr>
              <w:t>42.01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2008 No 145</w:t>
            </w:r>
          </w:p>
        </w:tc>
      </w:tr>
      <w:tr w:rsidR="00923707" w:rsidRPr="00F00002" w:rsidTr="0081299F">
        <w:trPr>
          <w:cantSplit/>
        </w:trPr>
        <w:tc>
          <w:tcPr>
            <w:tcW w:w="1542" w:type="pct"/>
            <w:shd w:val="clear" w:color="auto" w:fill="auto"/>
          </w:tcPr>
          <w:p w:rsidR="00923707" w:rsidRPr="00F00002" w:rsidRDefault="00923707" w:rsidP="00174F85">
            <w:pPr>
              <w:pStyle w:val="Tabletext"/>
              <w:keepNext/>
              <w:keepLines/>
              <w:rPr>
                <w:sz w:val="16"/>
                <w:szCs w:val="16"/>
              </w:rPr>
            </w:pPr>
            <w:r w:rsidRPr="00F00002">
              <w:rPr>
                <w:b/>
                <w:sz w:val="16"/>
                <w:szCs w:val="16"/>
              </w:rPr>
              <w:t>Division</w:t>
            </w:r>
            <w:r w:rsidR="00F00002">
              <w:rPr>
                <w:b/>
                <w:sz w:val="16"/>
                <w:szCs w:val="16"/>
              </w:rPr>
              <w:t> </w:t>
            </w:r>
            <w:r w:rsidRPr="00F00002">
              <w:rPr>
                <w:b/>
                <w:sz w:val="16"/>
                <w:szCs w:val="16"/>
              </w:rPr>
              <w:t>61</w:t>
            </w:r>
          </w:p>
        </w:tc>
        <w:tc>
          <w:tcPr>
            <w:tcW w:w="3458" w:type="pct"/>
            <w:shd w:val="clear" w:color="auto" w:fill="auto"/>
          </w:tcPr>
          <w:p w:rsidR="00923707" w:rsidRPr="00F00002" w:rsidRDefault="00923707" w:rsidP="00174F85">
            <w:pPr>
              <w:pStyle w:val="Tabletext"/>
              <w:keepNext/>
              <w:keepLines/>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DA08C2" w:rsidRPr="00F00002">
              <w:rPr>
                <w:sz w:val="16"/>
                <w:szCs w:val="16"/>
              </w:rPr>
              <w:t>ision</w:t>
            </w:r>
            <w:r w:rsidR="00F00002">
              <w:rPr>
                <w:sz w:val="16"/>
                <w:szCs w:val="16"/>
              </w:rPr>
              <w:t> </w:t>
            </w:r>
            <w:r w:rsidRPr="00F00002">
              <w:rPr>
                <w:sz w:val="16"/>
                <w:szCs w:val="16"/>
              </w:rPr>
              <w:t>61</w:t>
            </w:r>
            <w:r w:rsidR="00DA08C2" w:rsidRPr="00F00002">
              <w:rPr>
                <w:sz w:val="16"/>
                <w:szCs w:val="16"/>
              </w:rPr>
              <w:t xml:space="preserve"> heading</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No172</w:t>
            </w:r>
            <w:r w:rsidRPr="00F00002">
              <w:rPr>
                <w:sz w:val="16"/>
                <w:szCs w:val="16"/>
              </w:rPr>
              <w:br/>
              <w:t>rs 2008 No 131; No 84, 2013</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DA08C2" w:rsidRPr="00F00002">
              <w:rPr>
                <w:sz w:val="16"/>
                <w:szCs w:val="16"/>
              </w:rPr>
              <w:t>ision</w:t>
            </w:r>
            <w:r w:rsidR="00F00002">
              <w:rPr>
                <w:sz w:val="16"/>
                <w:szCs w:val="16"/>
              </w:rPr>
              <w:t> </w:t>
            </w:r>
            <w:r w:rsidRPr="00F00002">
              <w:rPr>
                <w:sz w:val="16"/>
                <w:szCs w:val="16"/>
              </w:rPr>
              <w:t>61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rs No 84, 2013</w:t>
            </w:r>
          </w:p>
        </w:tc>
      </w:tr>
      <w:tr w:rsidR="00923707" w:rsidRPr="00F00002" w:rsidTr="0081299F">
        <w:trPr>
          <w:cantSplit/>
        </w:trPr>
        <w:tc>
          <w:tcPr>
            <w:tcW w:w="1542" w:type="pct"/>
            <w:shd w:val="clear" w:color="auto" w:fill="auto"/>
          </w:tcPr>
          <w:p w:rsidR="00923707" w:rsidRPr="00F00002" w:rsidRDefault="00923707" w:rsidP="00D56C91">
            <w:pPr>
              <w:pStyle w:val="Tabletext"/>
              <w:keepNext/>
              <w:tabs>
                <w:tab w:val="center" w:leader="dot" w:pos="2268"/>
              </w:tabs>
              <w:rPr>
                <w:sz w:val="16"/>
                <w:szCs w:val="16"/>
              </w:rPr>
            </w:pPr>
            <w:r w:rsidRPr="00F00002">
              <w:rPr>
                <w:b/>
                <w:sz w:val="16"/>
                <w:szCs w:val="16"/>
              </w:rPr>
              <w:t>Subdivision</w:t>
            </w:r>
            <w:r w:rsidR="00F00002">
              <w:rPr>
                <w:b/>
                <w:sz w:val="16"/>
                <w:szCs w:val="16"/>
              </w:rPr>
              <w:t> </w:t>
            </w:r>
            <w:r w:rsidRPr="00F00002">
              <w:rPr>
                <w:b/>
                <w:sz w:val="16"/>
                <w:szCs w:val="16"/>
              </w:rPr>
              <w:t>61</w:t>
            </w:r>
            <w:r w:rsidR="00F00002">
              <w:rPr>
                <w:b/>
                <w:sz w:val="16"/>
                <w:szCs w:val="16"/>
              </w:rPr>
              <w:noBreakHyphen/>
            </w:r>
            <w:r w:rsidRPr="00F00002">
              <w:rPr>
                <w:b/>
                <w:sz w:val="16"/>
                <w:szCs w:val="16"/>
              </w:rPr>
              <w:t>G</w:t>
            </w:r>
          </w:p>
        </w:tc>
        <w:tc>
          <w:tcPr>
            <w:tcW w:w="3458" w:type="pct"/>
            <w:shd w:val="clear" w:color="auto" w:fill="auto"/>
          </w:tcPr>
          <w:p w:rsidR="00923707" w:rsidRPr="00F00002" w:rsidRDefault="00923707" w:rsidP="00B465F1">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61</w:t>
            </w:r>
            <w:r w:rsidR="00F00002">
              <w:rPr>
                <w:sz w:val="16"/>
                <w:szCs w:val="16"/>
              </w:rPr>
              <w:noBreakHyphen/>
            </w:r>
            <w:r w:rsidRPr="00F00002">
              <w:rPr>
                <w:sz w:val="16"/>
                <w:szCs w:val="16"/>
              </w:rPr>
              <w:t>220.01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2008 No 131</w:t>
            </w:r>
          </w:p>
        </w:tc>
      </w:tr>
      <w:tr w:rsidR="00923707" w:rsidRPr="00F00002" w:rsidTr="0081299F">
        <w:trPr>
          <w:cantSplit/>
        </w:trPr>
        <w:tc>
          <w:tcPr>
            <w:tcW w:w="1542" w:type="pct"/>
            <w:shd w:val="clear" w:color="auto" w:fill="auto"/>
          </w:tcPr>
          <w:p w:rsidR="00923707" w:rsidRPr="00F00002" w:rsidRDefault="00923707" w:rsidP="00DF44F8">
            <w:pPr>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am 2011 No 120</w:t>
            </w:r>
          </w:p>
        </w:tc>
      </w:tr>
      <w:tr w:rsidR="00923707" w:rsidRPr="00F00002" w:rsidTr="0081299F">
        <w:trPr>
          <w:cantSplit/>
        </w:trPr>
        <w:tc>
          <w:tcPr>
            <w:tcW w:w="1542" w:type="pct"/>
            <w:shd w:val="clear" w:color="auto" w:fill="auto"/>
          </w:tcPr>
          <w:p w:rsidR="00923707" w:rsidRPr="00F00002" w:rsidRDefault="00923707" w:rsidP="00DF44F8">
            <w:pPr>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rs No 84, 2013</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61</w:t>
            </w:r>
            <w:r w:rsidR="00F00002">
              <w:rPr>
                <w:sz w:val="16"/>
                <w:szCs w:val="16"/>
              </w:rPr>
              <w:noBreakHyphen/>
            </w:r>
            <w:r w:rsidRPr="00F00002">
              <w:rPr>
                <w:sz w:val="16"/>
                <w:szCs w:val="16"/>
              </w:rPr>
              <w:t>220.02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No 84, 2013</w:t>
            </w:r>
          </w:p>
        </w:tc>
      </w:tr>
      <w:tr w:rsidR="004940EE" w:rsidRPr="00F00002" w:rsidTr="0081299F">
        <w:trPr>
          <w:cantSplit/>
        </w:trPr>
        <w:tc>
          <w:tcPr>
            <w:tcW w:w="1542" w:type="pct"/>
            <w:shd w:val="clear" w:color="auto" w:fill="auto"/>
          </w:tcPr>
          <w:p w:rsidR="004940EE" w:rsidRPr="00F00002" w:rsidRDefault="004940EE" w:rsidP="00FE3C77">
            <w:pPr>
              <w:pStyle w:val="Tabletext"/>
              <w:tabs>
                <w:tab w:val="center" w:leader="dot" w:pos="2268"/>
              </w:tabs>
              <w:rPr>
                <w:sz w:val="16"/>
                <w:szCs w:val="16"/>
              </w:rPr>
            </w:pPr>
          </w:p>
        </w:tc>
        <w:tc>
          <w:tcPr>
            <w:tcW w:w="3458" w:type="pct"/>
            <w:shd w:val="clear" w:color="auto" w:fill="auto"/>
          </w:tcPr>
          <w:p w:rsidR="004940EE" w:rsidRPr="00F00002" w:rsidRDefault="004940EE" w:rsidP="00FE3C77">
            <w:pPr>
              <w:pStyle w:val="Tabletext"/>
              <w:rPr>
                <w:sz w:val="16"/>
                <w:szCs w:val="16"/>
              </w:rPr>
            </w:pPr>
            <w:r w:rsidRPr="00F00002">
              <w:rPr>
                <w:sz w:val="16"/>
                <w:szCs w:val="16"/>
              </w:rPr>
              <w:t>am F2018L01691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61</w:t>
            </w:r>
            <w:r w:rsidR="00F00002">
              <w:rPr>
                <w:sz w:val="16"/>
                <w:szCs w:val="16"/>
              </w:rPr>
              <w:noBreakHyphen/>
            </w:r>
            <w:r w:rsidRPr="00F00002">
              <w:rPr>
                <w:sz w:val="16"/>
                <w:szCs w:val="16"/>
              </w:rPr>
              <w:t>330.01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1999 No 147</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DA08C2">
            <w:pPr>
              <w:pStyle w:val="Tabletext"/>
              <w:rPr>
                <w:sz w:val="16"/>
                <w:szCs w:val="16"/>
              </w:rPr>
            </w:pPr>
            <w:r w:rsidRPr="00F00002">
              <w:rPr>
                <w:sz w:val="16"/>
                <w:szCs w:val="16"/>
              </w:rPr>
              <w:t>am 2001 No 321; 2005 No 207; 2006 No 60</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rep 2008 No 131</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70</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243A77" w:rsidRPr="00F00002">
              <w:rPr>
                <w:sz w:val="16"/>
                <w:szCs w:val="16"/>
              </w:rPr>
              <w:t>ision</w:t>
            </w:r>
            <w:r w:rsidR="00F00002">
              <w:rPr>
                <w:sz w:val="16"/>
                <w:szCs w:val="16"/>
              </w:rPr>
              <w:t> </w:t>
            </w:r>
            <w:r w:rsidRPr="00F00002">
              <w:rPr>
                <w:sz w:val="16"/>
                <w:szCs w:val="16"/>
              </w:rPr>
              <w:t>70</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2002 No 172</w:t>
            </w:r>
          </w:p>
        </w:tc>
      </w:tr>
      <w:tr w:rsidR="00466E95" w:rsidRPr="00F00002" w:rsidTr="0081299F">
        <w:trPr>
          <w:cantSplit/>
        </w:trPr>
        <w:tc>
          <w:tcPr>
            <w:tcW w:w="1542" w:type="pct"/>
            <w:shd w:val="clear" w:color="auto" w:fill="auto"/>
          </w:tcPr>
          <w:p w:rsidR="00466E95" w:rsidRPr="00F00002" w:rsidRDefault="00B2081F" w:rsidP="00B2081F">
            <w:pPr>
              <w:pStyle w:val="Tabletext"/>
              <w:tabs>
                <w:tab w:val="center" w:leader="dot" w:pos="2268"/>
              </w:tabs>
              <w:rPr>
                <w:sz w:val="16"/>
                <w:szCs w:val="16"/>
              </w:rPr>
            </w:pPr>
            <w:r w:rsidRPr="00F00002">
              <w:rPr>
                <w:sz w:val="16"/>
                <w:szCs w:val="16"/>
              </w:rPr>
              <w:t>r 70</w:t>
            </w:r>
            <w:r w:rsidR="00F00002">
              <w:rPr>
                <w:sz w:val="16"/>
                <w:szCs w:val="16"/>
              </w:rPr>
              <w:noBreakHyphen/>
            </w:r>
            <w:r w:rsidRPr="00F00002">
              <w:rPr>
                <w:sz w:val="16"/>
                <w:szCs w:val="16"/>
              </w:rPr>
              <w:t>55.01</w:t>
            </w:r>
            <w:r w:rsidRPr="00F00002">
              <w:rPr>
                <w:sz w:val="16"/>
                <w:szCs w:val="16"/>
              </w:rPr>
              <w:tab/>
            </w:r>
          </w:p>
        </w:tc>
        <w:tc>
          <w:tcPr>
            <w:tcW w:w="3458" w:type="pct"/>
            <w:shd w:val="clear" w:color="auto" w:fill="auto"/>
          </w:tcPr>
          <w:p w:rsidR="00466E95" w:rsidRPr="00F00002" w:rsidRDefault="00466E95" w:rsidP="00FE3C77">
            <w:pPr>
              <w:pStyle w:val="Tabletext"/>
              <w:rPr>
                <w:sz w:val="16"/>
                <w:szCs w:val="16"/>
              </w:rPr>
            </w:pPr>
            <w:r w:rsidRPr="00F00002">
              <w:rPr>
                <w:sz w:val="16"/>
                <w:szCs w:val="16"/>
              </w:rPr>
              <w:t>am No 156, 2015</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83A</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B73E36" w:rsidRPr="00F00002">
              <w:rPr>
                <w:sz w:val="16"/>
                <w:szCs w:val="16"/>
              </w:rPr>
              <w:t>ision</w:t>
            </w:r>
            <w:r w:rsidR="00F00002">
              <w:rPr>
                <w:sz w:val="16"/>
                <w:szCs w:val="16"/>
              </w:rPr>
              <w:t> </w:t>
            </w:r>
            <w:r w:rsidRPr="00F00002">
              <w:rPr>
                <w:sz w:val="16"/>
                <w:szCs w:val="16"/>
              </w:rPr>
              <w:t>83A</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5.01</w:t>
            </w:r>
            <w:r w:rsidRPr="00F00002">
              <w:rPr>
                <w:sz w:val="16"/>
                <w:szCs w:val="16"/>
              </w:rPr>
              <w:tab/>
            </w:r>
          </w:p>
        </w:tc>
        <w:tc>
          <w:tcPr>
            <w:tcW w:w="3458" w:type="pct"/>
            <w:shd w:val="clear" w:color="auto" w:fill="auto"/>
          </w:tcPr>
          <w:p w:rsidR="00923707" w:rsidRPr="00F00002" w:rsidRDefault="00923707" w:rsidP="00B73E36">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027ED7" w:rsidRPr="00F00002" w:rsidTr="0081299F">
        <w:trPr>
          <w:cantSplit/>
        </w:trPr>
        <w:tc>
          <w:tcPr>
            <w:tcW w:w="1542" w:type="pct"/>
            <w:shd w:val="clear" w:color="auto" w:fill="auto"/>
          </w:tcPr>
          <w:p w:rsidR="00027ED7" w:rsidRPr="00F00002" w:rsidRDefault="00027ED7" w:rsidP="00FE3C77">
            <w:pPr>
              <w:pStyle w:val="Tabletext"/>
              <w:tabs>
                <w:tab w:val="center" w:leader="dot" w:pos="2268"/>
              </w:tabs>
              <w:rPr>
                <w:sz w:val="16"/>
                <w:szCs w:val="16"/>
              </w:rPr>
            </w:pPr>
          </w:p>
        </w:tc>
        <w:tc>
          <w:tcPr>
            <w:tcW w:w="3458" w:type="pct"/>
            <w:shd w:val="clear" w:color="auto" w:fill="auto"/>
          </w:tcPr>
          <w:p w:rsidR="00027ED7" w:rsidRPr="00F00002" w:rsidRDefault="00027ED7" w:rsidP="00FE3C77">
            <w:pPr>
              <w:pStyle w:val="Tabletext"/>
              <w:rPr>
                <w:sz w:val="16"/>
                <w:szCs w:val="16"/>
              </w:rPr>
            </w:pPr>
            <w:r w:rsidRPr="00F00002">
              <w:rPr>
                <w:sz w:val="16"/>
                <w:szCs w:val="16"/>
              </w:rPr>
              <w:t xml:space="preserve">am </w:t>
            </w:r>
            <w:r w:rsidR="00CE262B" w:rsidRPr="00F00002">
              <w:rPr>
                <w:sz w:val="16"/>
                <w:szCs w:val="16"/>
              </w:rPr>
              <w:t xml:space="preserve">No </w:t>
            </w:r>
            <w:r w:rsidRPr="00F00002">
              <w:rPr>
                <w:sz w:val="16"/>
                <w:szCs w:val="16"/>
              </w:rPr>
              <w:t>63, 2015</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315.03</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315.04</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315.05</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315.06</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315.07</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315.08</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027ED7" w:rsidRPr="00F00002" w:rsidTr="0081299F">
        <w:trPr>
          <w:cantSplit/>
        </w:trPr>
        <w:tc>
          <w:tcPr>
            <w:tcW w:w="1542" w:type="pct"/>
            <w:shd w:val="clear" w:color="auto" w:fill="auto"/>
          </w:tcPr>
          <w:p w:rsidR="00027ED7" w:rsidRPr="00F00002" w:rsidRDefault="00027ED7" w:rsidP="00FE3C77">
            <w:pPr>
              <w:pStyle w:val="Tabletext"/>
              <w:tabs>
                <w:tab w:val="center" w:leader="dot" w:pos="2268"/>
              </w:tabs>
              <w:rPr>
                <w:sz w:val="16"/>
                <w:szCs w:val="16"/>
              </w:rPr>
            </w:pPr>
          </w:p>
        </w:tc>
        <w:tc>
          <w:tcPr>
            <w:tcW w:w="3458" w:type="pct"/>
            <w:shd w:val="clear" w:color="auto" w:fill="auto"/>
          </w:tcPr>
          <w:p w:rsidR="00027ED7" w:rsidRPr="00F00002" w:rsidRDefault="00027ED7" w:rsidP="00FE3C77">
            <w:pPr>
              <w:pStyle w:val="Tabletext"/>
              <w:rPr>
                <w:sz w:val="16"/>
                <w:szCs w:val="16"/>
              </w:rPr>
            </w:pPr>
            <w:r w:rsidRPr="00F00002">
              <w:rPr>
                <w:sz w:val="16"/>
                <w:szCs w:val="16"/>
              </w:rPr>
              <w:t xml:space="preserve">am </w:t>
            </w:r>
            <w:r w:rsidR="00CE262B" w:rsidRPr="00F00002">
              <w:rPr>
                <w:sz w:val="16"/>
                <w:szCs w:val="16"/>
              </w:rPr>
              <w:t xml:space="preserve">No </w:t>
            </w:r>
            <w:r w:rsidRPr="00F00002">
              <w:rPr>
                <w:sz w:val="16"/>
                <w:szCs w:val="16"/>
              </w:rPr>
              <w:t>63, 2015</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83A</w:t>
            </w:r>
            <w:r w:rsidR="00F00002">
              <w:rPr>
                <w:sz w:val="16"/>
                <w:szCs w:val="16"/>
              </w:rPr>
              <w:noBreakHyphen/>
            </w:r>
            <w:r w:rsidRPr="00F00002">
              <w:rPr>
                <w:sz w:val="16"/>
                <w:szCs w:val="16"/>
              </w:rPr>
              <w:t>315.09</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2010 No 8</w:t>
            </w:r>
          </w:p>
        </w:tc>
      </w:tr>
      <w:tr w:rsidR="005441F0" w:rsidRPr="00F00002" w:rsidTr="0081299F">
        <w:trPr>
          <w:cantSplit/>
        </w:trPr>
        <w:tc>
          <w:tcPr>
            <w:tcW w:w="1542" w:type="pct"/>
            <w:shd w:val="clear" w:color="auto" w:fill="auto"/>
          </w:tcPr>
          <w:p w:rsidR="005441F0" w:rsidRPr="00F00002" w:rsidRDefault="005441F0" w:rsidP="00FE3C77">
            <w:pPr>
              <w:pStyle w:val="Tabletext"/>
              <w:tabs>
                <w:tab w:val="center" w:leader="dot" w:pos="2268"/>
              </w:tabs>
              <w:rPr>
                <w:sz w:val="16"/>
                <w:szCs w:val="16"/>
              </w:rPr>
            </w:pPr>
          </w:p>
        </w:tc>
        <w:tc>
          <w:tcPr>
            <w:tcW w:w="3458" w:type="pct"/>
            <w:shd w:val="clear" w:color="auto" w:fill="auto"/>
          </w:tcPr>
          <w:p w:rsidR="005441F0" w:rsidRPr="00F00002" w:rsidRDefault="005441F0" w:rsidP="00FE3C77">
            <w:pPr>
              <w:pStyle w:val="Tabletext"/>
              <w:rPr>
                <w:sz w:val="16"/>
                <w:szCs w:val="16"/>
              </w:rPr>
            </w:pPr>
            <w:r w:rsidRPr="00F00002">
              <w:rPr>
                <w:sz w:val="16"/>
                <w:szCs w:val="16"/>
              </w:rPr>
              <w:t xml:space="preserve">am </w:t>
            </w:r>
            <w:r w:rsidR="00CE262B" w:rsidRPr="00F00002">
              <w:rPr>
                <w:sz w:val="16"/>
                <w:szCs w:val="16"/>
              </w:rPr>
              <w:t xml:space="preserve">No </w:t>
            </w:r>
            <w:r w:rsidRPr="00F00002">
              <w:rPr>
                <w:sz w:val="16"/>
                <w:szCs w:val="16"/>
              </w:rPr>
              <w:t>63, 2015</w:t>
            </w:r>
          </w:p>
        </w:tc>
      </w:tr>
      <w:tr w:rsidR="00923707" w:rsidRPr="00F00002" w:rsidTr="0081299F">
        <w:trPr>
          <w:cantSplit/>
        </w:trPr>
        <w:tc>
          <w:tcPr>
            <w:tcW w:w="1542" w:type="pct"/>
            <w:shd w:val="clear" w:color="auto" w:fill="auto"/>
          </w:tcPr>
          <w:p w:rsidR="00923707" w:rsidRPr="00F00002" w:rsidRDefault="00923707" w:rsidP="00F23EA4">
            <w:pPr>
              <w:pStyle w:val="Tabletext"/>
              <w:keepNext/>
              <w:keepLines/>
              <w:rPr>
                <w:sz w:val="16"/>
                <w:szCs w:val="16"/>
              </w:rPr>
            </w:pPr>
            <w:r w:rsidRPr="00F00002">
              <w:rPr>
                <w:b/>
                <w:sz w:val="16"/>
                <w:szCs w:val="16"/>
              </w:rPr>
              <w:t>Part</w:t>
            </w:r>
            <w:r w:rsidR="00F00002">
              <w:rPr>
                <w:b/>
                <w:sz w:val="16"/>
                <w:szCs w:val="16"/>
              </w:rPr>
              <w:t> </w:t>
            </w:r>
            <w:r w:rsidRPr="00F00002">
              <w:rPr>
                <w:b/>
                <w:sz w:val="16"/>
                <w:szCs w:val="16"/>
              </w:rPr>
              <w:t>2A</w:t>
            </w:r>
          </w:p>
        </w:tc>
        <w:tc>
          <w:tcPr>
            <w:tcW w:w="3458" w:type="pct"/>
            <w:shd w:val="clear" w:color="auto" w:fill="auto"/>
          </w:tcPr>
          <w:p w:rsidR="00923707" w:rsidRPr="00F00002" w:rsidRDefault="00923707" w:rsidP="00F23EA4">
            <w:pPr>
              <w:pStyle w:val="Tabletext"/>
              <w:keepNext/>
              <w:keepLines/>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2A</w:t>
            </w:r>
            <w:r w:rsidR="00B73E36" w:rsidRPr="00F00002">
              <w:rPr>
                <w:sz w:val="16"/>
                <w:szCs w:val="16"/>
              </w:rPr>
              <w:t xml:space="preserve"> heading</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2011 No 80</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230</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B73E36" w:rsidRPr="00F00002">
              <w:rPr>
                <w:sz w:val="16"/>
                <w:szCs w:val="16"/>
              </w:rPr>
              <w:t>ision</w:t>
            </w:r>
            <w:r w:rsidR="00F00002">
              <w:rPr>
                <w:sz w:val="16"/>
                <w:szCs w:val="16"/>
              </w:rPr>
              <w:t> </w:t>
            </w:r>
            <w:r w:rsidRPr="00F00002">
              <w:rPr>
                <w:sz w:val="16"/>
                <w:szCs w:val="16"/>
              </w:rPr>
              <w:t>230</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2011 No 80</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230</w:t>
            </w:r>
            <w:r w:rsidR="00F00002">
              <w:rPr>
                <w:sz w:val="16"/>
                <w:szCs w:val="16"/>
              </w:rPr>
              <w:noBreakHyphen/>
            </w:r>
            <w:r w:rsidRPr="00F00002">
              <w:rPr>
                <w:sz w:val="16"/>
                <w:szCs w:val="16"/>
              </w:rPr>
              <w:t>355.01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2011 No 80</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Division</w:t>
            </w:r>
            <w:r w:rsidR="00F00002">
              <w:rPr>
                <w:b/>
                <w:sz w:val="16"/>
                <w:szCs w:val="16"/>
              </w:rPr>
              <w:t> </w:t>
            </w:r>
            <w:r w:rsidRPr="00F00002">
              <w:rPr>
                <w:b/>
                <w:sz w:val="16"/>
                <w:szCs w:val="16"/>
              </w:rPr>
              <w:t>290</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lastRenderedPageBreak/>
              <w:t>Div</w:t>
            </w:r>
            <w:r w:rsidR="00B73E36" w:rsidRPr="00F00002">
              <w:rPr>
                <w:sz w:val="16"/>
                <w:szCs w:val="16"/>
              </w:rPr>
              <w:t>ision</w:t>
            </w:r>
            <w:r w:rsidR="00F00002">
              <w:rPr>
                <w:sz w:val="16"/>
                <w:szCs w:val="16"/>
              </w:rPr>
              <w:t> </w:t>
            </w:r>
            <w:r w:rsidRPr="00F00002">
              <w:rPr>
                <w:sz w:val="16"/>
                <w:szCs w:val="16"/>
              </w:rPr>
              <w:t>290</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90</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290</w:t>
            </w:r>
            <w:r w:rsidR="00F00002">
              <w:rPr>
                <w:b/>
                <w:sz w:val="16"/>
                <w:szCs w:val="16"/>
              </w:rPr>
              <w:noBreakHyphen/>
            </w:r>
            <w:r w:rsidRPr="00F00002">
              <w:rPr>
                <w:b/>
                <w:sz w:val="16"/>
                <w:szCs w:val="16"/>
              </w:rPr>
              <w:t>C</w:t>
            </w:r>
          </w:p>
        </w:tc>
        <w:tc>
          <w:tcPr>
            <w:tcW w:w="3458" w:type="pct"/>
            <w:shd w:val="clear" w:color="auto" w:fill="auto"/>
          </w:tcPr>
          <w:p w:rsidR="00923707" w:rsidRPr="00F00002" w:rsidRDefault="00923707" w:rsidP="00D150ED">
            <w:pPr>
              <w:pStyle w:val="Tabletext"/>
              <w:rPr>
                <w:sz w:val="16"/>
                <w:szCs w:val="16"/>
              </w:rPr>
            </w:pPr>
          </w:p>
        </w:tc>
      </w:tr>
      <w:tr w:rsidR="00401418" w:rsidRPr="00F00002" w:rsidTr="0081299F">
        <w:trPr>
          <w:cantSplit/>
        </w:trPr>
        <w:tc>
          <w:tcPr>
            <w:tcW w:w="1542" w:type="pct"/>
            <w:shd w:val="clear" w:color="auto" w:fill="auto"/>
          </w:tcPr>
          <w:p w:rsidR="00401418" w:rsidRPr="00F00002" w:rsidRDefault="00401418" w:rsidP="00E41FD1">
            <w:pPr>
              <w:pStyle w:val="Tabletext"/>
              <w:tabs>
                <w:tab w:val="center" w:leader="dot" w:pos="2268"/>
              </w:tabs>
              <w:rPr>
                <w:sz w:val="16"/>
                <w:szCs w:val="16"/>
              </w:rPr>
            </w:pPr>
            <w:r w:rsidRPr="00F00002">
              <w:rPr>
                <w:sz w:val="16"/>
                <w:szCs w:val="16"/>
              </w:rPr>
              <w:t>r 290</w:t>
            </w:r>
            <w:r w:rsidR="00F00002">
              <w:rPr>
                <w:sz w:val="16"/>
                <w:szCs w:val="16"/>
              </w:rPr>
              <w:noBreakHyphen/>
            </w:r>
            <w:r w:rsidRPr="00F00002">
              <w:rPr>
                <w:sz w:val="16"/>
                <w:szCs w:val="16"/>
              </w:rPr>
              <w:t>155.01</w:t>
            </w:r>
            <w:r w:rsidRPr="00F00002">
              <w:rPr>
                <w:sz w:val="16"/>
                <w:szCs w:val="16"/>
              </w:rPr>
              <w:tab/>
            </w:r>
          </w:p>
        </w:tc>
        <w:tc>
          <w:tcPr>
            <w:tcW w:w="3458" w:type="pct"/>
            <w:shd w:val="clear" w:color="auto" w:fill="auto"/>
          </w:tcPr>
          <w:p w:rsidR="00401418" w:rsidRPr="00F00002" w:rsidRDefault="00401418" w:rsidP="00D150ED">
            <w:pPr>
              <w:pStyle w:val="Tabletext"/>
              <w:rPr>
                <w:sz w:val="16"/>
                <w:szCs w:val="16"/>
              </w:rPr>
            </w:pPr>
            <w:r w:rsidRPr="00F00002">
              <w:rPr>
                <w:sz w:val="16"/>
                <w:szCs w:val="16"/>
              </w:rPr>
              <w:t>ad F2017L00321</w:t>
            </w:r>
          </w:p>
        </w:tc>
      </w:tr>
      <w:tr w:rsidR="00401418" w:rsidRPr="00F00002" w:rsidTr="0081299F">
        <w:trPr>
          <w:cantSplit/>
        </w:trPr>
        <w:tc>
          <w:tcPr>
            <w:tcW w:w="1542" w:type="pct"/>
            <w:shd w:val="clear" w:color="auto" w:fill="auto"/>
          </w:tcPr>
          <w:p w:rsidR="00401418" w:rsidRPr="00F00002" w:rsidRDefault="00401418" w:rsidP="00E41FD1">
            <w:pPr>
              <w:pStyle w:val="Tabletext"/>
              <w:tabs>
                <w:tab w:val="center" w:leader="dot" w:pos="2268"/>
              </w:tabs>
              <w:rPr>
                <w:sz w:val="16"/>
                <w:szCs w:val="16"/>
              </w:rPr>
            </w:pPr>
            <w:r w:rsidRPr="00F00002">
              <w:rPr>
                <w:sz w:val="16"/>
                <w:szCs w:val="16"/>
              </w:rPr>
              <w:t>r 290</w:t>
            </w:r>
            <w:r w:rsidR="00F00002">
              <w:rPr>
                <w:sz w:val="16"/>
                <w:szCs w:val="16"/>
              </w:rPr>
              <w:noBreakHyphen/>
            </w:r>
            <w:r w:rsidRPr="00F00002">
              <w:rPr>
                <w:sz w:val="16"/>
                <w:szCs w:val="16"/>
              </w:rPr>
              <w:t>155.05</w:t>
            </w:r>
            <w:r w:rsidRPr="00F00002">
              <w:rPr>
                <w:sz w:val="16"/>
                <w:szCs w:val="16"/>
              </w:rPr>
              <w:tab/>
            </w:r>
          </w:p>
        </w:tc>
        <w:tc>
          <w:tcPr>
            <w:tcW w:w="3458" w:type="pct"/>
            <w:shd w:val="clear" w:color="auto" w:fill="auto"/>
          </w:tcPr>
          <w:p w:rsidR="00401418" w:rsidRPr="00F00002" w:rsidRDefault="00401418" w:rsidP="00D150ED">
            <w:pPr>
              <w:pStyle w:val="Tabletext"/>
              <w:rPr>
                <w:sz w:val="16"/>
                <w:szCs w:val="16"/>
              </w:rPr>
            </w:pPr>
            <w:r w:rsidRPr="00F00002">
              <w:rPr>
                <w:sz w:val="16"/>
                <w:szCs w:val="16"/>
              </w:rPr>
              <w:t>ad F2017L00321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290</w:t>
            </w:r>
            <w:r w:rsidR="00F00002">
              <w:rPr>
                <w:sz w:val="16"/>
                <w:szCs w:val="16"/>
              </w:rPr>
              <w:noBreakHyphen/>
            </w:r>
            <w:r w:rsidRPr="00F00002">
              <w:rPr>
                <w:sz w:val="16"/>
                <w:szCs w:val="16"/>
              </w:rPr>
              <w:t>170.01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90</w:t>
            </w:r>
          </w:p>
        </w:tc>
      </w:tr>
      <w:tr w:rsidR="00923707" w:rsidRPr="00F00002" w:rsidTr="0081299F">
        <w:trPr>
          <w:cantSplit/>
        </w:trPr>
        <w:tc>
          <w:tcPr>
            <w:tcW w:w="1542" w:type="pct"/>
            <w:shd w:val="clear" w:color="auto" w:fill="auto"/>
          </w:tcPr>
          <w:p w:rsidR="00923707" w:rsidRPr="00F00002" w:rsidRDefault="00923707" w:rsidP="00D56C91">
            <w:pPr>
              <w:pStyle w:val="Tabletext"/>
              <w:keepNext/>
              <w:rPr>
                <w:sz w:val="16"/>
                <w:szCs w:val="16"/>
              </w:rPr>
            </w:pPr>
            <w:r w:rsidRPr="00F00002">
              <w:rPr>
                <w:b/>
                <w:sz w:val="16"/>
                <w:szCs w:val="16"/>
              </w:rPr>
              <w:t>Division</w:t>
            </w:r>
            <w:r w:rsidR="00F00002">
              <w:rPr>
                <w:b/>
                <w:sz w:val="16"/>
                <w:szCs w:val="16"/>
              </w:rPr>
              <w:t> </w:t>
            </w:r>
            <w:r w:rsidRPr="00F00002">
              <w:rPr>
                <w:b/>
                <w:sz w:val="16"/>
                <w:szCs w:val="16"/>
              </w:rPr>
              <w:t>29</w:t>
            </w:r>
            <w:r w:rsidR="00BF7E1A" w:rsidRPr="00F00002">
              <w:rPr>
                <w:b/>
                <w:sz w:val="16"/>
                <w:szCs w:val="16"/>
              </w:rPr>
              <w:t>1</w:t>
            </w:r>
          </w:p>
        </w:tc>
        <w:tc>
          <w:tcPr>
            <w:tcW w:w="3458" w:type="pct"/>
            <w:shd w:val="clear" w:color="auto" w:fill="auto"/>
          </w:tcPr>
          <w:p w:rsidR="00923707" w:rsidRPr="00F00002" w:rsidRDefault="00923707" w:rsidP="00D150ED">
            <w:pPr>
              <w:pStyle w:val="Tabletext"/>
              <w:rPr>
                <w:sz w:val="16"/>
                <w:szCs w:val="16"/>
              </w:rPr>
            </w:pPr>
          </w:p>
        </w:tc>
      </w:tr>
      <w:tr w:rsidR="00A40F1F" w:rsidRPr="00F00002" w:rsidTr="0081299F">
        <w:trPr>
          <w:cantSplit/>
        </w:trPr>
        <w:tc>
          <w:tcPr>
            <w:tcW w:w="1542" w:type="pct"/>
            <w:shd w:val="clear" w:color="auto" w:fill="auto"/>
          </w:tcPr>
          <w:p w:rsidR="00A40F1F" w:rsidRPr="00F00002" w:rsidRDefault="00A40F1F" w:rsidP="00E41FD1">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291 heading (prev Division</w:t>
            </w:r>
            <w:r w:rsidR="00F00002">
              <w:rPr>
                <w:sz w:val="16"/>
                <w:szCs w:val="16"/>
              </w:rPr>
              <w:t> </w:t>
            </w:r>
            <w:r w:rsidRPr="00F00002">
              <w:rPr>
                <w:sz w:val="16"/>
                <w:szCs w:val="16"/>
              </w:rPr>
              <w:t>292 heading)</w:t>
            </w:r>
          </w:p>
        </w:tc>
        <w:tc>
          <w:tcPr>
            <w:tcW w:w="3458" w:type="pct"/>
            <w:shd w:val="clear" w:color="auto" w:fill="auto"/>
          </w:tcPr>
          <w:p w:rsidR="00A40F1F" w:rsidRPr="00F00002" w:rsidRDefault="00A40F1F" w:rsidP="00D150ED">
            <w:pPr>
              <w:pStyle w:val="Tabletext"/>
              <w:rPr>
                <w:sz w:val="16"/>
                <w:szCs w:val="16"/>
              </w:rPr>
            </w:pPr>
          </w:p>
        </w:tc>
      </w:tr>
      <w:tr w:rsidR="00B50DF9" w:rsidRPr="00F00002" w:rsidTr="0081299F">
        <w:trPr>
          <w:cantSplit/>
        </w:trPr>
        <w:tc>
          <w:tcPr>
            <w:tcW w:w="1542" w:type="pct"/>
            <w:shd w:val="clear" w:color="auto" w:fill="auto"/>
          </w:tcPr>
          <w:p w:rsidR="00B50DF9" w:rsidRPr="00F00002" w:rsidRDefault="00B50DF9" w:rsidP="00E41FD1">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292 heading</w:t>
            </w:r>
            <w:r w:rsidRPr="00F00002">
              <w:rPr>
                <w:sz w:val="16"/>
                <w:szCs w:val="16"/>
              </w:rPr>
              <w:tab/>
            </w:r>
          </w:p>
        </w:tc>
        <w:tc>
          <w:tcPr>
            <w:tcW w:w="3458" w:type="pct"/>
            <w:shd w:val="clear" w:color="auto" w:fill="auto"/>
          </w:tcPr>
          <w:p w:rsidR="00B50DF9" w:rsidRPr="00F00002" w:rsidRDefault="00B50DF9" w:rsidP="00D150ED">
            <w:pPr>
              <w:pStyle w:val="Tabletext"/>
              <w:rPr>
                <w:sz w:val="16"/>
                <w:szCs w:val="16"/>
              </w:rPr>
            </w:pPr>
            <w:r w:rsidRPr="00F00002">
              <w:rPr>
                <w:sz w:val="16"/>
                <w:szCs w:val="16"/>
              </w:rPr>
              <w:t>rs and renum F2017L00321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B73E36" w:rsidRPr="00F00002">
              <w:rPr>
                <w:sz w:val="16"/>
                <w:szCs w:val="16"/>
              </w:rPr>
              <w:t>ision</w:t>
            </w:r>
            <w:r w:rsidR="00F00002">
              <w:rPr>
                <w:sz w:val="16"/>
                <w:szCs w:val="16"/>
              </w:rPr>
              <w:t> </w:t>
            </w:r>
            <w:r w:rsidRPr="00F00002">
              <w:rPr>
                <w:sz w:val="16"/>
                <w:szCs w:val="16"/>
              </w:rPr>
              <w:t>292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90</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29</w:t>
            </w:r>
            <w:r w:rsidR="00A40F1F" w:rsidRPr="00F00002">
              <w:rPr>
                <w:b/>
                <w:sz w:val="16"/>
                <w:szCs w:val="16"/>
              </w:rPr>
              <w:t>1</w:t>
            </w:r>
            <w:r w:rsidR="00F00002">
              <w:rPr>
                <w:b/>
                <w:sz w:val="16"/>
                <w:szCs w:val="16"/>
              </w:rPr>
              <w:noBreakHyphen/>
            </w:r>
            <w:r w:rsidRPr="00F00002">
              <w:rPr>
                <w:b/>
                <w:sz w:val="16"/>
                <w:szCs w:val="16"/>
              </w:rPr>
              <w:t>B</w:t>
            </w:r>
          </w:p>
        </w:tc>
        <w:tc>
          <w:tcPr>
            <w:tcW w:w="3458" w:type="pct"/>
            <w:shd w:val="clear" w:color="auto" w:fill="auto"/>
          </w:tcPr>
          <w:p w:rsidR="00923707" w:rsidRPr="00F00002" w:rsidRDefault="00923707" w:rsidP="00D150ED">
            <w:pPr>
              <w:pStyle w:val="Tabletext"/>
              <w:rPr>
                <w:sz w:val="16"/>
                <w:szCs w:val="16"/>
              </w:rPr>
            </w:pPr>
          </w:p>
        </w:tc>
      </w:tr>
      <w:tr w:rsidR="00A40F1F" w:rsidRPr="00F00002" w:rsidTr="0081299F">
        <w:trPr>
          <w:cantSplit/>
        </w:trPr>
        <w:tc>
          <w:tcPr>
            <w:tcW w:w="1542" w:type="pct"/>
            <w:shd w:val="clear" w:color="auto" w:fill="auto"/>
          </w:tcPr>
          <w:p w:rsidR="00A40F1F" w:rsidRPr="00F00002" w:rsidRDefault="00A40F1F" w:rsidP="007F29CF">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291</w:t>
            </w:r>
            <w:r w:rsidR="00F00002">
              <w:rPr>
                <w:sz w:val="16"/>
                <w:szCs w:val="16"/>
              </w:rPr>
              <w:noBreakHyphen/>
            </w:r>
            <w:r w:rsidRPr="00F00002">
              <w:rPr>
                <w:sz w:val="16"/>
                <w:szCs w:val="16"/>
              </w:rPr>
              <w:t>B heading (prev Subdivision</w:t>
            </w:r>
            <w:r w:rsidR="00F00002">
              <w:rPr>
                <w:sz w:val="16"/>
                <w:szCs w:val="16"/>
              </w:rPr>
              <w:t> </w:t>
            </w:r>
            <w:r w:rsidRPr="00F00002">
              <w:rPr>
                <w:sz w:val="16"/>
                <w:szCs w:val="16"/>
              </w:rPr>
              <w:t>292</w:t>
            </w:r>
            <w:r w:rsidR="00F00002">
              <w:rPr>
                <w:sz w:val="16"/>
                <w:szCs w:val="16"/>
              </w:rPr>
              <w:noBreakHyphen/>
            </w:r>
            <w:r w:rsidRPr="00F00002">
              <w:rPr>
                <w:sz w:val="16"/>
                <w:szCs w:val="16"/>
              </w:rPr>
              <w:t>B heading)</w:t>
            </w:r>
          </w:p>
        </w:tc>
        <w:tc>
          <w:tcPr>
            <w:tcW w:w="3458" w:type="pct"/>
            <w:shd w:val="clear" w:color="auto" w:fill="auto"/>
          </w:tcPr>
          <w:p w:rsidR="00A40F1F" w:rsidRPr="00F00002" w:rsidRDefault="00A40F1F" w:rsidP="00D150ED">
            <w:pPr>
              <w:pStyle w:val="Tabletext"/>
              <w:rPr>
                <w:sz w:val="16"/>
                <w:szCs w:val="16"/>
              </w:rPr>
            </w:pPr>
          </w:p>
        </w:tc>
      </w:tr>
      <w:tr w:rsidR="00B50DF9" w:rsidRPr="00F00002" w:rsidTr="0081299F">
        <w:trPr>
          <w:cantSplit/>
        </w:trPr>
        <w:tc>
          <w:tcPr>
            <w:tcW w:w="1542" w:type="pct"/>
            <w:shd w:val="clear" w:color="auto" w:fill="auto"/>
          </w:tcPr>
          <w:p w:rsidR="00B50DF9" w:rsidRPr="00F00002" w:rsidRDefault="00B50DF9" w:rsidP="00B50DF9">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292</w:t>
            </w:r>
            <w:r w:rsidR="00F00002">
              <w:rPr>
                <w:sz w:val="16"/>
                <w:szCs w:val="16"/>
              </w:rPr>
              <w:noBreakHyphen/>
            </w:r>
            <w:r w:rsidRPr="00F00002">
              <w:rPr>
                <w:sz w:val="16"/>
                <w:szCs w:val="16"/>
              </w:rPr>
              <w:t>B heading</w:t>
            </w:r>
            <w:r w:rsidRPr="00F00002">
              <w:rPr>
                <w:sz w:val="16"/>
                <w:szCs w:val="16"/>
              </w:rPr>
              <w:tab/>
            </w:r>
          </w:p>
        </w:tc>
        <w:tc>
          <w:tcPr>
            <w:tcW w:w="3458" w:type="pct"/>
            <w:shd w:val="clear" w:color="auto" w:fill="auto"/>
          </w:tcPr>
          <w:p w:rsidR="00B50DF9" w:rsidRPr="00F00002" w:rsidRDefault="00B50DF9" w:rsidP="00D150ED">
            <w:pPr>
              <w:pStyle w:val="Tabletext"/>
              <w:rPr>
                <w:sz w:val="16"/>
                <w:szCs w:val="16"/>
              </w:rPr>
            </w:pPr>
            <w:r w:rsidRPr="00F00002">
              <w:rPr>
                <w:sz w:val="16"/>
                <w:szCs w:val="16"/>
              </w:rPr>
              <w:t>rs and renum F2017L00321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Subdiv</w:t>
            </w:r>
            <w:r w:rsidR="00B73E36" w:rsidRPr="00F00002">
              <w:rPr>
                <w:sz w:val="16"/>
                <w:szCs w:val="16"/>
              </w:rPr>
              <w:t>ision</w:t>
            </w:r>
            <w:r w:rsidR="00F00002">
              <w:rPr>
                <w:sz w:val="16"/>
                <w:szCs w:val="16"/>
              </w:rPr>
              <w:t> </w:t>
            </w:r>
            <w:r w:rsidRPr="00F00002">
              <w:rPr>
                <w:sz w:val="16"/>
                <w:szCs w:val="16"/>
              </w:rPr>
              <w:t>292</w:t>
            </w:r>
            <w:r w:rsidR="00F00002">
              <w:rPr>
                <w:sz w:val="16"/>
                <w:szCs w:val="16"/>
              </w:rPr>
              <w:noBreakHyphen/>
            </w:r>
            <w:r w:rsidRPr="00F00002">
              <w:rPr>
                <w:sz w:val="16"/>
                <w:szCs w:val="16"/>
              </w:rPr>
              <w:t>B</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w:t>
            </w:r>
            <w:r w:rsidR="00B50DF9" w:rsidRPr="00F00002">
              <w:rPr>
                <w:sz w:val="16"/>
                <w:szCs w:val="16"/>
              </w:rPr>
              <w:t xml:space="preserve"> </w:t>
            </w:r>
            <w:r w:rsidRPr="00F00002">
              <w:rPr>
                <w:sz w:val="16"/>
                <w:szCs w:val="16"/>
              </w:rPr>
              <w:t>103</w:t>
            </w:r>
          </w:p>
        </w:tc>
      </w:tr>
      <w:tr w:rsidR="00BC7660" w:rsidRPr="00F00002" w:rsidTr="0081299F">
        <w:trPr>
          <w:cantSplit/>
        </w:trPr>
        <w:tc>
          <w:tcPr>
            <w:tcW w:w="1542" w:type="pct"/>
            <w:shd w:val="clear" w:color="auto" w:fill="auto"/>
          </w:tcPr>
          <w:p w:rsidR="00BC7660" w:rsidRPr="00F00002" w:rsidRDefault="00BC7660" w:rsidP="00BC7660">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25.01 heading</w:t>
            </w:r>
            <w:r w:rsidRPr="00F00002">
              <w:rPr>
                <w:sz w:val="16"/>
                <w:szCs w:val="16"/>
              </w:rPr>
              <w:tab/>
            </w:r>
          </w:p>
        </w:tc>
        <w:tc>
          <w:tcPr>
            <w:tcW w:w="3458" w:type="pct"/>
            <w:shd w:val="clear" w:color="auto" w:fill="auto"/>
          </w:tcPr>
          <w:p w:rsidR="00BC7660" w:rsidRPr="00F00002" w:rsidRDefault="00BC7660" w:rsidP="00BC7660">
            <w:pPr>
              <w:pStyle w:val="Tabletext"/>
              <w:tabs>
                <w:tab w:val="center" w:leader="dot" w:pos="2268"/>
              </w:tabs>
              <w:rPr>
                <w:sz w:val="16"/>
                <w:szCs w:val="16"/>
              </w:rPr>
            </w:pPr>
            <w:r w:rsidRPr="00F00002">
              <w:rPr>
                <w:sz w:val="16"/>
                <w:szCs w:val="16"/>
              </w:rPr>
              <w:t>rs and renum F2017L00321</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25.01</w:t>
            </w:r>
            <w:r w:rsidRPr="00F00002">
              <w:rPr>
                <w:sz w:val="16"/>
                <w:szCs w:val="16"/>
              </w:rPr>
              <w:tab/>
            </w:r>
          </w:p>
        </w:tc>
        <w:tc>
          <w:tcPr>
            <w:tcW w:w="3458" w:type="pct"/>
            <w:shd w:val="clear" w:color="auto" w:fill="auto"/>
          </w:tcPr>
          <w:p w:rsidR="00923707" w:rsidRPr="00F00002" w:rsidRDefault="00923707" w:rsidP="00585B4D">
            <w:pPr>
              <w:pStyle w:val="Tabletext"/>
              <w:tabs>
                <w:tab w:val="center" w:leader="dot" w:pos="2268"/>
              </w:tabs>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BC7660">
            <w:pPr>
              <w:pStyle w:val="Tabletext"/>
              <w:tabs>
                <w:tab w:val="center" w:leader="dot" w:pos="2268"/>
              </w:tabs>
              <w:rPr>
                <w:sz w:val="16"/>
                <w:szCs w:val="16"/>
              </w:rPr>
            </w:pPr>
          </w:p>
        </w:tc>
        <w:tc>
          <w:tcPr>
            <w:tcW w:w="3458" w:type="pct"/>
            <w:shd w:val="clear" w:color="auto" w:fill="auto"/>
          </w:tcPr>
          <w:p w:rsidR="00923707" w:rsidRPr="00F00002" w:rsidRDefault="00923707" w:rsidP="00BC7660">
            <w:pPr>
              <w:pStyle w:val="Tabletext"/>
              <w:tabs>
                <w:tab w:val="center" w:leader="dot" w:pos="2268"/>
              </w:tabs>
              <w:rPr>
                <w:sz w:val="16"/>
                <w:szCs w:val="16"/>
              </w:rPr>
            </w:pPr>
            <w:r w:rsidRPr="00F00002">
              <w:rPr>
                <w:sz w:val="16"/>
                <w:szCs w:val="16"/>
              </w:rPr>
              <w:t>am. 2007 No.</w:t>
            </w:r>
            <w:r w:rsidR="00F00002">
              <w:rPr>
                <w:sz w:val="16"/>
                <w:szCs w:val="16"/>
              </w:rPr>
              <w:t> </w:t>
            </w:r>
            <w:r w:rsidRPr="00F00002">
              <w:rPr>
                <w:sz w:val="16"/>
                <w:szCs w:val="16"/>
              </w:rPr>
              <w:t>202</w:t>
            </w:r>
            <w:r w:rsidR="00E651DA" w:rsidRPr="00F00002">
              <w:rPr>
                <w:sz w:val="16"/>
                <w:szCs w:val="16"/>
              </w:rPr>
              <w:t>; F2017L00321</w:t>
            </w:r>
          </w:p>
        </w:tc>
      </w:tr>
      <w:tr w:rsidR="00B86392" w:rsidRPr="00F00002" w:rsidTr="0081299F">
        <w:trPr>
          <w:cantSplit/>
        </w:trPr>
        <w:tc>
          <w:tcPr>
            <w:tcW w:w="1542" w:type="pct"/>
            <w:shd w:val="clear" w:color="auto" w:fill="auto"/>
          </w:tcPr>
          <w:p w:rsidR="00B86392" w:rsidRPr="00F00002" w:rsidRDefault="00B86392" w:rsidP="00BC7660">
            <w:pPr>
              <w:pStyle w:val="Tabletext"/>
              <w:tabs>
                <w:tab w:val="center" w:leader="dot" w:pos="2268"/>
              </w:tabs>
              <w:rPr>
                <w:sz w:val="16"/>
                <w:szCs w:val="16"/>
              </w:rPr>
            </w:pPr>
          </w:p>
        </w:tc>
        <w:tc>
          <w:tcPr>
            <w:tcW w:w="3458" w:type="pct"/>
            <w:shd w:val="clear" w:color="auto" w:fill="auto"/>
          </w:tcPr>
          <w:p w:rsidR="00B86392" w:rsidRPr="00F00002" w:rsidRDefault="00B86392" w:rsidP="00BC7660">
            <w:pPr>
              <w:pStyle w:val="Tabletext"/>
              <w:tabs>
                <w:tab w:val="center" w:leader="dot" w:pos="2268"/>
              </w:tabs>
              <w:rPr>
                <w:sz w:val="16"/>
                <w:szCs w:val="16"/>
              </w:rPr>
            </w:pPr>
            <w:r w:rsidRPr="00F00002">
              <w:rPr>
                <w:sz w:val="16"/>
                <w:szCs w:val="16"/>
              </w:rPr>
              <w:t>renum F2017L00321</w:t>
            </w:r>
          </w:p>
        </w:tc>
      </w:tr>
      <w:tr w:rsidR="00401418" w:rsidRPr="00F00002" w:rsidTr="0081299F">
        <w:trPr>
          <w:cantSplit/>
        </w:trPr>
        <w:tc>
          <w:tcPr>
            <w:tcW w:w="1542" w:type="pct"/>
            <w:shd w:val="clear" w:color="auto" w:fill="auto"/>
          </w:tcPr>
          <w:p w:rsidR="00401418" w:rsidRPr="00F00002" w:rsidRDefault="00401418" w:rsidP="00585B4D">
            <w:pPr>
              <w:pStyle w:val="Tabletext"/>
              <w:tabs>
                <w:tab w:val="center" w:leader="dot" w:pos="2268"/>
              </w:tabs>
              <w:rPr>
                <w:sz w:val="16"/>
                <w:szCs w:val="16"/>
              </w:rPr>
            </w:pPr>
            <w:r w:rsidRPr="00F00002">
              <w:rPr>
                <w:sz w:val="16"/>
                <w:szCs w:val="16"/>
              </w:rPr>
              <w:t>r 291</w:t>
            </w:r>
            <w:r w:rsidR="00F00002">
              <w:rPr>
                <w:sz w:val="16"/>
                <w:szCs w:val="16"/>
              </w:rPr>
              <w:noBreakHyphen/>
            </w:r>
            <w:r w:rsidRPr="00F00002">
              <w:rPr>
                <w:sz w:val="16"/>
                <w:szCs w:val="16"/>
              </w:rPr>
              <w:t>25.01</w:t>
            </w:r>
            <w:r w:rsidR="00BC7660" w:rsidRPr="00F00002">
              <w:rPr>
                <w:sz w:val="16"/>
                <w:szCs w:val="16"/>
              </w:rPr>
              <w:t xml:space="preserve"> </w:t>
            </w:r>
            <w:r w:rsidRPr="00F00002">
              <w:rPr>
                <w:sz w:val="16"/>
                <w:szCs w:val="16"/>
              </w:rPr>
              <w:t>(prev r 292</w:t>
            </w:r>
            <w:r w:rsidR="00F00002">
              <w:rPr>
                <w:sz w:val="16"/>
                <w:szCs w:val="16"/>
              </w:rPr>
              <w:noBreakHyphen/>
            </w:r>
            <w:r w:rsidRPr="00F00002">
              <w:rPr>
                <w:sz w:val="16"/>
                <w:szCs w:val="16"/>
              </w:rPr>
              <w:t>25.01)</w:t>
            </w:r>
          </w:p>
        </w:tc>
        <w:tc>
          <w:tcPr>
            <w:tcW w:w="3458" w:type="pct"/>
            <w:shd w:val="clear" w:color="auto" w:fill="auto"/>
          </w:tcPr>
          <w:p w:rsidR="00401418" w:rsidRPr="00F00002" w:rsidRDefault="00401418" w:rsidP="00BC7660">
            <w:pPr>
              <w:pStyle w:val="Tabletext"/>
              <w:tabs>
                <w:tab w:val="center" w:leader="dot" w:pos="2268"/>
              </w:tabs>
              <w:rPr>
                <w:sz w:val="16"/>
                <w:szCs w:val="16"/>
              </w:rPr>
            </w:pPr>
          </w:p>
        </w:tc>
      </w:tr>
      <w:tr w:rsidR="00401418" w:rsidRPr="00F00002" w:rsidTr="0081299F">
        <w:trPr>
          <w:cantSplit/>
        </w:trPr>
        <w:tc>
          <w:tcPr>
            <w:tcW w:w="1542" w:type="pct"/>
            <w:shd w:val="clear" w:color="auto" w:fill="auto"/>
          </w:tcPr>
          <w:p w:rsidR="00401418" w:rsidRPr="00F00002" w:rsidRDefault="00401418" w:rsidP="00CB17AC">
            <w:pPr>
              <w:pStyle w:val="Tabletext"/>
              <w:tabs>
                <w:tab w:val="center" w:leader="dot" w:pos="2268"/>
              </w:tabs>
              <w:rPr>
                <w:b/>
                <w:sz w:val="16"/>
                <w:szCs w:val="16"/>
              </w:rPr>
            </w:pPr>
            <w:r w:rsidRPr="00F00002">
              <w:rPr>
                <w:b/>
                <w:sz w:val="16"/>
                <w:szCs w:val="16"/>
              </w:rPr>
              <w:t>Division</w:t>
            </w:r>
            <w:r w:rsidR="00F00002">
              <w:rPr>
                <w:b/>
                <w:sz w:val="16"/>
                <w:szCs w:val="16"/>
              </w:rPr>
              <w:t> </w:t>
            </w:r>
            <w:r w:rsidRPr="00F00002">
              <w:rPr>
                <w:b/>
                <w:sz w:val="16"/>
                <w:szCs w:val="16"/>
              </w:rPr>
              <w:t>292</w:t>
            </w:r>
          </w:p>
        </w:tc>
        <w:tc>
          <w:tcPr>
            <w:tcW w:w="3458" w:type="pct"/>
            <w:shd w:val="clear" w:color="auto" w:fill="auto"/>
          </w:tcPr>
          <w:p w:rsidR="00401418" w:rsidRPr="00F00002" w:rsidRDefault="00401418" w:rsidP="00CB17AC">
            <w:pPr>
              <w:pStyle w:val="Tabletext"/>
              <w:tabs>
                <w:tab w:val="center" w:leader="dot" w:pos="2268"/>
              </w:tabs>
              <w:rPr>
                <w:sz w:val="16"/>
                <w:szCs w:val="16"/>
              </w:rPr>
            </w:pPr>
          </w:p>
        </w:tc>
      </w:tr>
      <w:tr w:rsidR="00401418" w:rsidRPr="00F00002" w:rsidTr="0081299F">
        <w:trPr>
          <w:cantSplit/>
        </w:trPr>
        <w:tc>
          <w:tcPr>
            <w:tcW w:w="1542" w:type="pct"/>
            <w:shd w:val="clear" w:color="auto" w:fill="auto"/>
          </w:tcPr>
          <w:p w:rsidR="00401418" w:rsidRPr="00F00002" w:rsidRDefault="00401418" w:rsidP="00CB17AC">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292 heading</w:t>
            </w:r>
            <w:r w:rsidRPr="00F00002">
              <w:rPr>
                <w:sz w:val="16"/>
                <w:szCs w:val="16"/>
              </w:rPr>
              <w:tab/>
            </w:r>
          </w:p>
        </w:tc>
        <w:tc>
          <w:tcPr>
            <w:tcW w:w="3458" w:type="pct"/>
            <w:shd w:val="clear" w:color="auto" w:fill="auto"/>
          </w:tcPr>
          <w:p w:rsidR="00401418" w:rsidRPr="00F00002" w:rsidRDefault="00401418" w:rsidP="00CB17AC">
            <w:pPr>
              <w:pStyle w:val="Tabletext"/>
              <w:tabs>
                <w:tab w:val="center" w:leader="dot" w:pos="2268"/>
              </w:tabs>
              <w:rPr>
                <w:sz w:val="16"/>
                <w:szCs w:val="16"/>
              </w:rPr>
            </w:pPr>
            <w:r w:rsidRPr="00F00002">
              <w:rPr>
                <w:sz w:val="16"/>
                <w:szCs w:val="16"/>
              </w:rPr>
              <w:t>ad F2017L00321</w:t>
            </w:r>
          </w:p>
        </w:tc>
      </w:tr>
      <w:tr w:rsidR="00923707" w:rsidRPr="00F00002" w:rsidTr="0081299F">
        <w:trPr>
          <w:cantSplit/>
        </w:trPr>
        <w:tc>
          <w:tcPr>
            <w:tcW w:w="1542" w:type="pct"/>
            <w:shd w:val="clear" w:color="auto" w:fill="auto"/>
          </w:tcPr>
          <w:p w:rsidR="00923707" w:rsidRPr="00F00002" w:rsidDel="00794F7F" w:rsidRDefault="00923707"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292</w:t>
            </w:r>
            <w:r w:rsidR="00F00002">
              <w:rPr>
                <w:b/>
                <w:sz w:val="16"/>
                <w:szCs w:val="16"/>
              </w:rPr>
              <w:noBreakHyphen/>
            </w:r>
            <w:r w:rsidRPr="00F00002">
              <w:rPr>
                <w:b/>
                <w:sz w:val="16"/>
                <w:szCs w:val="16"/>
              </w:rPr>
              <w:t>C</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90.01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90</w:t>
            </w:r>
          </w:p>
        </w:tc>
      </w:tr>
      <w:tr w:rsidR="00923707" w:rsidRPr="00F00002" w:rsidTr="0081299F">
        <w:trPr>
          <w:cantSplit/>
        </w:trPr>
        <w:tc>
          <w:tcPr>
            <w:tcW w:w="1542" w:type="pct"/>
            <w:shd w:val="clear" w:color="auto" w:fill="auto"/>
          </w:tcPr>
          <w:p w:rsidR="00923707" w:rsidRPr="00F00002" w:rsidRDefault="00923707"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292</w:t>
            </w:r>
            <w:r w:rsidR="00F00002">
              <w:rPr>
                <w:b/>
                <w:sz w:val="16"/>
                <w:szCs w:val="16"/>
              </w:rPr>
              <w:noBreakHyphen/>
            </w:r>
            <w:r w:rsidRPr="00F00002">
              <w:rPr>
                <w:b/>
                <w:sz w:val="16"/>
                <w:szCs w:val="16"/>
              </w:rPr>
              <w:t>D</w:t>
            </w:r>
          </w:p>
        </w:tc>
        <w:tc>
          <w:tcPr>
            <w:tcW w:w="3458" w:type="pct"/>
            <w:shd w:val="clear" w:color="auto" w:fill="auto"/>
          </w:tcPr>
          <w:p w:rsidR="00923707" w:rsidRPr="00F00002" w:rsidRDefault="00923707" w:rsidP="00D150ED">
            <w:pPr>
              <w:pStyle w:val="Tabletext"/>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Subdiv</w:t>
            </w:r>
            <w:r w:rsidR="00B73E36" w:rsidRPr="00F00002">
              <w:rPr>
                <w:sz w:val="16"/>
                <w:szCs w:val="16"/>
              </w:rPr>
              <w:t>ision</w:t>
            </w:r>
            <w:r w:rsidR="00F00002">
              <w:rPr>
                <w:sz w:val="16"/>
                <w:szCs w:val="16"/>
              </w:rPr>
              <w:t> </w:t>
            </w:r>
            <w:r w:rsidRPr="00F00002">
              <w:rPr>
                <w:sz w:val="16"/>
                <w:szCs w:val="16"/>
              </w:rPr>
              <w:t>292</w:t>
            </w:r>
            <w:r w:rsidR="00F00002">
              <w:rPr>
                <w:sz w:val="16"/>
                <w:szCs w:val="16"/>
              </w:rPr>
              <w:noBreakHyphen/>
            </w:r>
            <w:r w:rsidRPr="00F00002">
              <w:rPr>
                <w:sz w:val="16"/>
                <w:szCs w:val="16"/>
              </w:rPr>
              <w:t>D</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B73E36">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170.01</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170.02</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170.03</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401418" w:rsidRPr="00F00002" w:rsidTr="0081299F">
        <w:trPr>
          <w:cantSplit/>
        </w:trPr>
        <w:tc>
          <w:tcPr>
            <w:tcW w:w="1542" w:type="pct"/>
            <w:shd w:val="clear" w:color="auto" w:fill="auto"/>
          </w:tcPr>
          <w:p w:rsidR="00401418" w:rsidRPr="00F00002" w:rsidRDefault="00401418" w:rsidP="00FE3C77">
            <w:pPr>
              <w:pStyle w:val="Tabletext"/>
              <w:tabs>
                <w:tab w:val="center" w:leader="dot" w:pos="2268"/>
              </w:tabs>
              <w:rPr>
                <w:sz w:val="16"/>
                <w:szCs w:val="16"/>
              </w:rPr>
            </w:pPr>
          </w:p>
        </w:tc>
        <w:tc>
          <w:tcPr>
            <w:tcW w:w="3458" w:type="pct"/>
            <w:shd w:val="clear" w:color="auto" w:fill="auto"/>
          </w:tcPr>
          <w:p w:rsidR="00401418" w:rsidRPr="00F00002" w:rsidRDefault="00401418" w:rsidP="00FE3C77">
            <w:pPr>
              <w:pStyle w:val="Tabletext"/>
              <w:rPr>
                <w:sz w:val="16"/>
                <w:szCs w:val="16"/>
              </w:rPr>
            </w:pPr>
            <w:r w:rsidRPr="00F00002">
              <w:rPr>
                <w:sz w:val="16"/>
                <w:szCs w:val="16"/>
              </w:rPr>
              <w:t>am F2017L00321</w:t>
            </w:r>
          </w:p>
        </w:tc>
      </w:tr>
      <w:tr w:rsidR="00923707" w:rsidRPr="00F00002" w:rsidTr="0081299F">
        <w:trPr>
          <w:cantSplit/>
        </w:trPr>
        <w:tc>
          <w:tcPr>
            <w:tcW w:w="1542" w:type="pct"/>
            <w:shd w:val="clear" w:color="auto" w:fill="auto"/>
          </w:tcPr>
          <w:p w:rsidR="00923707" w:rsidRPr="00F00002" w:rsidRDefault="00923707" w:rsidP="00B73E36">
            <w:pPr>
              <w:pStyle w:val="Tabletext"/>
              <w:tabs>
                <w:tab w:val="center" w:leader="dot" w:pos="2268"/>
              </w:tabs>
              <w:rPr>
                <w:sz w:val="16"/>
                <w:szCs w:val="16"/>
              </w:rPr>
            </w:pPr>
            <w:r w:rsidRPr="00F00002">
              <w:rPr>
                <w:sz w:val="16"/>
                <w:szCs w:val="16"/>
              </w:rPr>
              <w:t>r292</w:t>
            </w:r>
            <w:r w:rsidR="00F00002">
              <w:rPr>
                <w:sz w:val="16"/>
                <w:szCs w:val="16"/>
              </w:rPr>
              <w:noBreakHyphen/>
            </w:r>
            <w:r w:rsidRPr="00F00002">
              <w:rPr>
                <w:sz w:val="16"/>
                <w:szCs w:val="16"/>
              </w:rPr>
              <w:t>170.04</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672E95">
            <w:pPr>
              <w:pStyle w:val="Tabletext"/>
              <w:tabs>
                <w:tab w:val="center" w:leader="dot" w:pos="2268"/>
              </w:tabs>
              <w:rPr>
                <w:sz w:val="16"/>
                <w:szCs w:val="16"/>
              </w:rPr>
            </w:pPr>
          </w:p>
        </w:tc>
        <w:tc>
          <w:tcPr>
            <w:tcW w:w="3458" w:type="pct"/>
            <w:shd w:val="clear" w:color="auto" w:fill="auto"/>
          </w:tcPr>
          <w:p w:rsidR="00923707" w:rsidRPr="00F00002" w:rsidRDefault="00923707" w:rsidP="00D150ED">
            <w:pPr>
              <w:pStyle w:val="Tabletext"/>
              <w:rPr>
                <w:sz w:val="16"/>
                <w:szCs w:val="16"/>
              </w:rPr>
            </w:pPr>
            <w:r w:rsidRPr="00F00002">
              <w:rPr>
                <w:sz w:val="16"/>
                <w:szCs w:val="16"/>
              </w:rPr>
              <w:t>am No 52, 2014</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170.05</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am 2007 No 330; 2009 No 177</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170.06</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103</w:t>
            </w:r>
          </w:p>
        </w:tc>
      </w:tr>
      <w:tr w:rsidR="00923707" w:rsidRPr="00F00002" w:rsidTr="0081299F">
        <w:trPr>
          <w:cantSplit/>
        </w:trPr>
        <w:tc>
          <w:tcPr>
            <w:tcW w:w="1542" w:type="pct"/>
            <w:shd w:val="clear" w:color="auto" w:fill="auto"/>
          </w:tcPr>
          <w:p w:rsidR="00923707" w:rsidRPr="00F00002" w:rsidRDefault="00923707" w:rsidP="00DF44F8">
            <w:pPr>
              <w:tabs>
                <w:tab w:val="right" w:leader="dot" w:pos="2881"/>
              </w:tabs>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am 2007 No 330; 2009 No 177</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292</w:t>
            </w:r>
            <w:r w:rsidR="00F00002">
              <w:rPr>
                <w:sz w:val="16"/>
                <w:szCs w:val="16"/>
              </w:rPr>
              <w:noBreakHyphen/>
            </w:r>
            <w:r w:rsidRPr="00F00002">
              <w:rPr>
                <w:sz w:val="16"/>
                <w:szCs w:val="16"/>
              </w:rPr>
              <w:t>170.07</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2009 No 177</w:t>
            </w:r>
          </w:p>
        </w:tc>
      </w:tr>
      <w:tr w:rsidR="00923707" w:rsidRPr="00F00002" w:rsidTr="0081299F">
        <w:trPr>
          <w:cantSplit/>
        </w:trPr>
        <w:tc>
          <w:tcPr>
            <w:tcW w:w="1542" w:type="pct"/>
            <w:shd w:val="clear" w:color="auto" w:fill="auto"/>
          </w:tcPr>
          <w:p w:rsidR="00923707" w:rsidRPr="00F00002" w:rsidRDefault="00923707" w:rsidP="00FB6823">
            <w:pPr>
              <w:pStyle w:val="Tabletext"/>
              <w:tabs>
                <w:tab w:val="center" w:leader="dot" w:pos="2268"/>
              </w:tabs>
              <w:rPr>
                <w:sz w:val="16"/>
                <w:szCs w:val="16"/>
              </w:rPr>
            </w:pPr>
            <w:r w:rsidRPr="00F00002">
              <w:rPr>
                <w:sz w:val="16"/>
                <w:szCs w:val="16"/>
              </w:rPr>
              <w:lastRenderedPageBreak/>
              <w:t>r 292</w:t>
            </w:r>
            <w:r w:rsidR="00F00002">
              <w:rPr>
                <w:sz w:val="16"/>
                <w:szCs w:val="16"/>
              </w:rPr>
              <w:noBreakHyphen/>
            </w:r>
            <w:r w:rsidRPr="00F00002">
              <w:rPr>
                <w:sz w:val="16"/>
                <w:szCs w:val="16"/>
              </w:rPr>
              <w:t>170.08</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2009 No 177</w:t>
            </w:r>
          </w:p>
        </w:tc>
      </w:tr>
      <w:tr w:rsidR="00923707" w:rsidRPr="00F00002" w:rsidTr="0081299F">
        <w:trPr>
          <w:cantSplit/>
        </w:trPr>
        <w:tc>
          <w:tcPr>
            <w:tcW w:w="1542" w:type="pct"/>
            <w:shd w:val="clear" w:color="auto" w:fill="auto"/>
          </w:tcPr>
          <w:p w:rsidR="00923707" w:rsidRPr="00F00002" w:rsidRDefault="00923707" w:rsidP="00C71190">
            <w:pPr>
              <w:pStyle w:val="Tabletext"/>
              <w:tabs>
                <w:tab w:val="center" w:leader="dot" w:pos="2268"/>
              </w:tabs>
              <w:rPr>
                <w:sz w:val="16"/>
                <w:szCs w:val="16"/>
              </w:rPr>
            </w:pPr>
            <w:r w:rsidRPr="00F00002">
              <w:rPr>
                <w:sz w:val="16"/>
                <w:szCs w:val="16"/>
              </w:rPr>
              <w:t>Div</w:t>
            </w:r>
            <w:r w:rsidR="00FB6823" w:rsidRPr="00F00002">
              <w:rPr>
                <w:sz w:val="16"/>
                <w:szCs w:val="16"/>
              </w:rPr>
              <w:t>ision</w:t>
            </w:r>
            <w:r w:rsidR="00F00002">
              <w:rPr>
                <w:sz w:val="16"/>
                <w:szCs w:val="16"/>
              </w:rPr>
              <w:t> </w:t>
            </w:r>
            <w:r w:rsidRPr="00F00002">
              <w:rPr>
                <w:sz w:val="16"/>
                <w:szCs w:val="16"/>
              </w:rPr>
              <w:t>302</w:t>
            </w:r>
            <w:r w:rsidRPr="00F00002">
              <w:rPr>
                <w:sz w:val="16"/>
                <w:szCs w:val="16"/>
              </w:rPr>
              <w:tab/>
            </w:r>
            <w:r w:rsidR="00CC688D" w:rsidRPr="00F00002">
              <w:rPr>
                <w:sz w:val="16"/>
                <w:szCs w:val="16"/>
              </w:rPr>
              <w:br/>
              <w:t>(first occurring)</w:t>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328</w:t>
            </w:r>
          </w:p>
        </w:tc>
      </w:tr>
      <w:tr w:rsidR="00923707" w:rsidRPr="00F00002" w:rsidTr="0081299F">
        <w:trPr>
          <w:cantSplit/>
        </w:trPr>
        <w:tc>
          <w:tcPr>
            <w:tcW w:w="1542" w:type="pct"/>
            <w:shd w:val="clear" w:color="auto" w:fill="auto"/>
          </w:tcPr>
          <w:p w:rsidR="00923707" w:rsidRPr="00F00002" w:rsidRDefault="00923707" w:rsidP="00DF44F8">
            <w:pPr>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rep 2009 No 388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302</w:t>
            </w:r>
            <w:r w:rsidR="00F00002">
              <w:rPr>
                <w:sz w:val="16"/>
                <w:szCs w:val="16"/>
              </w:rPr>
              <w:noBreakHyphen/>
            </w:r>
            <w:r w:rsidRPr="00F00002">
              <w:rPr>
                <w:sz w:val="16"/>
                <w:szCs w:val="16"/>
              </w:rPr>
              <w:t>195</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328</w:t>
            </w:r>
          </w:p>
        </w:tc>
      </w:tr>
      <w:tr w:rsidR="00923707" w:rsidRPr="00F00002" w:rsidTr="0081299F">
        <w:trPr>
          <w:cantSplit/>
        </w:trPr>
        <w:tc>
          <w:tcPr>
            <w:tcW w:w="1542" w:type="pct"/>
            <w:shd w:val="clear" w:color="auto" w:fill="auto"/>
          </w:tcPr>
          <w:p w:rsidR="00923707" w:rsidRPr="00F00002" w:rsidRDefault="00923707" w:rsidP="00DF44F8">
            <w:pPr>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rep 2009 No 388</w:t>
            </w: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r 302</w:t>
            </w:r>
            <w:r w:rsidR="00F00002">
              <w:rPr>
                <w:sz w:val="16"/>
                <w:szCs w:val="16"/>
              </w:rPr>
              <w:noBreakHyphen/>
            </w:r>
            <w:r w:rsidRPr="00F00002">
              <w:rPr>
                <w:sz w:val="16"/>
                <w:szCs w:val="16"/>
              </w:rPr>
              <w:t>195A</w:t>
            </w:r>
            <w:r w:rsidRPr="00F00002">
              <w:rPr>
                <w:sz w:val="16"/>
                <w:szCs w:val="16"/>
              </w:rPr>
              <w:tab/>
            </w:r>
          </w:p>
        </w:tc>
        <w:tc>
          <w:tcPr>
            <w:tcW w:w="3458" w:type="pct"/>
            <w:shd w:val="clear" w:color="auto" w:fill="auto"/>
          </w:tcPr>
          <w:p w:rsidR="00923707" w:rsidRPr="00F00002" w:rsidRDefault="00923707" w:rsidP="00FE3C77">
            <w:pPr>
              <w:pStyle w:val="Tabletext"/>
              <w:rPr>
                <w:sz w:val="16"/>
                <w:szCs w:val="16"/>
              </w:rPr>
            </w:pPr>
            <w:r w:rsidRPr="00F00002">
              <w:rPr>
                <w:sz w:val="16"/>
                <w:szCs w:val="16"/>
              </w:rPr>
              <w:t>ad 2007 No 328</w:t>
            </w:r>
          </w:p>
        </w:tc>
      </w:tr>
      <w:tr w:rsidR="00923707" w:rsidRPr="00F00002" w:rsidTr="0081299F">
        <w:trPr>
          <w:cantSplit/>
        </w:trPr>
        <w:tc>
          <w:tcPr>
            <w:tcW w:w="1542" w:type="pct"/>
            <w:shd w:val="clear" w:color="auto" w:fill="auto"/>
          </w:tcPr>
          <w:p w:rsidR="00923707" w:rsidRPr="00F00002" w:rsidRDefault="00923707" w:rsidP="00DF44F8">
            <w:pPr>
              <w:rPr>
                <w:rFonts w:cs="Times New Roman"/>
                <w:sz w:val="16"/>
                <w:szCs w:val="16"/>
              </w:rPr>
            </w:pPr>
          </w:p>
        </w:tc>
        <w:tc>
          <w:tcPr>
            <w:tcW w:w="3458" w:type="pct"/>
            <w:shd w:val="clear" w:color="auto" w:fill="auto"/>
          </w:tcPr>
          <w:p w:rsidR="00923707" w:rsidRPr="00F00002" w:rsidRDefault="00923707" w:rsidP="00FE3C77">
            <w:pPr>
              <w:pStyle w:val="Tabletext"/>
              <w:rPr>
                <w:sz w:val="16"/>
                <w:szCs w:val="16"/>
              </w:rPr>
            </w:pPr>
            <w:r w:rsidRPr="00F00002">
              <w:rPr>
                <w:sz w:val="16"/>
                <w:szCs w:val="16"/>
              </w:rPr>
              <w:t>rep 2009 No 388</w:t>
            </w:r>
          </w:p>
        </w:tc>
      </w:tr>
      <w:tr w:rsidR="00923707" w:rsidRPr="00F00002" w:rsidTr="0081299F">
        <w:trPr>
          <w:cantSplit/>
        </w:trPr>
        <w:tc>
          <w:tcPr>
            <w:tcW w:w="1542" w:type="pct"/>
            <w:shd w:val="clear" w:color="auto" w:fill="auto"/>
          </w:tcPr>
          <w:p w:rsidR="00923707" w:rsidRPr="00F00002" w:rsidRDefault="00923707" w:rsidP="00D56C91">
            <w:pPr>
              <w:pStyle w:val="Tabletext"/>
              <w:keepNext/>
              <w:tabs>
                <w:tab w:val="center" w:leader="dot" w:pos="2268"/>
              </w:tabs>
              <w:rPr>
                <w:b/>
                <w:sz w:val="16"/>
                <w:szCs w:val="16"/>
              </w:rPr>
            </w:pPr>
            <w:r w:rsidRPr="00F00002">
              <w:rPr>
                <w:b/>
                <w:sz w:val="16"/>
                <w:szCs w:val="16"/>
              </w:rPr>
              <w:t>Div</w:t>
            </w:r>
            <w:r w:rsidR="00027330" w:rsidRPr="00F00002">
              <w:rPr>
                <w:b/>
                <w:sz w:val="16"/>
                <w:szCs w:val="16"/>
              </w:rPr>
              <w:t>ision</w:t>
            </w:r>
            <w:r w:rsidR="00F00002">
              <w:rPr>
                <w:b/>
                <w:sz w:val="16"/>
                <w:szCs w:val="16"/>
              </w:rPr>
              <w:t> </w:t>
            </w:r>
            <w:r w:rsidRPr="00F00002">
              <w:rPr>
                <w:b/>
                <w:sz w:val="16"/>
                <w:szCs w:val="16"/>
              </w:rPr>
              <w:t>293</w:t>
            </w:r>
          </w:p>
        </w:tc>
        <w:tc>
          <w:tcPr>
            <w:tcW w:w="3458" w:type="pct"/>
            <w:shd w:val="clear" w:color="auto" w:fill="auto"/>
          </w:tcPr>
          <w:p w:rsidR="00923707" w:rsidRPr="00F00002" w:rsidRDefault="00923707" w:rsidP="00174F85">
            <w:pPr>
              <w:pStyle w:val="Tabletext"/>
              <w:tabs>
                <w:tab w:val="center" w:leader="dot" w:pos="2268"/>
              </w:tabs>
              <w:rPr>
                <w:rFonts w:eastAsiaTheme="minorHAnsi" w:cstheme="minorBidi"/>
                <w:sz w:val="16"/>
                <w:szCs w:val="16"/>
                <w:lang w:eastAsia="en-US"/>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Div</w:t>
            </w:r>
            <w:r w:rsidR="00027330" w:rsidRPr="00F00002">
              <w:rPr>
                <w:sz w:val="16"/>
                <w:szCs w:val="16"/>
              </w:rPr>
              <w:t>ision</w:t>
            </w:r>
            <w:r w:rsidR="00F00002">
              <w:rPr>
                <w:sz w:val="16"/>
                <w:szCs w:val="16"/>
              </w:rPr>
              <w:t> </w:t>
            </w:r>
            <w:r w:rsidRPr="00F00002">
              <w:rPr>
                <w:sz w:val="16"/>
                <w:szCs w:val="16"/>
              </w:rPr>
              <w:t>293</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279, 2013</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b/>
                <w:sz w:val="16"/>
                <w:szCs w:val="16"/>
              </w:rPr>
            </w:pPr>
            <w:r w:rsidRPr="00F00002">
              <w:rPr>
                <w:b/>
                <w:sz w:val="16"/>
                <w:szCs w:val="16"/>
              </w:rPr>
              <w:t>S</w:t>
            </w:r>
            <w:r w:rsidR="00027330" w:rsidRPr="00F00002">
              <w:rPr>
                <w:b/>
                <w:sz w:val="16"/>
                <w:szCs w:val="16"/>
              </w:rPr>
              <w:t>ub</w:t>
            </w:r>
            <w:r w:rsidRPr="00F00002">
              <w:rPr>
                <w:b/>
                <w:sz w:val="16"/>
                <w:szCs w:val="16"/>
              </w:rPr>
              <w:t>div</w:t>
            </w:r>
            <w:r w:rsidR="00027330" w:rsidRPr="00F00002">
              <w:rPr>
                <w:b/>
                <w:sz w:val="16"/>
                <w:szCs w:val="16"/>
              </w:rPr>
              <w:t>ision</w:t>
            </w:r>
            <w:r w:rsidR="00F00002">
              <w:rPr>
                <w:b/>
                <w:sz w:val="16"/>
                <w:szCs w:val="16"/>
              </w:rPr>
              <w:t> </w:t>
            </w:r>
            <w:r w:rsidRPr="00F00002">
              <w:rPr>
                <w:b/>
                <w:sz w:val="16"/>
                <w:szCs w:val="16"/>
              </w:rPr>
              <w:t>293</w:t>
            </w:r>
            <w:r w:rsidR="00F00002">
              <w:rPr>
                <w:b/>
                <w:sz w:val="16"/>
                <w:szCs w:val="16"/>
              </w:rPr>
              <w:noBreakHyphen/>
            </w:r>
            <w:r w:rsidRPr="00F00002">
              <w:rPr>
                <w:b/>
                <w:sz w:val="16"/>
                <w:szCs w:val="16"/>
              </w:rPr>
              <w:t>D</w:t>
            </w:r>
          </w:p>
        </w:tc>
        <w:tc>
          <w:tcPr>
            <w:tcW w:w="3458" w:type="pct"/>
            <w:shd w:val="clear" w:color="auto" w:fill="auto"/>
          </w:tcPr>
          <w:p w:rsidR="00923707" w:rsidRPr="00F00002" w:rsidRDefault="00923707" w:rsidP="00174F85">
            <w:pPr>
              <w:pStyle w:val="Tabletext"/>
              <w:tabs>
                <w:tab w:val="center" w:leader="dot" w:pos="2268"/>
              </w:tabs>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S</w:t>
            </w:r>
            <w:r w:rsidR="00027330" w:rsidRPr="00F00002">
              <w:rPr>
                <w:sz w:val="16"/>
                <w:szCs w:val="16"/>
              </w:rPr>
              <w:t>ub</w:t>
            </w:r>
            <w:r w:rsidRPr="00F00002">
              <w:rPr>
                <w:sz w:val="16"/>
                <w:szCs w:val="16"/>
              </w:rPr>
              <w:t>div</w:t>
            </w:r>
            <w:r w:rsidR="00027330" w:rsidRPr="00F00002">
              <w:rPr>
                <w:sz w:val="16"/>
                <w:szCs w:val="16"/>
              </w:rPr>
              <w:t>ision</w:t>
            </w:r>
            <w:r w:rsidR="00F00002">
              <w:rPr>
                <w:sz w:val="16"/>
                <w:szCs w:val="16"/>
              </w:rPr>
              <w:t> </w:t>
            </w:r>
            <w:r w:rsidRPr="00F00002">
              <w:rPr>
                <w:sz w:val="16"/>
                <w:szCs w:val="16"/>
              </w:rPr>
              <w:t>293</w:t>
            </w:r>
            <w:r w:rsidR="00F00002">
              <w:rPr>
                <w:sz w:val="16"/>
                <w:szCs w:val="16"/>
              </w:rPr>
              <w:noBreakHyphen/>
            </w:r>
            <w:r w:rsidRPr="00F00002">
              <w:rPr>
                <w:sz w:val="16"/>
                <w:szCs w:val="16"/>
              </w:rPr>
              <w:t>D</w:t>
            </w:r>
            <w:r w:rsidRPr="00F00002">
              <w:rPr>
                <w:sz w:val="16"/>
                <w:szCs w:val="16"/>
              </w:rPr>
              <w:tab/>
            </w:r>
          </w:p>
        </w:tc>
        <w:tc>
          <w:tcPr>
            <w:tcW w:w="3458" w:type="pct"/>
            <w:shd w:val="clear" w:color="auto" w:fill="auto"/>
          </w:tcPr>
          <w:p w:rsidR="00923707" w:rsidRPr="00F00002" w:rsidRDefault="00923707" w:rsidP="006F0832">
            <w:pPr>
              <w:pStyle w:val="Tabletext"/>
              <w:rPr>
                <w:sz w:val="16"/>
                <w:szCs w:val="16"/>
              </w:rPr>
            </w:pPr>
            <w:r w:rsidRPr="00F00002">
              <w:rPr>
                <w:sz w:val="16"/>
                <w:szCs w:val="16"/>
              </w:rPr>
              <w:t>ad No 6, 2014</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r 293</w:t>
            </w:r>
            <w:r w:rsidR="00F00002">
              <w:rPr>
                <w:sz w:val="16"/>
                <w:szCs w:val="16"/>
              </w:rPr>
              <w:noBreakHyphen/>
            </w:r>
            <w:r w:rsidRPr="00F00002">
              <w:rPr>
                <w:sz w:val="16"/>
                <w:szCs w:val="16"/>
              </w:rPr>
              <w:t>115.01</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6, 2014</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b/>
                <w:sz w:val="16"/>
                <w:szCs w:val="16"/>
              </w:rPr>
            </w:pPr>
            <w:r w:rsidRPr="00F00002">
              <w:rPr>
                <w:b/>
                <w:sz w:val="16"/>
                <w:szCs w:val="16"/>
              </w:rPr>
              <w:t>S</w:t>
            </w:r>
            <w:r w:rsidR="00DC3C61" w:rsidRPr="00F00002">
              <w:rPr>
                <w:b/>
                <w:sz w:val="16"/>
                <w:szCs w:val="16"/>
              </w:rPr>
              <w:t>ub</w:t>
            </w:r>
            <w:r w:rsidRPr="00F00002">
              <w:rPr>
                <w:b/>
                <w:sz w:val="16"/>
                <w:szCs w:val="16"/>
              </w:rPr>
              <w:t>div</w:t>
            </w:r>
            <w:r w:rsidR="00DC3C61" w:rsidRPr="00F00002">
              <w:rPr>
                <w:b/>
                <w:sz w:val="16"/>
                <w:szCs w:val="16"/>
              </w:rPr>
              <w:t>ision</w:t>
            </w:r>
            <w:r w:rsidR="00F00002">
              <w:rPr>
                <w:b/>
                <w:sz w:val="16"/>
                <w:szCs w:val="16"/>
              </w:rPr>
              <w:t> </w:t>
            </w:r>
            <w:r w:rsidRPr="00F00002">
              <w:rPr>
                <w:b/>
                <w:sz w:val="16"/>
                <w:szCs w:val="16"/>
              </w:rPr>
              <w:t>293</w:t>
            </w:r>
            <w:r w:rsidR="00F00002">
              <w:rPr>
                <w:b/>
                <w:sz w:val="16"/>
                <w:szCs w:val="16"/>
              </w:rPr>
              <w:noBreakHyphen/>
            </w:r>
            <w:r w:rsidRPr="00F00002">
              <w:rPr>
                <w:b/>
                <w:sz w:val="16"/>
                <w:szCs w:val="16"/>
              </w:rPr>
              <w:t>DA</w:t>
            </w:r>
          </w:p>
        </w:tc>
        <w:tc>
          <w:tcPr>
            <w:tcW w:w="3458" w:type="pct"/>
            <w:shd w:val="clear" w:color="auto" w:fill="auto"/>
          </w:tcPr>
          <w:p w:rsidR="00923707" w:rsidRPr="00F00002" w:rsidRDefault="00923707" w:rsidP="00174F85">
            <w:pPr>
              <w:pStyle w:val="Tabletext"/>
              <w:tabs>
                <w:tab w:val="center" w:leader="dot" w:pos="2268"/>
              </w:tabs>
              <w:rPr>
                <w:sz w:val="16"/>
                <w:szCs w:val="16"/>
              </w:rPr>
            </w:pPr>
          </w:p>
        </w:tc>
      </w:tr>
      <w:tr w:rsidR="00923707" w:rsidRPr="00F00002" w:rsidTr="0081299F">
        <w:trPr>
          <w:cantSplit/>
        </w:trPr>
        <w:tc>
          <w:tcPr>
            <w:tcW w:w="1542" w:type="pct"/>
            <w:shd w:val="clear" w:color="auto" w:fill="auto"/>
          </w:tcPr>
          <w:p w:rsidR="00923707" w:rsidRPr="00F00002" w:rsidRDefault="00923707" w:rsidP="00FE3C77">
            <w:pPr>
              <w:pStyle w:val="Tabletext"/>
              <w:tabs>
                <w:tab w:val="center" w:leader="dot" w:pos="2268"/>
              </w:tabs>
              <w:rPr>
                <w:sz w:val="16"/>
                <w:szCs w:val="16"/>
              </w:rPr>
            </w:pPr>
            <w:r w:rsidRPr="00F00002">
              <w:rPr>
                <w:sz w:val="16"/>
                <w:szCs w:val="16"/>
              </w:rPr>
              <w:t>S</w:t>
            </w:r>
            <w:r w:rsidR="00DC3C61" w:rsidRPr="00F00002">
              <w:rPr>
                <w:sz w:val="16"/>
                <w:szCs w:val="16"/>
              </w:rPr>
              <w:t>ub</w:t>
            </w:r>
            <w:r w:rsidRPr="00F00002">
              <w:rPr>
                <w:sz w:val="16"/>
                <w:szCs w:val="16"/>
              </w:rPr>
              <w:t>div</w:t>
            </w:r>
            <w:r w:rsidR="00DC3C61" w:rsidRPr="00F00002">
              <w:rPr>
                <w:sz w:val="16"/>
                <w:szCs w:val="16"/>
              </w:rPr>
              <w:t>ision</w:t>
            </w:r>
            <w:r w:rsidR="00F00002">
              <w:rPr>
                <w:sz w:val="16"/>
                <w:szCs w:val="16"/>
              </w:rPr>
              <w:t> </w:t>
            </w:r>
            <w:r w:rsidRPr="00F00002">
              <w:rPr>
                <w:sz w:val="16"/>
                <w:szCs w:val="16"/>
              </w:rPr>
              <w:t>293</w:t>
            </w:r>
            <w:r w:rsidR="00F00002">
              <w:rPr>
                <w:sz w:val="16"/>
                <w:szCs w:val="16"/>
              </w:rPr>
              <w:noBreakHyphen/>
            </w:r>
            <w:r w:rsidRPr="00F00002">
              <w:rPr>
                <w:sz w:val="16"/>
                <w:szCs w:val="16"/>
              </w:rPr>
              <w:t>DA</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52, 2014</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r 293</w:t>
            </w:r>
            <w:r w:rsidR="00F00002">
              <w:rPr>
                <w:sz w:val="16"/>
                <w:szCs w:val="16"/>
              </w:rPr>
              <w:noBreakHyphen/>
            </w:r>
            <w:r w:rsidRPr="00F00002">
              <w:rPr>
                <w:sz w:val="16"/>
                <w:szCs w:val="16"/>
              </w:rPr>
              <w:t>115.05</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52, 2014</w:t>
            </w:r>
          </w:p>
        </w:tc>
      </w:tr>
      <w:tr w:rsidR="00DC3C61" w:rsidRPr="00F00002" w:rsidTr="0081299F">
        <w:trPr>
          <w:cantSplit/>
        </w:trPr>
        <w:tc>
          <w:tcPr>
            <w:tcW w:w="1542" w:type="pct"/>
            <w:shd w:val="clear" w:color="auto" w:fill="auto"/>
          </w:tcPr>
          <w:p w:rsidR="00DC3C61" w:rsidRPr="00F00002" w:rsidRDefault="00DC3C61" w:rsidP="00174F85">
            <w:pPr>
              <w:pStyle w:val="Tabletext"/>
              <w:tabs>
                <w:tab w:val="center" w:leader="dot" w:pos="2268"/>
              </w:tabs>
              <w:rPr>
                <w:sz w:val="16"/>
                <w:szCs w:val="16"/>
              </w:rPr>
            </w:pPr>
          </w:p>
        </w:tc>
        <w:tc>
          <w:tcPr>
            <w:tcW w:w="3458" w:type="pct"/>
            <w:shd w:val="clear" w:color="auto" w:fill="auto"/>
          </w:tcPr>
          <w:p w:rsidR="00DC3C61" w:rsidRPr="00F00002" w:rsidRDefault="00DC3C61" w:rsidP="00174F85">
            <w:pPr>
              <w:pStyle w:val="Tabletext"/>
              <w:tabs>
                <w:tab w:val="center" w:leader="dot" w:pos="2268"/>
              </w:tabs>
              <w:rPr>
                <w:sz w:val="16"/>
                <w:szCs w:val="16"/>
              </w:rPr>
            </w:pPr>
            <w:r w:rsidRPr="00F00002">
              <w:rPr>
                <w:sz w:val="16"/>
                <w:szCs w:val="16"/>
              </w:rPr>
              <w:t>am No 17, 2015</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r 293</w:t>
            </w:r>
            <w:r w:rsidR="00F00002">
              <w:rPr>
                <w:sz w:val="16"/>
                <w:szCs w:val="16"/>
              </w:rPr>
              <w:noBreakHyphen/>
            </w:r>
            <w:r w:rsidRPr="00F00002">
              <w:rPr>
                <w:sz w:val="16"/>
                <w:szCs w:val="16"/>
              </w:rPr>
              <w:t>115.10</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52, 2014</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r 293</w:t>
            </w:r>
            <w:r w:rsidR="00F00002">
              <w:rPr>
                <w:sz w:val="16"/>
                <w:szCs w:val="16"/>
              </w:rPr>
              <w:noBreakHyphen/>
            </w:r>
            <w:r w:rsidRPr="00F00002">
              <w:rPr>
                <w:sz w:val="16"/>
                <w:szCs w:val="16"/>
              </w:rPr>
              <w:t>115.15</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52, 2014</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r 293</w:t>
            </w:r>
            <w:r w:rsidR="00F00002">
              <w:rPr>
                <w:sz w:val="16"/>
                <w:szCs w:val="16"/>
              </w:rPr>
              <w:noBreakHyphen/>
            </w:r>
            <w:r w:rsidRPr="00F00002">
              <w:rPr>
                <w:sz w:val="16"/>
                <w:szCs w:val="16"/>
              </w:rPr>
              <w:t>115.20</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52, 2014</w:t>
            </w: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b/>
                <w:sz w:val="16"/>
                <w:szCs w:val="16"/>
              </w:rPr>
            </w:pPr>
            <w:r w:rsidRPr="00F00002">
              <w:rPr>
                <w:b/>
                <w:sz w:val="16"/>
                <w:szCs w:val="16"/>
              </w:rPr>
              <w:t>S</w:t>
            </w:r>
            <w:r w:rsidR="00FB6823" w:rsidRPr="00F00002">
              <w:rPr>
                <w:b/>
                <w:sz w:val="16"/>
                <w:szCs w:val="16"/>
              </w:rPr>
              <w:t>ub</w:t>
            </w:r>
            <w:r w:rsidRPr="00F00002">
              <w:rPr>
                <w:b/>
                <w:sz w:val="16"/>
                <w:szCs w:val="16"/>
              </w:rPr>
              <w:t>div</w:t>
            </w:r>
            <w:r w:rsidR="00FB6823" w:rsidRPr="00F00002">
              <w:rPr>
                <w:b/>
                <w:sz w:val="16"/>
                <w:szCs w:val="16"/>
              </w:rPr>
              <w:t>ision</w:t>
            </w:r>
            <w:r w:rsidR="00F00002">
              <w:rPr>
                <w:b/>
                <w:sz w:val="16"/>
                <w:szCs w:val="16"/>
              </w:rPr>
              <w:t> </w:t>
            </w:r>
            <w:r w:rsidRPr="00F00002">
              <w:rPr>
                <w:b/>
                <w:sz w:val="16"/>
                <w:szCs w:val="16"/>
              </w:rPr>
              <w:t>293</w:t>
            </w:r>
            <w:r w:rsidR="00F00002">
              <w:rPr>
                <w:b/>
                <w:sz w:val="16"/>
                <w:szCs w:val="16"/>
              </w:rPr>
              <w:noBreakHyphen/>
            </w:r>
            <w:r w:rsidRPr="00F00002">
              <w:rPr>
                <w:b/>
                <w:sz w:val="16"/>
                <w:szCs w:val="16"/>
              </w:rPr>
              <w:t>E</w:t>
            </w:r>
          </w:p>
        </w:tc>
        <w:tc>
          <w:tcPr>
            <w:tcW w:w="3458" w:type="pct"/>
            <w:shd w:val="clear" w:color="auto" w:fill="auto"/>
          </w:tcPr>
          <w:p w:rsidR="00923707" w:rsidRPr="00F00002" w:rsidRDefault="00923707" w:rsidP="00174F85">
            <w:pPr>
              <w:pStyle w:val="Tabletext"/>
              <w:tabs>
                <w:tab w:val="center" w:leader="dot" w:pos="2268"/>
              </w:tabs>
              <w:rPr>
                <w:rFonts w:eastAsiaTheme="minorHAnsi" w:cstheme="minorBidi"/>
                <w:sz w:val="16"/>
                <w:szCs w:val="16"/>
                <w:lang w:eastAsia="en-US"/>
              </w:rPr>
            </w:pPr>
          </w:p>
        </w:tc>
      </w:tr>
      <w:tr w:rsidR="00923707" w:rsidRPr="00F00002" w:rsidTr="0081299F">
        <w:trPr>
          <w:cantSplit/>
        </w:trPr>
        <w:tc>
          <w:tcPr>
            <w:tcW w:w="1542"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r 293</w:t>
            </w:r>
            <w:r w:rsidR="00F00002">
              <w:rPr>
                <w:sz w:val="16"/>
                <w:szCs w:val="16"/>
              </w:rPr>
              <w:noBreakHyphen/>
            </w:r>
            <w:r w:rsidRPr="00F00002">
              <w:rPr>
                <w:sz w:val="16"/>
                <w:szCs w:val="16"/>
              </w:rPr>
              <w:t>145.01</w:t>
            </w:r>
            <w:r w:rsidRPr="00F00002">
              <w:rPr>
                <w:sz w:val="16"/>
                <w:szCs w:val="16"/>
              </w:rPr>
              <w:tab/>
            </w:r>
          </w:p>
        </w:tc>
        <w:tc>
          <w:tcPr>
            <w:tcW w:w="3458" w:type="pct"/>
            <w:shd w:val="clear" w:color="auto" w:fill="auto"/>
          </w:tcPr>
          <w:p w:rsidR="00923707" w:rsidRPr="00F00002" w:rsidRDefault="00923707" w:rsidP="00174F85">
            <w:pPr>
              <w:pStyle w:val="Tabletext"/>
              <w:tabs>
                <w:tab w:val="center" w:leader="dot" w:pos="2268"/>
              </w:tabs>
              <w:rPr>
                <w:sz w:val="16"/>
                <w:szCs w:val="16"/>
              </w:rPr>
            </w:pPr>
            <w:r w:rsidRPr="00F00002">
              <w:rPr>
                <w:sz w:val="16"/>
                <w:szCs w:val="16"/>
              </w:rPr>
              <w:t>ad No 279, 2013</w:t>
            </w:r>
          </w:p>
        </w:tc>
      </w:tr>
      <w:tr w:rsidR="003003CA" w:rsidRPr="00F00002" w:rsidTr="0081299F">
        <w:trPr>
          <w:cantSplit/>
        </w:trPr>
        <w:tc>
          <w:tcPr>
            <w:tcW w:w="1542" w:type="pct"/>
            <w:shd w:val="clear" w:color="auto" w:fill="auto"/>
          </w:tcPr>
          <w:p w:rsidR="003003CA" w:rsidRPr="00F00002" w:rsidRDefault="003003CA" w:rsidP="00174F85">
            <w:pPr>
              <w:pStyle w:val="Tabletext"/>
              <w:tabs>
                <w:tab w:val="center" w:leader="dot" w:pos="2268"/>
              </w:tabs>
              <w:rPr>
                <w:b/>
                <w:sz w:val="16"/>
                <w:szCs w:val="16"/>
              </w:rPr>
            </w:pPr>
            <w:r w:rsidRPr="00F00002">
              <w:rPr>
                <w:b/>
                <w:sz w:val="16"/>
                <w:szCs w:val="16"/>
              </w:rPr>
              <w:t>Division</w:t>
            </w:r>
            <w:r w:rsidR="00F00002">
              <w:rPr>
                <w:b/>
                <w:sz w:val="16"/>
                <w:szCs w:val="16"/>
              </w:rPr>
              <w:t> </w:t>
            </w:r>
            <w:r w:rsidRPr="00F00002">
              <w:rPr>
                <w:b/>
                <w:sz w:val="16"/>
                <w:szCs w:val="16"/>
              </w:rPr>
              <w:t>294</w:t>
            </w:r>
          </w:p>
        </w:tc>
        <w:tc>
          <w:tcPr>
            <w:tcW w:w="3458" w:type="pct"/>
            <w:shd w:val="clear" w:color="auto" w:fill="auto"/>
          </w:tcPr>
          <w:p w:rsidR="003003CA" w:rsidRPr="00F00002" w:rsidRDefault="003003CA" w:rsidP="00174F85">
            <w:pPr>
              <w:pStyle w:val="Tabletext"/>
              <w:tabs>
                <w:tab w:val="center" w:leader="dot" w:pos="2268"/>
              </w:tabs>
              <w:rPr>
                <w:sz w:val="16"/>
                <w:szCs w:val="16"/>
              </w:rPr>
            </w:pPr>
          </w:p>
        </w:tc>
      </w:tr>
      <w:tr w:rsidR="003003CA" w:rsidRPr="00F00002" w:rsidTr="0081299F">
        <w:trPr>
          <w:cantSplit/>
        </w:trPr>
        <w:tc>
          <w:tcPr>
            <w:tcW w:w="1542" w:type="pct"/>
            <w:shd w:val="clear" w:color="auto" w:fill="auto"/>
          </w:tcPr>
          <w:p w:rsidR="003003CA" w:rsidRPr="00F00002" w:rsidRDefault="003003CA" w:rsidP="00174F85">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294</w:t>
            </w:r>
            <w:r w:rsidRPr="00F00002">
              <w:rPr>
                <w:sz w:val="16"/>
                <w:szCs w:val="16"/>
              </w:rPr>
              <w:tab/>
            </w:r>
          </w:p>
        </w:tc>
        <w:tc>
          <w:tcPr>
            <w:tcW w:w="3458" w:type="pct"/>
            <w:shd w:val="clear" w:color="auto" w:fill="auto"/>
          </w:tcPr>
          <w:p w:rsidR="003003CA" w:rsidRPr="00F00002" w:rsidRDefault="003003CA" w:rsidP="00174F85">
            <w:pPr>
              <w:pStyle w:val="Tabletext"/>
              <w:tabs>
                <w:tab w:val="center" w:leader="dot" w:pos="2268"/>
              </w:tabs>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F00002">
              <w:rPr>
                <w:b/>
                <w:sz w:val="16"/>
                <w:szCs w:val="16"/>
              </w:rPr>
              <w:t>Subdivision</w:t>
            </w:r>
            <w:r w:rsidR="00F00002">
              <w:rPr>
                <w:b/>
                <w:sz w:val="16"/>
                <w:szCs w:val="16"/>
              </w:rPr>
              <w:t> </w:t>
            </w:r>
            <w:r w:rsidRPr="00F00002">
              <w:rPr>
                <w:b/>
                <w:sz w:val="16"/>
                <w:szCs w:val="16"/>
              </w:rPr>
              <w:t>294</w:t>
            </w:r>
            <w:r w:rsidR="00F00002">
              <w:rPr>
                <w:b/>
                <w:sz w:val="16"/>
                <w:szCs w:val="16"/>
              </w:rPr>
              <w:noBreakHyphen/>
            </w:r>
            <w:r w:rsidRPr="00F00002">
              <w:rPr>
                <w:b/>
                <w:sz w:val="16"/>
                <w:szCs w:val="16"/>
              </w:rPr>
              <w:t>B</w:t>
            </w:r>
          </w:p>
        </w:tc>
        <w:tc>
          <w:tcPr>
            <w:tcW w:w="3458" w:type="pct"/>
            <w:shd w:val="clear" w:color="auto" w:fill="auto"/>
          </w:tcPr>
          <w:p w:rsidR="0081299F" w:rsidRPr="00F00002" w:rsidRDefault="0081299F" w:rsidP="00174F85">
            <w:pPr>
              <w:pStyle w:val="Tabletext"/>
              <w:tabs>
                <w:tab w:val="center" w:leader="dot" w:pos="2268"/>
              </w:tabs>
              <w:rPr>
                <w:sz w:val="16"/>
                <w:szCs w:val="16"/>
              </w:rPr>
            </w:pP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294</w:t>
            </w:r>
            <w:r w:rsidR="00F00002">
              <w:rPr>
                <w:sz w:val="16"/>
                <w:szCs w:val="16"/>
              </w:rPr>
              <w:noBreakHyphen/>
            </w:r>
            <w:r w:rsidRPr="00F00002">
              <w:rPr>
                <w:sz w:val="16"/>
                <w:szCs w:val="16"/>
              </w:rPr>
              <w:t>B</w:t>
            </w:r>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 xml:space="preserve">r </w:t>
            </w:r>
            <w:r w:rsidRPr="0030184D">
              <w:rPr>
                <w:sz w:val="16"/>
                <w:szCs w:val="16"/>
              </w:rPr>
              <w:t>294</w:t>
            </w:r>
            <w:r w:rsidR="00F00002" w:rsidRPr="0030184D">
              <w:rPr>
                <w:sz w:val="16"/>
                <w:szCs w:val="16"/>
              </w:rPr>
              <w:noBreakHyphen/>
            </w:r>
            <w:r w:rsidRPr="0030184D">
              <w:rPr>
                <w:sz w:val="16"/>
                <w:szCs w:val="16"/>
              </w:rPr>
              <w:t>25.01</w:t>
            </w:r>
            <w:r w:rsidRPr="0030184D">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F00002">
              <w:rPr>
                <w:b/>
                <w:sz w:val="16"/>
                <w:szCs w:val="16"/>
              </w:rPr>
              <w:t>Subdivision</w:t>
            </w:r>
            <w:r w:rsidR="00F00002">
              <w:rPr>
                <w:b/>
                <w:sz w:val="16"/>
                <w:szCs w:val="16"/>
              </w:rPr>
              <w:t> </w:t>
            </w:r>
            <w:r w:rsidRPr="00F00002">
              <w:rPr>
                <w:b/>
                <w:sz w:val="16"/>
                <w:szCs w:val="16"/>
              </w:rPr>
              <w:t>294</w:t>
            </w:r>
            <w:r w:rsidR="00F00002">
              <w:rPr>
                <w:b/>
                <w:sz w:val="16"/>
                <w:szCs w:val="16"/>
              </w:rPr>
              <w:noBreakHyphen/>
            </w:r>
            <w:r w:rsidRPr="00F00002">
              <w:rPr>
                <w:b/>
                <w:sz w:val="16"/>
                <w:szCs w:val="16"/>
              </w:rPr>
              <w:t>C</w:t>
            </w:r>
          </w:p>
        </w:tc>
        <w:tc>
          <w:tcPr>
            <w:tcW w:w="3458" w:type="pct"/>
            <w:shd w:val="clear" w:color="auto" w:fill="auto"/>
          </w:tcPr>
          <w:p w:rsidR="0081299F" w:rsidRPr="00F00002" w:rsidRDefault="0081299F" w:rsidP="00174F85">
            <w:pPr>
              <w:pStyle w:val="Tabletext"/>
              <w:tabs>
                <w:tab w:val="center" w:leader="dot" w:pos="2268"/>
              </w:tabs>
              <w:rPr>
                <w:sz w:val="16"/>
                <w:szCs w:val="16"/>
              </w:rPr>
            </w:pP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294</w:t>
            </w:r>
            <w:r w:rsidR="00F00002">
              <w:rPr>
                <w:sz w:val="16"/>
                <w:szCs w:val="16"/>
              </w:rPr>
              <w:noBreakHyphen/>
            </w:r>
            <w:r w:rsidRPr="00F00002">
              <w:rPr>
                <w:sz w:val="16"/>
                <w:szCs w:val="16"/>
              </w:rPr>
              <w:t>C</w:t>
            </w:r>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30184D">
              <w:rPr>
                <w:sz w:val="16"/>
                <w:szCs w:val="16"/>
              </w:rPr>
              <w:t>r 294</w:t>
            </w:r>
            <w:r w:rsidR="00F00002" w:rsidRPr="0030184D">
              <w:rPr>
                <w:sz w:val="16"/>
                <w:szCs w:val="16"/>
              </w:rPr>
              <w:noBreakHyphen/>
            </w:r>
            <w:r w:rsidRPr="0030184D">
              <w:rPr>
                <w:sz w:val="16"/>
                <w:szCs w:val="16"/>
              </w:rPr>
              <w:t>80.01</w:t>
            </w:r>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30184D">
              <w:rPr>
                <w:sz w:val="16"/>
                <w:szCs w:val="16"/>
              </w:rPr>
              <w:t>r 294</w:t>
            </w:r>
            <w:r w:rsidR="00F00002" w:rsidRPr="0030184D">
              <w:rPr>
                <w:sz w:val="16"/>
                <w:szCs w:val="16"/>
              </w:rPr>
              <w:noBreakHyphen/>
            </w:r>
            <w:r w:rsidRPr="0030184D">
              <w:rPr>
                <w:sz w:val="16"/>
                <w:szCs w:val="16"/>
              </w:rPr>
              <w:t>80.02</w:t>
            </w:r>
            <w:bookmarkStart w:id="266" w:name="_GoBack"/>
            <w:bookmarkEnd w:id="266"/>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30184D" w:rsidRDefault="0081299F" w:rsidP="00174F85">
            <w:pPr>
              <w:pStyle w:val="Tabletext"/>
              <w:tabs>
                <w:tab w:val="center" w:leader="dot" w:pos="2268"/>
              </w:tabs>
              <w:rPr>
                <w:sz w:val="16"/>
                <w:szCs w:val="16"/>
              </w:rPr>
            </w:pPr>
            <w:r w:rsidRPr="0030184D">
              <w:rPr>
                <w:sz w:val="16"/>
                <w:szCs w:val="16"/>
              </w:rPr>
              <w:t>r 294</w:t>
            </w:r>
            <w:r w:rsidR="00F00002" w:rsidRPr="0030184D">
              <w:rPr>
                <w:sz w:val="16"/>
                <w:szCs w:val="16"/>
              </w:rPr>
              <w:noBreakHyphen/>
            </w:r>
            <w:r w:rsidRPr="0030184D">
              <w:rPr>
                <w:sz w:val="16"/>
                <w:szCs w:val="16"/>
              </w:rPr>
              <w:t>80.03</w:t>
            </w:r>
            <w:r w:rsidRPr="0030184D">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b/>
                <w:sz w:val="16"/>
                <w:szCs w:val="16"/>
              </w:rPr>
            </w:pPr>
            <w:r w:rsidRPr="00F00002">
              <w:rPr>
                <w:b/>
                <w:sz w:val="16"/>
                <w:szCs w:val="16"/>
              </w:rPr>
              <w:t>Subdivision</w:t>
            </w:r>
            <w:r w:rsidR="00F00002">
              <w:rPr>
                <w:b/>
                <w:sz w:val="16"/>
                <w:szCs w:val="16"/>
              </w:rPr>
              <w:t> </w:t>
            </w:r>
            <w:r w:rsidRPr="00F00002">
              <w:rPr>
                <w:b/>
                <w:sz w:val="16"/>
                <w:szCs w:val="16"/>
              </w:rPr>
              <w:t>294</w:t>
            </w:r>
            <w:r w:rsidR="00F00002">
              <w:rPr>
                <w:b/>
                <w:sz w:val="16"/>
                <w:szCs w:val="16"/>
              </w:rPr>
              <w:noBreakHyphen/>
            </w:r>
            <w:r w:rsidRPr="00F00002">
              <w:rPr>
                <w:b/>
                <w:sz w:val="16"/>
                <w:szCs w:val="16"/>
              </w:rPr>
              <w:t>D</w:t>
            </w:r>
          </w:p>
        </w:tc>
        <w:tc>
          <w:tcPr>
            <w:tcW w:w="3458" w:type="pct"/>
            <w:shd w:val="clear" w:color="auto" w:fill="auto"/>
          </w:tcPr>
          <w:p w:rsidR="0081299F" w:rsidRPr="00F00002" w:rsidRDefault="0081299F" w:rsidP="00174F85">
            <w:pPr>
              <w:pStyle w:val="Tabletext"/>
              <w:tabs>
                <w:tab w:val="center" w:leader="dot" w:pos="2268"/>
              </w:tabs>
              <w:rPr>
                <w:sz w:val="16"/>
                <w:szCs w:val="16"/>
              </w:rPr>
            </w:pP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r w:rsidRPr="00F00002">
              <w:rPr>
                <w:sz w:val="16"/>
                <w:szCs w:val="16"/>
              </w:rPr>
              <w:t>r 294</w:t>
            </w:r>
            <w:r w:rsidR="00F00002">
              <w:rPr>
                <w:sz w:val="16"/>
                <w:szCs w:val="16"/>
              </w:rPr>
              <w:noBreakHyphen/>
            </w:r>
            <w:r w:rsidRPr="00F00002">
              <w:rPr>
                <w:sz w:val="16"/>
                <w:szCs w:val="16"/>
              </w:rPr>
              <w:t>130.01</w:t>
            </w:r>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am F2019L01641</w:t>
            </w: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r w:rsidRPr="00F00002">
              <w:rPr>
                <w:sz w:val="16"/>
                <w:szCs w:val="16"/>
              </w:rPr>
              <w:t>r 294</w:t>
            </w:r>
            <w:r w:rsidR="00F00002">
              <w:rPr>
                <w:sz w:val="16"/>
                <w:szCs w:val="16"/>
              </w:rPr>
              <w:noBreakHyphen/>
            </w:r>
            <w:r w:rsidRPr="00F00002">
              <w:rPr>
                <w:sz w:val="16"/>
                <w:szCs w:val="16"/>
              </w:rPr>
              <w:t>135.01</w:t>
            </w:r>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am F2019L01641</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r 294</w:t>
            </w:r>
            <w:r w:rsidR="00F00002">
              <w:rPr>
                <w:sz w:val="16"/>
                <w:szCs w:val="16"/>
              </w:rPr>
              <w:noBreakHyphen/>
            </w:r>
            <w:r w:rsidRPr="00F00002">
              <w:rPr>
                <w:sz w:val="16"/>
                <w:szCs w:val="16"/>
              </w:rPr>
              <w:t>145.01</w:t>
            </w:r>
            <w:r w:rsidRPr="00F00002">
              <w:rPr>
                <w:sz w:val="16"/>
                <w:szCs w:val="16"/>
              </w:rPr>
              <w:tab/>
            </w: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174F85">
            <w:pPr>
              <w:pStyle w:val="Tabletext"/>
              <w:tabs>
                <w:tab w:val="center" w:leader="dot" w:pos="2268"/>
              </w:tabs>
              <w:rPr>
                <w:sz w:val="16"/>
                <w:szCs w:val="16"/>
              </w:rPr>
            </w:pPr>
          </w:p>
        </w:tc>
        <w:tc>
          <w:tcPr>
            <w:tcW w:w="3458" w:type="pct"/>
            <w:shd w:val="clear" w:color="auto" w:fill="auto"/>
          </w:tcPr>
          <w:p w:rsidR="0081299F" w:rsidRPr="00F00002" w:rsidRDefault="0081299F" w:rsidP="00174F85">
            <w:pPr>
              <w:pStyle w:val="Tabletext"/>
              <w:tabs>
                <w:tab w:val="center" w:leader="dot" w:pos="2268"/>
              </w:tabs>
              <w:rPr>
                <w:sz w:val="16"/>
                <w:szCs w:val="16"/>
              </w:rPr>
            </w:pPr>
            <w:r w:rsidRPr="00F00002">
              <w:rPr>
                <w:sz w:val="16"/>
                <w:szCs w:val="16"/>
              </w:rPr>
              <w:t>am F2019L01641</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295</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027330">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295</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295</w:t>
            </w:r>
            <w:r w:rsidR="00F00002">
              <w:rPr>
                <w:b/>
                <w:sz w:val="16"/>
                <w:szCs w:val="16"/>
              </w:rPr>
              <w:noBreakHyphen/>
            </w:r>
            <w:r w:rsidRPr="00F00002">
              <w:rPr>
                <w:b/>
                <w:sz w:val="16"/>
                <w:szCs w:val="16"/>
              </w:rPr>
              <w:t>D</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295</w:t>
            </w:r>
            <w:r w:rsidR="00F00002">
              <w:rPr>
                <w:sz w:val="16"/>
                <w:szCs w:val="16"/>
              </w:rPr>
              <w:noBreakHyphen/>
            </w:r>
            <w:r w:rsidRPr="00F00002">
              <w:rPr>
                <w:sz w:val="16"/>
                <w:szCs w:val="16"/>
              </w:rPr>
              <w:t>265.01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295</w:t>
            </w:r>
            <w:r w:rsidR="00F00002">
              <w:rPr>
                <w:b/>
                <w:sz w:val="16"/>
                <w:szCs w:val="16"/>
              </w:rPr>
              <w:noBreakHyphen/>
            </w:r>
            <w:r w:rsidRPr="00F00002">
              <w:rPr>
                <w:b/>
                <w:sz w:val="16"/>
                <w:szCs w:val="16"/>
              </w:rPr>
              <w:t>F</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295</w:t>
            </w:r>
            <w:r w:rsidR="00F00002">
              <w:rPr>
                <w:sz w:val="16"/>
                <w:szCs w:val="16"/>
              </w:rPr>
              <w:noBreakHyphen/>
            </w:r>
            <w:r w:rsidRPr="00F00002">
              <w:rPr>
                <w:sz w:val="16"/>
                <w:szCs w:val="16"/>
              </w:rPr>
              <w:t>385.01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FB6823">
            <w:pPr>
              <w:pStyle w:val="Tabletext"/>
              <w:rPr>
                <w:sz w:val="16"/>
                <w:szCs w:val="16"/>
              </w:rPr>
            </w:pPr>
            <w:r w:rsidRPr="00F00002">
              <w:rPr>
                <w:sz w:val="16"/>
                <w:szCs w:val="16"/>
              </w:rPr>
              <w:t>rs No 103, 2013</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FB6823">
            <w:pPr>
              <w:pStyle w:val="Tabletext"/>
              <w:rPr>
                <w:sz w:val="16"/>
                <w:szCs w:val="16"/>
              </w:rPr>
            </w:pPr>
            <w:r w:rsidRPr="00F00002">
              <w:rPr>
                <w:sz w:val="16"/>
                <w:szCs w:val="16"/>
              </w:rPr>
              <w:t>am F2017L00321</w:t>
            </w:r>
          </w:p>
        </w:tc>
      </w:tr>
      <w:tr w:rsidR="0081299F" w:rsidRPr="00F00002" w:rsidTr="0081299F">
        <w:trPr>
          <w:cantSplit/>
        </w:trPr>
        <w:tc>
          <w:tcPr>
            <w:tcW w:w="1542" w:type="pct"/>
            <w:shd w:val="clear" w:color="auto" w:fill="auto"/>
          </w:tcPr>
          <w:p w:rsidR="0081299F" w:rsidRPr="00F00002" w:rsidRDefault="0081299F" w:rsidP="00D56C91">
            <w:pPr>
              <w:pStyle w:val="Tabletext"/>
              <w:keepNext/>
              <w:rPr>
                <w:sz w:val="16"/>
                <w:szCs w:val="16"/>
              </w:rPr>
            </w:pPr>
            <w:r w:rsidRPr="00F00002">
              <w:rPr>
                <w:b/>
                <w:sz w:val="16"/>
                <w:szCs w:val="16"/>
              </w:rPr>
              <w:t>Subdivision</w:t>
            </w:r>
            <w:r w:rsidR="00F00002">
              <w:rPr>
                <w:b/>
                <w:sz w:val="16"/>
                <w:szCs w:val="16"/>
              </w:rPr>
              <w:t> </w:t>
            </w:r>
            <w:r w:rsidRPr="00F00002">
              <w:rPr>
                <w:b/>
                <w:sz w:val="16"/>
                <w:szCs w:val="16"/>
              </w:rPr>
              <w:t>295</w:t>
            </w:r>
            <w:r w:rsidR="00F00002">
              <w:rPr>
                <w:b/>
                <w:sz w:val="16"/>
                <w:szCs w:val="16"/>
              </w:rPr>
              <w:noBreakHyphen/>
            </w:r>
            <w:r w:rsidRPr="00F00002">
              <w:rPr>
                <w:b/>
                <w:sz w:val="16"/>
                <w:szCs w:val="16"/>
              </w:rPr>
              <w:t>G</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295</w:t>
            </w:r>
            <w:r w:rsidR="00F00002">
              <w:rPr>
                <w:sz w:val="16"/>
                <w:szCs w:val="16"/>
              </w:rPr>
              <w:noBreakHyphen/>
            </w:r>
            <w:r w:rsidRPr="00F00002">
              <w:rPr>
                <w:sz w:val="16"/>
                <w:szCs w:val="16"/>
              </w:rPr>
              <w:t>G</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2011 No 182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295</w:t>
            </w:r>
            <w:r w:rsidR="00F00002">
              <w:rPr>
                <w:sz w:val="16"/>
                <w:szCs w:val="16"/>
              </w:rPr>
              <w:noBreakHyphen/>
            </w:r>
            <w:r w:rsidRPr="00F00002">
              <w:rPr>
                <w:sz w:val="16"/>
                <w:szCs w:val="16"/>
              </w:rPr>
              <w:t>465.01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2011 No 182</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Part</w:t>
            </w:r>
            <w:r w:rsidR="00F00002">
              <w:rPr>
                <w:b/>
                <w:sz w:val="16"/>
                <w:szCs w:val="16"/>
              </w:rPr>
              <w:t> </w:t>
            </w:r>
            <w:r w:rsidRPr="00F00002">
              <w:rPr>
                <w:b/>
                <w:sz w:val="16"/>
                <w:szCs w:val="16"/>
              </w:rPr>
              <w:t>3</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B6823">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3 heading</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103</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301</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301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301</w:t>
            </w:r>
            <w:r w:rsidR="00F00002">
              <w:rPr>
                <w:b/>
                <w:sz w:val="16"/>
                <w:szCs w:val="16"/>
              </w:rPr>
              <w:noBreakHyphen/>
            </w:r>
            <w:r w:rsidRPr="00F00002">
              <w:rPr>
                <w:b/>
                <w:sz w:val="16"/>
                <w:szCs w:val="16"/>
              </w:rPr>
              <w:t>D</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301</w:t>
            </w:r>
            <w:r w:rsidR="00F00002">
              <w:rPr>
                <w:sz w:val="16"/>
                <w:szCs w:val="16"/>
              </w:rPr>
              <w:noBreakHyphen/>
            </w:r>
            <w:r w:rsidRPr="00F00002">
              <w:rPr>
                <w:sz w:val="16"/>
                <w:szCs w:val="16"/>
              </w:rPr>
              <w:t>170.01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301</w:t>
            </w:r>
            <w:r w:rsidR="00F00002">
              <w:rPr>
                <w:b/>
                <w:sz w:val="16"/>
                <w:szCs w:val="16"/>
              </w:rPr>
              <w:noBreakHyphen/>
            </w:r>
            <w:r w:rsidRPr="00F00002">
              <w:rPr>
                <w:b/>
                <w:sz w:val="16"/>
                <w:szCs w:val="16"/>
              </w:rPr>
              <w:t>E</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301</w:t>
            </w:r>
            <w:r w:rsidR="00F00002">
              <w:rPr>
                <w:sz w:val="16"/>
                <w:szCs w:val="16"/>
              </w:rPr>
              <w:noBreakHyphen/>
            </w:r>
            <w:r w:rsidRPr="00F00002">
              <w:rPr>
                <w:sz w:val="16"/>
                <w:szCs w:val="16"/>
              </w:rPr>
              <w:t>225.01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2007 No 103</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302</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302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302</w:t>
            </w:r>
            <w:r w:rsidR="00F00002">
              <w:rPr>
                <w:b/>
                <w:sz w:val="16"/>
                <w:szCs w:val="16"/>
              </w:rPr>
              <w:noBreakHyphen/>
            </w:r>
            <w:r w:rsidRPr="00F00002">
              <w:rPr>
                <w:b/>
                <w:sz w:val="16"/>
                <w:szCs w:val="16"/>
              </w:rPr>
              <w:t>D</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302</w:t>
            </w:r>
            <w:r w:rsidR="00F00002">
              <w:rPr>
                <w:sz w:val="16"/>
                <w:szCs w:val="16"/>
              </w:rPr>
              <w:noBreakHyphen/>
            </w:r>
            <w:r w:rsidRPr="00F00002">
              <w:rPr>
                <w:sz w:val="16"/>
                <w:szCs w:val="16"/>
              </w:rPr>
              <w:t>195</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2009 No 388</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302</w:t>
            </w:r>
            <w:r w:rsidR="00F00002">
              <w:rPr>
                <w:sz w:val="16"/>
                <w:szCs w:val="16"/>
              </w:rPr>
              <w:noBreakHyphen/>
            </w:r>
            <w:r w:rsidRPr="00F00002">
              <w:rPr>
                <w:sz w:val="16"/>
                <w:szCs w:val="16"/>
              </w:rPr>
              <w:t>195A</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2009 No 388</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302</w:t>
            </w:r>
            <w:r w:rsidR="00F00002">
              <w:rPr>
                <w:sz w:val="16"/>
                <w:szCs w:val="16"/>
              </w:rPr>
              <w:noBreakHyphen/>
            </w:r>
            <w:r w:rsidRPr="00F00002">
              <w:rPr>
                <w:sz w:val="16"/>
                <w:szCs w:val="16"/>
              </w:rPr>
              <w:t>200.01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302</w:t>
            </w:r>
            <w:r w:rsidR="00F00002">
              <w:rPr>
                <w:sz w:val="16"/>
                <w:szCs w:val="16"/>
              </w:rPr>
              <w:noBreakHyphen/>
            </w:r>
            <w:r w:rsidRPr="00F00002">
              <w:rPr>
                <w:sz w:val="16"/>
                <w:szCs w:val="16"/>
              </w:rPr>
              <w:t>200.02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303</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303</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2008 No 144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303</w:t>
            </w:r>
            <w:r w:rsidR="00F00002">
              <w:rPr>
                <w:sz w:val="16"/>
                <w:szCs w:val="16"/>
              </w:rPr>
              <w:noBreakHyphen/>
            </w:r>
            <w:r w:rsidRPr="00F00002">
              <w:rPr>
                <w:sz w:val="16"/>
                <w:szCs w:val="16"/>
              </w:rPr>
              <w:t>10.01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2008 No 144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B7767A">
            <w:pPr>
              <w:pStyle w:val="Tabletext"/>
              <w:rPr>
                <w:sz w:val="16"/>
                <w:szCs w:val="16"/>
              </w:rPr>
            </w:pPr>
            <w:r w:rsidRPr="00F00002">
              <w:rPr>
                <w:sz w:val="16"/>
                <w:szCs w:val="16"/>
              </w:rPr>
              <w:t>am No 110, 2015</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306</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306</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306</w:t>
            </w:r>
            <w:r w:rsidR="00F00002">
              <w:rPr>
                <w:sz w:val="16"/>
                <w:szCs w:val="16"/>
              </w:rPr>
              <w:noBreakHyphen/>
            </w:r>
            <w:r w:rsidRPr="00F00002">
              <w:rPr>
                <w:sz w:val="16"/>
                <w:szCs w:val="16"/>
              </w:rPr>
              <w:t>10.01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rs 2008 No 144; F2017L00321</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307</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307</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b/>
                <w:sz w:val="16"/>
                <w:szCs w:val="16"/>
              </w:rPr>
            </w:pPr>
            <w:r w:rsidRPr="00F00002">
              <w:rPr>
                <w:b/>
                <w:sz w:val="16"/>
                <w:szCs w:val="16"/>
              </w:rPr>
              <w:t>Subdivision</w:t>
            </w:r>
            <w:r w:rsidR="00F00002">
              <w:rPr>
                <w:b/>
                <w:sz w:val="16"/>
                <w:szCs w:val="16"/>
              </w:rPr>
              <w:t> </w:t>
            </w:r>
            <w:r w:rsidRPr="00F00002">
              <w:rPr>
                <w:b/>
                <w:sz w:val="16"/>
                <w:szCs w:val="16"/>
              </w:rPr>
              <w:t>307</w:t>
            </w:r>
            <w:r w:rsidR="00F00002">
              <w:rPr>
                <w:b/>
                <w:sz w:val="16"/>
                <w:szCs w:val="16"/>
              </w:rPr>
              <w:noBreakHyphen/>
            </w:r>
            <w:r w:rsidRPr="00F00002">
              <w:rPr>
                <w:b/>
                <w:sz w:val="16"/>
                <w:szCs w:val="16"/>
              </w:rPr>
              <w:t>B</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307</w:t>
            </w:r>
            <w:r w:rsidR="00F00002">
              <w:rPr>
                <w:sz w:val="16"/>
                <w:szCs w:val="16"/>
              </w:rPr>
              <w:noBreakHyphen/>
            </w:r>
            <w:r w:rsidRPr="00F00002">
              <w:rPr>
                <w:sz w:val="16"/>
                <w:szCs w:val="16"/>
              </w:rPr>
              <w:t>B</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F2018L01691</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70.01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F2018L01691</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307</w:t>
            </w:r>
            <w:r w:rsidR="00F00002">
              <w:rPr>
                <w:b/>
                <w:sz w:val="16"/>
                <w:szCs w:val="16"/>
              </w:rPr>
              <w:noBreakHyphen/>
            </w:r>
            <w:r w:rsidRPr="00F00002">
              <w:rPr>
                <w:b/>
                <w:sz w:val="16"/>
                <w:szCs w:val="16"/>
              </w:rPr>
              <w:t>C</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307</w:t>
            </w:r>
            <w:r w:rsidR="00F00002">
              <w:rPr>
                <w:sz w:val="16"/>
                <w:szCs w:val="16"/>
              </w:rPr>
              <w:noBreakHyphen/>
            </w:r>
            <w:r w:rsidRPr="00F00002">
              <w:rPr>
                <w:sz w:val="16"/>
                <w:szCs w:val="16"/>
              </w:rPr>
              <w:t>C</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329</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125.01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329</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125.02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No 103, 2013</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F2017L00321</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307</w:t>
            </w:r>
            <w:r w:rsidR="00F00002">
              <w:rPr>
                <w:b/>
                <w:sz w:val="16"/>
                <w:szCs w:val="16"/>
              </w:rPr>
              <w:noBreakHyphen/>
            </w:r>
            <w:r w:rsidRPr="00F00002">
              <w:rPr>
                <w:b/>
                <w:sz w:val="16"/>
                <w:szCs w:val="16"/>
              </w:rPr>
              <w:t>D</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200.01</w:t>
            </w:r>
            <w:r w:rsidRPr="00F00002">
              <w:rPr>
                <w:sz w:val="16"/>
                <w:szCs w:val="16"/>
              </w:rPr>
              <w:tab/>
            </w:r>
          </w:p>
        </w:tc>
        <w:tc>
          <w:tcPr>
            <w:tcW w:w="3458" w:type="pct"/>
            <w:shd w:val="clear" w:color="auto" w:fill="auto"/>
          </w:tcPr>
          <w:p w:rsidR="0081299F" w:rsidRPr="00F00002" w:rsidRDefault="0081299F" w:rsidP="00FB6823">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D150ED">
            <w:pPr>
              <w:pStyle w:val="Tabletext"/>
              <w:rPr>
                <w:sz w:val="16"/>
                <w:szCs w:val="16"/>
              </w:rPr>
            </w:pPr>
            <w:r w:rsidRPr="00F00002">
              <w:rPr>
                <w:sz w:val="16"/>
                <w:szCs w:val="16"/>
              </w:rPr>
              <w:t>rs No 279, 2013</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200.02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2007 No 202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200.03</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2007 No 202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200.04</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2007 No 202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200.05</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rs F2017L00704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F2017L00321</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2007 No 202; No 103, 2013; F2017L00321; F2017L00704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205.02A</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202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F2017L00704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205.02B</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202</w:t>
            </w: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205.02C</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205.02D</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585B4D">
            <w:pPr>
              <w:pStyle w:val="Tabletext"/>
              <w:tabs>
                <w:tab w:val="center" w:leader="dot" w:pos="2268"/>
              </w:tabs>
              <w:rPr>
                <w:sz w:val="16"/>
                <w:szCs w:val="16"/>
              </w:rPr>
            </w:pPr>
            <w:r w:rsidRPr="00F00002">
              <w:rPr>
                <w:sz w:val="16"/>
                <w:szCs w:val="16"/>
              </w:rPr>
              <w:t>r 307</w:t>
            </w:r>
            <w:r w:rsidR="00F00002">
              <w:rPr>
                <w:sz w:val="16"/>
                <w:szCs w:val="16"/>
              </w:rPr>
              <w:noBreakHyphen/>
            </w:r>
            <w:r w:rsidRPr="00F00002">
              <w:rPr>
                <w:sz w:val="16"/>
                <w:szCs w:val="16"/>
              </w:rPr>
              <w:t>205.02E</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F2017L00704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328</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2003 No 39</w:t>
            </w:r>
            <w:r w:rsidRPr="00F00002">
              <w:rPr>
                <w:sz w:val="16"/>
                <w:szCs w:val="16"/>
              </w:rPr>
              <w:br/>
              <w:t>rep 2007 No 178</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328</w:t>
            </w:r>
            <w:r w:rsidR="00F00002">
              <w:rPr>
                <w:sz w:val="16"/>
                <w:szCs w:val="16"/>
              </w:rPr>
              <w:noBreakHyphen/>
            </w:r>
            <w:r w:rsidRPr="00F00002">
              <w:rPr>
                <w:sz w:val="16"/>
                <w:szCs w:val="16"/>
              </w:rPr>
              <w:t>375.01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2003 No 39</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2006 No 216</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2007 No 178</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b/>
                <w:sz w:val="16"/>
                <w:szCs w:val="16"/>
              </w:rPr>
            </w:pPr>
            <w:r w:rsidRPr="00F00002">
              <w:rPr>
                <w:rFonts w:cs="Times New Roman"/>
                <w:b/>
                <w:sz w:val="16"/>
                <w:szCs w:val="16"/>
              </w:rPr>
              <w:t>Part</w:t>
            </w:r>
            <w:r w:rsidR="00F00002">
              <w:rPr>
                <w:rFonts w:cs="Times New Roman"/>
                <w:b/>
                <w:sz w:val="16"/>
                <w:szCs w:val="16"/>
              </w:rPr>
              <w:t> </w:t>
            </w:r>
            <w:r w:rsidRPr="00F00002">
              <w:rPr>
                <w:rFonts w:cs="Times New Roman"/>
                <w:b/>
                <w:sz w:val="16"/>
                <w:szCs w:val="16"/>
              </w:rPr>
              <w:t>3A</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r w:rsidRPr="00F00002">
              <w:rPr>
                <w:rFonts w:cs="Times New Roman"/>
                <w:sz w:val="16"/>
                <w:szCs w:val="16"/>
              </w:rPr>
              <w:t>Part</w:t>
            </w:r>
            <w:r w:rsidR="00F00002">
              <w:rPr>
                <w:rFonts w:cs="Times New Roman"/>
                <w:sz w:val="16"/>
                <w:szCs w:val="16"/>
              </w:rPr>
              <w:t> </w:t>
            </w:r>
            <w:r w:rsidRPr="00F00002">
              <w:rPr>
                <w:rFonts w:cs="Times New Roman"/>
                <w:sz w:val="16"/>
                <w:szCs w:val="16"/>
              </w:rPr>
              <w:t>3A</w:t>
            </w:r>
            <w:r w:rsidRPr="00F00002">
              <w:rPr>
                <w:rFonts w:cs="Times New Roman"/>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b/>
                <w:sz w:val="16"/>
                <w:szCs w:val="16"/>
              </w:rPr>
            </w:pPr>
            <w:r w:rsidRPr="00F00002">
              <w:rPr>
                <w:rFonts w:cs="Times New Roman"/>
                <w:b/>
                <w:sz w:val="16"/>
                <w:szCs w:val="16"/>
              </w:rPr>
              <w:t>Division</w:t>
            </w:r>
            <w:r w:rsidR="00F00002">
              <w:rPr>
                <w:rFonts w:cs="Times New Roman"/>
                <w:b/>
                <w:sz w:val="16"/>
                <w:szCs w:val="16"/>
              </w:rPr>
              <w:t> </w:t>
            </w:r>
            <w:r w:rsidRPr="00F00002">
              <w:rPr>
                <w:rFonts w:cs="Times New Roman"/>
                <w:b/>
                <w:sz w:val="16"/>
                <w:szCs w:val="16"/>
              </w:rPr>
              <w:t>393</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r w:rsidRPr="00F00002">
              <w:rPr>
                <w:rFonts w:cs="Times New Roman"/>
                <w:sz w:val="16"/>
                <w:szCs w:val="16"/>
              </w:rPr>
              <w:t>Division</w:t>
            </w:r>
            <w:r w:rsidR="00F00002">
              <w:rPr>
                <w:rFonts w:cs="Times New Roman"/>
                <w:sz w:val="16"/>
                <w:szCs w:val="16"/>
              </w:rPr>
              <w:t> </w:t>
            </w:r>
            <w:r w:rsidRPr="00F00002">
              <w:rPr>
                <w:rFonts w:cs="Times New Roman"/>
                <w:sz w:val="16"/>
                <w:szCs w:val="16"/>
              </w:rPr>
              <w:t>393</w:t>
            </w:r>
            <w:r w:rsidRPr="00F00002">
              <w:rPr>
                <w:rFonts w:cs="Times New Roman"/>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r w:rsidRPr="00F00002">
              <w:rPr>
                <w:rFonts w:cs="Times New Roman"/>
                <w:sz w:val="16"/>
                <w:szCs w:val="16"/>
              </w:rPr>
              <w:t>r 393</w:t>
            </w:r>
            <w:r w:rsidR="00F00002">
              <w:rPr>
                <w:sz w:val="16"/>
                <w:szCs w:val="16"/>
              </w:rPr>
              <w:noBreakHyphen/>
            </w:r>
            <w:r w:rsidRPr="00F00002">
              <w:rPr>
                <w:rFonts w:cs="Times New Roman"/>
                <w:sz w:val="16"/>
                <w:szCs w:val="16"/>
              </w:rPr>
              <w:t>1</w:t>
            </w:r>
            <w:r w:rsidRPr="00F00002">
              <w:rPr>
                <w:rFonts w:cs="Times New Roman"/>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r w:rsidRPr="00F00002">
              <w:rPr>
                <w:rFonts w:cs="Times New Roman"/>
                <w:sz w:val="16"/>
                <w:szCs w:val="16"/>
              </w:rPr>
              <w:t>r 393</w:t>
            </w:r>
            <w:r w:rsidR="00F00002">
              <w:rPr>
                <w:sz w:val="16"/>
                <w:szCs w:val="16"/>
              </w:rPr>
              <w:noBreakHyphen/>
            </w:r>
            <w:r w:rsidRPr="00F00002">
              <w:rPr>
                <w:rFonts w:cs="Times New Roman"/>
                <w:sz w:val="16"/>
                <w:szCs w:val="16"/>
              </w:rPr>
              <w:t>5</w:t>
            </w:r>
            <w:r w:rsidRPr="00F00002">
              <w:rPr>
                <w:rFonts w:cs="Times New Roman"/>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r w:rsidRPr="00F00002">
              <w:rPr>
                <w:rFonts w:cs="Times New Roman"/>
                <w:sz w:val="16"/>
                <w:szCs w:val="16"/>
              </w:rPr>
              <w:t>r 393</w:t>
            </w:r>
            <w:r w:rsidR="00F00002">
              <w:rPr>
                <w:sz w:val="16"/>
                <w:szCs w:val="16"/>
              </w:rPr>
              <w:noBreakHyphen/>
            </w:r>
            <w:r w:rsidRPr="00F00002">
              <w:rPr>
                <w:rFonts w:cs="Times New Roman"/>
                <w:sz w:val="16"/>
                <w:szCs w:val="16"/>
              </w:rPr>
              <w:t>10</w:t>
            </w:r>
            <w:r w:rsidRPr="00F00002">
              <w:rPr>
                <w:rFonts w:cs="Times New Roman"/>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r w:rsidRPr="00F00002">
              <w:rPr>
                <w:rFonts w:cs="Times New Roman"/>
                <w:sz w:val="16"/>
                <w:szCs w:val="16"/>
              </w:rPr>
              <w:t>r 393</w:t>
            </w:r>
            <w:r w:rsidR="00F00002">
              <w:rPr>
                <w:sz w:val="16"/>
                <w:szCs w:val="16"/>
              </w:rPr>
              <w:noBreakHyphen/>
            </w:r>
            <w:r w:rsidRPr="00F00002">
              <w:rPr>
                <w:rFonts w:cs="Times New Roman"/>
                <w:sz w:val="16"/>
                <w:szCs w:val="16"/>
              </w:rPr>
              <w:t>15</w:t>
            </w:r>
            <w:r w:rsidRPr="00F00002">
              <w:rPr>
                <w:rFonts w:cs="Times New Roman"/>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5B7450">
            <w:pPr>
              <w:pStyle w:val="Tabletext"/>
              <w:rPr>
                <w:sz w:val="16"/>
                <w:szCs w:val="16"/>
              </w:rPr>
            </w:pPr>
            <w:r w:rsidRPr="00F00002">
              <w:rPr>
                <w:sz w:val="16"/>
                <w:szCs w:val="16"/>
              </w:rPr>
              <w:t>am F2018L01691</w:t>
            </w:r>
          </w:p>
        </w:tc>
      </w:tr>
      <w:tr w:rsidR="0081299F" w:rsidRPr="00F00002" w:rsidTr="0081299F">
        <w:trPr>
          <w:cantSplit/>
        </w:trPr>
        <w:tc>
          <w:tcPr>
            <w:tcW w:w="1542" w:type="pct"/>
            <w:shd w:val="clear" w:color="auto" w:fill="auto"/>
          </w:tcPr>
          <w:p w:rsidR="0081299F" w:rsidRPr="00F00002" w:rsidRDefault="0081299F" w:rsidP="00174F85">
            <w:pPr>
              <w:pStyle w:val="Tabletext"/>
              <w:keepNext/>
              <w:keepLines/>
              <w:rPr>
                <w:sz w:val="16"/>
                <w:szCs w:val="16"/>
              </w:rPr>
            </w:pPr>
            <w:r w:rsidRPr="00F00002">
              <w:rPr>
                <w:b/>
                <w:sz w:val="16"/>
                <w:szCs w:val="16"/>
              </w:rPr>
              <w:t>Part</w:t>
            </w:r>
            <w:r w:rsidR="00F00002">
              <w:rPr>
                <w:b/>
                <w:sz w:val="16"/>
                <w:szCs w:val="16"/>
              </w:rPr>
              <w:t> </w:t>
            </w:r>
            <w:r w:rsidRPr="00F00002">
              <w:rPr>
                <w:b/>
                <w:sz w:val="16"/>
                <w:szCs w:val="16"/>
              </w:rPr>
              <w:t>4</w:t>
            </w:r>
          </w:p>
        </w:tc>
        <w:tc>
          <w:tcPr>
            <w:tcW w:w="3458" w:type="pct"/>
            <w:shd w:val="clear" w:color="auto" w:fill="auto"/>
          </w:tcPr>
          <w:p w:rsidR="0081299F" w:rsidRPr="00F00002" w:rsidRDefault="0081299F" w:rsidP="00174F85">
            <w:pPr>
              <w:pStyle w:val="Tabletext"/>
              <w:keepNext/>
              <w:keepLines/>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4</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997DBB">
            <w:pPr>
              <w:pStyle w:val="Tabletext"/>
              <w:keepNext/>
              <w:rPr>
                <w:sz w:val="16"/>
                <w:szCs w:val="16"/>
              </w:rPr>
            </w:pPr>
            <w:r w:rsidRPr="00F00002">
              <w:rPr>
                <w:b/>
                <w:sz w:val="16"/>
                <w:szCs w:val="16"/>
              </w:rPr>
              <w:t>Subdivision</w:t>
            </w:r>
            <w:r w:rsidR="00F00002">
              <w:rPr>
                <w:b/>
                <w:sz w:val="16"/>
                <w:szCs w:val="16"/>
              </w:rPr>
              <w:t> </w:t>
            </w:r>
            <w:r w:rsidRPr="00F00002">
              <w:rPr>
                <w:b/>
                <w:sz w:val="16"/>
                <w:szCs w:val="16"/>
              </w:rPr>
              <w:t>775</w:t>
            </w:r>
            <w:r w:rsidR="00F00002">
              <w:rPr>
                <w:b/>
                <w:sz w:val="16"/>
                <w:szCs w:val="16"/>
              </w:rPr>
              <w:noBreakHyphen/>
            </w:r>
            <w:r w:rsidRPr="00F00002">
              <w:rPr>
                <w:b/>
                <w:sz w:val="16"/>
                <w:szCs w:val="16"/>
              </w:rPr>
              <w:t>B</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775</w:t>
            </w:r>
            <w:r w:rsidR="00F00002">
              <w:rPr>
                <w:sz w:val="16"/>
                <w:szCs w:val="16"/>
              </w:rPr>
              <w:noBreakHyphen/>
            </w:r>
            <w:r w:rsidRPr="00F00002">
              <w:rPr>
                <w:sz w:val="16"/>
                <w:szCs w:val="16"/>
              </w:rPr>
              <w:t>145.01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830</w:t>
            </w:r>
            <w:r w:rsidR="00F00002">
              <w:rPr>
                <w:b/>
                <w:sz w:val="16"/>
                <w:szCs w:val="16"/>
              </w:rPr>
              <w:noBreakHyphen/>
            </w:r>
            <w:r w:rsidRPr="00F00002">
              <w:rPr>
                <w:b/>
                <w:sz w:val="16"/>
                <w:szCs w:val="16"/>
              </w:rPr>
              <w:t>A</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830</w:t>
            </w:r>
            <w:r w:rsidR="00F00002">
              <w:rPr>
                <w:sz w:val="16"/>
                <w:szCs w:val="16"/>
              </w:rPr>
              <w:noBreakHyphen/>
            </w:r>
            <w:r w:rsidRPr="00F00002">
              <w:rPr>
                <w:sz w:val="16"/>
                <w:szCs w:val="16"/>
              </w:rPr>
              <w:t>15.01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177</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5</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5</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No 103, 2013</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b/>
                <w:sz w:val="16"/>
                <w:szCs w:val="16"/>
              </w:rPr>
              <w:t>Division</w:t>
            </w:r>
            <w:r w:rsidR="00F00002">
              <w:rPr>
                <w:b/>
                <w:sz w:val="16"/>
                <w:szCs w:val="16"/>
              </w:rPr>
              <w:t> </w:t>
            </w:r>
            <w:r w:rsidRPr="00F00002">
              <w:rPr>
                <w:b/>
                <w:sz w:val="16"/>
                <w:szCs w:val="16"/>
              </w:rPr>
              <w:t>910</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1.01</w:t>
            </w:r>
            <w:r w:rsidRPr="00F00002">
              <w:rPr>
                <w:sz w:val="16"/>
                <w:szCs w:val="16"/>
              </w:rPr>
              <w:tab/>
            </w:r>
          </w:p>
        </w:tc>
        <w:tc>
          <w:tcPr>
            <w:tcW w:w="3458" w:type="pct"/>
            <w:shd w:val="clear" w:color="auto" w:fill="auto"/>
          </w:tcPr>
          <w:p w:rsidR="0081299F" w:rsidRPr="00F00002" w:rsidRDefault="0081299F" w:rsidP="00C369AA">
            <w:pPr>
              <w:pStyle w:val="Tabletext"/>
              <w:rPr>
                <w:sz w:val="16"/>
                <w:szCs w:val="16"/>
              </w:rPr>
            </w:pPr>
            <w:r w:rsidRPr="00F00002">
              <w:rPr>
                <w:sz w:val="16"/>
                <w:szCs w:val="16"/>
              </w:rPr>
              <w:t>ad No 103, 2013</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No 279, 2013</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1.02</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279, 2013</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1.03</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279, 2013</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1.04</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6, 2014</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1.05</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1.07</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No 17, 2015</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1.08</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F2016L00156</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ed C76</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1.09</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F2017L00321</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1.10</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F2018L01691</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r 910</w:t>
            </w:r>
            <w:r w:rsidR="00F00002">
              <w:rPr>
                <w:sz w:val="16"/>
                <w:szCs w:val="16"/>
              </w:rPr>
              <w:noBreakHyphen/>
            </w:r>
            <w:r w:rsidRPr="00F00002">
              <w:rPr>
                <w:sz w:val="16"/>
                <w:szCs w:val="16"/>
              </w:rPr>
              <w:t>1.11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F2019L00391</w:t>
            </w:r>
          </w:p>
        </w:tc>
      </w:tr>
      <w:tr w:rsidR="0081299F" w:rsidRPr="00F00002" w:rsidTr="0081299F">
        <w:trPr>
          <w:cantSplit/>
        </w:trPr>
        <w:tc>
          <w:tcPr>
            <w:tcW w:w="1542" w:type="pct"/>
            <w:shd w:val="clear" w:color="auto" w:fill="auto"/>
          </w:tcPr>
          <w:p w:rsidR="0081299F" w:rsidRPr="00F00002" w:rsidRDefault="0081299F">
            <w:pPr>
              <w:pStyle w:val="Tabletext"/>
              <w:tabs>
                <w:tab w:val="center" w:leader="dot" w:pos="2268"/>
              </w:tabs>
              <w:rPr>
                <w:sz w:val="16"/>
                <w:szCs w:val="16"/>
              </w:rPr>
            </w:pPr>
            <w:r w:rsidRPr="00F00002">
              <w:rPr>
                <w:sz w:val="16"/>
                <w:szCs w:val="16"/>
              </w:rPr>
              <w:t xml:space="preserve">r </w:t>
            </w:r>
            <w:r w:rsidRPr="00CE4450">
              <w:rPr>
                <w:sz w:val="16"/>
                <w:szCs w:val="16"/>
              </w:rPr>
              <w:t>910</w:t>
            </w:r>
            <w:r w:rsidR="00F00002" w:rsidRPr="00CE4450">
              <w:rPr>
                <w:sz w:val="16"/>
                <w:szCs w:val="16"/>
              </w:rPr>
              <w:noBreakHyphen/>
            </w:r>
            <w:r w:rsidRPr="00CE4450">
              <w:rPr>
                <w:sz w:val="16"/>
                <w:szCs w:val="16"/>
              </w:rPr>
              <w:t>1.12</w:t>
            </w:r>
            <w:r w:rsidRPr="00CE4450">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F2019L01641</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Part</w:t>
            </w:r>
            <w:r w:rsidR="00F00002">
              <w:rPr>
                <w:b/>
                <w:sz w:val="16"/>
                <w:szCs w:val="16"/>
              </w:rPr>
              <w:t> </w:t>
            </w:r>
            <w:r w:rsidRPr="00F00002">
              <w:rPr>
                <w:b/>
                <w:sz w:val="16"/>
                <w:szCs w:val="16"/>
              </w:rPr>
              <w:t>6</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6 heading</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2002 No 172</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960</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960</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F23EA4">
            <w:pPr>
              <w:pStyle w:val="Tabletext"/>
              <w:keepNext/>
              <w:keepLines/>
              <w:rPr>
                <w:sz w:val="16"/>
                <w:szCs w:val="16"/>
              </w:rPr>
            </w:pPr>
            <w:r w:rsidRPr="00F00002">
              <w:rPr>
                <w:b/>
                <w:sz w:val="16"/>
                <w:szCs w:val="16"/>
              </w:rPr>
              <w:t>Subdivision</w:t>
            </w:r>
            <w:r w:rsidR="00F00002">
              <w:rPr>
                <w:b/>
                <w:sz w:val="16"/>
                <w:szCs w:val="16"/>
              </w:rPr>
              <w:t> </w:t>
            </w:r>
            <w:r w:rsidRPr="00F00002">
              <w:rPr>
                <w:b/>
                <w:sz w:val="16"/>
                <w:szCs w:val="16"/>
              </w:rPr>
              <w:t>960</w:t>
            </w:r>
            <w:r w:rsidR="00F00002">
              <w:rPr>
                <w:b/>
                <w:sz w:val="16"/>
                <w:szCs w:val="16"/>
              </w:rPr>
              <w:noBreakHyphen/>
            </w:r>
            <w:r w:rsidRPr="00F00002">
              <w:rPr>
                <w:b/>
                <w:sz w:val="16"/>
                <w:szCs w:val="16"/>
              </w:rPr>
              <w:t>C</w:t>
            </w:r>
          </w:p>
        </w:tc>
        <w:tc>
          <w:tcPr>
            <w:tcW w:w="3458" w:type="pct"/>
            <w:shd w:val="clear" w:color="auto" w:fill="auto"/>
          </w:tcPr>
          <w:p w:rsidR="0081299F" w:rsidRPr="00F00002" w:rsidRDefault="0081299F" w:rsidP="00F23EA4">
            <w:pPr>
              <w:pStyle w:val="Tabletext"/>
              <w:keepNext/>
              <w:keepLines/>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960</w:t>
            </w:r>
            <w:r w:rsidR="00F00002">
              <w:rPr>
                <w:sz w:val="16"/>
                <w:szCs w:val="16"/>
              </w:rPr>
              <w:noBreakHyphen/>
            </w:r>
            <w:r w:rsidRPr="00F00002">
              <w:rPr>
                <w:sz w:val="16"/>
                <w:szCs w:val="16"/>
              </w:rPr>
              <w:t>50.01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2005 No 75</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960</w:t>
            </w:r>
            <w:r w:rsidR="00F00002">
              <w:rPr>
                <w:b/>
                <w:sz w:val="16"/>
                <w:szCs w:val="16"/>
              </w:rPr>
              <w:noBreakHyphen/>
            </w:r>
            <w:r w:rsidRPr="00F00002">
              <w:rPr>
                <w:b/>
                <w:sz w:val="16"/>
                <w:szCs w:val="16"/>
              </w:rPr>
              <w:t>D</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960</w:t>
            </w:r>
            <w:r w:rsidR="00F00002">
              <w:rPr>
                <w:sz w:val="16"/>
                <w:szCs w:val="16"/>
              </w:rPr>
              <w:noBreakHyphen/>
            </w:r>
            <w:r w:rsidRPr="00F00002">
              <w:rPr>
                <w:sz w:val="16"/>
                <w:szCs w:val="16"/>
              </w:rPr>
              <w:t>80.01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960</w:t>
            </w:r>
            <w:r w:rsidR="00F00002">
              <w:rPr>
                <w:sz w:val="16"/>
                <w:szCs w:val="16"/>
              </w:rPr>
              <w:noBreakHyphen/>
            </w:r>
            <w:r w:rsidRPr="00F00002">
              <w:rPr>
                <w:sz w:val="16"/>
                <w:szCs w:val="16"/>
              </w:rPr>
              <w:t>80.02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960</w:t>
            </w:r>
            <w:r w:rsidR="00F00002">
              <w:rPr>
                <w:sz w:val="16"/>
                <w:szCs w:val="16"/>
              </w:rPr>
              <w:noBreakHyphen/>
            </w:r>
            <w:r w:rsidRPr="00F00002">
              <w:rPr>
                <w:sz w:val="16"/>
                <w:szCs w:val="16"/>
              </w:rPr>
              <w:t>80.03</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F2016L00170</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974</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Subdivision</w:t>
            </w:r>
            <w:r w:rsidR="00F00002">
              <w:rPr>
                <w:b/>
                <w:sz w:val="16"/>
                <w:szCs w:val="16"/>
              </w:rPr>
              <w:t> </w:t>
            </w:r>
            <w:r w:rsidRPr="00F00002">
              <w:rPr>
                <w:b/>
                <w:sz w:val="16"/>
                <w:szCs w:val="16"/>
              </w:rPr>
              <w:t>974</w:t>
            </w:r>
            <w:r w:rsidR="00F00002">
              <w:rPr>
                <w:b/>
                <w:sz w:val="16"/>
                <w:szCs w:val="16"/>
              </w:rPr>
              <w:noBreakHyphen/>
            </w:r>
            <w:r w:rsidRPr="00F00002">
              <w:rPr>
                <w:b/>
                <w:sz w:val="16"/>
                <w:szCs w:val="16"/>
              </w:rPr>
              <w:t>F</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974</w:t>
            </w:r>
            <w:r w:rsidR="00F00002">
              <w:rPr>
                <w:sz w:val="16"/>
                <w:szCs w:val="16"/>
              </w:rPr>
              <w:noBreakHyphen/>
            </w:r>
            <w:r w:rsidRPr="00F00002">
              <w:rPr>
                <w:sz w:val="16"/>
                <w:szCs w:val="16"/>
              </w:rPr>
              <w:t>135A</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2004 No 303</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974</w:t>
            </w:r>
            <w:r w:rsidR="00F00002">
              <w:rPr>
                <w:sz w:val="16"/>
                <w:szCs w:val="16"/>
              </w:rPr>
              <w:noBreakHyphen/>
            </w:r>
            <w:r w:rsidRPr="00F00002">
              <w:rPr>
                <w:sz w:val="16"/>
                <w:szCs w:val="16"/>
              </w:rPr>
              <w:t>135B</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2004 No 303</w:t>
            </w:r>
          </w:p>
        </w:tc>
      </w:tr>
      <w:tr w:rsidR="0081299F" w:rsidRPr="00F00002" w:rsidTr="0081299F">
        <w:trPr>
          <w:cantSplit/>
        </w:trPr>
        <w:tc>
          <w:tcPr>
            <w:tcW w:w="1542" w:type="pct"/>
            <w:shd w:val="clear" w:color="auto" w:fill="auto"/>
          </w:tcPr>
          <w:p w:rsidR="0081299F" w:rsidRPr="00F00002" w:rsidRDefault="0081299F" w:rsidP="00D40A79">
            <w:pPr>
              <w:pStyle w:val="Tabletext"/>
              <w:tabs>
                <w:tab w:val="center" w:leader="dot" w:pos="2268"/>
              </w:tabs>
              <w:rPr>
                <w:sz w:val="16"/>
                <w:szCs w:val="16"/>
              </w:rPr>
            </w:pPr>
            <w:r w:rsidRPr="00F00002">
              <w:rPr>
                <w:sz w:val="16"/>
                <w:szCs w:val="16"/>
              </w:rPr>
              <w:t>r 974</w:t>
            </w:r>
            <w:r w:rsidR="00F00002">
              <w:rPr>
                <w:sz w:val="16"/>
                <w:szCs w:val="16"/>
              </w:rPr>
              <w:noBreakHyphen/>
            </w:r>
            <w:r w:rsidRPr="00F00002">
              <w:rPr>
                <w:sz w:val="16"/>
                <w:szCs w:val="16"/>
              </w:rPr>
              <w:t>135C (prev</w:t>
            </w:r>
            <w:r w:rsidRPr="00F00002">
              <w:rPr>
                <w:sz w:val="16"/>
                <w:szCs w:val="16"/>
              </w:rPr>
              <w:tab/>
            </w:r>
            <w:r w:rsidRPr="00F00002">
              <w:rPr>
                <w:sz w:val="16"/>
                <w:szCs w:val="16"/>
              </w:rPr>
              <w:br/>
              <w:t>r 974A</w:t>
            </w:r>
            <w:r w:rsidR="00F00002">
              <w:rPr>
                <w:sz w:val="16"/>
                <w:szCs w:val="16"/>
              </w:rPr>
              <w:noBreakHyphen/>
            </w:r>
            <w:r w:rsidRPr="00F00002">
              <w:rPr>
                <w:sz w:val="16"/>
                <w:szCs w:val="16"/>
              </w:rPr>
              <w:t>135C)</w:t>
            </w:r>
          </w:p>
        </w:tc>
        <w:tc>
          <w:tcPr>
            <w:tcW w:w="3458" w:type="pct"/>
            <w:shd w:val="clear" w:color="auto" w:fill="auto"/>
          </w:tcPr>
          <w:p w:rsidR="0081299F" w:rsidRPr="00F00002" w:rsidRDefault="0081299F" w:rsidP="00FE3C77">
            <w:pPr>
              <w:pStyle w:val="Tabletext"/>
              <w:rPr>
                <w:sz w:val="16"/>
                <w:szCs w:val="16"/>
              </w:rPr>
            </w:pPr>
            <w:r w:rsidRPr="00F00002">
              <w:rPr>
                <w:sz w:val="16"/>
                <w:szCs w:val="16"/>
              </w:rPr>
              <w:t>reloc and renum No 102, 2005</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974A</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102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974A heading</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2005 No 102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Subdivision</w:t>
            </w:r>
            <w:r w:rsidR="00F00002">
              <w:rPr>
                <w:sz w:val="16"/>
                <w:szCs w:val="16"/>
              </w:rPr>
              <w:t> </w:t>
            </w:r>
            <w:r w:rsidRPr="00F00002">
              <w:rPr>
                <w:sz w:val="16"/>
                <w:szCs w:val="16"/>
              </w:rPr>
              <w:t>974A</w:t>
            </w:r>
            <w:r w:rsidR="00F00002">
              <w:rPr>
                <w:sz w:val="16"/>
                <w:szCs w:val="16"/>
              </w:rPr>
              <w:noBreakHyphen/>
            </w:r>
            <w:r w:rsidRPr="00F00002">
              <w:rPr>
                <w:sz w:val="16"/>
                <w:szCs w:val="16"/>
              </w:rPr>
              <w:t>F heading</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2005 No 102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974A</w:t>
            </w:r>
            <w:r w:rsidR="00F00002">
              <w:rPr>
                <w:sz w:val="16"/>
                <w:szCs w:val="16"/>
              </w:rPr>
              <w:noBreakHyphen/>
            </w:r>
            <w:r w:rsidRPr="00F00002">
              <w:rPr>
                <w:sz w:val="16"/>
                <w:szCs w:val="16"/>
              </w:rPr>
              <w:t>135C</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102</w:t>
            </w:r>
          </w:p>
        </w:tc>
      </w:tr>
      <w:tr w:rsidR="0081299F" w:rsidRPr="00F00002" w:rsidTr="0081299F">
        <w:trPr>
          <w:cantSplit/>
        </w:trPr>
        <w:tc>
          <w:tcPr>
            <w:tcW w:w="1542" w:type="pct"/>
            <w:shd w:val="clear" w:color="auto" w:fill="auto"/>
          </w:tcPr>
          <w:p w:rsidR="0081299F" w:rsidRPr="00F00002" w:rsidRDefault="0081299F" w:rsidP="00027330">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reloc and renum No 102, 2005</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974</w:t>
            </w:r>
            <w:r w:rsidR="00F00002">
              <w:rPr>
                <w:sz w:val="16"/>
                <w:szCs w:val="16"/>
              </w:rPr>
              <w:noBreakHyphen/>
            </w:r>
            <w:r w:rsidRPr="00F00002">
              <w:rPr>
                <w:sz w:val="16"/>
                <w:szCs w:val="16"/>
              </w:rPr>
              <w:t>135D</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2010 No 73</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2011 No 35; No 310, 2012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974</w:t>
            </w:r>
            <w:r w:rsidR="00F00002">
              <w:rPr>
                <w:sz w:val="16"/>
                <w:szCs w:val="16"/>
              </w:rPr>
              <w:noBreakHyphen/>
            </w:r>
            <w:r w:rsidRPr="00F00002">
              <w:rPr>
                <w:sz w:val="16"/>
                <w:szCs w:val="16"/>
              </w:rPr>
              <w:t>135E</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2011 No 35</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D150ED">
            <w:pPr>
              <w:pStyle w:val="Tabletext"/>
              <w:rPr>
                <w:sz w:val="16"/>
                <w:szCs w:val="16"/>
              </w:rPr>
            </w:pPr>
            <w:r w:rsidRPr="00F00002">
              <w:rPr>
                <w:sz w:val="16"/>
                <w:szCs w:val="16"/>
              </w:rPr>
              <w:t>am No 310, 2012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974</w:t>
            </w:r>
            <w:r w:rsidR="00F00002">
              <w:rPr>
                <w:sz w:val="16"/>
                <w:szCs w:val="16"/>
              </w:rPr>
              <w:noBreakHyphen/>
            </w:r>
            <w:r w:rsidRPr="00F00002">
              <w:rPr>
                <w:sz w:val="16"/>
                <w:szCs w:val="16"/>
              </w:rPr>
              <w:t>135F</w:t>
            </w:r>
            <w:r w:rsidRPr="00F00002">
              <w:rPr>
                <w:sz w:val="16"/>
                <w:szCs w:val="16"/>
              </w:rPr>
              <w:tab/>
            </w:r>
          </w:p>
        </w:tc>
        <w:tc>
          <w:tcPr>
            <w:tcW w:w="3458" w:type="pct"/>
            <w:shd w:val="clear" w:color="auto" w:fill="auto"/>
          </w:tcPr>
          <w:p w:rsidR="0081299F" w:rsidRPr="00F00002" w:rsidRDefault="0081299F" w:rsidP="00F82FA0">
            <w:pPr>
              <w:pStyle w:val="Tabletext"/>
              <w:rPr>
                <w:sz w:val="16"/>
                <w:szCs w:val="16"/>
              </w:rPr>
            </w:pPr>
            <w:r w:rsidRPr="00F00002">
              <w:rPr>
                <w:sz w:val="16"/>
                <w:szCs w:val="16"/>
              </w:rPr>
              <w:t>ad 2012 No 310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82FA0">
            <w:pPr>
              <w:pStyle w:val="Tabletext"/>
              <w:rPr>
                <w:sz w:val="16"/>
                <w:szCs w:val="16"/>
              </w:rPr>
            </w:pPr>
            <w:r w:rsidRPr="00F00002">
              <w:rPr>
                <w:sz w:val="16"/>
                <w:szCs w:val="16"/>
              </w:rPr>
              <w:t>am F2019L00391</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Division</w:t>
            </w:r>
            <w:r w:rsidR="00F00002">
              <w:rPr>
                <w:b/>
                <w:sz w:val="16"/>
                <w:szCs w:val="16"/>
              </w:rPr>
              <w:t> </w:t>
            </w:r>
            <w:r w:rsidRPr="00F00002">
              <w:rPr>
                <w:b/>
                <w:sz w:val="16"/>
                <w:szCs w:val="16"/>
              </w:rPr>
              <w:t>995</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Division</w:t>
            </w:r>
            <w:r w:rsidR="00F00002">
              <w:rPr>
                <w:sz w:val="16"/>
                <w:szCs w:val="16"/>
              </w:rPr>
              <w:t> </w:t>
            </w:r>
            <w:r w:rsidRPr="00F00002">
              <w:rPr>
                <w:sz w:val="16"/>
                <w:szCs w:val="16"/>
              </w:rPr>
              <w:t>995 heading</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2002 No 172</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995</w:t>
            </w:r>
            <w:r w:rsidR="00F00002">
              <w:rPr>
                <w:sz w:val="16"/>
                <w:szCs w:val="16"/>
              </w:rPr>
              <w:noBreakHyphen/>
            </w:r>
            <w:r w:rsidRPr="00F00002">
              <w:rPr>
                <w:sz w:val="16"/>
                <w:szCs w:val="16"/>
              </w:rPr>
              <w:t>1.01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am No 90, 2007; No 103, 2007; No 144, 2008; No 35, 2011; No 103, 2013; No 52, 2014; No 17, 2015; F2017L00321; am F2017L00704</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ed C76</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F2018L01691</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995</w:t>
            </w:r>
            <w:r w:rsidR="00F00002">
              <w:rPr>
                <w:sz w:val="16"/>
                <w:szCs w:val="16"/>
              </w:rPr>
              <w:noBreakHyphen/>
            </w:r>
            <w:r w:rsidRPr="00F00002">
              <w:rPr>
                <w:sz w:val="16"/>
                <w:szCs w:val="16"/>
              </w:rPr>
              <w:t>1.02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2001 No 288</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7F393A">
            <w:pPr>
              <w:pStyle w:val="Tabletext"/>
              <w:rPr>
                <w:sz w:val="16"/>
                <w:szCs w:val="16"/>
              </w:rPr>
            </w:pPr>
            <w:r w:rsidRPr="00F00002">
              <w:rPr>
                <w:sz w:val="16"/>
                <w:szCs w:val="16"/>
              </w:rPr>
              <w:t>am 2002 No 65; 2003 No 108; 2003 No 373; 2004 No 330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rs 2005 No 328</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2010 No 9</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995</w:t>
            </w:r>
            <w:r w:rsidR="00F00002">
              <w:rPr>
                <w:sz w:val="16"/>
                <w:szCs w:val="16"/>
              </w:rPr>
              <w:noBreakHyphen/>
            </w:r>
            <w:r w:rsidRPr="00F00002">
              <w:rPr>
                <w:sz w:val="16"/>
                <w:szCs w:val="16"/>
              </w:rPr>
              <w:t>1.03</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F2017L00321</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995</w:t>
            </w:r>
            <w:r w:rsidR="00F00002">
              <w:rPr>
                <w:sz w:val="16"/>
                <w:szCs w:val="16"/>
              </w:rPr>
              <w:noBreakHyphen/>
            </w:r>
            <w:r w:rsidRPr="00F00002">
              <w:rPr>
                <w:sz w:val="16"/>
                <w:szCs w:val="16"/>
              </w:rPr>
              <w:t>1.04</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FE3C77">
            <w:pPr>
              <w:pStyle w:val="Tabletext"/>
              <w:tabs>
                <w:tab w:val="center" w:leader="dot" w:pos="2268"/>
              </w:tabs>
              <w:rPr>
                <w:sz w:val="16"/>
                <w:szCs w:val="16"/>
              </w:rPr>
            </w:pPr>
            <w:r w:rsidRPr="00F00002">
              <w:rPr>
                <w:sz w:val="16"/>
                <w:szCs w:val="16"/>
              </w:rPr>
              <w:t>r 995</w:t>
            </w:r>
            <w:r w:rsidR="00F00002">
              <w:rPr>
                <w:sz w:val="16"/>
                <w:szCs w:val="16"/>
              </w:rPr>
              <w:noBreakHyphen/>
            </w:r>
            <w:r w:rsidRPr="00F00002">
              <w:rPr>
                <w:sz w:val="16"/>
                <w:szCs w:val="16"/>
              </w:rPr>
              <w:t>1.05</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2011 No 5</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2000 No 1</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F2016L00156</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2001 No 26; 2002 No 46; 2003 No 40; 2004 No 52; 2005 No 22; 2006 No 61; 2007 No 44; 2008 No 35; 2009 No 54; 2010 No 74; 2011 No 57; 2012 No 47; No 24, 2013; No 39, 2015</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9F5EBC">
            <w:pPr>
              <w:pStyle w:val="Tabletext"/>
              <w:rPr>
                <w:sz w:val="16"/>
                <w:szCs w:val="16"/>
              </w:rPr>
            </w:pPr>
            <w:r w:rsidRPr="00F00002">
              <w:rPr>
                <w:sz w:val="16"/>
                <w:szCs w:val="16"/>
              </w:rPr>
              <w:t>rs No 279, 2013</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9F5EBC">
            <w:pPr>
              <w:pStyle w:val="Tabletext"/>
              <w:rPr>
                <w:sz w:val="16"/>
                <w:szCs w:val="16"/>
              </w:rPr>
            </w:pPr>
            <w:r w:rsidRPr="00F00002">
              <w:rPr>
                <w:sz w:val="16"/>
                <w:szCs w:val="16"/>
              </w:rPr>
              <w:t>am No 156, 2015</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p>
        </w:tc>
        <w:tc>
          <w:tcPr>
            <w:tcW w:w="3458" w:type="pct"/>
            <w:shd w:val="clear" w:color="auto" w:fill="auto"/>
          </w:tcPr>
          <w:p w:rsidR="0081299F" w:rsidRPr="00F00002" w:rsidRDefault="0081299F" w:rsidP="009F5EBC">
            <w:pPr>
              <w:pStyle w:val="Tabletext"/>
              <w:rPr>
                <w:sz w:val="16"/>
                <w:szCs w:val="16"/>
              </w:rPr>
            </w:pPr>
            <w:r w:rsidRPr="00F00002">
              <w:rPr>
                <w:sz w:val="16"/>
                <w:szCs w:val="16"/>
              </w:rPr>
              <w:t>rep F2016L00156</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Schedule</w:t>
            </w:r>
            <w:r w:rsidR="00F00002">
              <w:rPr>
                <w:b/>
                <w:sz w:val="16"/>
                <w:szCs w:val="16"/>
              </w:rPr>
              <w:t> </w:t>
            </w:r>
            <w:r w:rsidRPr="00F00002">
              <w:rPr>
                <w:b/>
                <w:sz w:val="16"/>
                <w:szCs w:val="16"/>
              </w:rPr>
              <w:t>1A</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1A</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103</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7F393A">
            <w:pPr>
              <w:pStyle w:val="Tabletext"/>
              <w:rPr>
                <w:sz w:val="16"/>
                <w:szCs w:val="16"/>
              </w:rPr>
            </w:pPr>
            <w:r w:rsidRPr="00F00002">
              <w:rPr>
                <w:sz w:val="16"/>
                <w:szCs w:val="16"/>
              </w:rPr>
              <w:t>am 2007 No 202; 2007 No 330; 2009 No 177;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Schedule</w:t>
            </w:r>
            <w:r w:rsidR="00F00002">
              <w:rPr>
                <w:b/>
                <w:sz w:val="16"/>
                <w:szCs w:val="16"/>
              </w:rPr>
              <w:t> </w:t>
            </w:r>
            <w:r w:rsidRPr="00F00002">
              <w:rPr>
                <w:b/>
                <w:sz w:val="16"/>
                <w:szCs w:val="16"/>
              </w:rPr>
              <w:t>1AA</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1AA</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1</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1</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2</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3</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4</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2</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2</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5</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6</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FC7D9B">
            <w:pPr>
              <w:pStyle w:val="Tabletext"/>
              <w:tabs>
                <w:tab w:val="center" w:leader="dot" w:pos="2268"/>
              </w:tabs>
              <w:rPr>
                <w:sz w:val="16"/>
                <w:szCs w:val="16"/>
              </w:rPr>
            </w:pPr>
          </w:p>
        </w:tc>
        <w:tc>
          <w:tcPr>
            <w:tcW w:w="3458" w:type="pct"/>
            <w:shd w:val="clear" w:color="auto" w:fill="auto"/>
          </w:tcPr>
          <w:p w:rsidR="0081299F" w:rsidRPr="00F00002" w:rsidRDefault="0081299F" w:rsidP="00D150ED">
            <w:pPr>
              <w:pStyle w:val="Tabletext"/>
              <w:rPr>
                <w:sz w:val="16"/>
                <w:szCs w:val="16"/>
              </w:rPr>
            </w:pPr>
            <w:r w:rsidRPr="00F00002">
              <w:rPr>
                <w:sz w:val="16"/>
                <w:szCs w:val="16"/>
              </w:rPr>
              <w:t>am No 17, 2015</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7</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8</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E93507">
            <w:pPr>
              <w:pStyle w:val="Tabletext"/>
              <w:tabs>
                <w:tab w:val="center" w:leader="dot" w:pos="2268"/>
              </w:tabs>
              <w:rPr>
                <w:sz w:val="16"/>
                <w:szCs w:val="16"/>
              </w:rPr>
            </w:pPr>
            <w:r w:rsidRPr="00F00002">
              <w:rPr>
                <w:sz w:val="16"/>
                <w:szCs w:val="16"/>
              </w:rPr>
              <w:t>c 9</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3</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3</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10</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11</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12</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13</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14</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15</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p>
        </w:tc>
        <w:tc>
          <w:tcPr>
            <w:tcW w:w="3458" w:type="pct"/>
            <w:shd w:val="clear" w:color="auto" w:fill="auto"/>
          </w:tcPr>
          <w:p w:rsidR="0081299F" w:rsidRPr="00F00002" w:rsidRDefault="0081299F" w:rsidP="00D150ED">
            <w:pPr>
              <w:pStyle w:val="Tabletext"/>
              <w:rPr>
                <w:sz w:val="16"/>
                <w:szCs w:val="16"/>
              </w:rPr>
            </w:pPr>
            <w:r w:rsidRPr="00F00002">
              <w:rPr>
                <w:sz w:val="16"/>
                <w:szCs w:val="16"/>
              </w:rPr>
              <w:t>am No 17, 2015</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16</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FC7D9B">
            <w:pPr>
              <w:pStyle w:val="Tabletext"/>
              <w:tabs>
                <w:tab w:val="center" w:leader="dot" w:pos="2268"/>
              </w:tabs>
              <w:rPr>
                <w:sz w:val="16"/>
                <w:szCs w:val="16"/>
              </w:rPr>
            </w:pPr>
          </w:p>
        </w:tc>
        <w:tc>
          <w:tcPr>
            <w:tcW w:w="3458" w:type="pct"/>
            <w:shd w:val="clear" w:color="auto" w:fill="auto"/>
          </w:tcPr>
          <w:p w:rsidR="0081299F" w:rsidRPr="00F00002" w:rsidRDefault="0081299F" w:rsidP="00FC7D9B">
            <w:pPr>
              <w:pStyle w:val="Tabletext"/>
              <w:rPr>
                <w:sz w:val="16"/>
                <w:szCs w:val="16"/>
              </w:rPr>
            </w:pPr>
            <w:r w:rsidRPr="00F00002">
              <w:rPr>
                <w:sz w:val="16"/>
                <w:szCs w:val="16"/>
              </w:rPr>
              <w:t>am No 17, 2015</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17</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18</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19</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FE1BCF">
            <w:pPr>
              <w:pStyle w:val="Tabletext"/>
              <w:keepN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4</w:t>
            </w:r>
          </w:p>
        </w:tc>
        <w:tc>
          <w:tcPr>
            <w:tcW w:w="3458" w:type="pct"/>
            <w:shd w:val="clear" w:color="auto" w:fill="auto"/>
          </w:tcPr>
          <w:p w:rsidR="0081299F" w:rsidRPr="00F00002" w:rsidRDefault="0081299F" w:rsidP="00FE1BCF">
            <w:pPr>
              <w:pStyle w:val="Tabletext"/>
              <w:keepN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4</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323A77">
            <w:pPr>
              <w:pStyle w:val="Tabletext"/>
              <w:tabs>
                <w:tab w:val="center" w:leader="dot" w:pos="2268"/>
              </w:tabs>
              <w:rPr>
                <w:sz w:val="16"/>
                <w:szCs w:val="16"/>
              </w:rPr>
            </w:pPr>
            <w:r w:rsidRPr="00F00002">
              <w:rPr>
                <w:sz w:val="16"/>
                <w:szCs w:val="16"/>
              </w:rPr>
              <w:t>c 20</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5</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5</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9F4D29">
            <w:pPr>
              <w:pStyle w:val="Tabletext"/>
              <w:tabs>
                <w:tab w:val="center" w:leader="dot" w:pos="2268"/>
              </w:tabs>
              <w:rPr>
                <w:sz w:val="16"/>
                <w:szCs w:val="16"/>
              </w:rPr>
            </w:pPr>
            <w:r w:rsidRPr="00F00002">
              <w:rPr>
                <w:sz w:val="16"/>
                <w:szCs w:val="16"/>
              </w:rPr>
              <w:t>c 21</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6</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6</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323A77">
            <w:pPr>
              <w:pStyle w:val="Tabletext"/>
              <w:tabs>
                <w:tab w:val="center" w:leader="dot" w:pos="2268"/>
              </w:tabs>
              <w:rPr>
                <w:sz w:val="16"/>
                <w:szCs w:val="16"/>
              </w:rPr>
            </w:pPr>
            <w:r w:rsidRPr="00F00002">
              <w:rPr>
                <w:sz w:val="16"/>
                <w:szCs w:val="16"/>
              </w:rPr>
              <w:t>c 22</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7</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7</w:t>
            </w:r>
            <w:r w:rsidRPr="00F00002">
              <w:rPr>
                <w:sz w:val="16"/>
                <w:szCs w:val="16"/>
              </w:rPr>
              <w:tab/>
            </w:r>
          </w:p>
        </w:tc>
        <w:tc>
          <w:tcPr>
            <w:tcW w:w="3458" w:type="pct"/>
            <w:shd w:val="clear" w:color="auto" w:fill="auto"/>
          </w:tcPr>
          <w:p w:rsidR="0081299F" w:rsidRPr="00F00002" w:rsidRDefault="0081299F" w:rsidP="00D150ED">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323A77">
            <w:pPr>
              <w:pStyle w:val="Tabletext"/>
              <w:tabs>
                <w:tab w:val="center" w:leader="dot" w:pos="2268"/>
              </w:tabs>
              <w:rPr>
                <w:sz w:val="16"/>
                <w:szCs w:val="16"/>
              </w:rPr>
            </w:pPr>
            <w:r w:rsidRPr="00F00002">
              <w:rPr>
                <w:sz w:val="16"/>
                <w:szCs w:val="16"/>
              </w:rPr>
              <w:t>c 23</w:t>
            </w:r>
            <w:r w:rsidRPr="00F00002">
              <w:rPr>
                <w:sz w:val="16"/>
                <w:szCs w:val="16"/>
              </w:rPr>
              <w:tab/>
            </w:r>
          </w:p>
        </w:tc>
        <w:tc>
          <w:tcPr>
            <w:tcW w:w="3458" w:type="pct"/>
            <w:shd w:val="clear" w:color="auto" w:fill="auto"/>
          </w:tcPr>
          <w:p w:rsidR="0081299F" w:rsidRPr="00F00002" w:rsidRDefault="0081299F" w:rsidP="009F4D29">
            <w:pPr>
              <w:pStyle w:val="Tabletext"/>
              <w:rPr>
                <w:sz w:val="16"/>
                <w:szCs w:val="16"/>
              </w:rPr>
            </w:pPr>
            <w:r w:rsidRPr="00F00002">
              <w:rPr>
                <w:sz w:val="16"/>
                <w:szCs w:val="16"/>
              </w:rPr>
              <w:t>ad No 52, 2014</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Schedule</w:t>
            </w:r>
            <w:r w:rsidR="00F00002">
              <w:rPr>
                <w:b/>
                <w:sz w:val="16"/>
                <w:szCs w:val="16"/>
              </w:rPr>
              <w:t> </w:t>
            </w:r>
            <w:r w:rsidRPr="00F00002">
              <w:rPr>
                <w:b/>
                <w:sz w:val="16"/>
                <w:szCs w:val="16"/>
              </w:rPr>
              <w:t>1B</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1B</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2007 No 202</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b/>
                <w:sz w:val="16"/>
                <w:szCs w:val="16"/>
              </w:rPr>
            </w:pPr>
            <w:r w:rsidRPr="00F00002">
              <w:rPr>
                <w:b/>
                <w:sz w:val="16"/>
                <w:szCs w:val="16"/>
              </w:rPr>
              <w:t>Schedule</w:t>
            </w:r>
            <w:r w:rsidR="00F00002">
              <w:rPr>
                <w:b/>
                <w:sz w:val="16"/>
                <w:szCs w:val="16"/>
              </w:rPr>
              <w:t> </w:t>
            </w:r>
            <w:r w:rsidRPr="00F00002">
              <w:rPr>
                <w:b/>
                <w:sz w:val="16"/>
                <w:szCs w:val="16"/>
              </w:rPr>
              <w:t>1C</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1C</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b/>
                <w:sz w:val="16"/>
                <w:szCs w:val="16"/>
              </w:rPr>
            </w:pPr>
            <w:r w:rsidRPr="00F00002">
              <w:rPr>
                <w:b/>
                <w:sz w:val="16"/>
                <w:szCs w:val="16"/>
              </w:rPr>
              <w:t>Part</w:t>
            </w:r>
            <w:r w:rsidR="00F00002">
              <w:rPr>
                <w:b/>
                <w:sz w:val="16"/>
                <w:szCs w:val="16"/>
              </w:rPr>
              <w:t> </w:t>
            </w:r>
            <w:r w:rsidRPr="00F00002">
              <w:rPr>
                <w:b/>
                <w:sz w:val="16"/>
                <w:szCs w:val="16"/>
              </w:rPr>
              <w:t>1</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b/>
                <w:sz w:val="16"/>
                <w:szCs w:val="16"/>
              </w:rPr>
            </w:pPr>
            <w:r w:rsidRPr="00F00002">
              <w:rPr>
                <w:b/>
                <w:sz w:val="16"/>
                <w:szCs w:val="16"/>
              </w:rPr>
              <w:t>Part</w:t>
            </w:r>
            <w:r w:rsidR="00F00002">
              <w:rPr>
                <w:b/>
                <w:sz w:val="16"/>
                <w:szCs w:val="16"/>
              </w:rPr>
              <w:t> </w:t>
            </w:r>
            <w:r w:rsidRPr="00F00002">
              <w:rPr>
                <w:b/>
                <w:sz w:val="16"/>
                <w:szCs w:val="16"/>
              </w:rPr>
              <w:t>2</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b/>
                <w:sz w:val="16"/>
                <w:szCs w:val="16"/>
              </w:rPr>
            </w:pPr>
            <w:r w:rsidRPr="00F00002">
              <w:rPr>
                <w:b/>
                <w:sz w:val="16"/>
                <w:szCs w:val="16"/>
              </w:rPr>
              <w:t>Part</w:t>
            </w:r>
            <w:r w:rsidR="00F00002">
              <w:rPr>
                <w:b/>
                <w:sz w:val="16"/>
                <w:szCs w:val="16"/>
              </w:rPr>
              <w:t> </w:t>
            </w:r>
            <w:r w:rsidRPr="00F00002">
              <w:rPr>
                <w:b/>
                <w:sz w:val="16"/>
                <w:szCs w:val="16"/>
              </w:rPr>
              <w:t>3</w:t>
            </w:r>
          </w:p>
        </w:tc>
        <w:tc>
          <w:tcPr>
            <w:tcW w:w="3458" w:type="pct"/>
            <w:shd w:val="clear" w:color="auto" w:fill="auto"/>
          </w:tcPr>
          <w:p w:rsidR="0081299F" w:rsidRPr="00F00002" w:rsidRDefault="0081299F" w:rsidP="00FE3C77">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3</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F2016L01625</w:t>
            </w:r>
          </w:p>
        </w:tc>
      </w:tr>
      <w:tr w:rsidR="0081299F" w:rsidRPr="00F00002" w:rsidTr="0081299F">
        <w:trPr>
          <w:cantSplit/>
        </w:trPr>
        <w:tc>
          <w:tcPr>
            <w:tcW w:w="1542" w:type="pct"/>
            <w:shd w:val="clear" w:color="auto" w:fill="auto"/>
          </w:tcPr>
          <w:p w:rsidR="0081299F" w:rsidRPr="00F00002" w:rsidRDefault="0081299F" w:rsidP="00F23EA4">
            <w:pPr>
              <w:pStyle w:val="Tabletext"/>
              <w:keepNext/>
              <w:keepLines/>
              <w:tabs>
                <w:tab w:val="center" w:leader="dot" w:pos="2268"/>
              </w:tabs>
              <w:rPr>
                <w:sz w:val="16"/>
                <w:szCs w:val="16"/>
              </w:rPr>
            </w:pPr>
            <w:r w:rsidRPr="00F00002">
              <w:rPr>
                <w:b/>
                <w:sz w:val="16"/>
                <w:szCs w:val="16"/>
              </w:rPr>
              <w:t>Schedule</w:t>
            </w:r>
            <w:r w:rsidR="00F00002">
              <w:rPr>
                <w:b/>
                <w:sz w:val="16"/>
                <w:szCs w:val="16"/>
              </w:rPr>
              <w:t> </w:t>
            </w:r>
            <w:r w:rsidRPr="00F00002">
              <w:rPr>
                <w:b/>
                <w:sz w:val="16"/>
                <w:szCs w:val="16"/>
              </w:rPr>
              <w:t>2</w:t>
            </w:r>
          </w:p>
        </w:tc>
        <w:tc>
          <w:tcPr>
            <w:tcW w:w="3458" w:type="pct"/>
            <w:shd w:val="clear" w:color="auto" w:fill="auto"/>
          </w:tcPr>
          <w:p w:rsidR="0081299F" w:rsidRPr="00F00002" w:rsidRDefault="0081299F" w:rsidP="00F23EA4">
            <w:pPr>
              <w:pStyle w:val="Tabletext"/>
              <w:keepNext/>
              <w:keepLines/>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sz w:val="16"/>
                <w:szCs w:val="16"/>
              </w:rPr>
            </w:pPr>
            <w:r w:rsidRPr="00F00002">
              <w:rPr>
                <w:b/>
                <w:sz w:val="16"/>
                <w:szCs w:val="16"/>
              </w:rPr>
              <w:t>Part</w:t>
            </w:r>
            <w:r w:rsidR="00F00002">
              <w:rPr>
                <w:b/>
                <w:sz w:val="16"/>
                <w:szCs w:val="16"/>
              </w:rPr>
              <w:t> </w:t>
            </w:r>
            <w:r w:rsidRPr="00F00002">
              <w:rPr>
                <w:b/>
                <w:sz w:val="16"/>
                <w:szCs w:val="16"/>
              </w:rPr>
              <w:t>1</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1</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25513F">
            <w:pPr>
              <w:pStyle w:val="Tabletext"/>
              <w:tabs>
                <w:tab w:val="center" w:leader="dot" w:pos="2268"/>
              </w:tabs>
              <w:rPr>
                <w:b/>
                <w:sz w:val="16"/>
                <w:szCs w:val="16"/>
              </w:rPr>
            </w:pPr>
            <w:r w:rsidRPr="00F00002">
              <w:rPr>
                <w:b/>
                <w:sz w:val="16"/>
                <w:szCs w:val="16"/>
              </w:rPr>
              <w:t>Part</w:t>
            </w:r>
            <w:r w:rsidR="00F00002">
              <w:rPr>
                <w:b/>
                <w:sz w:val="16"/>
                <w:szCs w:val="16"/>
              </w:rPr>
              <w:t> </w:t>
            </w:r>
            <w:r w:rsidRPr="00F00002">
              <w:rPr>
                <w:b/>
                <w:sz w:val="16"/>
                <w:szCs w:val="16"/>
              </w:rPr>
              <w:t>2</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Part</w:t>
            </w:r>
            <w:r w:rsidR="00F00002">
              <w:rPr>
                <w:sz w:val="16"/>
                <w:szCs w:val="16"/>
              </w:rPr>
              <w:t> </w:t>
            </w:r>
            <w:r w:rsidRPr="00F00002">
              <w:rPr>
                <w:sz w:val="16"/>
                <w:szCs w:val="16"/>
              </w:rPr>
              <w:t>2</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75</w:t>
            </w: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3</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2005 No 328</w:t>
            </w:r>
          </w:p>
        </w:tc>
      </w:tr>
      <w:tr w:rsidR="0081299F" w:rsidRPr="00F00002" w:rsidTr="0081299F">
        <w:trPr>
          <w:cantSplit/>
        </w:trPr>
        <w:tc>
          <w:tcPr>
            <w:tcW w:w="1542" w:type="pct"/>
            <w:shd w:val="clear" w:color="auto" w:fill="auto"/>
          </w:tcPr>
          <w:p w:rsidR="0081299F" w:rsidRPr="00F00002" w:rsidRDefault="0081299F" w:rsidP="00DF44F8">
            <w:pPr>
              <w:keepNext/>
              <w:keepLines/>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2006 No 216</w:t>
            </w:r>
          </w:p>
        </w:tc>
      </w:tr>
      <w:tr w:rsidR="0081299F" w:rsidRPr="00F00002" w:rsidTr="0081299F">
        <w:trPr>
          <w:cantSplit/>
        </w:trPr>
        <w:tc>
          <w:tcPr>
            <w:tcW w:w="1542" w:type="pct"/>
            <w:shd w:val="clear" w:color="auto" w:fill="auto"/>
          </w:tcPr>
          <w:p w:rsidR="0081299F" w:rsidRPr="00F00002" w:rsidRDefault="0081299F" w:rsidP="00DF44F8">
            <w:pPr>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rs 2006 No 306</w:t>
            </w:r>
          </w:p>
        </w:tc>
      </w:tr>
      <w:tr w:rsidR="0081299F" w:rsidRPr="00F00002" w:rsidTr="0081299F">
        <w:trPr>
          <w:cantSplit/>
        </w:trPr>
        <w:tc>
          <w:tcPr>
            <w:tcW w:w="1542" w:type="pct"/>
            <w:shd w:val="clear" w:color="auto" w:fill="auto"/>
          </w:tcPr>
          <w:p w:rsidR="0081299F" w:rsidRPr="00F00002" w:rsidRDefault="0081299F" w:rsidP="00DF44F8">
            <w:pPr>
              <w:rPr>
                <w:rFonts w:cs="Times New Roman"/>
                <w:sz w:val="16"/>
                <w:szCs w:val="16"/>
              </w:rPr>
            </w:pPr>
          </w:p>
        </w:tc>
        <w:tc>
          <w:tcPr>
            <w:tcW w:w="3458" w:type="pct"/>
            <w:shd w:val="clear" w:color="auto" w:fill="auto"/>
          </w:tcPr>
          <w:p w:rsidR="0081299F" w:rsidRPr="00F00002" w:rsidRDefault="0081299F" w:rsidP="00F56077">
            <w:pPr>
              <w:pStyle w:val="Tabletext"/>
              <w:rPr>
                <w:sz w:val="16"/>
                <w:szCs w:val="16"/>
              </w:rPr>
            </w:pPr>
            <w:r w:rsidRPr="00F00002">
              <w:rPr>
                <w:sz w:val="16"/>
                <w:szCs w:val="16"/>
              </w:rPr>
              <w:t>am 2008 No 81; 2009 No 13; 2009 No 247</w:t>
            </w:r>
          </w:p>
        </w:tc>
      </w:tr>
      <w:tr w:rsidR="0081299F" w:rsidRPr="00F00002" w:rsidTr="0081299F">
        <w:trPr>
          <w:cantSplit/>
        </w:trPr>
        <w:tc>
          <w:tcPr>
            <w:tcW w:w="1542" w:type="pct"/>
            <w:shd w:val="clear" w:color="auto" w:fill="auto"/>
          </w:tcPr>
          <w:p w:rsidR="0081299F" w:rsidRPr="00F00002" w:rsidRDefault="0081299F" w:rsidP="00DF44F8">
            <w:pPr>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rep 2010 No 9</w:t>
            </w:r>
          </w:p>
        </w:tc>
      </w:tr>
      <w:tr w:rsidR="0081299F" w:rsidRPr="00F00002" w:rsidTr="0081299F">
        <w:trPr>
          <w:cantSplit/>
        </w:trPr>
        <w:tc>
          <w:tcPr>
            <w:tcW w:w="1542" w:type="pct"/>
            <w:shd w:val="clear" w:color="auto" w:fill="auto"/>
          </w:tcPr>
          <w:p w:rsidR="0081299F" w:rsidRPr="00F00002" w:rsidRDefault="0081299F" w:rsidP="00D150ED">
            <w:pPr>
              <w:pStyle w:val="Tabletext"/>
              <w:rPr>
                <w:sz w:val="16"/>
                <w:szCs w:val="16"/>
              </w:rPr>
            </w:pPr>
            <w:r w:rsidRPr="00F00002">
              <w:rPr>
                <w:b/>
                <w:sz w:val="16"/>
                <w:szCs w:val="16"/>
              </w:rPr>
              <w:t>Schedule</w:t>
            </w:r>
            <w:r w:rsidR="00F00002">
              <w:rPr>
                <w:b/>
                <w:sz w:val="16"/>
                <w:szCs w:val="16"/>
              </w:rPr>
              <w:t> </w:t>
            </w:r>
            <w:r w:rsidRPr="00F00002">
              <w:rPr>
                <w:b/>
                <w:sz w:val="16"/>
                <w:szCs w:val="16"/>
              </w:rPr>
              <w:t>4</w:t>
            </w:r>
          </w:p>
        </w:tc>
        <w:tc>
          <w:tcPr>
            <w:tcW w:w="3458" w:type="pct"/>
            <w:shd w:val="clear" w:color="auto" w:fill="auto"/>
          </w:tcPr>
          <w:p w:rsidR="0081299F" w:rsidRPr="00F00002" w:rsidRDefault="0081299F" w:rsidP="00D150ED">
            <w:pPr>
              <w:pStyle w:val="Tabletext"/>
              <w:rPr>
                <w:sz w:val="16"/>
                <w:szCs w:val="16"/>
              </w:rPr>
            </w:pPr>
          </w:p>
        </w:tc>
      </w:tr>
      <w:tr w:rsidR="0081299F" w:rsidRPr="00F00002" w:rsidTr="0081299F">
        <w:trPr>
          <w:cantSplit/>
        </w:trPr>
        <w:tc>
          <w:tcPr>
            <w:tcW w:w="1542" w:type="pct"/>
            <w:shd w:val="clear" w:color="auto" w:fill="auto"/>
          </w:tcPr>
          <w:p w:rsidR="0081299F" w:rsidRPr="00F00002" w:rsidRDefault="0081299F" w:rsidP="00672E95">
            <w:pPr>
              <w:pStyle w:val="Tabletext"/>
              <w:tabs>
                <w:tab w:val="center" w:leader="dot" w:pos="2268"/>
              </w:tabs>
              <w:rPr>
                <w:sz w:val="16"/>
                <w:szCs w:val="16"/>
              </w:rPr>
            </w:pPr>
            <w:r w:rsidRPr="00F00002">
              <w:rPr>
                <w:sz w:val="16"/>
                <w:szCs w:val="16"/>
              </w:rPr>
              <w:t>Schedule</w:t>
            </w:r>
            <w:r w:rsidR="00F00002">
              <w:rPr>
                <w:sz w:val="16"/>
                <w:szCs w:val="16"/>
              </w:rPr>
              <w:t> </w:t>
            </w:r>
            <w:r w:rsidRPr="00F00002">
              <w:rPr>
                <w:sz w:val="16"/>
                <w:szCs w:val="16"/>
              </w:rPr>
              <w:t>4</w:t>
            </w:r>
            <w:r w:rsidRPr="00F00002">
              <w:rPr>
                <w:sz w:val="16"/>
                <w:szCs w:val="16"/>
              </w:rPr>
              <w:tab/>
            </w:r>
          </w:p>
        </w:tc>
        <w:tc>
          <w:tcPr>
            <w:tcW w:w="3458" w:type="pct"/>
            <w:shd w:val="clear" w:color="auto" w:fill="auto"/>
          </w:tcPr>
          <w:p w:rsidR="0081299F" w:rsidRPr="00F00002" w:rsidRDefault="0081299F" w:rsidP="00FE3C77">
            <w:pPr>
              <w:pStyle w:val="Tabletext"/>
              <w:rPr>
                <w:sz w:val="16"/>
                <w:szCs w:val="16"/>
              </w:rPr>
            </w:pPr>
            <w:r w:rsidRPr="00F00002">
              <w:rPr>
                <w:sz w:val="16"/>
                <w:szCs w:val="16"/>
              </w:rPr>
              <w:t>ad 2007 No 90</w:t>
            </w:r>
          </w:p>
        </w:tc>
      </w:tr>
      <w:tr w:rsidR="0081299F" w:rsidRPr="00F00002" w:rsidTr="0081299F">
        <w:trPr>
          <w:cantSplit/>
        </w:trPr>
        <w:tc>
          <w:tcPr>
            <w:tcW w:w="1542" w:type="pct"/>
            <w:shd w:val="clear" w:color="auto" w:fill="auto"/>
          </w:tcPr>
          <w:p w:rsidR="0081299F" w:rsidRPr="00F00002" w:rsidRDefault="0081299F" w:rsidP="00DF44F8">
            <w:pPr>
              <w:tabs>
                <w:tab w:val="right" w:leader="dot" w:pos="2881"/>
              </w:tabs>
              <w:rPr>
                <w:rFonts w:cs="Times New Roman"/>
                <w:sz w:val="16"/>
                <w:szCs w:val="16"/>
              </w:rPr>
            </w:pPr>
          </w:p>
        </w:tc>
        <w:tc>
          <w:tcPr>
            <w:tcW w:w="3458" w:type="pct"/>
            <w:shd w:val="clear" w:color="auto" w:fill="auto"/>
          </w:tcPr>
          <w:p w:rsidR="0081299F" w:rsidRPr="00F00002" w:rsidRDefault="0081299F" w:rsidP="00FE3C77">
            <w:pPr>
              <w:pStyle w:val="Tabletext"/>
              <w:rPr>
                <w:sz w:val="16"/>
                <w:szCs w:val="16"/>
              </w:rPr>
            </w:pPr>
            <w:r w:rsidRPr="00F00002">
              <w:rPr>
                <w:sz w:val="16"/>
                <w:szCs w:val="16"/>
              </w:rPr>
              <w:t>am 2009 No 338; No 279, 2013</w:t>
            </w:r>
          </w:p>
        </w:tc>
      </w:tr>
      <w:tr w:rsidR="0081299F" w:rsidRPr="00F00002" w:rsidTr="0081299F">
        <w:trPr>
          <w:cantSplit/>
        </w:trPr>
        <w:tc>
          <w:tcPr>
            <w:tcW w:w="1542" w:type="pct"/>
            <w:shd w:val="clear" w:color="auto" w:fill="auto"/>
          </w:tcPr>
          <w:p w:rsidR="0081299F" w:rsidRPr="00F00002" w:rsidRDefault="0081299F" w:rsidP="00721760">
            <w:pPr>
              <w:pStyle w:val="Tabletext"/>
              <w:keepNext/>
              <w:rPr>
                <w:sz w:val="16"/>
                <w:szCs w:val="16"/>
              </w:rPr>
            </w:pPr>
            <w:r w:rsidRPr="00F00002">
              <w:rPr>
                <w:b/>
                <w:sz w:val="16"/>
                <w:szCs w:val="16"/>
              </w:rPr>
              <w:t>Schedule</w:t>
            </w:r>
            <w:r w:rsidR="00F00002">
              <w:rPr>
                <w:b/>
                <w:sz w:val="16"/>
                <w:szCs w:val="16"/>
              </w:rPr>
              <w:t> </w:t>
            </w:r>
            <w:r w:rsidRPr="00F00002">
              <w:rPr>
                <w:b/>
                <w:sz w:val="16"/>
                <w:szCs w:val="16"/>
              </w:rPr>
              <w:t>5</w:t>
            </w:r>
          </w:p>
        </w:tc>
        <w:tc>
          <w:tcPr>
            <w:tcW w:w="3458" w:type="pct"/>
            <w:shd w:val="clear" w:color="auto" w:fill="auto"/>
          </w:tcPr>
          <w:p w:rsidR="0081299F" w:rsidRPr="00F00002" w:rsidRDefault="0081299F" w:rsidP="00721760">
            <w:pPr>
              <w:pStyle w:val="Tabletext"/>
              <w:keepNext/>
              <w:rPr>
                <w:sz w:val="16"/>
                <w:szCs w:val="16"/>
              </w:rPr>
            </w:pPr>
          </w:p>
        </w:tc>
      </w:tr>
      <w:tr w:rsidR="0081299F" w:rsidRPr="00F00002" w:rsidTr="0081299F">
        <w:trPr>
          <w:cantSplit/>
        </w:trPr>
        <w:tc>
          <w:tcPr>
            <w:tcW w:w="1542" w:type="pct"/>
            <w:shd w:val="clear" w:color="auto" w:fill="auto"/>
          </w:tcPr>
          <w:p w:rsidR="0081299F" w:rsidRPr="00F00002" w:rsidRDefault="0081299F" w:rsidP="00721760">
            <w:pPr>
              <w:pStyle w:val="Tabletext"/>
              <w:keepNext/>
              <w:tabs>
                <w:tab w:val="center" w:leader="dot" w:pos="2268"/>
              </w:tabs>
              <w:rPr>
                <w:sz w:val="16"/>
                <w:szCs w:val="16"/>
              </w:rPr>
            </w:pPr>
            <w:bookmarkStart w:id="267" w:name="CU_286239249"/>
            <w:bookmarkStart w:id="268" w:name="CU_293236387"/>
            <w:bookmarkEnd w:id="267"/>
            <w:bookmarkEnd w:id="268"/>
            <w:r w:rsidRPr="00F00002">
              <w:rPr>
                <w:sz w:val="16"/>
                <w:szCs w:val="16"/>
              </w:rPr>
              <w:t>Schedule</w:t>
            </w:r>
            <w:r w:rsidR="00F00002">
              <w:rPr>
                <w:sz w:val="16"/>
                <w:szCs w:val="16"/>
              </w:rPr>
              <w:t> </w:t>
            </w:r>
            <w:r w:rsidRPr="00F00002">
              <w:rPr>
                <w:sz w:val="16"/>
                <w:szCs w:val="16"/>
              </w:rPr>
              <w:t>5</w:t>
            </w:r>
            <w:r w:rsidRPr="00F00002">
              <w:rPr>
                <w:sz w:val="16"/>
                <w:szCs w:val="16"/>
              </w:rPr>
              <w:tab/>
            </w:r>
          </w:p>
        </w:tc>
        <w:tc>
          <w:tcPr>
            <w:tcW w:w="3458" w:type="pct"/>
            <w:shd w:val="clear" w:color="auto" w:fill="auto"/>
          </w:tcPr>
          <w:p w:rsidR="0081299F" w:rsidRPr="00F00002" w:rsidRDefault="0081299F" w:rsidP="00721760">
            <w:pPr>
              <w:pStyle w:val="Tabletext"/>
              <w:keepNext/>
              <w:rPr>
                <w:sz w:val="16"/>
                <w:szCs w:val="16"/>
              </w:rPr>
            </w:pPr>
            <w:r w:rsidRPr="00F00002">
              <w:rPr>
                <w:sz w:val="16"/>
                <w:szCs w:val="16"/>
              </w:rPr>
              <w:t>ad 2011 No 5</w:t>
            </w:r>
          </w:p>
        </w:tc>
      </w:tr>
      <w:tr w:rsidR="0081299F" w:rsidRPr="00F00002" w:rsidTr="0081299F">
        <w:trPr>
          <w:cantSplit/>
        </w:trPr>
        <w:tc>
          <w:tcPr>
            <w:tcW w:w="1542" w:type="pct"/>
            <w:shd w:val="clear" w:color="auto" w:fill="auto"/>
          </w:tcPr>
          <w:p w:rsidR="0081299F" w:rsidRPr="00F00002" w:rsidRDefault="0081299F" w:rsidP="00721760">
            <w:pPr>
              <w:pStyle w:val="Tabletext"/>
              <w:keepNext/>
              <w:tabs>
                <w:tab w:val="center" w:leader="dot" w:pos="2268"/>
              </w:tabs>
              <w:rPr>
                <w:sz w:val="16"/>
                <w:szCs w:val="16"/>
              </w:rPr>
            </w:pPr>
          </w:p>
        </w:tc>
        <w:tc>
          <w:tcPr>
            <w:tcW w:w="3458" w:type="pct"/>
            <w:shd w:val="clear" w:color="auto" w:fill="auto"/>
          </w:tcPr>
          <w:p w:rsidR="0081299F" w:rsidRPr="00F00002" w:rsidRDefault="0081299F" w:rsidP="00721760">
            <w:pPr>
              <w:pStyle w:val="Tabletext"/>
              <w:keepNext/>
              <w:rPr>
                <w:sz w:val="16"/>
                <w:szCs w:val="16"/>
              </w:rPr>
            </w:pPr>
            <w:r w:rsidRPr="00F00002">
              <w:rPr>
                <w:sz w:val="16"/>
                <w:szCs w:val="16"/>
              </w:rPr>
              <w:t>am F2016L00711</w:t>
            </w:r>
          </w:p>
        </w:tc>
      </w:tr>
      <w:tr w:rsidR="0081299F" w:rsidRPr="00F00002" w:rsidTr="0081299F">
        <w:trPr>
          <w:cantSplit/>
        </w:trPr>
        <w:tc>
          <w:tcPr>
            <w:tcW w:w="1542" w:type="pct"/>
            <w:tcBorders>
              <w:bottom w:val="single" w:sz="12" w:space="0" w:color="auto"/>
            </w:tcBorders>
            <w:shd w:val="clear" w:color="auto" w:fill="auto"/>
          </w:tcPr>
          <w:p w:rsidR="0081299F" w:rsidRPr="00F00002" w:rsidRDefault="0081299F" w:rsidP="00721760">
            <w:pPr>
              <w:pStyle w:val="Tabletext"/>
              <w:keepNext/>
              <w:tabs>
                <w:tab w:val="center" w:leader="dot" w:pos="2268"/>
              </w:tabs>
              <w:rPr>
                <w:sz w:val="16"/>
                <w:szCs w:val="16"/>
              </w:rPr>
            </w:pPr>
          </w:p>
        </w:tc>
        <w:tc>
          <w:tcPr>
            <w:tcW w:w="3458" w:type="pct"/>
            <w:tcBorders>
              <w:bottom w:val="single" w:sz="12" w:space="0" w:color="auto"/>
            </w:tcBorders>
            <w:shd w:val="clear" w:color="auto" w:fill="auto"/>
          </w:tcPr>
          <w:p w:rsidR="0081299F" w:rsidRPr="00F00002" w:rsidRDefault="0081299F" w:rsidP="00295BC2">
            <w:pPr>
              <w:pStyle w:val="Tabletext"/>
              <w:keepNext/>
              <w:keepLines/>
              <w:pageBreakBefore/>
              <w:rPr>
                <w:sz w:val="16"/>
                <w:szCs w:val="16"/>
              </w:rPr>
            </w:pPr>
            <w:r w:rsidRPr="00F00002">
              <w:rPr>
                <w:sz w:val="16"/>
                <w:szCs w:val="16"/>
              </w:rPr>
              <w:t>rs F2018L00831</w:t>
            </w:r>
          </w:p>
        </w:tc>
      </w:tr>
    </w:tbl>
    <w:p w:rsidR="00CE262B" w:rsidRPr="00F00002" w:rsidRDefault="00CE262B" w:rsidP="00DF44F8">
      <w:pPr>
        <w:sectPr w:rsidR="00CE262B" w:rsidRPr="00F00002" w:rsidSect="008035BA">
          <w:headerReference w:type="even" r:id="rId50"/>
          <w:headerReference w:type="default" r:id="rId51"/>
          <w:footerReference w:type="even" r:id="rId52"/>
          <w:footerReference w:type="default" r:id="rId53"/>
          <w:pgSz w:w="11907" w:h="16839"/>
          <w:pgMar w:top="2325" w:right="1797" w:bottom="1440" w:left="1797" w:header="720" w:footer="709" w:gutter="0"/>
          <w:cols w:space="708"/>
          <w:docGrid w:linePitch="360"/>
        </w:sectPr>
      </w:pPr>
    </w:p>
    <w:p w:rsidR="00BB4501" w:rsidRPr="00F00002" w:rsidRDefault="00BB4501" w:rsidP="00D3197D"/>
    <w:sectPr w:rsidR="00BB4501" w:rsidRPr="00F00002" w:rsidSect="008035BA">
      <w:headerReference w:type="even" r:id="rId54"/>
      <w:headerReference w:type="default" r:id="rId55"/>
      <w:footerReference w:type="even" r:id="rId56"/>
      <w:footerReference w:type="default" r:id="rId57"/>
      <w:headerReference w:type="first" r:id="rId58"/>
      <w:footerReference w:type="first" r:id="rId5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4D" w:rsidRDefault="0030184D">
      <w:r>
        <w:separator/>
      </w:r>
    </w:p>
  </w:endnote>
  <w:endnote w:type="continuationSeparator" w:id="0">
    <w:p w:rsidR="0030184D" w:rsidRDefault="0030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i/>
              <w:sz w:val="16"/>
              <w:szCs w:val="16"/>
            </w:rPr>
          </w:pP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127</w:t>
          </w:r>
          <w:r w:rsidRPr="007B3B51">
            <w:rPr>
              <w:i/>
              <w:sz w:val="16"/>
              <w:szCs w:val="16"/>
            </w:rPr>
            <w:fldChar w:fldCharType="end"/>
          </w:r>
        </w:p>
      </w:tc>
    </w:tr>
    <w:tr w:rsidR="0030184D" w:rsidRPr="00130F37" w:rsidTr="000505B9">
      <w:tc>
        <w:tcPr>
          <w:tcW w:w="1499" w:type="pct"/>
          <w:gridSpan w:val="2"/>
        </w:tcPr>
        <w:p w:rsidR="0030184D" w:rsidRPr="00130F37" w:rsidRDefault="0030184D" w:rsidP="00695D7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1999" w:type="pct"/>
        </w:tcPr>
        <w:p w:rsidR="0030184D" w:rsidRPr="00130F37" w:rsidRDefault="0030184D" w:rsidP="00695D7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18/12/19</w:t>
          </w:r>
          <w:r w:rsidRPr="00130F37">
            <w:rPr>
              <w:sz w:val="16"/>
              <w:szCs w:val="16"/>
            </w:rPr>
            <w:fldChar w:fldCharType="end"/>
          </w:r>
        </w:p>
      </w:tc>
      <w:tc>
        <w:tcPr>
          <w:tcW w:w="1502" w:type="pct"/>
          <w:gridSpan w:val="2"/>
        </w:tcPr>
        <w:p w:rsidR="0030184D" w:rsidRPr="00130F37" w:rsidRDefault="0030184D" w:rsidP="00695D7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30/1/20</w:t>
          </w:r>
          <w:r w:rsidRPr="00130F37">
            <w:rPr>
              <w:sz w:val="16"/>
              <w:szCs w:val="16"/>
            </w:rPr>
            <w:fldChar w:fldCharType="end"/>
          </w:r>
        </w:p>
      </w:tc>
    </w:tr>
  </w:tbl>
  <w:p w:rsidR="0030184D" w:rsidRPr="00695D7E" w:rsidRDefault="0030184D" w:rsidP="00695D7E">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pPr>
      <w:pBdr>
        <w:top w:val="single" w:sz="6" w:space="1" w:color="auto"/>
      </w:pBdr>
      <w:rPr>
        <w:sz w:val="18"/>
      </w:rPr>
    </w:pPr>
  </w:p>
  <w:p w:rsidR="0030184D" w:rsidRDefault="0030184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Regulations 1997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140</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132</w:t>
          </w:r>
          <w:r w:rsidRPr="007B3B51">
            <w:rPr>
              <w:i/>
              <w:sz w:val="16"/>
              <w:szCs w:val="16"/>
            </w:rPr>
            <w:fldChar w:fldCharType="end"/>
          </w: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p>
      </w:tc>
    </w:tr>
    <w:tr w:rsidR="0030184D" w:rsidRPr="0055472E" w:rsidTr="000505B9">
      <w:tc>
        <w:tcPr>
          <w:tcW w:w="1499" w:type="pct"/>
          <w:gridSpan w:val="2"/>
        </w:tcPr>
        <w:p w:rsidR="0030184D" w:rsidRPr="0055472E" w:rsidRDefault="0030184D" w:rsidP="00695D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1999" w:type="pct"/>
        </w:tcPr>
        <w:p w:rsidR="0030184D" w:rsidRPr="0055472E" w:rsidRDefault="0030184D" w:rsidP="00695D7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18/12/19</w:t>
          </w:r>
          <w:r w:rsidRPr="0055472E">
            <w:rPr>
              <w:sz w:val="16"/>
              <w:szCs w:val="16"/>
            </w:rPr>
            <w:fldChar w:fldCharType="end"/>
          </w:r>
        </w:p>
      </w:tc>
      <w:tc>
        <w:tcPr>
          <w:tcW w:w="1502" w:type="pct"/>
          <w:gridSpan w:val="2"/>
        </w:tcPr>
        <w:p w:rsidR="0030184D" w:rsidRPr="0055472E" w:rsidRDefault="0030184D" w:rsidP="00695D7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30/1/20</w:t>
          </w:r>
          <w:r w:rsidRPr="0055472E">
            <w:rPr>
              <w:sz w:val="16"/>
              <w:szCs w:val="16"/>
            </w:rPr>
            <w:fldChar w:fldCharType="end"/>
          </w:r>
        </w:p>
      </w:tc>
    </w:tr>
  </w:tbl>
  <w:p w:rsidR="0030184D" w:rsidRPr="00695D7E" w:rsidRDefault="0030184D" w:rsidP="00695D7E">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i/>
              <w:sz w:val="16"/>
              <w:szCs w:val="16"/>
            </w:rPr>
          </w:pP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131</w:t>
          </w:r>
          <w:r w:rsidRPr="007B3B51">
            <w:rPr>
              <w:i/>
              <w:sz w:val="16"/>
              <w:szCs w:val="16"/>
            </w:rPr>
            <w:fldChar w:fldCharType="end"/>
          </w:r>
        </w:p>
      </w:tc>
    </w:tr>
    <w:tr w:rsidR="0030184D" w:rsidRPr="00130F37" w:rsidTr="000505B9">
      <w:tc>
        <w:tcPr>
          <w:tcW w:w="1499" w:type="pct"/>
          <w:gridSpan w:val="2"/>
        </w:tcPr>
        <w:p w:rsidR="0030184D" w:rsidRPr="00130F37" w:rsidRDefault="0030184D" w:rsidP="00695D7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1999" w:type="pct"/>
        </w:tcPr>
        <w:p w:rsidR="0030184D" w:rsidRPr="00130F37" w:rsidRDefault="0030184D" w:rsidP="00695D7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18/12/19</w:t>
          </w:r>
          <w:r w:rsidRPr="00130F37">
            <w:rPr>
              <w:sz w:val="16"/>
              <w:szCs w:val="16"/>
            </w:rPr>
            <w:fldChar w:fldCharType="end"/>
          </w:r>
        </w:p>
      </w:tc>
      <w:tc>
        <w:tcPr>
          <w:tcW w:w="1502" w:type="pct"/>
          <w:gridSpan w:val="2"/>
        </w:tcPr>
        <w:p w:rsidR="0030184D" w:rsidRPr="00130F37" w:rsidRDefault="0030184D" w:rsidP="00695D7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30/1/20</w:t>
          </w:r>
          <w:r w:rsidRPr="00130F37">
            <w:rPr>
              <w:sz w:val="16"/>
              <w:szCs w:val="16"/>
            </w:rPr>
            <w:fldChar w:fldCharType="end"/>
          </w:r>
        </w:p>
      </w:tc>
    </w:tr>
  </w:tbl>
  <w:p w:rsidR="0030184D" w:rsidRPr="00695D7E" w:rsidRDefault="0030184D" w:rsidP="00695D7E">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pPr>
      <w:pBdr>
        <w:top w:val="single" w:sz="6" w:space="1" w:color="auto"/>
      </w:pBdr>
      <w:rPr>
        <w:sz w:val="18"/>
      </w:rPr>
    </w:pPr>
  </w:p>
  <w:p w:rsidR="0030184D" w:rsidRDefault="0030184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Regulations 1997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140</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144</w:t>
          </w:r>
          <w:r w:rsidRPr="007B3B51">
            <w:rPr>
              <w:i/>
              <w:sz w:val="16"/>
              <w:szCs w:val="16"/>
            </w:rPr>
            <w:fldChar w:fldCharType="end"/>
          </w: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p>
      </w:tc>
    </w:tr>
    <w:tr w:rsidR="0030184D" w:rsidRPr="0055472E" w:rsidTr="000505B9">
      <w:tc>
        <w:tcPr>
          <w:tcW w:w="1499" w:type="pct"/>
          <w:gridSpan w:val="2"/>
        </w:tcPr>
        <w:p w:rsidR="0030184D" w:rsidRPr="0055472E" w:rsidRDefault="0030184D" w:rsidP="00695D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1999" w:type="pct"/>
        </w:tcPr>
        <w:p w:rsidR="0030184D" w:rsidRPr="0055472E" w:rsidRDefault="0030184D" w:rsidP="00695D7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18/12/19</w:t>
          </w:r>
          <w:r w:rsidRPr="0055472E">
            <w:rPr>
              <w:sz w:val="16"/>
              <w:szCs w:val="16"/>
            </w:rPr>
            <w:fldChar w:fldCharType="end"/>
          </w:r>
        </w:p>
      </w:tc>
      <w:tc>
        <w:tcPr>
          <w:tcW w:w="1502" w:type="pct"/>
          <w:gridSpan w:val="2"/>
        </w:tcPr>
        <w:p w:rsidR="0030184D" w:rsidRPr="0055472E" w:rsidRDefault="0030184D" w:rsidP="00695D7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30/1/20</w:t>
          </w:r>
          <w:r w:rsidRPr="0055472E">
            <w:rPr>
              <w:sz w:val="16"/>
              <w:szCs w:val="16"/>
            </w:rPr>
            <w:fldChar w:fldCharType="end"/>
          </w:r>
        </w:p>
      </w:tc>
    </w:tr>
  </w:tbl>
  <w:p w:rsidR="0030184D" w:rsidRPr="00695D7E" w:rsidRDefault="0030184D" w:rsidP="00695D7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i/>
              <w:sz w:val="16"/>
              <w:szCs w:val="16"/>
            </w:rPr>
          </w:pP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143</w:t>
          </w:r>
          <w:r w:rsidRPr="007B3B51">
            <w:rPr>
              <w:i/>
              <w:sz w:val="16"/>
              <w:szCs w:val="16"/>
            </w:rPr>
            <w:fldChar w:fldCharType="end"/>
          </w:r>
        </w:p>
      </w:tc>
    </w:tr>
    <w:tr w:rsidR="0030184D" w:rsidRPr="00130F37" w:rsidTr="000505B9">
      <w:tc>
        <w:tcPr>
          <w:tcW w:w="1499" w:type="pct"/>
          <w:gridSpan w:val="2"/>
        </w:tcPr>
        <w:p w:rsidR="0030184D" w:rsidRPr="00130F37" w:rsidRDefault="0030184D" w:rsidP="00695D7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1999" w:type="pct"/>
        </w:tcPr>
        <w:p w:rsidR="0030184D" w:rsidRPr="00130F37" w:rsidRDefault="0030184D" w:rsidP="00695D7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18/12/19</w:t>
          </w:r>
          <w:r w:rsidRPr="00130F37">
            <w:rPr>
              <w:sz w:val="16"/>
              <w:szCs w:val="16"/>
            </w:rPr>
            <w:fldChar w:fldCharType="end"/>
          </w:r>
        </w:p>
      </w:tc>
      <w:tc>
        <w:tcPr>
          <w:tcW w:w="1502" w:type="pct"/>
          <w:gridSpan w:val="2"/>
        </w:tcPr>
        <w:p w:rsidR="0030184D" w:rsidRPr="00130F37" w:rsidRDefault="0030184D" w:rsidP="00695D7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30/1/20</w:t>
          </w:r>
          <w:r w:rsidRPr="00130F37">
            <w:rPr>
              <w:sz w:val="16"/>
              <w:szCs w:val="16"/>
            </w:rPr>
            <w:fldChar w:fldCharType="end"/>
          </w:r>
        </w:p>
      </w:tc>
    </w:tr>
  </w:tbl>
  <w:p w:rsidR="0030184D" w:rsidRPr="00695D7E" w:rsidRDefault="0030184D" w:rsidP="00695D7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140</w:t>
          </w:r>
          <w:r w:rsidRPr="007B3B51">
            <w:rPr>
              <w:i/>
              <w:sz w:val="16"/>
              <w:szCs w:val="16"/>
            </w:rPr>
            <w:fldChar w:fldCharType="end"/>
          </w: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p>
      </w:tc>
    </w:tr>
    <w:tr w:rsidR="0030184D" w:rsidRPr="0055472E" w:rsidTr="000505B9">
      <w:tc>
        <w:tcPr>
          <w:tcW w:w="1499" w:type="pct"/>
          <w:gridSpan w:val="2"/>
        </w:tcPr>
        <w:p w:rsidR="0030184D" w:rsidRPr="0055472E" w:rsidRDefault="0030184D" w:rsidP="00695D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1999" w:type="pct"/>
        </w:tcPr>
        <w:p w:rsidR="0030184D" w:rsidRPr="0055472E" w:rsidRDefault="0030184D" w:rsidP="00695D7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18/12/19</w:t>
          </w:r>
          <w:r w:rsidRPr="0055472E">
            <w:rPr>
              <w:sz w:val="16"/>
              <w:szCs w:val="16"/>
            </w:rPr>
            <w:fldChar w:fldCharType="end"/>
          </w:r>
        </w:p>
      </w:tc>
      <w:tc>
        <w:tcPr>
          <w:tcW w:w="1502" w:type="pct"/>
          <w:gridSpan w:val="2"/>
        </w:tcPr>
        <w:p w:rsidR="0030184D" w:rsidRPr="0055472E" w:rsidRDefault="0030184D" w:rsidP="00695D7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30/1/20</w:t>
          </w:r>
          <w:r w:rsidRPr="0055472E">
            <w:rPr>
              <w:sz w:val="16"/>
              <w:szCs w:val="16"/>
            </w:rPr>
            <w:fldChar w:fldCharType="end"/>
          </w:r>
        </w:p>
      </w:tc>
    </w:tr>
  </w:tbl>
  <w:p w:rsidR="0030184D" w:rsidRPr="00695D7E" w:rsidRDefault="0030184D" w:rsidP="00695D7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i/>
              <w:sz w:val="16"/>
              <w:szCs w:val="16"/>
            </w:rPr>
          </w:pP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140</w:t>
          </w:r>
          <w:r w:rsidRPr="007B3B51">
            <w:rPr>
              <w:i/>
              <w:sz w:val="16"/>
              <w:szCs w:val="16"/>
            </w:rPr>
            <w:fldChar w:fldCharType="end"/>
          </w:r>
        </w:p>
      </w:tc>
    </w:tr>
    <w:tr w:rsidR="0030184D" w:rsidRPr="00130F37" w:rsidTr="000505B9">
      <w:tc>
        <w:tcPr>
          <w:tcW w:w="1499" w:type="pct"/>
          <w:gridSpan w:val="2"/>
        </w:tcPr>
        <w:p w:rsidR="0030184D" w:rsidRPr="00130F37" w:rsidRDefault="0030184D" w:rsidP="00695D7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1999" w:type="pct"/>
        </w:tcPr>
        <w:p w:rsidR="0030184D" w:rsidRPr="00130F37" w:rsidRDefault="0030184D" w:rsidP="00695D7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18/12/19</w:t>
          </w:r>
          <w:r w:rsidRPr="00130F37">
            <w:rPr>
              <w:sz w:val="16"/>
              <w:szCs w:val="16"/>
            </w:rPr>
            <w:fldChar w:fldCharType="end"/>
          </w:r>
        </w:p>
      </w:tc>
      <w:tc>
        <w:tcPr>
          <w:tcW w:w="1502" w:type="pct"/>
          <w:gridSpan w:val="2"/>
        </w:tcPr>
        <w:p w:rsidR="0030184D" w:rsidRPr="00130F37" w:rsidRDefault="0030184D" w:rsidP="00695D7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30/1/20</w:t>
          </w:r>
          <w:r w:rsidRPr="00130F37">
            <w:rPr>
              <w:sz w:val="16"/>
              <w:szCs w:val="16"/>
            </w:rPr>
            <w:fldChar w:fldCharType="end"/>
          </w:r>
        </w:p>
      </w:tc>
    </w:tr>
  </w:tbl>
  <w:p w:rsidR="0030184D" w:rsidRPr="00695D7E" w:rsidRDefault="0030184D" w:rsidP="00695D7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2B0EA5" w:rsidRDefault="0030184D" w:rsidP="00060B2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0184D" w:rsidTr="000505B9">
      <w:tc>
        <w:tcPr>
          <w:tcW w:w="947" w:type="pct"/>
        </w:tcPr>
        <w:p w:rsidR="0030184D" w:rsidRDefault="0030184D" w:rsidP="00DF44F8">
          <w:pPr>
            <w:spacing w:line="0" w:lineRule="atLeast"/>
            <w:rPr>
              <w:sz w:val="18"/>
            </w:rPr>
          </w:pPr>
        </w:p>
      </w:tc>
      <w:tc>
        <w:tcPr>
          <w:tcW w:w="3688" w:type="pct"/>
        </w:tcPr>
        <w:p w:rsidR="0030184D" w:rsidRDefault="0030184D" w:rsidP="00DF44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Assessment Regulations 1997</w:t>
          </w:r>
          <w:r w:rsidRPr="007A1328">
            <w:rPr>
              <w:i/>
              <w:sz w:val="18"/>
            </w:rPr>
            <w:fldChar w:fldCharType="end"/>
          </w:r>
        </w:p>
      </w:tc>
      <w:tc>
        <w:tcPr>
          <w:tcW w:w="365" w:type="pct"/>
        </w:tcPr>
        <w:p w:rsidR="0030184D" w:rsidRDefault="0030184D" w:rsidP="00DF44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140</w:t>
          </w:r>
          <w:r w:rsidRPr="00ED79B6">
            <w:rPr>
              <w:i/>
              <w:sz w:val="18"/>
            </w:rPr>
            <w:fldChar w:fldCharType="end"/>
          </w:r>
        </w:p>
      </w:tc>
    </w:tr>
  </w:tbl>
  <w:p w:rsidR="0030184D" w:rsidRPr="00ED79B6" w:rsidRDefault="0030184D" w:rsidP="00060B2A">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rsidP="00EF454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ED79B6" w:rsidRDefault="0030184D" w:rsidP="00EF45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viii</w:t>
          </w:r>
          <w:r w:rsidRPr="007B3B51">
            <w:rPr>
              <w:i/>
              <w:sz w:val="16"/>
              <w:szCs w:val="16"/>
            </w:rPr>
            <w:fldChar w:fldCharType="end"/>
          </w: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p>
      </w:tc>
    </w:tr>
    <w:tr w:rsidR="0030184D" w:rsidRPr="0055472E" w:rsidTr="000505B9">
      <w:tc>
        <w:tcPr>
          <w:tcW w:w="1499" w:type="pct"/>
          <w:gridSpan w:val="2"/>
        </w:tcPr>
        <w:p w:rsidR="0030184D" w:rsidRPr="0055472E" w:rsidRDefault="0030184D" w:rsidP="00695D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1999" w:type="pct"/>
        </w:tcPr>
        <w:p w:rsidR="0030184D" w:rsidRPr="0055472E" w:rsidRDefault="0030184D" w:rsidP="00695D7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18/12/19</w:t>
          </w:r>
          <w:r w:rsidRPr="0055472E">
            <w:rPr>
              <w:sz w:val="16"/>
              <w:szCs w:val="16"/>
            </w:rPr>
            <w:fldChar w:fldCharType="end"/>
          </w:r>
        </w:p>
      </w:tc>
      <w:tc>
        <w:tcPr>
          <w:tcW w:w="1502" w:type="pct"/>
          <w:gridSpan w:val="2"/>
        </w:tcPr>
        <w:p w:rsidR="0030184D" w:rsidRPr="0055472E" w:rsidRDefault="0030184D" w:rsidP="00695D7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30/1/20</w:t>
          </w:r>
          <w:r w:rsidRPr="0055472E">
            <w:rPr>
              <w:sz w:val="16"/>
              <w:szCs w:val="16"/>
            </w:rPr>
            <w:fldChar w:fldCharType="end"/>
          </w:r>
        </w:p>
      </w:tc>
    </w:tr>
  </w:tbl>
  <w:p w:rsidR="0030184D" w:rsidRPr="00695D7E" w:rsidRDefault="0030184D" w:rsidP="00695D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i/>
              <w:sz w:val="16"/>
              <w:szCs w:val="16"/>
            </w:rPr>
          </w:pP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vii</w:t>
          </w:r>
          <w:r w:rsidRPr="007B3B51">
            <w:rPr>
              <w:i/>
              <w:sz w:val="16"/>
              <w:szCs w:val="16"/>
            </w:rPr>
            <w:fldChar w:fldCharType="end"/>
          </w:r>
        </w:p>
      </w:tc>
    </w:tr>
    <w:tr w:rsidR="0030184D" w:rsidRPr="00130F37" w:rsidTr="000505B9">
      <w:tc>
        <w:tcPr>
          <w:tcW w:w="1499" w:type="pct"/>
          <w:gridSpan w:val="2"/>
        </w:tcPr>
        <w:p w:rsidR="0030184D" w:rsidRPr="00130F37" w:rsidRDefault="0030184D" w:rsidP="00695D7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1999" w:type="pct"/>
        </w:tcPr>
        <w:p w:rsidR="0030184D" w:rsidRPr="00130F37" w:rsidRDefault="0030184D" w:rsidP="00695D7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18/12/19</w:t>
          </w:r>
          <w:r w:rsidRPr="00130F37">
            <w:rPr>
              <w:sz w:val="16"/>
              <w:szCs w:val="16"/>
            </w:rPr>
            <w:fldChar w:fldCharType="end"/>
          </w:r>
        </w:p>
      </w:tc>
      <w:tc>
        <w:tcPr>
          <w:tcW w:w="1502" w:type="pct"/>
          <w:gridSpan w:val="2"/>
        </w:tcPr>
        <w:p w:rsidR="0030184D" w:rsidRPr="00130F37" w:rsidRDefault="0030184D" w:rsidP="00695D7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30/1/20</w:t>
          </w:r>
          <w:r w:rsidRPr="00130F37">
            <w:rPr>
              <w:sz w:val="16"/>
              <w:szCs w:val="16"/>
            </w:rPr>
            <w:fldChar w:fldCharType="end"/>
          </w:r>
        </w:p>
      </w:tc>
    </w:tr>
  </w:tbl>
  <w:p w:rsidR="0030184D" w:rsidRPr="00695D7E" w:rsidRDefault="0030184D" w:rsidP="00695D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90</w:t>
          </w:r>
          <w:r w:rsidRPr="007B3B51">
            <w:rPr>
              <w:i/>
              <w:sz w:val="16"/>
              <w:szCs w:val="16"/>
            </w:rPr>
            <w:fldChar w:fldCharType="end"/>
          </w: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p>
      </w:tc>
    </w:tr>
    <w:tr w:rsidR="0030184D" w:rsidRPr="0055472E" w:rsidTr="000505B9">
      <w:tc>
        <w:tcPr>
          <w:tcW w:w="1499" w:type="pct"/>
          <w:gridSpan w:val="2"/>
        </w:tcPr>
        <w:p w:rsidR="0030184D" w:rsidRPr="0055472E" w:rsidRDefault="0030184D" w:rsidP="00695D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1999" w:type="pct"/>
        </w:tcPr>
        <w:p w:rsidR="0030184D" w:rsidRPr="0055472E" w:rsidRDefault="0030184D" w:rsidP="00695D7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18/12/19</w:t>
          </w:r>
          <w:r w:rsidRPr="0055472E">
            <w:rPr>
              <w:sz w:val="16"/>
              <w:szCs w:val="16"/>
            </w:rPr>
            <w:fldChar w:fldCharType="end"/>
          </w:r>
        </w:p>
      </w:tc>
      <w:tc>
        <w:tcPr>
          <w:tcW w:w="1502" w:type="pct"/>
          <w:gridSpan w:val="2"/>
        </w:tcPr>
        <w:p w:rsidR="0030184D" w:rsidRPr="0055472E" w:rsidRDefault="0030184D" w:rsidP="00695D7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30/1/20</w:t>
          </w:r>
          <w:r w:rsidRPr="0055472E">
            <w:rPr>
              <w:sz w:val="16"/>
              <w:szCs w:val="16"/>
            </w:rPr>
            <w:fldChar w:fldCharType="end"/>
          </w:r>
        </w:p>
      </w:tc>
    </w:tr>
  </w:tbl>
  <w:p w:rsidR="0030184D" w:rsidRPr="00695D7E" w:rsidRDefault="0030184D" w:rsidP="00695D7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i/>
              <w:sz w:val="16"/>
              <w:szCs w:val="16"/>
            </w:rPr>
          </w:pP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89</w:t>
          </w:r>
          <w:r w:rsidRPr="007B3B51">
            <w:rPr>
              <w:i/>
              <w:sz w:val="16"/>
              <w:szCs w:val="16"/>
            </w:rPr>
            <w:fldChar w:fldCharType="end"/>
          </w:r>
        </w:p>
      </w:tc>
    </w:tr>
    <w:tr w:rsidR="0030184D" w:rsidRPr="00130F37" w:rsidTr="000505B9">
      <w:tc>
        <w:tcPr>
          <w:tcW w:w="1499" w:type="pct"/>
          <w:gridSpan w:val="2"/>
        </w:tcPr>
        <w:p w:rsidR="0030184D" w:rsidRPr="00130F37" w:rsidRDefault="0030184D" w:rsidP="00695D7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84</w:t>
          </w:r>
          <w:r w:rsidRPr="00130F37">
            <w:rPr>
              <w:sz w:val="16"/>
              <w:szCs w:val="16"/>
            </w:rPr>
            <w:fldChar w:fldCharType="end"/>
          </w:r>
        </w:p>
      </w:tc>
      <w:tc>
        <w:tcPr>
          <w:tcW w:w="1999" w:type="pct"/>
        </w:tcPr>
        <w:p w:rsidR="0030184D" w:rsidRPr="00130F37" w:rsidRDefault="0030184D" w:rsidP="00695D7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18/12/19</w:t>
          </w:r>
          <w:r w:rsidRPr="00130F37">
            <w:rPr>
              <w:sz w:val="16"/>
              <w:szCs w:val="16"/>
            </w:rPr>
            <w:fldChar w:fldCharType="end"/>
          </w:r>
        </w:p>
      </w:tc>
      <w:tc>
        <w:tcPr>
          <w:tcW w:w="1502" w:type="pct"/>
          <w:gridSpan w:val="2"/>
        </w:tcPr>
        <w:p w:rsidR="0030184D" w:rsidRPr="00130F37" w:rsidRDefault="0030184D" w:rsidP="00695D7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30/01/2020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30/1/20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30/1/20</w:t>
          </w:r>
          <w:r w:rsidRPr="00130F37">
            <w:rPr>
              <w:sz w:val="16"/>
              <w:szCs w:val="16"/>
            </w:rPr>
            <w:fldChar w:fldCharType="end"/>
          </w:r>
        </w:p>
      </w:tc>
    </w:tr>
  </w:tbl>
  <w:p w:rsidR="0030184D" w:rsidRPr="00695D7E" w:rsidRDefault="0030184D" w:rsidP="00695D7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2B0EA5" w:rsidRDefault="0030184D" w:rsidP="00060B2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0184D" w:rsidTr="000505B9">
      <w:tc>
        <w:tcPr>
          <w:tcW w:w="947" w:type="pct"/>
        </w:tcPr>
        <w:p w:rsidR="0030184D" w:rsidRDefault="0030184D" w:rsidP="00DF44F8">
          <w:pPr>
            <w:spacing w:line="0" w:lineRule="atLeast"/>
            <w:rPr>
              <w:sz w:val="18"/>
            </w:rPr>
          </w:pPr>
        </w:p>
      </w:tc>
      <w:tc>
        <w:tcPr>
          <w:tcW w:w="3688" w:type="pct"/>
        </w:tcPr>
        <w:p w:rsidR="0030184D" w:rsidRDefault="0030184D" w:rsidP="00DF44F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Assessment Regulations 1997</w:t>
          </w:r>
          <w:r w:rsidRPr="007A1328">
            <w:rPr>
              <w:i/>
              <w:sz w:val="18"/>
            </w:rPr>
            <w:fldChar w:fldCharType="end"/>
          </w:r>
        </w:p>
      </w:tc>
      <w:tc>
        <w:tcPr>
          <w:tcW w:w="365" w:type="pct"/>
        </w:tcPr>
        <w:p w:rsidR="0030184D" w:rsidRDefault="0030184D" w:rsidP="00DF44F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140</w:t>
          </w:r>
          <w:r w:rsidRPr="00ED79B6">
            <w:rPr>
              <w:i/>
              <w:sz w:val="18"/>
            </w:rPr>
            <w:fldChar w:fldCharType="end"/>
          </w:r>
        </w:p>
      </w:tc>
    </w:tr>
  </w:tbl>
  <w:p w:rsidR="0030184D" w:rsidRPr="00ED79B6" w:rsidRDefault="0030184D" w:rsidP="00060B2A">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B3B51" w:rsidRDefault="0030184D" w:rsidP="00695D7E">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0184D" w:rsidRPr="007B3B51" w:rsidTr="000505B9">
      <w:tc>
        <w:tcPr>
          <w:tcW w:w="854" w:type="pct"/>
        </w:tcPr>
        <w:p w:rsidR="0030184D" w:rsidRPr="007B3B51" w:rsidRDefault="0030184D" w:rsidP="00695D7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035BA">
            <w:rPr>
              <w:i/>
              <w:noProof/>
              <w:sz w:val="16"/>
              <w:szCs w:val="16"/>
            </w:rPr>
            <w:t>126</w:t>
          </w:r>
          <w:r w:rsidRPr="007B3B51">
            <w:rPr>
              <w:i/>
              <w:sz w:val="16"/>
              <w:szCs w:val="16"/>
            </w:rPr>
            <w:fldChar w:fldCharType="end"/>
          </w:r>
        </w:p>
      </w:tc>
      <w:tc>
        <w:tcPr>
          <w:tcW w:w="3688" w:type="pct"/>
          <w:gridSpan w:val="3"/>
        </w:tcPr>
        <w:p w:rsidR="0030184D" w:rsidRPr="007B3B51" w:rsidRDefault="0030184D" w:rsidP="00695D7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35BA">
            <w:rPr>
              <w:i/>
              <w:noProof/>
              <w:sz w:val="16"/>
              <w:szCs w:val="16"/>
            </w:rPr>
            <w:t>Income Tax Assessment Regulations 1997</w:t>
          </w:r>
          <w:r w:rsidRPr="007B3B51">
            <w:rPr>
              <w:i/>
              <w:sz w:val="16"/>
              <w:szCs w:val="16"/>
            </w:rPr>
            <w:fldChar w:fldCharType="end"/>
          </w:r>
        </w:p>
      </w:tc>
      <w:tc>
        <w:tcPr>
          <w:tcW w:w="458" w:type="pct"/>
        </w:tcPr>
        <w:p w:rsidR="0030184D" w:rsidRPr="007B3B51" w:rsidRDefault="0030184D" w:rsidP="00695D7E">
          <w:pPr>
            <w:jc w:val="right"/>
            <w:rPr>
              <w:sz w:val="16"/>
              <w:szCs w:val="16"/>
            </w:rPr>
          </w:pPr>
        </w:p>
      </w:tc>
    </w:tr>
    <w:tr w:rsidR="0030184D" w:rsidRPr="0055472E" w:rsidTr="000505B9">
      <w:tc>
        <w:tcPr>
          <w:tcW w:w="1499" w:type="pct"/>
          <w:gridSpan w:val="2"/>
        </w:tcPr>
        <w:p w:rsidR="0030184D" w:rsidRPr="0055472E" w:rsidRDefault="0030184D" w:rsidP="00695D7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84</w:t>
          </w:r>
          <w:r w:rsidRPr="0055472E">
            <w:rPr>
              <w:sz w:val="16"/>
              <w:szCs w:val="16"/>
            </w:rPr>
            <w:fldChar w:fldCharType="end"/>
          </w:r>
        </w:p>
      </w:tc>
      <w:tc>
        <w:tcPr>
          <w:tcW w:w="1999" w:type="pct"/>
        </w:tcPr>
        <w:p w:rsidR="0030184D" w:rsidRPr="0055472E" w:rsidRDefault="0030184D" w:rsidP="00695D7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18/12/19</w:t>
          </w:r>
          <w:r w:rsidRPr="0055472E">
            <w:rPr>
              <w:sz w:val="16"/>
              <w:szCs w:val="16"/>
            </w:rPr>
            <w:fldChar w:fldCharType="end"/>
          </w:r>
        </w:p>
      </w:tc>
      <w:tc>
        <w:tcPr>
          <w:tcW w:w="1502" w:type="pct"/>
          <w:gridSpan w:val="2"/>
        </w:tcPr>
        <w:p w:rsidR="0030184D" w:rsidRPr="0055472E" w:rsidRDefault="0030184D" w:rsidP="00695D7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30/01/2020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30/1/20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30/1/20</w:t>
          </w:r>
          <w:r w:rsidRPr="0055472E">
            <w:rPr>
              <w:sz w:val="16"/>
              <w:szCs w:val="16"/>
            </w:rPr>
            <w:fldChar w:fldCharType="end"/>
          </w:r>
        </w:p>
      </w:tc>
    </w:tr>
  </w:tbl>
  <w:p w:rsidR="0030184D" w:rsidRPr="00695D7E" w:rsidRDefault="0030184D" w:rsidP="00695D7E">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4D" w:rsidRDefault="0030184D">
      <w:r>
        <w:separator/>
      </w:r>
    </w:p>
  </w:footnote>
  <w:footnote w:type="continuationSeparator" w:id="0">
    <w:p w:rsidR="0030184D" w:rsidRDefault="00301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rsidP="00EF4546">
    <w:pPr>
      <w:pStyle w:val="Header"/>
      <w:pBdr>
        <w:bottom w:val="single" w:sz="6" w:space="1" w:color="auto"/>
      </w:pBdr>
    </w:pPr>
  </w:p>
  <w:p w:rsidR="0030184D" w:rsidRDefault="0030184D" w:rsidP="00EF4546">
    <w:pPr>
      <w:pStyle w:val="Header"/>
      <w:pBdr>
        <w:bottom w:val="single" w:sz="6" w:space="1" w:color="auto"/>
      </w:pBdr>
    </w:pPr>
  </w:p>
  <w:p w:rsidR="0030184D" w:rsidRPr="001E77D2" w:rsidRDefault="0030184D" w:rsidP="00EF454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pPr>
      <w:rPr>
        <w:sz w:val="20"/>
      </w:rPr>
    </w:pPr>
    <w:r>
      <w:rPr>
        <w:b/>
        <w:sz w:val="20"/>
      </w:rPr>
      <w:fldChar w:fldCharType="begin"/>
    </w:r>
    <w:r>
      <w:rPr>
        <w:b/>
        <w:sz w:val="20"/>
      </w:rPr>
      <w:instrText xml:space="preserve"> STYLEREF CharChapNo </w:instrText>
    </w:r>
    <w:r>
      <w:rPr>
        <w:b/>
        <w:sz w:val="20"/>
      </w:rPr>
      <w:fldChar w:fldCharType="separate"/>
    </w:r>
    <w:r w:rsidR="008035BA">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035BA">
      <w:rPr>
        <w:noProof/>
        <w:sz w:val="20"/>
      </w:rPr>
      <w:t>Translation of currency amounts—rules and other requirements</w:t>
    </w:r>
    <w:r>
      <w:rPr>
        <w:sz w:val="20"/>
      </w:rPr>
      <w:fldChar w:fldCharType="end"/>
    </w:r>
  </w:p>
  <w:p w:rsidR="0030184D" w:rsidRDefault="0030184D">
    <w:pPr>
      <w:pBdr>
        <w:bottom w:val="single" w:sz="6" w:space="1" w:color="auto"/>
      </w:pBdr>
      <w:rPr>
        <w:sz w:val="20"/>
      </w:rPr>
    </w:pPr>
    <w:r>
      <w:rPr>
        <w:b/>
        <w:sz w:val="20"/>
      </w:rPr>
      <w:fldChar w:fldCharType="begin"/>
    </w:r>
    <w:r>
      <w:rPr>
        <w:b/>
        <w:sz w:val="20"/>
      </w:rPr>
      <w:instrText xml:space="preserve"> STYLEREF CharPartNo </w:instrText>
    </w:r>
    <w:r w:rsidR="008035BA">
      <w:rPr>
        <w:b/>
        <w:sz w:val="20"/>
      </w:rPr>
      <w:fldChar w:fldCharType="separate"/>
    </w:r>
    <w:r w:rsidR="008035BA">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8035BA">
      <w:rPr>
        <w:sz w:val="20"/>
      </w:rPr>
      <w:fldChar w:fldCharType="separate"/>
    </w:r>
    <w:r w:rsidR="008035BA">
      <w:rPr>
        <w:noProof/>
        <w:sz w:val="20"/>
      </w:rPr>
      <w:t>Rules and requirements for item 12 of the table in subsection 960-50(6) of the Act</w:t>
    </w:r>
    <w:r>
      <w:rPr>
        <w:sz w:val="20"/>
      </w:rPr>
      <w:fldChar w:fldCharType="end"/>
    </w:r>
  </w:p>
  <w:p w:rsidR="0030184D" w:rsidRDefault="0030184D">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8A2C51" w:rsidRDefault="0030184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035BA">
      <w:rPr>
        <w:noProof/>
        <w:sz w:val="20"/>
      </w:rPr>
      <w:t>Translation of currency amounts—rules and other requirements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035BA">
      <w:rPr>
        <w:b/>
        <w:noProof/>
        <w:sz w:val="20"/>
      </w:rPr>
      <w:t>Schedule 2</w:t>
    </w:r>
    <w:r w:rsidRPr="008A2C51">
      <w:rPr>
        <w:b/>
        <w:sz w:val="20"/>
      </w:rPr>
      <w:fldChar w:fldCharType="end"/>
    </w:r>
  </w:p>
  <w:p w:rsidR="0030184D" w:rsidRPr="008A2C51" w:rsidRDefault="0030184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8035BA">
      <w:rPr>
        <w:sz w:val="20"/>
      </w:rPr>
      <w:fldChar w:fldCharType="separate"/>
    </w:r>
    <w:r w:rsidR="008035BA">
      <w:rPr>
        <w:noProof/>
        <w:sz w:val="20"/>
      </w:rPr>
      <w:t>Translation of foreign currency amounts into Australian currency—rules and requirements for item 11A of the table in subsection 960-50(6) of the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8035BA">
      <w:rPr>
        <w:b/>
        <w:sz w:val="20"/>
      </w:rPr>
      <w:fldChar w:fldCharType="separate"/>
    </w:r>
    <w:r w:rsidR="008035BA">
      <w:rPr>
        <w:b/>
        <w:noProof/>
        <w:sz w:val="20"/>
      </w:rPr>
      <w:t>Part 2</w:t>
    </w:r>
    <w:r w:rsidRPr="008A2C51">
      <w:rPr>
        <w:b/>
        <w:sz w:val="20"/>
      </w:rPr>
      <w:fldChar w:fldCharType="end"/>
    </w:r>
  </w:p>
  <w:p w:rsidR="0030184D" w:rsidRPr="008A2C51" w:rsidRDefault="0030184D">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pPr>
      <w:rPr>
        <w:sz w:val="20"/>
      </w:rPr>
    </w:pPr>
    <w:r>
      <w:rPr>
        <w:b/>
        <w:sz w:val="20"/>
      </w:rPr>
      <w:fldChar w:fldCharType="begin"/>
    </w:r>
    <w:r>
      <w:rPr>
        <w:b/>
        <w:sz w:val="20"/>
      </w:rPr>
      <w:instrText xml:space="preserve"> STYLEREF CharChapNo </w:instrText>
    </w:r>
    <w:r>
      <w:rPr>
        <w:b/>
        <w:sz w:val="20"/>
      </w:rPr>
      <w:fldChar w:fldCharType="separate"/>
    </w:r>
    <w:r w:rsidR="008035BA">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035BA">
      <w:rPr>
        <w:noProof/>
        <w:sz w:val="20"/>
      </w:rPr>
      <w:t>Approved Stock Exchanges</w:t>
    </w:r>
    <w:r>
      <w:rPr>
        <w:sz w:val="20"/>
      </w:rPr>
      <w:fldChar w:fldCharType="end"/>
    </w:r>
  </w:p>
  <w:p w:rsidR="0030184D" w:rsidRDefault="0030184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30184D" w:rsidRDefault="0030184D">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8A2C51" w:rsidRDefault="0030184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035BA">
      <w:rPr>
        <w:noProof/>
        <w:sz w:val="20"/>
      </w:rPr>
      <w:t>Approved Stock Exchanges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035BA">
      <w:rPr>
        <w:b/>
        <w:noProof/>
        <w:sz w:val="20"/>
      </w:rPr>
      <w:t>Schedule 5</w:t>
    </w:r>
    <w:r w:rsidRPr="008A2C51">
      <w:rPr>
        <w:b/>
        <w:sz w:val="20"/>
      </w:rPr>
      <w:fldChar w:fldCharType="end"/>
    </w:r>
  </w:p>
  <w:p w:rsidR="0030184D" w:rsidRPr="008A2C51" w:rsidRDefault="0030184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30184D" w:rsidRPr="008A2C51" w:rsidRDefault="0030184D">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BE5CD2" w:rsidRDefault="0030184D" w:rsidP="00350163">
    <w:pPr>
      <w:rPr>
        <w:sz w:val="26"/>
        <w:szCs w:val="26"/>
      </w:rPr>
    </w:pPr>
  </w:p>
  <w:p w:rsidR="0030184D" w:rsidRPr="0020230A" w:rsidRDefault="0030184D" w:rsidP="00350163">
    <w:pPr>
      <w:rPr>
        <w:b/>
        <w:sz w:val="20"/>
      </w:rPr>
    </w:pPr>
    <w:r w:rsidRPr="0020230A">
      <w:rPr>
        <w:b/>
        <w:sz w:val="20"/>
      </w:rPr>
      <w:t>Endnotes</w:t>
    </w:r>
  </w:p>
  <w:p w:rsidR="0030184D" w:rsidRPr="007A1328" w:rsidRDefault="0030184D" w:rsidP="00350163">
    <w:pPr>
      <w:rPr>
        <w:sz w:val="20"/>
      </w:rPr>
    </w:pPr>
  </w:p>
  <w:p w:rsidR="0030184D" w:rsidRPr="007A1328" w:rsidRDefault="0030184D" w:rsidP="00350163">
    <w:pPr>
      <w:rPr>
        <w:b/>
        <w:sz w:val="24"/>
      </w:rPr>
    </w:pPr>
  </w:p>
  <w:p w:rsidR="0030184D" w:rsidRPr="00BE5CD2" w:rsidRDefault="0030184D" w:rsidP="0035016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035BA">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BE5CD2" w:rsidRDefault="0030184D" w:rsidP="00350163">
    <w:pPr>
      <w:jc w:val="right"/>
      <w:rPr>
        <w:sz w:val="26"/>
        <w:szCs w:val="26"/>
      </w:rPr>
    </w:pPr>
  </w:p>
  <w:p w:rsidR="0030184D" w:rsidRPr="0020230A" w:rsidRDefault="0030184D" w:rsidP="00350163">
    <w:pPr>
      <w:jc w:val="right"/>
      <w:rPr>
        <w:b/>
        <w:sz w:val="20"/>
      </w:rPr>
    </w:pPr>
    <w:r w:rsidRPr="0020230A">
      <w:rPr>
        <w:b/>
        <w:sz w:val="20"/>
      </w:rPr>
      <w:t>Endnotes</w:t>
    </w:r>
  </w:p>
  <w:p w:rsidR="0030184D" w:rsidRPr="007A1328" w:rsidRDefault="0030184D" w:rsidP="00350163">
    <w:pPr>
      <w:jc w:val="right"/>
      <w:rPr>
        <w:sz w:val="20"/>
      </w:rPr>
    </w:pPr>
  </w:p>
  <w:p w:rsidR="0030184D" w:rsidRPr="007A1328" w:rsidRDefault="0030184D" w:rsidP="00350163">
    <w:pPr>
      <w:jc w:val="right"/>
      <w:rPr>
        <w:b/>
        <w:sz w:val="24"/>
      </w:rPr>
    </w:pPr>
  </w:p>
  <w:p w:rsidR="0030184D" w:rsidRPr="00BE5CD2" w:rsidRDefault="0030184D" w:rsidP="0035016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035BA">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BE5CD2" w:rsidRDefault="0030184D" w:rsidP="00DF44F8">
    <w:pPr>
      <w:rPr>
        <w:sz w:val="26"/>
        <w:szCs w:val="26"/>
      </w:rPr>
    </w:pPr>
    <w:r>
      <w:rPr>
        <w:sz w:val="26"/>
        <w:szCs w:val="26"/>
      </w:rPr>
      <w:t>Endnotes</w:t>
    </w:r>
  </w:p>
  <w:p w:rsidR="0030184D" w:rsidRDefault="0030184D" w:rsidP="00DF44F8">
    <w:pPr>
      <w:rPr>
        <w:sz w:val="20"/>
      </w:rPr>
    </w:pPr>
  </w:p>
  <w:p w:rsidR="0030184D" w:rsidRPr="007A1328" w:rsidRDefault="0030184D" w:rsidP="00DF44F8">
    <w:pPr>
      <w:rPr>
        <w:sz w:val="20"/>
      </w:rPr>
    </w:pPr>
  </w:p>
  <w:p w:rsidR="0030184D" w:rsidRPr="007A1328" w:rsidRDefault="0030184D" w:rsidP="00DF44F8">
    <w:pPr>
      <w:rPr>
        <w:b/>
        <w:sz w:val="24"/>
      </w:rPr>
    </w:pPr>
  </w:p>
  <w:p w:rsidR="0030184D" w:rsidRPr="00BE5CD2" w:rsidRDefault="0030184D" w:rsidP="00DF44F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BE5CD2" w:rsidRDefault="0030184D" w:rsidP="00DF44F8">
    <w:pPr>
      <w:jc w:val="right"/>
      <w:rPr>
        <w:sz w:val="26"/>
        <w:szCs w:val="26"/>
      </w:rPr>
    </w:pPr>
    <w:r>
      <w:rPr>
        <w:sz w:val="26"/>
        <w:szCs w:val="26"/>
      </w:rPr>
      <w:t>Endnotes</w:t>
    </w:r>
  </w:p>
  <w:p w:rsidR="0030184D" w:rsidRPr="007A1328" w:rsidRDefault="0030184D" w:rsidP="00DF44F8">
    <w:pPr>
      <w:jc w:val="right"/>
      <w:rPr>
        <w:sz w:val="20"/>
      </w:rPr>
    </w:pPr>
  </w:p>
  <w:p w:rsidR="0030184D" w:rsidRPr="007A1328" w:rsidRDefault="0030184D" w:rsidP="00DF44F8">
    <w:pPr>
      <w:jc w:val="right"/>
      <w:rPr>
        <w:sz w:val="20"/>
      </w:rPr>
    </w:pPr>
  </w:p>
  <w:p w:rsidR="0030184D" w:rsidRPr="007A1328" w:rsidRDefault="0030184D" w:rsidP="00DF44F8">
    <w:pPr>
      <w:jc w:val="right"/>
      <w:rPr>
        <w:b/>
        <w:sz w:val="24"/>
      </w:rPr>
    </w:pPr>
  </w:p>
  <w:p w:rsidR="0030184D" w:rsidRPr="00BE5CD2" w:rsidRDefault="0030184D" w:rsidP="00DF44F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rsidP="00EF4546">
    <w:pPr>
      <w:pStyle w:val="Header"/>
      <w:pBdr>
        <w:bottom w:val="single" w:sz="4" w:space="1" w:color="auto"/>
      </w:pBdr>
    </w:pPr>
  </w:p>
  <w:p w:rsidR="0030184D" w:rsidRDefault="0030184D" w:rsidP="00EF4546">
    <w:pPr>
      <w:pStyle w:val="Header"/>
      <w:pBdr>
        <w:bottom w:val="single" w:sz="4" w:space="1" w:color="auto"/>
      </w:pBdr>
    </w:pPr>
  </w:p>
  <w:p w:rsidR="0030184D" w:rsidRPr="001E77D2" w:rsidRDefault="0030184D" w:rsidP="00EF4546">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rsidP="007C0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5F1388" w:rsidRDefault="0030184D" w:rsidP="00EF454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ED79B6" w:rsidRDefault="0030184D" w:rsidP="00FF7630">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ED79B6" w:rsidRDefault="0030184D" w:rsidP="00FF7630">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ED79B6" w:rsidRDefault="0030184D" w:rsidP="00DF44F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Default="0030184D" w:rsidP="00DF44F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0184D" w:rsidRDefault="0030184D" w:rsidP="00DF44F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035BA">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035BA">
      <w:rPr>
        <w:noProof/>
        <w:sz w:val="20"/>
      </w:rPr>
      <w:t>The Dictionary</w:t>
    </w:r>
    <w:r>
      <w:rPr>
        <w:sz w:val="20"/>
      </w:rPr>
      <w:fldChar w:fldCharType="end"/>
    </w:r>
  </w:p>
  <w:p w:rsidR="0030184D" w:rsidRPr="007A1328" w:rsidRDefault="0030184D" w:rsidP="00DF44F8">
    <w:pPr>
      <w:rPr>
        <w:sz w:val="20"/>
      </w:rPr>
    </w:pPr>
    <w:r>
      <w:rPr>
        <w:b/>
        <w:sz w:val="20"/>
      </w:rPr>
      <w:fldChar w:fldCharType="begin"/>
    </w:r>
    <w:r>
      <w:rPr>
        <w:b/>
        <w:sz w:val="20"/>
      </w:rPr>
      <w:instrText xml:space="preserve"> STYLEREF CharDivNo </w:instrText>
    </w:r>
    <w:r w:rsidR="008035BA">
      <w:rPr>
        <w:b/>
        <w:sz w:val="20"/>
      </w:rPr>
      <w:fldChar w:fldCharType="separate"/>
    </w:r>
    <w:r w:rsidR="008035BA">
      <w:rPr>
        <w:b/>
        <w:noProof/>
        <w:sz w:val="20"/>
      </w:rPr>
      <w:t>Division 995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8035BA">
      <w:rPr>
        <w:sz w:val="20"/>
      </w:rPr>
      <w:fldChar w:fldCharType="separate"/>
    </w:r>
    <w:r w:rsidR="008035BA">
      <w:rPr>
        <w:noProof/>
        <w:sz w:val="20"/>
      </w:rPr>
      <w:t>Definitions</w:t>
    </w:r>
    <w:r>
      <w:rPr>
        <w:sz w:val="20"/>
      </w:rPr>
      <w:fldChar w:fldCharType="end"/>
    </w:r>
  </w:p>
  <w:p w:rsidR="0030184D" w:rsidRPr="007A1328" w:rsidRDefault="0030184D" w:rsidP="00DF44F8">
    <w:pPr>
      <w:rPr>
        <w:b/>
        <w:sz w:val="24"/>
      </w:rPr>
    </w:pPr>
  </w:p>
  <w:p w:rsidR="0030184D" w:rsidRPr="007A1328" w:rsidRDefault="0030184D" w:rsidP="00DF44F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035BA">
      <w:rPr>
        <w:noProof/>
        <w:sz w:val="24"/>
      </w:rPr>
      <w:t>995-1.04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A1328" w:rsidRDefault="0030184D" w:rsidP="00DF44F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0184D" w:rsidRPr="007A1328" w:rsidRDefault="0030184D" w:rsidP="00DF44F8">
    <w:pPr>
      <w:jc w:val="right"/>
      <w:rPr>
        <w:sz w:val="20"/>
      </w:rPr>
    </w:pPr>
    <w:r w:rsidRPr="007A1328">
      <w:rPr>
        <w:sz w:val="20"/>
      </w:rPr>
      <w:fldChar w:fldCharType="begin"/>
    </w:r>
    <w:r w:rsidRPr="007A1328">
      <w:rPr>
        <w:sz w:val="20"/>
      </w:rPr>
      <w:instrText xml:space="preserve"> STYLEREF CharPartText </w:instrText>
    </w:r>
    <w:r w:rsidR="008035BA">
      <w:rPr>
        <w:sz w:val="20"/>
      </w:rPr>
      <w:fldChar w:fldCharType="separate"/>
    </w:r>
    <w:r w:rsidR="008035BA">
      <w:rPr>
        <w:noProof/>
        <w:sz w:val="20"/>
      </w:rPr>
      <w:t>The 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035BA">
      <w:rPr>
        <w:b/>
        <w:sz w:val="20"/>
      </w:rPr>
      <w:fldChar w:fldCharType="separate"/>
    </w:r>
    <w:r w:rsidR="008035BA">
      <w:rPr>
        <w:b/>
        <w:noProof/>
        <w:sz w:val="20"/>
      </w:rPr>
      <w:t>Part 6</w:t>
    </w:r>
    <w:r>
      <w:rPr>
        <w:b/>
        <w:sz w:val="20"/>
      </w:rPr>
      <w:fldChar w:fldCharType="end"/>
    </w:r>
  </w:p>
  <w:p w:rsidR="0030184D" w:rsidRPr="007A1328" w:rsidRDefault="0030184D" w:rsidP="00DF44F8">
    <w:pPr>
      <w:jc w:val="right"/>
      <w:rPr>
        <w:sz w:val="20"/>
      </w:rPr>
    </w:pPr>
    <w:r w:rsidRPr="007A1328">
      <w:rPr>
        <w:sz w:val="20"/>
      </w:rPr>
      <w:fldChar w:fldCharType="begin"/>
    </w:r>
    <w:r w:rsidRPr="007A1328">
      <w:rPr>
        <w:sz w:val="20"/>
      </w:rPr>
      <w:instrText xml:space="preserve"> STYLEREF CharDivText </w:instrText>
    </w:r>
    <w:r w:rsidR="008035BA">
      <w:rPr>
        <w:sz w:val="20"/>
      </w:rPr>
      <w:fldChar w:fldCharType="separate"/>
    </w:r>
    <w:r w:rsidR="008035BA">
      <w:rPr>
        <w:noProof/>
        <w:sz w:val="20"/>
      </w:rPr>
      <w:t>Definitions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035BA">
      <w:rPr>
        <w:b/>
        <w:sz w:val="20"/>
      </w:rPr>
      <w:fldChar w:fldCharType="separate"/>
    </w:r>
    <w:r w:rsidR="008035BA">
      <w:rPr>
        <w:b/>
        <w:noProof/>
        <w:sz w:val="20"/>
      </w:rPr>
      <w:t>Division 995</w:t>
    </w:r>
    <w:r>
      <w:rPr>
        <w:b/>
        <w:sz w:val="20"/>
      </w:rPr>
      <w:fldChar w:fldCharType="end"/>
    </w:r>
  </w:p>
  <w:p w:rsidR="0030184D" w:rsidRPr="007A1328" w:rsidRDefault="0030184D" w:rsidP="00DF44F8">
    <w:pPr>
      <w:jc w:val="right"/>
      <w:rPr>
        <w:b/>
        <w:sz w:val="24"/>
      </w:rPr>
    </w:pPr>
  </w:p>
  <w:p w:rsidR="0030184D" w:rsidRPr="007A1328" w:rsidRDefault="0030184D" w:rsidP="00DF44F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035BA">
      <w:rPr>
        <w:noProof/>
        <w:sz w:val="24"/>
      </w:rPr>
      <w:t>995-1.01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4D" w:rsidRPr="007A1328" w:rsidRDefault="0030184D" w:rsidP="00DF44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3C6679E"/>
    <w:multiLevelType w:val="hybridMultilevel"/>
    <w:tmpl w:val="D15EBA2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nsid w:val="391B745E"/>
    <w:multiLevelType w:val="hybridMultilevel"/>
    <w:tmpl w:val="29142D0C"/>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19">
    <w:nsid w:val="3A836E0D"/>
    <w:multiLevelType w:val="multilevel"/>
    <w:tmpl w:val="5D364E06"/>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B5F79FD"/>
    <w:multiLevelType w:val="singleLevel"/>
    <w:tmpl w:val="0C090001"/>
    <w:name w:val="HeadingsList23"/>
    <w:lvl w:ilvl="0">
      <w:start w:val="1"/>
      <w:numFmt w:val="bullet"/>
      <w:lvlText w:val=""/>
      <w:lvlJc w:val="left"/>
      <w:pPr>
        <w:tabs>
          <w:tab w:val="num" w:pos="360"/>
        </w:tabs>
        <w:ind w:left="360" w:hanging="360"/>
      </w:pPr>
      <w:rPr>
        <w:rFonts w:ascii="Symbol" w:hAnsi="Symbol" w:hint="default"/>
      </w:rPr>
    </w:lvl>
  </w:abstractNum>
  <w:abstractNum w:abstractNumId="2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29B7368"/>
    <w:multiLevelType w:val="singleLevel"/>
    <w:tmpl w:val="88D82F74"/>
    <w:name w:val="StandardBulletedList"/>
    <w:lvl w:ilvl="0">
      <w:start w:val="1"/>
      <w:numFmt w:val="bullet"/>
      <w:lvlText w:val=""/>
      <w:lvlJc w:val="left"/>
      <w:pPr>
        <w:tabs>
          <w:tab w:val="num" w:pos="1208"/>
        </w:tabs>
        <w:ind w:left="1208" w:hanging="414"/>
      </w:pPr>
      <w:rPr>
        <w:rFonts w:ascii="Symbol" w:hAnsi="Symbol" w:hint="default"/>
      </w:rPr>
    </w:lvl>
  </w:abstractNum>
  <w:abstractNum w:abstractNumId="24">
    <w:nsid w:val="4BC57EA2"/>
    <w:multiLevelType w:val="hybridMultilevel"/>
    <w:tmpl w:val="CB82D43A"/>
    <w:name w:val="DotPointList"/>
    <w:lvl w:ilvl="0" w:tplc="FFFFFFFF">
      <w:start w:val="1"/>
      <w:numFmt w:val="bullet"/>
      <w:lvlText w:val=""/>
      <w:lvlJc w:val="left"/>
      <w:pPr>
        <w:tabs>
          <w:tab w:val="num" w:pos="1684"/>
        </w:tabs>
        <w:ind w:left="1684" w:hanging="360"/>
      </w:pPr>
      <w:rPr>
        <w:rFonts w:ascii="Symbol" w:hAnsi="Symbol" w:hint="default"/>
      </w:rPr>
    </w:lvl>
    <w:lvl w:ilvl="1" w:tplc="FFFFFFFF" w:tentative="1">
      <w:start w:val="1"/>
      <w:numFmt w:val="bullet"/>
      <w:lvlText w:val="o"/>
      <w:lvlJc w:val="left"/>
      <w:pPr>
        <w:tabs>
          <w:tab w:val="num" w:pos="2404"/>
        </w:tabs>
        <w:ind w:left="2404" w:hanging="360"/>
      </w:pPr>
      <w:rPr>
        <w:rFonts w:ascii="Courier New" w:hAnsi="Courier New" w:cs="Courier New" w:hint="default"/>
      </w:rPr>
    </w:lvl>
    <w:lvl w:ilvl="2" w:tplc="FFFFFFFF" w:tentative="1">
      <w:start w:val="1"/>
      <w:numFmt w:val="bullet"/>
      <w:lvlText w:val=""/>
      <w:lvlJc w:val="left"/>
      <w:pPr>
        <w:tabs>
          <w:tab w:val="num" w:pos="3124"/>
        </w:tabs>
        <w:ind w:left="3124" w:hanging="360"/>
      </w:pPr>
      <w:rPr>
        <w:rFonts w:ascii="Wingdings" w:hAnsi="Wingdings" w:hint="default"/>
      </w:rPr>
    </w:lvl>
    <w:lvl w:ilvl="3" w:tplc="FFFFFFFF" w:tentative="1">
      <w:start w:val="1"/>
      <w:numFmt w:val="bullet"/>
      <w:lvlText w:val=""/>
      <w:lvlJc w:val="left"/>
      <w:pPr>
        <w:tabs>
          <w:tab w:val="num" w:pos="3844"/>
        </w:tabs>
        <w:ind w:left="3844" w:hanging="360"/>
      </w:pPr>
      <w:rPr>
        <w:rFonts w:ascii="Symbol" w:hAnsi="Symbol" w:hint="default"/>
      </w:rPr>
    </w:lvl>
    <w:lvl w:ilvl="4" w:tplc="FFFFFFFF" w:tentative="1">
      <w:start w:val="1"/>
      <w:numFmt w:val="bullet"/>
      <w:lvlText w:val="o"/>
      <w:lvlJc w:val="left"/>
      <w:pPr>
        <w:tabs>
          <w:tab w:val="num" w:pos="4564"/>
        </w:tabs>
        <w:ind w:left="4564" w:hanging="360"/>
      </w:pPr>
      <w:rPr>
        <w:rFonts w:ascii="Courier New" w:hAnsi="Courier New" w:cs="Courier New" w:hint="default"/>
      </w:rPr>
    </w:lvl>
    <w:lvl w:ilvl="5" w:tplc="FFFFFFFF" w:tentative="1">
      <w:start w:val="1"/>
      <w:numFmt w:val="bullet"/>
      <w:lvlText w:val=""/>
      <w:lvlJc w:val="left"/>
      <w:pPr>
        <w:tabs>
          <w:tab w:val="num" w:pos="5284"/>
        </w:tabs>
        <w:ind w:left="5284" w:hanging="360"/>
      </w:pPr>
      <w:rPr>
        <w:rFonts w:ascii="Wingdings" w:hAnsi="Wingdings" w:hint="default"/>
      </w:rPr>
    </w:lvl>
    <w:lvl w:ilvl="6" w:tplc="FFFFFFFF" w:tentative="1">
      <w:start w:val="1"/>
      <w:numFmt w:val="bullet"/>
      <w:lvlText w:val=""/>
      <w:lvlJc w:val="left"/>
      <w:pPr>
        <w:tabs>
          <w:tab w:val="num" w:pos="6004"/>
        </w:tabs>
        <w:ind w:left="6004" w:hanging="360"/>
      </w:pPr>
      <w:rPr>
        <w:rFonts w:ascii="Symbol" w:hAnsi="Symbol" w:hint="default"/>
      </w:rPr>
    </w:lvl>
    <w:lvl w:ilvl="7" w:tplc="FFFFFFFF" w:tentative="1">
      <w:start w:val="1"/>
      <w:numFmt w:val="bullet"/>
      <w:lvlText w:val="o"/>
      <w:lvlJc w:val="left"/>
      <w:pPr>
        <w:tabs>
          <w:tab w:val="num" w:pos="6724"/>
        </w:tabs>
        <w:ind w:left="6724" w:hanging="360"/>
      </w:pPr>
      <w:rPr>
        <w:rFonts w:ascii="Courier New" w:hAnsi="Courier New" w:cs="Courier New" w:hint="default"/>
      </w:rPr>
    </w:lvl>
    <w:lvl w:ilvl="8" w:tplc="FFFFFFFF" w:tentative="1">
      <w:start w:val="1"/>
      <w:numFmt w:val="bullet"/>
      <w:lvlText w:val=""/>
      <w:lvlJc w:val="left"/>
      <w:pPr>
        <w:tabs>
          <w:tab w:val="num" w:pos="7444"/>
        </w:tabs>
        <w:ind w:left="7444" w:hanging="360"/>
      </w:pPr>
      <w:rPr>
        <w:rFonts w:ascii="Wingdings" w:hAnsi="Wingdings" w:hint="default"/>
      </w:rPr>
    </w:lvl>
  </w:abstractNum>
  <w:abstractNum w:abstractNumId="25">
    <w:nsid w:val="559214BF"/>
    <w:multiLevelType w:val="multilevel"/>
    <w:tmpl w:val="B5F4DA0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8">
    <w:nsid w:val="5FBC7E8D"/>
    <w:multiLevelType w:val="singleLevel"/>
    <w:tmpl w:val="EE0E33D2"/>
    <w:lvl w:ilvl="0">
      <w:start w:val="1"/>
      <w:numFmt w:val="decimal"/>
      <w:lvlRestart w:val="0"/>
      <w:lvlText w:val="%1."/>
      <w:lvlJc w:val="left"/>
      <w:pPr>
        <w:tabs>
          <w:tab w:val="num" w:pos="1984"/>
        </w:tabs>
        <w:ind w:left="1140" w:firstLine="0"/>
      </w:pPr>
      <w:rPr>
        <w:b w:val="0"/>
        <w:i w:val="0"/>
        <w:color w:val="000000"/>
      </w:rPr>
    </w:lvl>
  </w:abstractNum>
  <w:abstractNum w:abstractNumId="2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796DA5"/>
    <w:multiLevelType w:val="singleLevel"/>
    <w:tmpl w:val="4E5EFE2E"/>
    <w:lvl w:ilvl="0">
      <w:start w:val="2"/>
      <w:numFmt w:val="decimal"/>
      <w:lvlText w:val="%1."/>
      <w:lvlJc w:val="left"/>
      <w:pPr>
        <w:tabs>
          <w:tab w:val="num" w:pos="567"/>
        </w:tabs>
        <w:ind w:left="567" w:hanging="567"/>
      </w:pPr>
    </w:lvl>
  </w:abstractNum>
  <w:abstractNum w:abstractNumId="31">
    <w:nsid w:val="694B40F6"/>
    <w:multiLevelType w:val="multilevel"/>
    <w:tmpl w:val="A12821D8"/>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30"/>
  </w:num>
  <w:num w:numId="16">
    <w:abstractNumId w:val="25"/>
  </w:num>
  <w:num w:numId="17">
    <w:abstractNumId w:val="17"/>
  </w:num>
  <w:num w:numId="18">
    <w:abstractNumId w:val="27"/>
  </w:num>
  <w:num w:numId="19">
    <w:abstractNumId w:val="31"/>
  </w:num>
  <w:num w:numId="20">
    <w:abstractNumId w:val="28"/>
  </w:num>
  <w:num w:numId="21">
    <w:abstractNumId w:val="19"/>
  </w:num>
  <w:num w:numId="22">
    <w:abstractNumId w:val="20"/>
  </w:num>
  <w:num w:numId="23">
    <w:abstractNumId w:val="29"/>
  </w:num>
  <w:num w:numId="24">
    <w:abstractNumId w:val="14"/>
  </w:num>
  <w:num w:numId="25">
    <w:abstractNumId w:val="13"/>
  </w:num>
  <w:num w:numId="26">
    <w:abstractNumId w:val="16"/>
  </w:num>
  <w:num w:numId="27">
    <w:abstractNumId w:val="11"/>
  </w:num>
  <w:num w:numId="28">
    <w:abstractNumId w:val="26"/>
  </w:num>
  <w:num w:numId="29">
    <w:abstractNumId w:val="10"/>
    <w:lvlOverride w:ilvl="0">
      <w:lvl w:ilvl="0">
        <w:start w:val="1"/>
        <w:numFmt w:val="bullet"/>
        <w:lvlText w:val=""/>
        <w:legacy w:legacy="1" w:legacySpace="0" w:legacyIndent="567"/>
        <w:lvlJc w:val="left"/>
        <w:pPr>
          <w:ind w:left="567" w:hanging="567"/>
        </w:pPr>
        <w:rPr>
          <w:rFonts w:ascii="Symbol" w:hAnsi="Symbol" w:cs="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2ACA"/>
    <w:rsid w:val="000038E1"/>
    <w:rsid w:val="0000439F"/>
    <w:rsid w:val="000047FD"/>
    <w:rsid w:val="00004B82"/>
    <w:rsid w:val="000056EE"/>
    <w:rsid w:val="00006F3C"/>
    <w:rsid w:val="00010203"/>
    <w:rsid w:val="000110AE"/>
    <w:rsid w:val="00012A4E"/>
    <w:rsid w:val="00012D3D"/>
    <w:rsid w:val="00015CD5"/>
    <w:rsid w:val="0001739E"/>
    <w:rsid w:val="0002298F"/>
    <w:rsid w:val="00023FD2"/>
    <w:rsid w:val="00026E89"/>
    <w:rsid w:val="00027330"/>
    <w:rsid w:val="00027ED7"/>
    <w:rsid w:val="00030698"/>
    <w:rsid w:val="000308A4"/>
    <w:rsid w:val="00033A54"/>
    <w:rsid w:val="0003434D"/>
    <w:rsid w:val="00034567"/>
    <w:rsid w:val="0003498B"/>
    <w:rsid w:val="00034C34"/>
    <w:rsid w:val="00037503"/>
    <w:rsid w:val="0004097E"/>
    <w:rsid w:val="00041CEC"/>
    <w:rsid w:val="000443FF"/>
    <w:rsid w:val="00046135"/>
    <w:rsid w:val="000463EF"/>
    <w:rsid w:val="0004680D"/>
    <w:rsid w:val="0004697A"/>
    <w:rsid w:val="00047B2D"/>
    <w:rsid w:val="000505B9"/>
    <w:rsid w:val="0005186F"/>
    <w:rsid w:val="000527F9"/>
    <w:rsid w:val="00053DE7"/>
    <w:rsid w:val="00055E25"/>
    <w:rsid w:val="00057624"/>
    <w:rsid w:val="00057843"/>
    <w:rsid w:val="000578EB"/>
    <w:rsid w:val="00060B2A"/>
    <w:rsid w:val="0006203A"/>
    <w:rsid w:val="000644BD"/>
    <w:rsid w:val="000644D7"/>
    <w:rsid w:val="00065A0E"/>
    <w:rsid w:val="00066715"/>
    <w:rsid w:val="00066881"/>
    <w:rsid w:val="0007230E"/>
    <w:rsid w:val="0007311A"/>
    <w:rsid w:val="000736A4"/>
    <w:rsid w:val="000753EE"/>
    <w:rsid w:val="00075B3D"/>
    <w:rsid w:val="000764F3"/>
    <w:rsid w:val="000775FE"/>
    <w:rsid w:val="00077E29"/>
    <w:rsid w:val="000816E5"/>
    <w:rsid w:val="00081872"/>
    <w:rsid w:val="00082074"/>
    <w:rsid w:val="00082344"/>
    <w:rsid w:val="00082361"/>
    <w:rsid w:val="000849AE"/>
    <w:rsid w:val="00084D7B"/>
    <w:rsid w:val="00085CED"/>
    <w:rsid w:val="00086EBB"/>
    <w:rsid w:val="000904EE"/>
    <w:rsid w:val="00092802"/>
    <w:rsid w:val="00092D0D"/>
    <w:rsid w:val="00097FA7"/>
    <w:rsid w:val="000A0E2F"/>
    <w:rsid w:val="000A1DA5"/>
    <w:rsid w:val="000A22E9"/>
    <w:rsid w:val="000A4ABD"/>
    <w:rsid w:val="000A4D2C"/>
    <w:rsid w:val="000B0A20"/>
    <w:rsid w:val="000B0C0C"/>
    <w:rsid w:val="000B0D43"/>
    <w:rsid w:val="000B0F4D"/>
    <w:rsid w:val="000B22A5"/>
    <w:rsid w:val="000B26C3"/>
    <w:rsid w:val="000B52F3"/>
    <w:rsid w:val="000C085F"/>
    <w:rsid w:val="000C0B3F"/>
    <w:rsid w:val="000C0E57"/>
    <w:rsid w:val="000C198F"/>
    <w:rsid w:val="000C1E49"/>
    <w:rsid w:val="000C2A8E"/>
    <w:rsid w:val="000C56FE"/>
    <w:rsid w:val="000C5F42"/>
    <w:rsid w:val="000C6043"/>
    <w:rsid w:val="000C7592"/>
    <w:rsid w:val="000C761E"/>
    <w:rsid w:val="000D112D"/>
    <w:rsid w:val="000D1B2A"/>
    <w:rsid w:val="000D20D6"/>
    <w:rsid w:val="000D301E"/>
    <w:rsid w:val="000D363E"/>
    <w:rsid w:val="000D5739"/>
    <w:rsid w:val="000D626D"/>
    <w:rsid w:val="000D7F9E"/>
    <w:rsid w:val="000E081D"/>
    <w:rsid w:val="000E6D71"/>
    <w:rsid w:val="000E780C"/>
    <w:rsid w:val="000F140F"/>
    <w:rsid w:val="000F4194"/>
    <w:rsid w:val="000F44B9"/>
    <w:rsid w:val="000F5826"/>
    <w:rsid w:val="000F6FD4"/>
    <w:rsid w:val="000F700B"/>
    <w:rsid w:val="001067D7"/>
    <w:rsid w:val="00107B9F"/>
    <w:rsid w:val="001101EB"/>
    <w:rsid w:val="00110432"/>
    <w:rsid w:val="00111E48"/>
    <w:rsid w:val="00114286"/>
    <w:rsid w:val="001148A6"/>
    <w:rsid w:val="001148F5"/>
    <w:rsid w:val="00122CA1"/>
    <w:rsid w:val="00124E30"/>
    <w:rsid w:val="00126C33"/>
    <w:rsid w:val="00126D00"/>
    <w:rsid w:val="0013089F"/>
    <w:rsid w:val="00130E48"/>
    <w:rsid w:val="00131744"/>
    <w:rsid w:val="001326F8"/>
    <w:rsid w:val="00133419"/>
    <w:rsid w:val="00135C25"/>
    <w:rsid w:val="001363F5"/>
    <w:rsid w:val="00140F72"/>
    <w:rsid w:val="0014237E"/>
    <w:rsid w:val="00145AF2"/>
    <w:rsid w:val="00145C33"/>
    <w:rsid w:val="0014660D"/>
    <w:rsid w:val="00150B71"/>
    <w:rsid w:val="001516AA"/>
    <w:rsid w:val="00152824"/>
    <w:rsid w:val="00153593"/>
    <w:rsid w:val="001544DD"/>
    <w:rsid w:val="001552DC"/>
    <w:rsid w:val="00156660"/>
    <w:rsid w:val="001620B3"/>
    <w:rsid w:val="0016453C"/>
    <w:rsid w:val="00166C4A"/>
    <w:rsid w:val="00166F3D"/>
    <w:rsid w:val="00167635"/>
    <w:rsid w:val="00167836"/>
    <w:rsid w:val="00167971"/>
    <w:rsid w:val="00167CBA"/>
    <w:rsid w:val="00171B28"/>
    <w:rsid w:val="00173D2D"/>
    <w:rsid w:val="00173DBA"/>
    <w:rsid w:val="00174F85"/>
    <w:rsid w:val="00175476"/>
    <w:rsid w:val="00175BEF"/>
    <w:rsid w:val="00176296"/>
    <w:rsid w:val="00180A91"/>
    <w:rsid w:val="00180CD3"/>
    <w:rsid w:val="00181929"/>
    <w:rsid w:val="00181EC4"/>
    <w:rsid w:val="0018264C"/>
    <w:rsid w:val="00183546"/>
    <w:rsid w:val="001842B3"/>
    <w:rsid w:val="001842CD"/>
    <w:rsid w:val="001913B1"/>
    <w:rsid w:val="00191B57"/>
    <w:rsid w:val="00192855"/>
    <w:rsid w:val="00193611"/>
    <w:rsid w:val="00193EBA"/>
    <w:rsid w:val="00195953"/>
    <w:rsid w:val="001A0258"/>
    <w:rsid w:val="001A1A7F"/>
    <w:rsid w:val="001A25BD"/>
    <w:rsid w:val="001A320C"/>
    <w:rsid w:val="001A4494"/>
    <w:rsid w:val="001A4C07"/>
    <w:rsid w:val="001A561E"/>
    <w:rsid w:val="001B0BCC"/>
    <w:rsid w:val="001B3A67"/>
    <w:rsid w:val="001B680B"/>
    <w:rsid w:val="001B69AB"/>
    <w:rsid w:val="001B7079"/>
    <w:rsid w:val="001C1EA1"/>
    <w:rsid w:val="001C2D2D"/>
    <w:rsid w:val="001C3B83"/>
    <w:rsid w:val="001C3CFF"/>
    <w:rsid w:val="001C4999"/>
    <w:rsid w:val="001C5928"/>
    <w:rsid w:val="001C5DF6"/>
    <w:rsid w:val="001C6703"/>
    <w:rsid w:val="001C6A73"/>
    <w:rsid w:val="001C6A79"/>
    <w:rsid w:val="001C6C78"/>
    <w:rsid w:val="001D144B"/>
    <w:rsid w:val="001D1730"/>
    <w:rsid w:val="001D49E7"/>
    <w:rsid w:val="001D53F8"/>
    <w:rsid w:val="001D5D5D"/>
    <w:rsid w:val="001D7948"/>
    <w:rsid w:val="001E0161"/>
    <w:rsid w:val="001E0659"/>
    <w:rsid w:val="001E08BD"/>
    <w:rsid w:val="001E15BB"/>
    <w:rsid w:val="001E3806"/>
    <w:rsid w:val="001E551F"/>
    <w:rsid w:val="001E7BCD"/>
    <w:rsid w:val="001F0F92"/>
    <w:rsid w:val="001F162C"/>
    <w:rsid w:val="001F202A"/>
    <w:rsid w:val="001F204C"/>
    <w:rsid w:val="001F2083"/>
    <w:rsid w:val="001F3BCB"/>
    <w:rsid w:val="001F48F5"/>
    <w:rsid w:val="001F55B7"/>
    <w:rsid w:val="00200272"/>
    <w:rsid w:val="002008A6"/>
    <w:rsid w:val="00201CC9"/>
    <w:rsid w:val="00202952"/>
    <w:rsid w:val="0020488A"/>
    <w:rsid w:val="00204AC7"/>
    <w:rsid w:val="00205FF1"/>
    <w:rsid w:val="00206CD7"/>
    <w:rsid w:val="00206D48"/>
    <w:rsid w:val="0021097C"/>
    <w:rsid w:val="00211F23"/>
    <w:rsid w:val="002125DA"/>
    <w:rsid w:val="002145FA"/>
    <w:rsid w:val="00214D67"/>
    <w:rsid w:val="002203F9"/>
    <w:rsid w:val="00220EDA"/>
    <w:rsid w:val="0022170F"/>
    <w:rsid w:val="00222DA1"/>
    <w:rsid w:val="0022344F"/>
    <w:rsid w:val="00223A7F"/>
    <w:rsid w:val="00224B46"/>
    <w:rsid w:val="002250FB"/>
    <w:rsid w:val="0022557B"/>
    <w:rsid w:val="002303A1"/>
    <w:rsid w:val="00230799"/>
    <w:rsid w:val="00230A17"/>
    <w:rsid w:val="00231F20"/>
    <w:rsid w:val="00233926"/>
    <w:rsid w:val="00235683"/>
    <w:rsid w:val="0023596B"/>
    <w:rsid w:val="00237B7E"/>
    <w:rsid w:val="00240A75"/>
    <w:rsid w:val="00241AFB"/>
    <w:rsid w:val="00243A77"/>
    <w:rsid w:val="002444D1"/>
    <w:rsid w:val="00252F8A"/>
    <w:rsid w:val="002532D3"/>
    <w:rsid w:val="00254B2F"/>
    <w:rsid w:val="00254C12"/>
    <w:rsid w:val="0025513F"/>
    <w:rsid w:val="00255B78"/>
    <w:rsid w:val="00260DE7"/>
    <w:rsid w:val="00262431"/>
    <w:rsid w:val="002624FB"/>
    <w:rsid w:val="00262540"/>
    <w:rsid w:val="00270070"/>
    <w:rsid w:val="002705A1"/>
    <w:rsid w:val="00270826"/>
    <w:rsid w:val="00273233"/>
    <w:rsid w:val="0027363B"/>
    <w:rsid w:val="002763C0"/>
    <w:rsid w:val="002805FE"/>
    <w:rsid w:val="0028407E"/>
    <w:rsid w:val="00284A21"/>
    <w:rsid w:val="00284A9A"/>
    <w:rsid w:val="00284F22"/>
    <w:rsid w:val="00286CFC"/>
    <w:rsid w:val="0029122B"/>
    <w:rsid w:val="0029148C"/>
    <w:rsid w:val="0029220C"/>
    <w:rsid w:val="00292F32"/>
    <w:rsid w:val="0029343C"/>
    <w:rsid w:val="002934F8"/>
    <w:rsid w:val="0029413C"/>
    <w:rsid w:val="00295BC2"/>
    <w:rsid w:val="00296435"/>
    <w:rsid w:val="0029646C"/>
    <w:rsid w:val="00296E69"/>
    <w:rsid w:val="002A02FA"/>
    <w:rsid w:val="002A1354"/>
    <w:rsid w:val="002A2A08"/>
    <w:rsid w:val="002A3B41"/>
    <w:rsid w:val="002A4A17"/>
    <w:rsid w:val="002A57A4"/>
    <w:rsid w:val="002A78F2"/>
    <w:rsid w:val="002B080E"/>
    <w:rsid w:val="002B0BDC"/>
    <w:rsid w:val="002B6EB6"/>
    <w:rsid w:val="002C097D"/>
    <w:rsid w:val="002C0E89"/>
    <w:rsid w:val="002C42F1"/>
    <w:rsid w:val="002C5005"/>
    <w:rsid w:val="002C79E4"/>
    <w:rsid w:val="002C7F8D"/>
    <w:rsid w:val="002D06F9"/>
    <w:rsid w:val="002D18C4"/>
    <w:rsid w:val="002D2D8E"/>
    <w:rsid w:val="002D35D3"/>
    <w:rsid w:val="002D3E73"/>
    <w:rsid w:val="002D49D1"/>
    <w:rsid w:val="002D5625"/>
    <w:rsid w:val="002D776D"/>
    <w:rsid w:val="002E0455"/>
    <w:rsid w:val="002E1AC6"/>
    <w:rsid w:val="002E2073"/>
    <w:rsid w:val="002E2381"/>
    <w:rsid w:val="002E3CA7"/>
    <w:rsid w:val="002E6101"/>
    <w:rsid w:val="002E6EE2"/>
    <w:rsid w:val="002F0F22"/>
    <w:rsid w:val="002F133C"/>
    <w:rsid w:val="002F149C"/>
    <w:rsid w:val="002F1818"/>
    <w:rsid w:val="002F2964"/>
    <w:rsid w:val="002F3517"/>
    <w:rsid w:val="002F4898"/>
    <w:rsid w:val="003003CA"/>
    <w:rsid w:val="003017C9"/>
    <w:rsid w:val="0030184D"/>
    <w:rsid w:val="00305F32"/>
    <w:rsid w:val="0030627F"/>
    <w:rsid w:val="00310AA9"/>
    <w:rsid w:val="003147D1"/>
    <w:rsid w:val="00317209"/>
    <w:rsid w:val="003219B4"/>
    <w:rsid w:val="00323A77"/>
    <w:rsid w:val="003242D2"/>
    <w:rsid w:val="0032457A"/>
    <w:rsid w:val="003269CD"/>
    <w:rsid w:val="00326BEB"/>
    <w:rsid w:val="00327AAB"/>
    <w:rsid w:val="0033075C"/>
    <w:rsid w:val="00330BED"/>
    <w:rsid w:val="00330BFE"/>
    <w:rsid w:val="00331A79"/>
    <w:rsid w:val="003328BD"/>
    <w:rsid w:val="00332932"/>
    <w:rsid w:val="00334B9F"/>
    <w:rsid w:val="00335844"/>
    <w:rsid w:val="00336768"/>
    <w:rsid w:val="00342368"/>
    <w:rsid w:val="00343093"/>
    <w:rsid w:val="00343944"/>
    <w:rsid w:val="00343B89"/>
    <w:rsid w:val="00345BE7"/>
    <w:rsid w:val="003465AF"/>
    <w:rsid w:val="0034690C"/>
    <w:rsid w:val="00347380"/>
    <w:rsid w:val="00347ABE"/>
    <w:rsid w:val="00350163"/>
    <w:rsid w:val="00350487"/>
    <w:rsid w:val="00351600"/>
    <w:rsid w:val="00352023"/>
    <w:rsid w:val="00352933"/>
    <w:rsid w:val="00354BD3"/>
    <w:rsid w:val="00355D4A"/>
    <w:rsid w:val="003567D5"/>
    <w:rsid w:val="00356A97"/>
    <w:rsid w:val="00356D0E"/>
    <w:rsid w:val="003570F6"/>
    <w:rsid w:val="0035762D"/>
    <w:rsid w:val="00360B03"/>
    <w:rsid w:val="00361A88"/>
    <w:rsid w:val="00365485"/>
    <w:rsid w:val="00366209"/>
    <w:rsid w:val="003666AB"/>
    <w:rsid w:val="003716DE"/>
    <w:rsid w:val="00374039"/>
    <w:rsid w:val="003740BD"/>
    <w:rsid w:val="00374442"/>
    <w:rsid w:val="0037684A"/>
    <w:rsid w:val="0037751C"/>
    <w:rsid w:val="0037792B"/>
    <w:rsid w:val="00377AAB"/>
    <w:rsid w:val="00381E86"/>
    <w:rsid w:val="00382A06"/>
    <w:rsid w:val="003851F5"/>
    <w:rsid w:val="0038739E"/>
    <w:rsid w:val="00387998"/>
    <w:rsid w:val="00390756"/>
    <w:rsid w:val="0039269D"/>
    <w:rsid w:val="00393A96"/>
    <w:rsid w:val="00395A2D"/>
    <w:rsid w:val="00396732"/>
    <w:rsid w:val="003967E9"/>
    <w:rsid w:val="00396A9A"/>
    <w:rsid w:val="00396E31"/>
    <w:rsid w:val="003A01AB"/>
    <w:rsid w:val="003A2189"/>
    <w:rsid w:val="003A2674"/>
    <w:rsid w:val="003A2D09"/>
    <w:rsid w:val="003A2FEF"/>
    <w:rsid w:val="003A3291"/>
    <w:rsid w:val="003A37E0"/>
    <w:rsid w:val="003A3AD8"/>
    <w:rsid w:val="003A41D0"/>
    <w:rsid w:val="003A43BB"/>
    <w:rsid w:val="003A5313"/>
    <w:rsid w:val="003A6248"/>
    <w:rsid w:val="003A73DB"/>
    <w:rsid w:val="003A7DCD"/>
    <w:rsid w:val="003B0B75"/>
    <w:rsid w:val="003B2D59"/>
    <w:rsid w:val="003B37B1"/>
    <w:rsid w:val="003B5286"/>
    <w:rsid w:val="003B5BAD"/>
    <w:rsid w:val="003B5D16"/>
    <w:rsid w:val="003B6DBD"/>
    <w:rsid w:val="003B7540"/>
    <w:rsid w:val="003B7ECB"/>
    <w:rsid w:val="003C0958"/>
    <w:rsid w:val="003C1D3B"/>
    <w:rsid w:val="003C2D52"/>
    <w:rsid w:val="003C450C"/>
    <w:rsid w:val="003C5484"/>
    <w:rsid w:val="003C688C"/>
    <w:rsid w:val="003C700C"/>
    <w:rsid w:val="003C70B4"/>
    <w:rsid w:val="003D025E"/>
    <w:rsid w:val="003D0EA7"/>
    <w:rsid w:val="003D20DD"/>
    <w:rsid w:val="003D28E2"/>
    <w:rsid w:val="003D307A"/>
    <w:rsid w:val="003D3FF0"/>
    <w:rsid w:val="003D4A68"/>
    <w:rsid w:val="003D57C5"/>
    <w:rsid w:val="003E1CC5"/>
    <w:rsid w:val="003E5BAE"/>
    <w:rsid w:val="003F045C"/>
    <w:rsid w:val="003F1381"/>
    <w:rsid w:val="003F183F"/>
    <w:rsid w:val="003F1A97"/>
    <w:rsid w:val="003F1AF9"/>
    <w:rsid w:val="003F2260"/>
    <w:rsid w:val="003F23AA"/>
    <w:rsid w:val="003F3172"/>
    <w:rsid w:val="003F4307"/>
    <w:rsid w:val="003F61FB"/>
    <w:rsid w:val="00401165"/>
    <w:rsid w:val="00401418"/>
    <w:rsid w:val="00401CC6"/>
    <w:rsid w:val="00401E58"/>
    <w:rsid w:val="00401FA7"/>
    <w:rsid w:val="00403E1C"/>
    <w:rsid w:val="004041C0"/>
    <w:rsid w:val="0040589C"/>
    <w:rsid w:val="00406254"/>
    <w:rsid w:val="004069C4"/>
    <w:rsid w:val="00414CA3"/>
    <w:rsid w:val="00416607"/>
    <w:rsid w:val="004179AC"/>
    <w:rsid w:val="004207D7"/>
    <w:rsid w:val="00421169"/>
    <w:rsid w:val="004231B0"/>
    <w:rsid w:val="00424431"/>
    <w:rsid w:val="00425622"/>
    <w:rsid w:val="00426DB9"/>
    <w:rsid w:val="00427249"/>
    <w:rsid w:val="004314BD"/>
    <w:rsid w:val="00431576"/>
    <w:rsid w:val="004319E4"/>
    <w:rsid w:val="004355D0"/>
    <w:rsid w:val="00435DB1"/>
    <w:rsid w:val="00436FBD"/>
    <w:rsid w:val="00440258"/>
    <w:rsid w:val="00441257"/>
    <w:rsid w:val="00442444"/>
    <w:rsid w:val="00442B42"/>
    <w:rsid w:val="00444DB5"/>
    <w:rsid w:val="004476AF"/>
    <w:rsid w:val="0044775B"/>
    <w:rsid w:val="004478BF"/>
    <w:rsid w:val="00447FF6"/>
    <w:rsid w:val="00450B06"/>
    <w:rsid w:val="004527CF"/>
    <w:rsid w:val="0045415D"/>
    <w:rsid w:val="00454D0B"/>
    <w:rsid w:val="004566CA"/>
    <w:rsid w:val="00456AF7"/>
    <w:rsid w:val="00457AC5"/>
    <w:rsid w:val="00465211"/>
    <w:rsid w:val="00465C52"/>
    <w:rsid w:val="00466E95"/>
    <w:rsid w:val="0047221D"/>
    <w:rsid w:val="0047337C"/>
    <w:rsid w:val="00473EC3"/>
    <w:rsid w:val="004746CA"/>
    <w:rsid w:val="004816BD"/>
    <w:rsid w:val="00482B0A"/>
    <w:rsid w:val="004835FE"/>
    <w:rsid w:val="00483AD9"/>
    <w:rsid w:val="0048428E"/>
    <w:rsid w:val="004844CB"/>
    <w:rsid w:val="00490956"/>
    <w:rsid w:val="0049123E"/>
    <w:rsid w:val="004926D8"/>
    <w:rsid w:val="004928D9"/>
    <w:rsid w:val="00492AF6"/>
    <w:rsid w:val="004940EE"/>
    <w:rsid w:val="00494711"/>
    <w:rsid w:val="0049476B"/>
    <w:rsid w:val="004947A5"/>
    <w:rsid w:val="0049621D"/>
    <w:rsid w:val="004972A8"/>
    <w:rsid w:val="004A01D9"/>
    <w:rsid w:val="004A0CAE"/>
    <w:rsid w:val="004A3F86"/>
    <w:rsid w:val="004B1E60"/>
    <w:rsid w:val="004B268A"/>
    <w:rsid w:val="004B422B"/>
    <w:rsid w:val="004B5BF2"/>
    <w:rsid w:val="004B717C"/>
    <w:rsid w:val="004C16D7"/>
    <w:rsid w:val="004C2376"/>
    <w:rsid w:val="004C4116"/>
    <w:rsid w:val="004D21F6"/>
    <w:rsid w:val="004D222D"/>
    <w:rsid w:val="004D25B2"/>
    <w:rsid w:val="004D2CCB"/>
    <w:rsid w:val="004D45ED"/>
    <w:rsid w:val="004D48BD"/>
    <w:rsid w:val="004D64A8"/>
    <w:rsid w:val="004D7C9D"/>
    <w:rsid w:val="004E01BE"/>
    <w:rsid w:val="004E0E66"/>
    <w:rsid w:val="004E133B"/>
    <w:rsid w:val="004E1988"/>
    <w:rsid w:val="004E3375"/>
    <w:rsid w:val="004E4D3D"/>
    <w:rsid w:val="004E6447"/>
    <w:rsid w:val="004E6672"/>
    <w:rsid w:val="004E741B"/>
    <w:rsid w:val="004F0A32"/>
    <w:rsid w:val="004F2E04"/>
    <w:rsid w:val="004F4D91"/>
    <w:rsid w:val="004F4E05"/>
    <w:rsid w:val="004F586F"/>
    <w:rsid w:val="004F6F63"/>
    <w:rsid w:val="004F7197"/>
    <w:rsid w:val="004F75CE"/>
    <w:rsid w:val="00501341"/>
    <w:rsid w:val="005019DC"/>
    <w:rsid w:val="00501A67"/>
    <w:rsid w:val="005070D9"/>
    <w:rsid w:val="00510132"/>
    <w:rsid w:val="0051246F"/>
    <w:rsid w:val="00514E29"/>
    <w:rsid w:val="0051543A"/>
    <w:rsid w:val="00520318"/>
    <w:rsid w:val="00520D35"/>
    <w:rsid w:val="00524BE1"/>
    <w:rsid w:val="00525825"/>
    <w:rsid w:val="0052679F"/>
    <w:rsid w:val="00526B82"/>
    <w:rsid w:val="00530847"/>
    <w:rsid w:val="00533B6F"/>
    <w:rsid w:val="00535B7C"/>
    <w:rsid w:val="00535BFA"/>
    <w:rsid w:val="00542A5D"/>
    <w:rsid w:val="00543A7B"/>
    <w:rsid w:val="005441F0"/>
    <w:rsid w:val="0054702B"/>
    <w:rsid w:val="00551DC9"/>
    <w:rsid w:val="00552B9B"/>
    <w:rsid w:val="00553B42"/>
    <w:rsid w:val="00553BBD"/>
    <w:rsid w:val="00553CCE"/>
    <w:rsid w:val="00554734"/>
    <w:rsid w:val="005548F9"/>
    <w:rsid w:val="0056060C"/>
    <w:rsid w:val="005612E4"/>
    <w:rsid w:val="00561460"/>
    <w:rsid w:val="00561A56"/>
    <w:rsid w:val="00564001"/>
    <w:rsid w:val="00567105"/>
    <w:rsid w:val="00567B64"/>
    <w:rsid w:val="00570629"/>
    <w:rsid w:val="00570D64"/>
    <w:rsid w:val="0057299A"/>
    <w:rsid w:val="00572AA0"/>
    <w:rsid w:val="00573789"/>
    <w:rsid w:val="00573B65"/>
    <w:rsid w:val="005764BD"/>
    <w:rsid w:val="005764E8"/>
    <w:rsid w:val="00577475"/>
    <w:rsid w:val="00581A69"/>
    <w:rsid w:val="00581EE6"/>
    <w:rsid w:val="00582338"/>
    <w:rsid w:val="00584A71"/>
    <w:rsid w:val="00584EAD"/>
    <w:rsid w:val="00585B4D"/>
    <w:rsid w:val="005867F2"/>
    <w:rsid w:val="00590B66"/>
    <w:rsid w:val="00594676"/>
    <w:rsid w:val="0059493C"/>
    <w:rsid w:val="00594F6A"/>
    <w:rsid w:val="00597AE8"/>
    <w:rsid w:val="005A04A5"/>
    <w:rsid w:val="005A0F53"/>
    <w:rsid w:val="005A2792"/>
    <w:rsid w:val="005A2A56"/>
    <w:rsid w:val="005A3BD2"/>
    <w:rsid w:val="005A4763"/>
    <w:rsid w:val="005B2BDF"/>
    <w:rsid w:val="005B458E"/>
    <w:rsid w:val="005B4D37"/>
    <w:rsid w:val="005B5F1F"/>
    <w:rsid w:val="005B70BB"/>
    <w:rsid w:val="005B7450"/>
    <w:rsid w:val="005B75D6"/>
    <w:rsid w:val="005B7E03"/>
    <w:rsid w:val="005C20BB"/>
    <w:rsid w:val="005C2B7B"/>
    <w:rsid w:val="005C3264"/>
    <w:rsid w:val="005C6098"/>
    <w:rsid w:val="005C6670"/>
    <w:rsid w:val="005C737C"/>
    <w:rsid w:val="005C7760"/>
    <w:rsid w:val="005C7BB8"/>
    <w:rsid w:val="005D091C"/>
    <w:rsid w:val="005D40F1"/>
    <w:rsid w:val="005D420E"/>
    <w:rsid w:val="005D477C"/>
    <w:rsid w:val="005D491C"/>
    <w:rsid w:val="005D5651"/>
    <w:rsid w:val="005D6F22"/>
    <w:rsid w:val="005E2A30"/>
    <w:rsid w:val="005E42DE"/>
    <w:rsid w:val="005E5309"/>
    <w:rsid w:val="005E6D7C"/>
    <w:rsid w:val="005E7517"/>
    <w:rsid w:val="005F0ABA"/>
    <w:rsid w:val="005F2429"/>
    <w:rsid w:val="005F38C6"/>
    <w:rsid w:val="005F4D7E"/>
    <w:rsid w:val="005F4F62"/>
    <w:rsid w:val="005F5365"/>
    <w:rsid w:val="005F59E7"/>
    <w:rsid w:val="005F5AC5"/>
    <w:rsid w:val="005F775C"/>
    <w:rsid w:val="006004C3"/>
    <w:rsid w:val="006037C6"/>
    <w:rsid w:val="00603CB3"/>
    <w:rsid w:val="0060499E"/>
    <w:rsid w:val="00604EC9"/>
    <w:rsid w:val="00605AC5"/>
    <w:rsid w:val="006100B2"/>
    <w:rsid w:val="00610CB1"/>
    <w:rsid w:val="006133D2"/>
    <w:rsid w:val="00614BC1"/>
    <w:rsid w:val="0061683E"/>
    <w:rsid w:val="00620D1E"/>
    <w:rsid w:val="00625DCB"/>
    <w:rsid w:val="00626121"/>
    <w:rsid w:val="00626C61"/>
    <w:rsid w:val="00626C78"/>
    <w:rsid w:val="00627CDD"/>
    <w:rsid w:val="00630C62"/>
    <w:rsid w:val="006334F8"/>
    <w:rsid w:val="006339AC"/>
    <w:rsid w:val="006367A3"/>
    <w:rsid w:val="00636942"/>
    <w:rsid w:val="00636B02"/>
    <w:rsid w:val="00636EFF"/>
    <w:rsid w:val="006376B8"/>
    <w:rsid w:val="00643462"/>
    <w:rsid w:val="0064464F"/>
    <w:rsid w:val="00645165"/>
    <w:rsid w:val="00645A49"/>
    <w:rsid w:val="00646943"/>
    <w:rsid w:val="00647421"/>
    <w:rsid w:val="006503AC"/>
    <w:rsid w:val="00650CEE"/>
    <w:rsid w:val="0065125A"/>
    <w:rsid w:val="00651E42"/>
    <w:rsid w:val="00651E71"/>
    <w:rsid w:val="00652C50"/>
    <w:rsid w:val="0065414B"/>
    <w:rsid w:val="006548E6"/>
    <w:rsid w:val="00655A14"/>
    <w:rsid w:val="00655E40"/>
    <w:rsid w:val="00657047"/>
    <w:rsid w:val="0065771A"/>
    <w:rsid w:val="0065794A"/>
    <w:rsid w:val="00661798"/>
    <w:rsid w:val="0066430C"/>
    <w:rsid w:val="00665E73"/>
    <w:rsid w:val="006679C5"/>
    <w:rsid w:val="00672003"/>
    <w:rsid w:val="006724D9"/>
    <w:rsid w:val="00672979"/>
    <w:rsid w:val="00672E95"/>
    <w:rsid w:val="00675602"/>
    <w:rsid w:val="0067578F"/>
    <w:rsid w:val="00677A28"/>
    <w:rsid w:val="00681E4C"/>
    <w:rsid w:val="00685CA2"/>
    <w:rsid w:val="00686152"/>
    <w:rsid w:val="0068628A"/>
    <w:rsid w:val="00693FB6"/>
    <w:rsid w:val="0069452B"/>
    <w:rsid w:val="0069463B"/>
    <w:rsid w:val="00695D7E"/>
    <w:rsid w:val="00697D45"/>
    <w:rsid w:val="006A2A14"/>
    <w:rsid w:val="006A4BA5"/>
    <w:rsid w:val="006A7373"/>
    <w:rsid w:val="006B0105"/>
    <w:rsid w:val="006B0D3C"/>
    <w:rsid w:val="006B2346"/>
    <w:rsid w:val="006B28EE"/>
    <w:rsid w:val="006B48B1"/>
    <w:rsid w:val="006B6975"/>
    <w:rsid w:val="006B7149"/>
    <w:rsid w:val="006B741E"/>
    <w:rsid w:val="006C0D0D"/>
    <w:rsid w:val="006C11B7"/>
    <w:rsid w:val="006C2EE0"/>
    <w:rsid w:val="006C31CA"/>
    <w:rsid w:val="006C4BED"/>
    <w:rsid w:val="006C53D2"/>
    <w:rsid w:val="006C6AB6"/>
    <w:rsid w:val="006C795D"/>
    <w:rsid w:val="006D0603"/>
    <w:rsid w:val="006D10DF"/>
    <w:rsid w:val="006D18DE"/>
    <w:rsid w:val="006D1EE8"/>
    <w:rsid w:val="006D3614"/>
    <w:rsid w:val="006D4373"/>
    <w:rsid w:val="006D4B99"/>
    <w:rsid w:val="006D5D89"/>
    <w:rsid w:val="006E0220"/>
    <w:rsid w:val="006E0C70"/>
    <w:rsid w:val="006E1989"/>
    <w:rsid w:val="006E2F68"/>
    <w:rsid w:val="006E3227"/>
    <w:rsid w:val="006E5A07"/>
    <w:rsid w:val="006E5B31"/>
    <w:rsid w:val="006E6194"/>
    <w:rsid w:val="006E6AF8"/>
    <w:rsid w:val="006E6E5D"/>
    <w:rsid w:val="006E79D1"/>
    <w:rsid w:val="006F0832"/>
    <w:rsid w:val="006F1B06"/>
    <w:rsid w:val="006F2504"/>
    <w:rsid w:val="006F3027"/>
    <w:rsid w:val="006F4850"/>
    <w:rsid w:val="006F6B3D"/>
    <w:rsid w:val="006F7154"/>
    <w:rsid w:val="006F7A15"/>
    <w:rsid w:val="00701664"/>
    <w:rsid w:val="007019D2"/>
    <w:rsid w:val="00703613"/>
    <w:rsid w:val="007037DD"/>
    <w:rsid w:val="00704FC8"/>
    <w:rsid w:val="007052BF"/>
    <w:rsid w:val="007067C6"/>
    <w:rsid w:val="00707853"/>
    <w:rsid w:val="00707D6B"/>
    <w:rsid w:val="00711381"/>
    <w:rsid w:val="0071149F"/>
    <w:rsid w:val="00711A3C"/>
    <w:rsid w:val="00714BD4"/>
    <w:rsid w:val="00717563"/>
    <w:rsid w:val="0072028D"/>
    <w:rsid w:val="00721760"/>
    <w:rsid w:val="0072217E"/>
    <w:rsid w:val="00723AE4"/>
    <w:rsid w:val="00725793"/>
    <w:rsid w:val="0072600F"/>
    <w:rsid w:val="00726C40"/>
    <w:rsid w:val="00730AB3"/>
    <w:rsid w:val="00730CA4"/>
    <w:rsid w:val="00730FAB"/>
    <w:rsid w:val="00731DB0"/>
    <w:rsid w:val="00731E7D"/>
    <w:rsid w:val="00732425"/>
    <w:rsid w:val="00733D1E"/>
    <w:rsid w:val="00733ED9"/>
    <w:rsid w:val="00734005"/>
    <w:rsid w:val="00735B24"/>
    <w:rsid w:val="00735E2A"/>
    <w:rsid w:val="00736C6E"/>
    <w:rsid w:val="00736CB3"/>
    <w:rsid w:val="0073761F"/>
    <w:rsid w:val="00740420"/>
    <w:rsid w:val="00741DBB"/>
    <w:rsid w:val="00742BE4"/>
    <w:rsid w:val="007450AF"/>
    <w:rsid w:val="0074530F"/>
    <w:rsid w:val="007459FC"/>
    <w:rsid w:val="00746EFE"/>
    <w:rsid w:val="00750E7F"/>
    <w:rsid w:val="00750F54"/>
    <w:rsid w:val="0075389E"/>
    <w:rsid w:val="00753D83"/>
    <w:rsid w:val="00753E20"/>
    <w:rsid w:val="00753F70"/>
    <w:rsid w:val="007558CE"/>
    <w:rsid w:val="00756209"/>
    <w:rsid w:val="007576E3"/>
    <w:rsid w:val="00757D9D"/>
    <w:rsid w:val="00760531"/>
    <w:rsid w:val="00761ACE"/>
    <w:rsid w:val="00761AF9"/>
    <w:rsid w:val="00761FB9"/>
    <w:rsid w:val="007630F9"/>
    <w:rsid w:val="007640FB"/>
    <w:rsid w:val="007645F8"/>
    <w:rsid w:val="00764807"/>
    <w:rsid w:val="00765C6B"/>
    <w:rsid w:val="007674B8"/>
    <w:rsid w:val="007734B1"/>
    <w:rsid w:val="00773582"/>
    <w:rsid w:val="007747F4"/>
    <w:rsid w:val="00774AE2"/>
    <w:rsid w:val="00775487"/>
    <w:rsid w:val="007766E6"/>
    <w:rsid w:val="00780E21"/>
    <w:rsid w:val="00781824"/>
    <w:rsid w:val="0078242F"/>
    <w:rsid w:val="00783CF4"/>
    <w:rsid w:val="0078481B"/>
    <w:rsid w:val="00787D5F"/>
    <w:rsid w:val="00787E97"/>
    <w:rsid w:val="00790C37"/>
    <w:rsid w:val="007916FB"/>
    <w:rsid w:val="00792A76"/>
    <w:rsid w:val="00792C57"/>
    <w:rsid w:val="00792D08"/>
    <w:rsid w:val="00793A39"/>
    <w:rsid w:val="007952D3"/>
    <w:rsid w:val="0079643C"/>
    <w:rsid w:val="0079701A"/>
    <w:rsid w:val="00797058"/>
    <w:rsid w:val="0079710F"/>
    <w:rsid w:val="00797518"/>
    <w:rsid w:val="0079751C"/>
    <w:rsid w:val="00797C09"/>
    <w:rsid w:val="007A1349"/>
    <w:rsid w:val="007A155F"/>
    <w:rsid w:val="007A18FD"/>
    <w:rsid w:val="007A354F"/>
    <w:rsid w:val="007A3567"/>
    <w:rsid w:val="007B0065"/>
    <w:rsid w:val="007B1521"/>
    <w:rsid w:val="007B398D"/>
    <w:rsid w:val="007C005E"/>
    <w:rsid w:val="007C012A"/>
    <w:rsid w:val="007C0378"/>
    <w:rsid w:val="007C23A0"/>
    <w:rsid w:val="007C2EC8"/>
    <w:rsid w:val="007C378E"/>
    <w:rsid w:val="007C436A"/>
    <w:rsid w:val="007C49D9"/>
    <w:rsid w:val="007C5F47"/>
    <w:rsid w:val="007C6A16"/>
    <w:rsid w:val="007D2042"/>
    <w:rsid w:val="007D2316"/>
    <w:rsid w:val="007D2F4F"/>
    <w:rsid w:val="007D5627"/>
    <w:rsid w:val="007D5677"/>
    <w:rsid w:val="007D6B7B"/>
    <w:rsid w:val="007D7193"/>
    <w:rsid w:val="007D76DE"/>
    <w:rsid w:val="007E21C3"/>
    <w:rsid w:val="007E3296"/>
    <w:rsid w:val="007E5259"/>
    <w:rsid w:val="007E5A83"/>
    <w:rsid w:val="007E5E32"/>
    <w:rsid w:val="007F01B6"/>
    <w:rsid w:val="007F29CF"/>
    <w:rsid w:val="007F393A"/>
    <w:rsid w:val="007F39F5"/>
    <w:rsid w:val="007F5615"/>
    <w:rsid w:val="007F6B43"/>
    <w:rsid w:val="007F6EF0"/>
    <w:rsid w:val="00800EE9"/>
    <w:rsid w:val="008019A9"/>
    <w:rsid w:val="00802693"/>
    <w:rsid w:val="0080313E"/>
    <w:rsid w:val="0080330C"/>
    <w:rsid w:val="008035BA"/>
    <w:rsid w:val="00804C7D"/>
    <w:rsid w:val="00804FB2"/>
    <w:rsid w:val="00805EB7"/>
    <w:rsid w:val="008065C7"/>
    <w:rsid w:val="00806891"/>
    <w:rsid w:val="00807EDF"/>
    <w:rsid w:val="00810EFC"/>
    <w:rsid w:val="00810F42"/>
    <w:rsid w:val="00812474"/>
    <w:rsid w:val="0081299F"/>
    <w:rsid w:val="0081371D"/>
    <w:rsid w:val="008200F1"/>
    <w:rsid w:val="00820E6A"/>
    <w:rsid w:val="00821B6A"/>
    <w:rsid w:val="00821D88"/>
    <w:rsid w:val="00825BBE"/>
    <w:rsid w:val="00825EB9"/>
    <w:rsid w:val="008266A1"/>
    <w:rsid w:val="00826C5D"/>
    <w:rsid w:val="00827831"/>
    <w:rsid w:val="00827855"/>
    <w:rsid w:val="008279EF"/>
    <w:rsid w:val="00833240"/>
    <w:rsid w:val="00834026"/>
    <w:rsid w:val="0083702D"/>
    <w:rsid w:val="008409A3"/>
    <w:rsid w:val="008421EA"/>
    <w:rsid w:val="00842FEE"/>
    <w:rsid w:val="00844400"/>
    <w:rsid w:val="00844B00"/>
    <w:rsid w:val="008453DB"/>
    <w:rsid w:val="00846442"/>
    <w:rsid w:val="00850480"/>
    <w:rsid w:val="008509CF"/>
    <w:rsid w:val="008529D0"/>
    <w:rsid w:val="00855148"/>
    <w:rsid w:val="00855B7C"/>
    <w:rsid w:val="00855B8B"/>
    <w:rsid w:val="008563F0"/>
    <w:rsid w:val="00856B39"/>
    <w:rsid w:val="00857218"/>
    <w:rsid w:val="0085766A"/>
    <w:rsid w:val="00861193"/>
    <w:rsid w:val="008612AE"/>
    <w:rsid w:val="008621D6"/>
    <w:rsid w:val="00864468"/>
    <w:rsid w:val="00866901"/>
    <w:rsid w:val="00870E26"/>
    <w:rsid w:val="008734C5"/>
    <w:rsid w:val="00874D28"/>
    <w:rsid w:val="00875E41"/>
    <w:rsid w:val="00877AA9"/>
    <w:rsid w:val="008803E6"/>
    <w:rsid w:val="00882504"/>
    <w:rsid w:val="008834EB"/>
    <w:rsid w:val="00884A91"/>
    <w:rsid w:val="00885510"/>
    <w:rsid w:val="00890A16"/>
    <w:rsid w:val="008A0099"/>
    <w:rsid w:val="008A0D3A"/>
    <w:rsid w:val="008A19AA"/>
    <w:rsid w:val="008A3D32"/>
    <w:rsid w:val="008A558C"/>
    <w:rsid w:val="008A5870"/>
    <w:rsid w:val="008A5DD5"/>
    <w:rsid w:val="008B79DF"/>
    <w:rsid w:val="008B7DD7"/>
    <w:rsid w:val="008C1D70"/>
    <w:rsid w:val="008C212B"/>
    <w:rsid w:val="008C38FE"/>
    <w:rsid w:val="008C7AD5"/>
    <w:rsid w:val="008D2318"/>
    <w:rsid w:val="008D2C62"/>
    <w:rsid w:val="008D41DE"/>
    <w:rsid w:val="008D64ED"/>
    <w:rsid w:val="008D6D3C"/>
    <w:rsid w:val="008D7198"/>
    <w:rsid w:val="008D7566"/>
    <w:rsid w:val="008E02E5"/>
    <w:rsid w:val="008E379C"/>
    <w:rsid w:val="008E62BC"/>
    <w:rsid w:val="008E74ED"/>
    <w:rsid w:val="008E7D39"/>
    <w:rsid w:val="008F18E9"/>
    <w:rsid w:val="008F1BB3"/>
    <w:rsid w:val="008F1CD7"/>
    <w:rsid w:val="008F2C19"/>
    <w:rsid w:val="008F3CB6"/>
    <w:rsid w:val="008F5EC2"/>
    <w:rsid w:val="008F76F7"/>
    <w:rsid w:val="009003EC"/>
    <w:rsid w:val="00901C4C"/>
    <w:rsid w:val="00901D54"/>
    <w:rsid w:val="00901DA5"/>
    <w:rsid w:val="00902FB5"/>
    <w:rsid w:val="00903C4B"/>
    <w:rsid w:val="00905151"/>
    <w:rsid w:val="00906A85"/>
    <w:rsid w:val="009070F5"/>
    <w:rsid w:val="00907929"/>
    <w:rsid w:val="0091363F"/>
    <w:rsid w:val="00914578"/>
    <w:rsid w:val="00914CC9"/>
    <w:rsid w:val="00914EE2"/>
    <w:rsid w:val="00916CB3"/>
    <w:rsid w:val="00922BA7"/>
    <w:rsid w:val="00923707"/>
    <w:rsid w:val="00924E1D"/>
    <w:rsid w:val="0093033C"/>
    <w:rsid w:val="00931CFD"/>
    <w:rsid w:val="009356C5"/>
    <w:rsid w:val="00935889"/>
    <w:rsid w:val="00937172"/>
    <w:rsid w:val="00937A78"/>
    <w:rsid w:val="00940F67"/>
    <w:rsid w:val="00941956"/>
    <w:rsid w:val="00943439"/>
    <w:rsid w:val="00944599"/>
    <w:rsid w:val="0094652A"/>
    <w:rsid w:val="00947D92"/>
    <w:rsid w:val="0095322A"/>
    <w:rsid w:val="009535CC"/>
    <w:rsid w:val="009536AB"/>
    <w:rsid w:val="00954444"/>
    <w:rsid w:val="009553F5"/>
    <w:rsid w:val="009572FA"/>
    <w:rsid w:val="00957736"/>
    <w:rsid w:val="00960FCF"/>
    <w:rsid w:val="009676B9"/>
    <w:rsid w:val="00967FF3"/>
    <w:rsid w:val="009720CC"/>
    <w:rsid w:val="00973239"/>
    <w:rsid w:val="00973409"/>
    <w:rsid w:val="00973687"/>
    <w:rsid w:val="0097383A"/>
    <w:rsid w:val="009738E9"/>
    <w:rsid w:val="00980645"/>
    <w:rsid w:val="00981C84"/>
    <w:rsid w:val="00982FFF"/>
    <w:rsid w:val="009841B9"/>
    <w:rsid w:val="00984E98"/>
    <w:rsid w:val="00985654"/>
    <w:rsid w:val="00985A7D"/>
    <w:rsid w:val="00987DF2"/>
    <w:rsid w:val="00992087"/>
    <w:rsid w:val="00992710"/>
    <w:rsid w:val="0099288A"/>
    <w:rsid w:val="009976ED"/>
    <w:rsid w:val="00997DBB"/>
    <w:rsid w:val="009A04A5"/>
    <w:rsid w:val="009A1206"/>
    <w:rsid w:val="009A133F"/>
    <w:rsid w:val="009A550B"/>
    <w:rsid w:val="009A57BF"/>
    <w:rsid w:val="009A595E"/>
    <w:rsid w:val="009B06B1"/>
    <w:rsid w:val="009B225B"/>
    <w:rsid w:val="009B42AC"/>
    <w:rsid w:val="009B5FF9"/>
    <w:rsid w:val="009B6204"/>
    <w:rsid w:val="009B7467"/>
    <w:rsid w:val="009C03A4"/>
    <w:rsid w:val="009C0941"/>
    <w:rsid w:val="009C1372"/>
    <w:rsid w:val="009C26C4"/>
    <w:rsid w:val="009D1B3A"/>
    <w:rsid w:val="009D3D24"/>
    <w:rsid w:val="009D67A0"/>
    <w:rsid w:val="009E235E"/>
    <w:rsid w:val="009E3171"/>
    <w:rsid w:val="009E4E82"/>
    <w:rsid w:val="009E6192"/>
    <w:rsid w:val="009F19F5"/>
    <w:rsid w:val="009F3211"/>
    <w:rsid w:val="009F3711"/>
    <w:rsid w:val="009F4D29"/>
    <w:rsid w:val="009F5EBC"/>
    <w:rsid w:val="00A0064D"/>
    <w:rsid w:val="00A01333"/>
    <w:rsid w:val="00A0185C"/>
    <w:rsid w:val="00A01FB2"/>
    <w:rsid w:val="00A0307B"/>
    <w:rsid w:val="00A032B0"/>
    <w:rsid w:val="00A0399F"/>
    <w:rsid w:val="00A03F84"/>
    <w:rsid w:val="00A0440A"/>
    <w:rsid w:val="00A045F0"/>
    <w:rsid w:val="00A058D3"/>
    <w:rsid w:val="00A05F62"/>
    <w:rsid w:val="00A06FB6"/>
    <w:rsid w:val="00A07A52"/>
    <w:rsid w:val="00A07E1F"/>
    <w:rsid w:val="00A1281A"/>
    <w:rsid w:val="00A134C2"/>
    <w:rsid w:val="00A13ADE"/>
    <w:rsid w:val="00A1776C"/>
    <w:rsid w:val="00A17D1D"/>
    <w:rsid w:val="00A20966"/>
    <w:rsid w:val="00A2382D"/>
    <w:rsid w:val="00A24659"/>
    <w:rsid w:val="00A246E3"/>
    <w:rsid w:val="00A26088"/>
    <w:rsid w:val="00A26B11"/>
    <w:rsid w:val="00A26EC4"/>
    <w:rsid w:val="00A31BE9"/>
    <w:rsid w:val="00A31E44"/>
    <w:rsid w:val="00A320B8"/>
    <w:rsid w:val="00A35A25"/>
    <w:rsid w:val="00A365CC"/>
    <w:rsid w:val="00A36B76"/>
    <w:rsid w:val="00A40923"/>
    <w:rsid w:val="00A40F1F"/>
    <w:rsid w:val="00A41C0E"/>
    <w:rsid w:val="00A41F41"/>
    <w:rsid w:val="00A426CC"/>
    <w:rsid w:val="00A46FBA"/>
    <w:rsid w:val="00A47CFA"/>
    <w:rsid w:val="00A50DC8"/>
    <w:rsid w:val="00A51BF2"/>
    <w:rsid w:val="00A56E42"/>
    <w:rsid w:val="00A5794C"/>
    <w:rsid w:val="00A62DC9"/>
    <w:rsid w:val="00A63A30"/>
    <w:rsid w:val="00A64D7D"/>
    <w:rsid w:val="00A65220"/>
    <w:rsid w:val="00A65A90"/>
    <w:rsid w:val="00A67E76"/>
    <w:rsid w:val="00A70121"/>
    <w:rsid w:val="00A71D18"/>
    <w:rsid w:val="00A7238F"/>
    <w:rsid w:val="00A7363A"/>
    <w:rsid w:val="00A737E1"/>
    <w:rsid w:val="00A7494F"/>
    <w:rsid w:val="00A757D6"/>
    <w:rsid w:val="00A758D6"/>
    <w:rsid w:val="00A76A37"/>
    <w:rsid w:val="00A76AEA"/>
    <w:rsid w:val="00A80A21"/>
    <w:rsid w:val="00A8330B"/>
    <w:rsid w:val="00A848F5"/>
    <w:rsid w:val="00A85056"/>
    <w:rsid w:val="00A85CC0"/>
    <w:rsid w:val="00A8677D"/>
    <w:rsid w:val="00A868B2"/>
    <w:rsid w:val="00A86CCE"/>
    <w:rsid w:val="00A8737B"/>
    <w:rsid w:val="00A87DE9"/>
    <w:rsid w:val="00A91D68"/>
    <w:rsid w:val="00A91F48"/>
    <w:rsid w:val="00A939BC"/>
    <w:rsid w:val="00A95A80"/>
    <w:rsid w:val="00A96209"/>
    <w:rsid w:val="00A962FD"/>
    <w:rsid w:val="00A97259"/>
    <w:rsid w:val="00AA0149"/>
    <w:rsid w:val="00AA5E3E"/>
    <w:rsid w:val="00AA64FB"/>
    <w:rsid w:val="00AA6AC3"/>
    <w:rsid w:val="00AA755D"/>
    <w:rsid w:val="00AA7FE5"/>
    <w:rsid w:val="00AB0B8F"/>
    <w:rsid w:val="00AB0F88"/>
    <w:rsid w:val="00AB2ED6"/>
    <w:rsid w:val="00AB3AB7"/>
    <w:rsid w:val="00AB5A0B"/>
    <w:rsid w:val="00AC1678"/>
    <w:rsid w:val="00AC2749"/>
    <w:rsid w:val="00AC3483"/>
    <w:rsid w:val="00AC4DDD"/>
    <w:rsid w:val="00AC7318"/>
    <w:rsid w:val="00AD0A35"/>
    <w:rsid w:val="00AD431C"/>
    <w:rsid w:val="00AD4C82"/>
    <w:rsid w:val="00AE3BDB"/>
    <w:rsid w:val="00AE4685"/>
    <w:rsid w:val="00AE5649"/>
    <w:rsid w:val="00AF2488"/>
    <w:rsid w:val="00AF2DDC"/>
    <w:rsid w:val="00AF33CF"/>
    <w:rsid w:val="00AF53CE"/>
    <w:rsid w:val="00B00BC8"/>
    <w:rsid w:val="00B00E0F"/>
    <w:rsid w:val="00B02028"/>
    <w:rsid w:val="00B02301"/>
    <w:rsid w:val="00B03309"/>
    <w:rsid w:val="00B11703"/>
    <w:rsid w:val="00B11FF4"/>
    <w:rsid w:val="00B142ED"/>
    <w:rsid w:val="00B16D5A"/>
    <w:rsid w:val="00B17EA0"/>
    <w:rsid w:val="00B2081F"/>
    <w:rsid w:val="00B20DAF"/>
    <w:rsid w:val="00B20ED2"/>
    <w:rsid w:val="00B24BF9"/>
    <w:rsid w:val="00B263F3"/>
    <w:rsid w:val="00B267A3"/>
    <w:rsid w:val="00B26FC8"/>
    <w:rsid w:val="00B2730F"/>
    <w:rsid w:val="00B278C1"/>
    <w:rsid w:val="00B341F1"/>
    <w:rsid w:val="00B413D8"/>
    <w:rsid w:val="00B41459"/>
    <w:rsid w:val="00B41A08"/>
    <w:rsid w:val="00B434ED"/>
    <w:rsid w:val="00B4372D"/>
    <w:rsid w:val="00B43731"/>
    <w:rsid w:val="00B43B91"/>
    <w:rsid w:val="00B440EB"/>
    <w:rsid w:val="00B465F1"/>
    <w:rsid w:val="00B50633"/>
    <w:rsid w:val="00B50696"/>
    <w:rsid w:val="00B50B2D"/>
    <w:rsid w:val="00B50DF9"/>
    <w:rsid w:val="00B5411A"/>
    <w:rsid w:val="00B564FE"/>
    <w:rsid w:val="00B56B8D"/>
    <w:rsid w:val="00B57617"/>
    <w:rsid w:val="00B63D50"/>
    <w:rsid w:val="00B63E4A"/>
    <w:rsid w:val="00B64636"/>
    <w:rsid w:val="00B64D46"/>
    <w:rsid w:val="00B64F86"/>
    <w:rsid w:val="00B65B18"/>
    <w:rsid w:val="00B6604D"/>
    <w:rsid w:val="00B66B48"/>
    <w:rsid w:val="00B71232"/>
    <w:rsid w:val="00B73C47"/>
    <w:rsid w:val="00B73E36"/>
    <w:rsid w:val="00B74EBD"/>
    <w:rsid w:val="00B750D0"/>
    <w:rsid w:val="00B75420"/>
    <w:rsid w:val="00B76F60"/>
    <w:rsid w:val="00B7767A"/>
    <w:rsid w:val="00B779A9"/>
    <w:rsid w:val="00B82EAA"/>
    <w:rsid w:val="00B836F5"/>
    <w:rsid w:val="00B83BCB"/>
    <w:rsid w:val="00B855B9"/>
    <w:rsid w:val="00B86392"/>
    <w:rsid w:val="00B87773"/>
    <w:rsid w:val="00B9161C"/>
    <w:rsid w:val="00B935E5"/>
    <w:rsid w:val="00B93AB9"/>
    <w:rsid w:val="00B93C93"/>
    <w:rsid w:val="00B94E05"/>
    <w:rsid w:val="00B957D7"/>
    <w:rsid w:val="00BA259E"/>
    <w:rsid w:val="00BA3AA3"/>
    <w:rsid w:val="00BA3F91"/>
    <w:rsid w:val="00BA4231"/>
    <w:rsid w:val="00BA4CD6"/>
    <w:rsid w:val="00BA5024"/>
    <w:rsid w:val="00BA56DA"/>
    <w:rsid w:val="00BA5A38"/>
    <w:rsid w:val="00BA5A9A"/>
    <w:rsid w:val="00BA5FB1"/>
    <w:rsid w:val="00BA61EE"/>
    <w:rsid w:val="00BA65B1"/>
    <w:rsid w:val="00BA68DE"/>
    <w:rsid w:val="00BA6F30"/>
    <w:rsid w:val="00BA761C"/>
    <w:rsid w:val="00BB317D"/>
    <w:rsid w:val="00BB39F6"/>
    <w:rsid w:val="00BB4501"/>
    <w:rsid w:val="00BB5F4C"/>
    <w:rsid w:val="00BC01DF"/>
    <w:rsid w:val="00BC0EF6"/>
    <w:rsid w:val="00BC262D"/>
    <w:rsid w:val="00BC42EF"/>
    <w:rsid w:val="00BC6174"/>
    <w:rsid w:val="00BC63F3"/>
    <w:rsid w:val="00BC70BD"/>
    <w:rsid w:val="00BC7660"/>
    <w:rsid w:val="00BC7E00"/>
    <w:rsid w:val="00BD027A"/>
    <w:rsid w:val="00BD0348"/>
    <w:rsid w:val="00BD12AB"/>
    <w:rsid w:val="00BD250A"/>
    <w:rsid w:val="00BD3A2C"/>
    <w:rsid w:val="00BD471F"/>
    <w:rsid w:val="00BD48E2"/>
    <w:rsid w:val="00BD51BC"/>
    <w:rsid w:val="00BD5CEF"/>
    <w:rsid w:val="00BD786F"/>
    <w:rsid w:val="00BE443C"/>
    <w:rsid w:val="00BE4DCA"/>
    <w:rsid w:val="00BE5699"/>
    <w:rsid w:val="00BE699A"/>
    <w:rsid w:val="00BE7291"/>
    <w:rsid w:val="00BE7F8C"/>
    <w:rsid w:val="00BF4410"/>
    <w:rsid w:val="00BF4815"/>
    <w:rsid w:val="00BF7E1A"/>
    <w:rsid w:val="00C02DBF"/>
    <w:rsid w:val="00C03332"/>
    <w:rsid w:val="00C061AC"/>
    <w:rsid w:val="00C073D9"/>
    <w:rsid w:val="00C07751"/>
    <w:rsid w:val="00C07B12"/>
    <w:rsid w:val="00C103B8"/>
    <w:rsid w:val="00C10A58"/>
    <w:rsid w:val="00C10E05"/>
    <w:rsid w:val="00C13341"/>
    <w:rsid w:val="00C143E8"/>
    <w:rsid w:val="00C17668"/>
    <w:rsid w:val="00C17888"/>
    <w:rsid w:val="00C20C04"/>
    <w:rsid w:val="00C21F6F"/>
    <w:rsid w:val="00C22A87"/>
    <w:rsid w:val="00C23060"/>
    <w:rsid w:val="00C23770"/>
    <w:rsid w:val="00C2380F"/>
    <w:rsid w:val="00C2484D"/>
    <w:rsid w:val="00C2495D"/>
    <w:rsid w:val="00C24D82"/>
    <w:rsid w:val="00C25A77"/>
    <w:rsid w:val="00C301E0"/>
    <w:rsid w:val="00C315E5"/>
    <w:rsid w:val="00C321EA"/>
    <w:rsid w:val="00C33891"/>
    <w:rsid w:val="00C33914"/>
    <w:rsid w:val="00C34B2A"/>
    <w:rsid w:val="00C369AA"/>
    <w:rsid w:val="00C37633"/>
    <w:rsid w:val="00C41FB9"/>
    <w:rsid w:val="00C427E2"/>
    <w:rsid w:val="00C43BD3"/>
    <w:rsid w:val="00C452AC"/>
    <w:rsid w:val="00C50FB8"/>
    <w:rsid w:val="00C51579"/>
    <w:rsid w:val="00C5685E"/>
    <w:rsid w:val="00C56C15"/>
    <w:rsid w:val="00C56E45"/>
    <w:rsid w:val="00C57F26"/>
    <w:rsid w:val="00C6158B"/>
    <w:rsid w:val="00C62253"/>
    <w:rsid w:val="00C65016"/>
    <w:rsid w:val="00C7042B"/>
    <w:rsid w:val="00C70FAF"/>
    <w:rsid w:val="00C71190"/>
    <w:rsid w:val="00C71693"/>
    <w:rsid w:val="00C73929"/>
    <w:rsid w:val="00C766F6"/>
    <w:rsid w:val="00C81CB1"/>
    <w:rsid w:val="00C82032"/>
    <w:rsid w:val="00C82160"/>
    <w:rsid w:val="00C82478"/>
    <w:rsid w:val="00C8250B"/>
    <w:rsid w:val="00C8274D"/>
    <w:rsid w:val="00C82911"/>
    <w:rsid w:val="00C82B9A"/>
    <w:rsid w:val="00C82D38"/>
    <w:rsid w:val="00C85145"/>
    <w:rsid w:val="00C85260"/>
    <w:rsid w:val="00C861D2"/>
    <w:rsid w:val="00C864B2"/>
    <w:rsid w:val="00C908C2"/>
    <w:rsid w:val="00C9124D"/>
    <w:rsid w:val="00C92281"/>
    <w:rsid w:val="00C92CDA"/>
    <w:rsid w:val="00C933A3"/>
    <w:rsid w:val="00C93445"/>
    <w:rsid w:val="00C93817"/>
    <w:rsid w:val="00C9472B"/>
    <w:rsid w:val="00C9588B"/>
    <w:rsid w:val="00C95A4E"/>
    <w:rsid w:val="00C96402"/>
    <w:rsid w:val="00C96597"/>
    <w:rsid w:val="00C966F3"/>
    <w:rsid w:val="00C969F3"/>
    <w:rsid w:val="00C97157"/>
    <w:rsid w:val="00C9748B"/>
    <w:rsid w:val="00CA029B"/>
    <w:rsid w:val="00CA1EB2"/>
    <w:rsid w:val="00CA5CB5"/>
    <w:rsid w:val="00CA6041"/>
    <w:rsid w:val="00CA679D"/>
    <w:rsid w:val="00CB01CC"/>
    <w:rsid w:val="00CB0CAF"/>
    <w:rsid w:val="00CB17AC"/>
    <w:rsid w:val="00CB2C9B"/>
    <w:rsid w:val="00CB62D3"/>
    <w:rsid w:val="00CC1FC2"/>
    <w:rsid w:val="00CC27C1"/>
    <w:rsid w:val="00CC4EF4"/>
    <w:rsid w:val="00CC5A7E"/>
    <w:rsid w:val="00CC60E7"/>
    <w:rsid w:val="00CC688D"/>
    <w:rsid w:val="00CC7753"/>
    <w:rsid w:val="00CC7A6F"/>
    <w:rsid w:val="00CC7CA2"/>
    <w:rsid w:val="00CD11C3"/>
    <w:rsid w:val="00CD26FB"/>
    <w:rsid w:val="00CD2B8D"/>
    <w:rsid w:val="00CD544D"/>
    <w:rsid w:val="00CD6090"/>
    <w:rsid w:val="00CD7367"/>
    <w:rsid w:val="00CE10E5"/>
    <w:rsid w:val="00CE233A"/>
    <w:rsid w:val="00CE262B"/>
    <w:rsid w:val="00CE3F88"/>
    <w:rsid w:val="00CE4450"/>
    <w:rsid w:val="00CE50BE"/>
    <w:rsid w:val="00CF1659"/>
    <w:rsid w:val="00CF1D50"/>
    <w:rsid w:val="00CF30A4"/>
    <w:rsid w:val="00CF3525"/>
    <w:rsid w:val="00CF37DF"/>
    <w:rsid w:val="00CF61C6"/>
    <w:rsid w:val="00CF6AF2"/>
    <w:rsid w:val="00D04BD7"/>
    <w:rsid w:val="00D0514A"/>
    <w:rsid w:val="00D053E0"/>
    <w:rsid w:val="00D05B8C"/>
    <w:rsid w:val="00D05DE4"/>
    <w:rsid w:val="00D074C7"/>
    <w:rsid w:val="00D10555"/>
    <w:rsid w:val="00D10B50"/>
    <w:rsid w:val="00D12E1C"/>
    <w:rsid w:val="00D1356F"/>
    <w:rsid w:val="00D145E6"/>
    <w:rsid w:val="00D14E2D"/>
    <w:rsid w:val="00D150ED"/>
    <w:rsid w:val="00D222D8"/>
    <w:rsid w:val="00D23277"/>
    <w:rsid w:val="00D251F8"/>
    <w:rsid w:val="00D263F8"/>
    <w:rsid w:val="00D27307"/>
    <w:rsid w:val="00D304D1"/>
    <w:rsid w:val="00D30E4B"/>
    <w:rsid w:val="00D3197D"/>
    <w:rsid w:val="00D36966"/>
    <w:rsid w:val="00D36B4F"/>
    <w:rsid w:val="00D40A79"/>
    <w:rsid w:val="00D42AE9"/>
    <w:rsid w:val="00D43955"/>
    <w:rsid w:val="00D43C47"/>
    <w:rsid w:val="00D4502B"/>
    <w:rsid w:val="00D47729"/>
    <w:rsid w:val="00D47851"/>
    <w:rsid w:val="00D50A88"/>
    <w:rsid w:val="00D50D04"/>
    <w:rsid w:val="00D50F45"/>
    <w:rsid w:val="00D510D6"/>
    <w:rsid w:val="00D5122D"/>
    <w:rsid w:val="00D516E5"/>
    <w:rsid w:val="00D52DFB"/>
    <w:rsid w:val="00D54E40"/>
    <w:rsid w:val="00D56C91"/>
    <w:rsid w:val="00D57B50"/>
    <w:rsid w:val="00D57D83"/>
    <w:rsid w:val="00D61EAB"/>
    <w:rsid w:val="00D62B5B"/>
    <w:rsid w:val="00D6358A"/>
    <w:rsid w:val="00D64905"/>
    <w:rsid w:val="00D65B32"/>
    <w:rsid w:val="00D65D00"/>
    <w:rsid w:val="00D660ED"/>
    <w:rsid w:val="00D66780"/>
    <w:rsid w:val="00D66A5F"/>
    <w:rsid w:val="00D67040"/>
    <w:rsid w:val="00D70532"/>
    <w:rsid w:val="00D714CA"/>
    <w:rsid w:val="00D71706"/>
    <w:rsid w:val="00D727E2"/>
    <w:rsid w:val="00D729A1"/>
    <w:rsid w:val="00D72A34"/>
    <w:rsid w:val="00D73116"/>
    <w:rsid w:val="00D7361C"/>
    <w:rsid w:val="00D74E73"/>
    <w:rsid w:val="00D76754"/>
    <w:rsid w:val="00D76967"/>
    <w:rsid w:val="00D80D44"/>
    <w:rsid w:val="00D84822"/>
    <w:rsid w:val="00D878E6"/>
    <w:rsid w:val="00D9415C"/>
    <w:rsid w:val="00D9574F"/>
    <w:rsid w:val="00D96FAA"/>
    <w:rsid w:val="00D97C6A"/>
    <w:rsid w:val="00D97F3C"/>
    <w:rsid w:val="00DA005F"/>
    <w:rsid w:val="00DA08C2"/>
    <w:rsid w:val="00DA1406"/>
    <w:rsid w:val="00DA4A58"/>
    <w:rsid w:val="00DA7158"/>
    <w:rsid w:val="00DB21B2"/>
    <w:rsid w:val="00DB2833"/>
    <w:rsid w:val="00DB5D9B"/>
    <w:rsid w:val="00DB6101"/>
    <w:rsid w:val="00DB78AA"/>
    <w:rsid w:val="00DC0FCE"/>
    <w:rsid w:val="00DC1722"/>
    <w:rsid w:val="00DC19B0"/>
    <w:rsid w:val="00DC1A9B"/>
    <w:rsid w:val="00DC315F"/>
    <w:rsid w:val="00DC3C61"/>
    <w:rsid w:val="00DC41A2"/>
    <w:rsid w:val="00DC5D8F"/>
    <w:rsid w:val="00DC7304"/>
    <w:rsid w:val="00DD25F8"/>
    <w:rsid w:val="00DD2C52"/>
    <w:rsid w:val="00DD3616"/>
    <w:rsid w:val="00DD3854"/>
    <w:rsid w:val="00DD4424"/>
    <w:rsid w:val="00DD557D"/>
    <w:rsid w:val="00DE0A50"/>
    <w:rsid w:val="00DE1221"/>
    <w:rsid w:val="00DE6AB4"/>
    <w:rsid w:val="00DF0D62"/>
    <w:rsid w:val="00DF2702"/>
    <w:rsid w:val="00DF32A4"/>
    <w:rsid w:val="00DF44F8"/>
    <w:rsid w:val="00DF5FF1"/>
    <w:rsid w:val="00DF7A67"/>
    <w:rsid w:val="00E007D1"/>
    <w:rsid w:val="00E00E7C"/>
    <w:rsid w:val="00E00FFC"/>
    <w:rsid w:val="00E0170F"/>
    <w:rsid w:val="00E03623"/>
    <w:rsid w:val="00E050EF"/>
    <w:rsid w:val="00E050F9"/>
    <w:rsid w:val="00E0549F"/>
    <w:rsid w:val="00E06D6E"/>
    <w:rsid w:val="00E10B41"/>
    <w:rsid w:val="00E115EE"/>
    <w:rsid w:val="00E172D9"/>
    <w:rsid w:val="00E212D0"/>
    <w:rsid w:val="00E22B3F"/>
    <w:rsid w:val="00E22EC4"/>
    <w:rsid w:val="00E26BB0"/>
    <w:rsid w:val="00E30087"/>
    <w:rsid w:val="00E320F8"/>
    <w:rsid w:val="00E344AD"/>
    <w:rsid w:val="00E371BB"/>
    <w:rsid w:val="00E41FD1"/>
    <w:rsid w:val="00E423F0"/>
    <w:rsid w:val="00E43661"/>
    <w:rsid w:val="00E46556"/>
    <w:rsid w:val="00E469CA"/>
    <w:rsid w:val="00E476B6"/>
    <w:rsid w:val="00E51066"/>
    <w:rsid w:val="00E51881"/>
    <w:rsid w:val="00E52F81"/>
    <w:rsid w:val="00E569F3"/>
    <w:rsid w:val="00E6073E"/>
    <w:rsid w:val="00E62BED"/>
    <w:rsid w:val="00E63A7E"/>
    <w:rsid w:val="00E63B1D"/>
    <w:rsid w:val="00E64CD4"/>
    <w:rsid w:val="00E651DA"/>
    <w:rsid w:val="00E6592A"/>
    <w:rsid w:val="00E676B3"/>
    <w:rsid w:val="00E716B7"/>
    <w:rsid w:val="00E71B38"/>
    <w:rsid w:val="00E73A1B"/>
    <w:rsid w:val="00E76310"/>
    <w:rsid w:val="00E80852"/>
    <w:rsid w:val="00E83B52"/>
    <w:rsid w:val="00E83CB5"/>
    <w:rsid w:val="00E843C1"/>
    <w:rsid w:val="00E84CA6"/>
    <w:rsid w:val="00E86AF4"/>
    <w:rsid w:val="00E87103"/>
    <w:rsid w:val="00E91615"/>
    <w:rsid w:val="00E91875"/>
    <w:rsid w:val="00E93507"/>
    <w:rsid w:val="00E95A6B"/>
    <w:rsid w:val="00E96A05"/>
    <w:rsid w:val="00E96D66"/>
    <w:rsid w:val="00E977EC"/>
    <w:rsid w:val="00E97D4A"/>
    <w:rsid w:val="00EA0056"/>
    <w:rsid w:val="00EA0D3A"/>
    <w:rsid w:val="00EA14B9"/>
    <w:rsid w:val="00EA1EB0"/>
    <w:rsid w:val="00EA4F4E"/>
    <w:rsid w:val="00EB00FD"/>
    <w:rsid w:val="00EB0133"/>
    <w:rsid w:val="00EB0DAC"/>
    <w:rsid w:val="00EB1C26"/>
    <w:rsid w:val="00EB31CA"/>
    <w:rsid w:val="00EB327F"/>
    <w:rsid w:val="00EB4020"/>
    <w:rsid w:val="00EB4B4B"/>
    <w:rsid w:val="00EB605A"/>
    <w:rsid w:val="00EB695C"/>
    <w:rsid w:val="00EB7EB5"/>
    <w:rsid w:val="00EC126E"/>
    <w:rsid w:val="00EC55B1"/>
    <w:rsid w:val="00EC5CB2"/>
    <w:rsid w:val="00EC6938"/>
    <w:rsid w:val="00EC7273"/>
    <w:rsid w:val="00ED16E4"/>
    <w:rsid w:val="00ED2672"/>
    <w:rsid w:val="00ED267B"/>
    <w:rsid w:val="00ED310D"/>
    <w:rsid w:val="00EE3D2A"/>
    <w:rsid w:val="00EE4631"/>
    <w:rsid w:val="00EE7651"/>
    <w:rsid w:val="00EF0D5A"/>
    <w:rsid w:val="00EF14C6"/>
    <w:rsid w:val="00EF172C"/>
    <w:rsid w:val="00EF239D"/>
    <w:rsid w:val="00EF3A2D"/>
    <w:rsid w:val="00EF4546"/>
    <w:rsid w:val="00EF4F03"/>
    <w:rsid w:val="00EF533C"/>
    <w:rsid w:val="00EF765E"/>
    <w:rsid w:val="00F00002"/>
    <w:rsid w:val="00F00C4C"/>
    <w:rsid w:val="00F01FED"/>
    <w:rsid w:val="00F03244"/>
    <w:rsid w:val="00F03CB8"/>
    <w:rsid w:val="00F04553"/>
    <w:rsid w:val="00F068FE"/>
    <w:rsid w:val="00F10548"/>
    <w:rsid w:val="00F1197C"/>
    <w:rsid w:val="00F1343A"/>
    <w:rsid w:val="00F15272"/>
    <w:rsid w:val="00F15AEE"/>
    <w:rsid w:val="00F16FED"/>
    <w:rsid w:val="00F17EEE"/>
    <w:rsid w:val="00F200E7"/>
    <w:rsid w:val="00F20106"/>
    <w:rsid w:val="00F21027"/>
    <w:rsid w:val="00F23EA4"/>
    <w:rsid w:val="00F251A1"/>
    <w:rsid w:val="00F26F96"/>
    <w:rsid w:val="00F32D3B"/>
    <w:rsid w:val="00F332D5"/>
    <w:rsid w:val="00F33606"/>
    <w:rsid w:val="00F33F8E"/>
    <w:rsid w:val="00F34E10"/>
    <w:rsid w:val="00F35903"/>
    <w:rsid w:val="00F35E8D"/>
    <w:rsid w:val="00F3623A"/>
    <w:rsid w:val="00F3744E"/>
    <w:rsid w:val="00F37E92"/>
    <w:rsid w:val="00F40F1B"/>
    <w:rsid w:val="00F4481F"/>
    <w:rsid w:val="00F4594E"/>
    <w:rsid w:val="00F51642"/>
    <w:rsid w:val="00F5332E"/>
    <w:rsid w:val="00F53A68"/>
    <w:rsid w:val="00F54B0B"/>
    <w:rsid w:val="00F54F93"/>
    <w:rsid w:val="00F56077"/>
    <w:rsid w:val="00F57858"/>
    <w:rsid w:val="00F57B37"/>
    <w:rsid w:val="00F60524"/>
    <w:rsid w:val="00F61F8F"/>
    <w:rsid w:val="00F628E0"/>
    <w:rsid w:val="00F62D39"/>
    <w:rsid w:val="00F62DEE"/>
    <w:rsid w:val="00F63D1C"/>
    <w:rsid w:val="00F70D35"/>
    <w:rsid w:val="00F70F07"/>
    <w:rsid w:val="00F71231"/>
    <w:rsid w:val="00F71647"/>
    <w:rsid w:val="00F71C7A"/>
    <w:rsid w:val="00F72662"/>
    <w:rsid w:val="00F7683A"/>
    <w:rsid w:val="00F77206"/>
    <w:rsid w:val="00F77DDA"/>
    <w:rsid w:val="00F80674"/>
    <w:rsid w:val="00F81DB5"/>
    <w:rsid w:val="00F82FA0"/>
    <w:rsid w:val="00F8464C"/>
    <w:rsid w:val="00F85736"/>
    <w:rsid w:val="00F904B4"/>
    <w:rsid w:val="00FA2172"/>
    <w:rsid w:val="00FA29A1"/>
    <w:rsid w:val="00FA386E"/>
    <w:rsid w:val="00FA488A"/>
    <w:rsid w:val="00FA5224"/>
    <w:rsid w:val="00FA6C9E"/>
    <w:rsid w:val="00FB01A9"/>
    <w:rsid w:val="00FB18DC"/>
    <w:rsid w:val="00FB2617"/>
    <w:rsid w:val="00FB2621"/>
    <w:rsid w:val="00FB2A3E"/>
    <w:rsid w:val="00FB30FB"/>
    <w:rsid w:val="00FB3B6F"/>
    <w:rsid w:val="00FB515C"/>
    <w:rsid w:val="00FB56F0"/>
    <w:rsid w:val="00FB6823"/>
    <w:rsid w:val="00FC1CF1"/>
    <w:rsid w:val="00FC6E2E"/>
    <w:rsid w:val="00FC7416"/>
    <w:rsid w:val="00FC7D9B"/>
    <w:rsid w:val="00FD212A"/>
    <w:rsid w:val="00FD41B2"/>
    <w:rsid w:val="00FD4915"/>
    <w:rsid w:val="00FD4B3A"/>
    <w:rsid w:val="00FD7081"/>
    <w:rsid w:val="00FD7D66"/>
    <w:rsid w:val="00FE1BCF"/>
    <w:rsid w:val="00FE3531"/>
    <w:rsid w:val="00FE3C77"/>
    <w:rsid w:val="00FE4FB2"/>
    <w:rsid w:val="00FE536F"/>
    <w:rsid w:val="00FE5E85"/>
    <w:rsid w:val="00FE79E8"/>
    <w:rsid w:val="00FF0BB2"/>
    <w:rsid w:val="00FF20D1"/>
    <w:rsid w:val="00FF2BE5"/>
    <w:rsid w:val="00FF48ED"/>
    <w:rsid w:val="00FF5B0A"/>
    <w:rsid w:val="00FF6FFB"/>
    <w:rsid w:val="00FF7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0002"/>
    <w:pPr>
      <w:spacing w:line="260" w:lineRule="atLeast"/>
    </w:pPr>
    <w:rPr>
      <w:rFonts w:eastAsiaTheme="minorHAnsi" w:cstheme="minorBidi"/>
      <w:sz w:val="22"/>
      <w:lang w:eastAsia="en-US"/>
    </w:rPr>
  </w:style>
  <w:style w:type="paragraph" w:styleId="Heading1">
    <w:name w:val="heading 1"/>
    <w:basedOn w:val="OPCParaBase"/>
    <w:next w:val="Normal"/>
    <w:qFormat/>
    <w:rsid w:val="00D150ED"/>
    <w:pPr>
      <w:keepNext/>
      <w:keepLines/>
      <w:spacing w:line="240" w:lineRule="auto"/>
      <w:ind w:left="1134" w:hanging="1134"/>
      <w:outlineLvl w:val="0"/>
    </w:pPr>
    <w:rPr>
      <w:b/>
      <w:kern w:val="28"/>
      <w:sz w:val="36"/>
    </w:rPr>
  </w:style>
  <w:style w:type="paragraph" w:styleId="Heading2">
    <w:name w:val="heading 2"/>
    <w:basedOn w:val="OPCParaBase"/>
    <w:next w:val="ActHead3"/>
    <w:link w:val="Heading2Char"/>
    <w:qFormat/>
    <w:rsid w:val="00D150ED"/>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0000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F0000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F0000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D150E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0000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F00002"/>
  </w:style>
  <w:style w:type="character" w:customStyle="1" w:styleId="CharAmSchText">
    <w:name w:val="CharAmSchText"/>
    <w:basedOn w:val="OPCCharBase"/>
    <w:uiPriority w:val="1"/>
    <w:qFormat/>
    <w:rsid w:val="00F00002"/>
  </w:style>
  <w:style w:type="character" w:customStyle="1" w:styleId="CharChapNo">
    <w:name w:val="CharChapNo"/>
    <w:basedOn w:val="OPCCharBase"/>
    <w:qFormat/>
    <w:rsid w:val="00F00002"/>
  </w:style>
  <w:style w:type="character" w:customStyle="1" w:styleId="CharChapText">
    <w:name w:val="CharChapText"/>
    <w:basedOn w:val="OPCCharBase"/>
    <w:qFormat/>
    <w:rsid w:val="00F00002"/>
  </w:style>
  <w:style w:type="character" w:customStyle="1" w:styleId="CharDivNo">
    <w:name w:val="CharDivNo"/>
    <w:basedOn w:val="OPCCharBase"/>
    <w:qFormat/>
    <w:rsid w:val="00F00002"/>
  </w:style>
  <w:style w:type="character" w:customStyle="1" w:styleId="CharDivText">
    <w:name w:val="CharDivText"/>
    <w:basedOn w:val="OPCCharBase"/>
    <w:qFormat/>
    <w:rsid w:val="00F00002"/>
  </w:style>
  <w:style w:type="character" w:customStyle="1" w:styleId="CharPartNo">
    <w:name w:val="CharPartNo"/>
    <w:basedOn w:val="OPCCharBase"/>
    <w:qFormat/>
    <w:rsid w:val="00F00002"/>
  </w:style>
  <w:style w:type="character" w:customStyle="1" w:styleId="CharPartText">
    <w:name w:val="CharPartText"/>
    <w:basedOn w:val="OPCCharBase"/>
    <w:qFormat/>
    <w:rsid w:val="00F00002"/>
  </w:style>
  <w:style w:type="character" w:customStyle="1" w:styleId="OPCCharBase">
    <w:name w:val="OPCCharBase"/>
    <w:uiPriority w:val="1"/>
    <w:qFormat/>
    <w:rsid w:val="00F00002"/>
  </w:style>
  <w:style w:type="paragraph" w:customStyle="1" w:styleId="OPCParaBase">
    <w:name w:val="OPCParaBase"/>
    <w:link w:val="OPCParaBaseChar"/>
    <w:qFormat/>
    <w:rsid w:val="00F00002"/>
    <w:pPr>
      <w:spacing w:line="260" w:lineRule="atLeast"/>
    </w:pPr>
    <w:rPr>
      <w:sz w:val="22"/>
    </w:rPr>
  </w:style>
  <w:style w:type="character" w:customStyle="1" w:styleId="CharSectno">
    <w:name w:val="CharSectno"/>
    <w:basedOn w:val="OPCCharBase"/>
    <w:qFormat/>
    <w:rsid w:val="00F0000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F00002"/>
    <w:pPr>
      <w:spacing w:line="240" w:lineRule="auto"/>
      <w:ind w:left="1134"/>
    </w:pPr>
    <w:rPr>
      <w:sz w:val="20"/>
    </w:rPr>
  </w:style>
  <w:style w:type="paragraph" w:customStyle="1" w:styleId="ShortT">
    <w:name w:val="ShortT"/>
    <w:basedOn w:val="OPCParaBase"/>
    <w:next w:val="Normal"/>
    <w:qFormat/>
    <w:rsid w:val="00F00002"/>
    <w:pPr>
      <w:spacing w:line="240" w:lineRule="auto"/>
    </w:pPr>
    <w:rPr>
      <w:b/>
      <w:sz w:val="40"/>
    </w:rPr>
  </w:style>
  <w:style w:type="paragraph" w:customStyle="1" w:styleId="FreeForm">
    <w:name w:val="FreeForm"/>
    <w:rsid w:val="00F00002"/>
    <w:rPr>
      <w:rFonts w:ascii="Arial" w:eastAsiaTheme="minorHAnsi" w:hAnsi="Arial" w:cstheme="minorBidi"/>
      <w:sz w:val="22"/>
      <w:lang w:eastAsia="en-US"/>
    </w:rPr>
  </w:style>
  <w:style w:type="paragraph" w:customStyle="1" w:styleId="Penalty">
    <w:name w:val="Penalty"/>
    <w:basedOn w:val="OPCParaBase"/>
    <w:rsid w:val="00F00002"/>
    <w:pPr>
      <w:tabs>
        <w:tab w:val="left" w:pos="2977"/>
      </w:tabs>
      <w:spacing w:before="180" w:line="240" w:lineRule="auto"/>
      <w:ind w:left="1985" w:hanging="851"/>
    </w:pPr>
  </w:style>
  <w:style w:type="paragraph" w:customStyle="1" w:styleId="ActHead3">
    <w:name w:val="ActHead 3"/>
    <w:aliases w:val="d"/>
    <w:basedOn w:val="OPCParaBase"/>
    <w:next w:val="ActHead4"/>
    <w:qFormat/>
    <w:rsid w:val="00F00002"/>
    <w:pPr>
      <w:keepNext/>
      <w:keepLines/>
      <w:spacing w:before="240" w:line="240" w:lineRule="auto"/>
      <w:ind w:left="1134" w:hanging="1134"/>
      <w:outlineLvl w:val="2"/>
    </w:pPr>
    <w:rPr>
      <w:b/>
      <w:kern w:val="28"/>
      <w:sz w:val="28"/>
    </w:rPr>
  </w:style>
  <w:style w:type="paragraph" w:styleId="TOC1">
    <w:name w:val="toc 1"/>
    <w:basedOn w:val="OPCParaBase"/>
    <w:next w:val="Normal"/>
    <w:uiPriority w:val="39"/>
    <w:unhideWhenUsed/>
    <w:rsid w:val="00F0000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0000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0000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0000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0000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000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000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000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0000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00002"/>
    <w:pPr>
      <w:spacing w:line="240" w:lineRule="auto"/>
    </w:pPr>
    <w:rPr>
      <w:sz w:val="20"/>
    </w:rPr>
  </w:style>
  <w:style w:type="paragraph" w:customStyle="1" w:styleId="ActHead4">
    <w:name w:val="ActHead 4"/>
    <w:aliases w:val="sd"/>
    <w:basedOn w:val="OPCParaBase"/>
    <w:next w:val="ActHead5"/>
    <w:qFormat/>
    <w:rsid w:val="00F00002"/>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F0000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ubsection">
    <w:name w:val="subsection"/>
    <w:aliases w:val="ss"/>
    <w:basedOn w:val="OPCParaBase"/>
    <w:link w:val="subsectionChar"/>
    <w:rsid w:val="00F00002"/>
    <w:pPr>
      <w:tabs>
        <w:tab w:val="right" w:pos="1021"/>
      </w:tabs>
      <w:spacing w:before="180" w:line="240" w:lineRule="auto"/>
      <w:ind w:left="1134" w:hanging="1134"/>
    </w:pPr>
  </w:style>
  <w:style w:type="character" w:customStyle="1" w:styleId="Heading2Char">
    <w:name w:val="Heading 2 Char"/>
    <w:basedOn w:val="DefaultParagraphFont"/>
    <w:link w:val="Heading2"/>
    <w:rsid w:val="00BB4501"/>
    <w:rPr>
      <w:b/>
      <w:kern w:val="28"/>
      <w:sz w:val="32"/>
    </w:rPr>
  </w:style>
  <w:style w:type="character" w:customStyle="1" w:styleId="CharSubdNo">
    <w:name w:val="CharSubdNo"/>
    <w:basedOn w:val="OPCCharBase"/>
    <w:uiPriority w:val="1"/>
    <w:qFormat/>
    <w:rsid w:val="00F00002"/>
  </w:style>
  <w:style w:type="character" w:customStyle="1" w:styleId="CharSubdText">
    <w:name w:val="CharSubdText"/>
    <w:basedOn w:val="OPCCharBase"/>
    <w:uiPriority w:val="1"/>
    <w:qFormat/>
    <w:rsid w:val="00F00002"/>
  </w:style>
  <w:style w:type="paragraph" w:customStyle="1" w:styleId="paragraph">
    <w:name w:val="paragraph"/>
    <w:aliases w:val="a"/>
    <w:basedOn w:val="OPCParaBase"/>
    <w:link w:val="paragraphChar"/>
    <w:rsid w:val="00F00002"/>
    <w:pPr>
      <w:tabs>
        <w:tab w:val="right" w:pos="1531"/>
      </w:tabs>
      <w:spacing w:before="40" w:line="240" w:lineRule="auto"/>
      <w:ind w:left="1644" w:hanging="1644"/>
    </w:pPr>
  </w:style>
  <w:style w:type="paragraph" w:customStyle="1" w:styleId="ActHead5">
    <w:name w:val="ActHead 5"/>
    <w:aliases w:val="s"/>
    <w:basedOn w:val="OPCParaBase"/>
    <w:next w:val="subsection"/>
    <w:link w:val="ActHead5Char"/>
    <w:qFormat/>
    <w:rsid w:val="00F00002"/>
    <w:pPr>
      <w:keepNext/>
      <w:keepLines/>
      <w:spacing w:before="280" w:line="240" w:lineRule="auto"/>
      <w:ind w:left="1134" w:hanging="1134"/>
      <w:outlineLvl w:val="4"/>
    </w:pPr>
    <w:rPr>
      <w:b/>
      <w:kern w:val="28"/>
      <w:sz w:val="24"/>
    </w:rPr>
  </w:style>
  <w:style w:type="paragraph" w:customStyle="1" w:styleId="Tabletext">
    <w:name w:val="Tabletext"/>
    <w:aliases w:val="tt"/>
    <w:basedOn w:val="OPCParaBase"/>
    <w:link w:val="TabletextChar"/>
    <w:rsid w:val="00F00002"/>
    <w:pPr>
      <w:spacing w:before="60" w:line="240" w:lineRule="atLeast"/>
    </w:pPr>
    <w:rPr>
      <w:sz w:val="20"/>
    </w:rPr>
  </w:style>
  <w:style w:type="paragraph" w:customStyle="1" w:styleId="ActHead6">
    <w:name w:val="ActHead 6"/>
    <w:aliases w:val="as"/>
    <w:basedOn w:val="OPCParaBase"/>
    <w:next w:val="ActHead7"/>
    <w:qFormat/>
    <w:rsid w:val="00F000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00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00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000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0002"/>
  </w:style>
  <w:style w:type="paragraph" w:customStyle="1" w:styleId="Blocks">
    <w:name w:val="Blocks"/>
    <w:aliases w:val="bb"/>
    <w:basedOn w:val="OPCParaBase"/>
    <w:qFormat/>
    <w:rsid w:val="00F00002"/>
    <w:pPr>
      <w:spacing w:line="240" w:lineRule="auto"/>
    </w:pPr>
    <w:rPr>
      <w:sz w:val="24"/>
    </w:rPr>
  </w:style>
  <w:style w:type="paragraph" w:customStyle="1" w:styleId="BoxText">
    <w:name w:val="BoxText"/>
    <w:aliases w:val="bt"/>
    <w:basedOn w:val="OPCParaBase"/>
    <w:qFormat/>
    <w:rsid w:val="00F000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0002"/>
    <w:rPr>
      <w:b/>
    </w:rPr>
  </w:style>
  <w:style w:type="paragraph" w:customStyle="1" w:styleId="BoxHeadItalic">
    <w:name w:val="BoxHeadItalic"/>
    <w:aliases w:val="bhi"/>
    <w:basedOn w:val="BoxText"/>
    <w:next w:val="BoxStep"/>
    <w:qFormat/>
    <w:rsid w:val="00F00002"/>
    <w:rPr>
      <w:i/>
    </w:rPr>
  </w:style>
  <w:style w:type="paragraph" w:customStyle="1" w:styleId="BoxList">
    <w:name w:val="BoxList"/>
    <w:aliases w:val="bl"/>
    <w:basedOn w:val="BoxText"/>
    <w:qFormat/>
    <w:rsid w:val="00F00002"/>
    <w:pPr>
      <w:ind w:left="1559" w:hanging="425"/>
    </w:pPr>
  </w:style>
  <w:style w:type="paragraph" w:customStyle="1" w:styleId="BoxNote">
    <w:name w:val="BoxNote"/>
    <w:aliases w:val="bn"/>
    <w:basedOn w:val="BoxText"/>
    <w:qFormat/>
    <w:rsid w:val="00F00002"/>
    <w:pPr>
      <w:tabs>
        <w:tab w:val="left" w:pos="1985"/>
      </w:tabs>
      <w:spacing w:before="122" w:line="198" w:lineRule="exact"/>
      <w:ind w:left="2948" w:hanging="1814"/>
    </w:pPr>
    <w:rPr>
      <w:sz w:val="18"/>
    </w:rPr>
  </w:style>
  <w:style w:type="paragraph" w:customStyle="1" w:styleId="BoxPara">
    <w:name w:val="BoxPara"/>
    <w:aliases w:val="bp"/>
    <w:basedOn w:val="BoxText"/>
    <w:qFormat/>
    <w:rsid w:val="00F00002"/>
    <w:pPr>
      <w:tabs>
        <w:tab w:val="right" w:pos="2268"/>
      </w:tabs>
      <w:ind w:left="2552" w:hanging="1418"/>
    </w:pPr>
  </w:style>
  <w:style w:type="paragraph" w:customStyle="1" w:styleId="BoxStep">
    <w:name w:val="BoxStep"/>
    <w:aliases w:val="bs"/>
    <w:basedOn w:val="BoxText"/>
    <w:qFormat/>
    <w:rsid w:val="00F00002"/>
    <w:pPr>
      <w:ind w:left="1985" w:hanging="851"/>
    </w:pPr>
  </w:style>
  <w:style w:type="character" w:customStyle="1" w:styleId="CharAmPartNo">
    <w:name w:val="CharAmPartNo"/>
    <w:basedOn w:val="OPCCharBase"/>
    <w:uiPriority w:val="1"/>
    <w:qFormat/>
    <w:rsid w:val="00F00002"/>
  </w:style>
  <w:style w:type="character" w:customStyle="1" w:styleId="CharAmPartText">
    <w:name w:val="CharAmPartText"/>
    <w:basedOn w:val="OPCCharBase"/>
    <w:uiPriority w:val="1"/>
    <w:qFormat/>
    <w:rsid w:val="00F00002"/>
  </w:style>
  <w:style w:type="character" w:customStyle="1" w:styleId="CharBoldItalic">
    <w:name w:val="CharBoldItalic"/>
    <w:basedOn w:val="OPCCharBase"/>
    <w:uiPriority w:val="1"/>
    <w:qFormat/>
    <w:rsid w:val="00F00002"/>
    <w:rPr>
      <w:b/>
      <w:i/>
    </w:rPr>
  </w:style>
  <w:style w:type="character" w:customStyle="1" w:styleId="CharItalic">
    <w:name w:val="CharItalic"/>
    <w:basedOn w:val="OPCCharBase"/>
    <w:uiPriority w:val="1"/>
    <w:qFormat/>
    <w:rsid w:val="00F00002"/>
    <w:rPr>
      <w:i/>
    </w:rPr>
  </w:style>
  <w:style w:type="paragraph" w:customStyle="1" w:styleId="CTA--">
    <w:name w:val="CTA --"/>
    <w:basedOn w:val="OPCParaBase"/>
    <w:next w:val="Normal"/>
    <w:rsid w:val="00F00002"/>
    <w:pPr>
      <w:spacing w:before="60" w:line="240" w:lineRule="atLeast"/>
      <w:ind w:left="142" w:hanging="142"/>
    </w:pPr>
    <w:rPr>
      <w:sz w:val="20"/>
    </w:rPr>
  </w:style>
  <w:style w:type="paragraph" w:customStyle="1" w:styleId="CTA-">
    <w:name w:val="CTA -"/>
    <w:basedOn w:val="OPCParaBase"/>
    <w:rsid w:val="00F00002"/>
    <w:pPr>
      <w:spacing w:before="60" w:line="240" w:lineRule="atLeast"/>
      <w:ind w:left="85" w:hanging="85"/>
    </w:pPr>
    <w:rPr>
      <w:sz w:val="20"/>
    </w:rPr>
  </w:style>
  <w:style w:type="paragraph" w:customStyle="1" w:styleId="CTA---">
    <w:name w:val="CTA ---"/>
    <w:basedOn w:val="OPCParaBase"/>
    <w:next w:val="Normal"/>
    <w:rsid w:val="00F00002"/>
    <w:pPr>
      <w:spacing w:before="60" w:line="240" w:lineRule="atLeast"/>
      <w:ind w:left="198" w:hanging="198"/>
    </w:pPr>
    <w:rPr>
      <w:sz w:val="20"/>
    </w:rPr>
  </w:style>
  <w:style w:type="paragraph" w:customStyle="1" w:styleId="CTA----">
    <w:name w:val="CTA ----"/>
    <w:basedOn w:val="OPCParaBase"/>
    <w:next w:val="Normal"/>
    <w:rsid w:val="00F00002"/>
    <w:pPr>
      <w:spacing w:before="60" w:line="240" w:lineRule="atLeast"/>
      <w:ind w:left="255" w:hanging="255"/>
    </w:pPr>
    <w:rPr>
      <w:sz w:val="20"/>
    </w:rPr>
  </w:style>
  <w:style w:type="paragraph" w:customStyle="1" w:styleId="CTA1a">
    <w:name w:val="CTA 1(a)"/>
    <w:basedOn w:val="OPCParaBase"/>
    <w:rsid w:val="00F00002"/>
    <w:pPr>
      <w:tabs>
        <w:tab w:val="right" w:pos="414"/>
      </w:tabs>
      <w:spacing w:before="40" w:line="240" w:lineRule="atLeast"/>
      <w:ind w:left="675" w:hanging="675"/>
    </w:pPr>
    <w:rPr>
      <w:sz w:val="20"/>
    </w:rPr>
  </w:style>
  <w:style w:type="paragraph" w:customStyle="1" w:styleId="CTA1ai">
    <w:name w:val="CTA 1(a)(i)"/>
    <w:basedOn w:val="OPCParaBase"/>
    <w:rsid w:val="00F00002"/>
    <w:pPr>
      <w:tabs>
        <w:tab w:val="right" w:pos="1004"/>
      </w:tabs>
      <w:spacing w:before="40" w:line="240" w:lineRule="atLeast"/>
      <w:ind w:left="1253" w:hanging="1253"/>
    </w:pPr>
    <w:rPr>
      <w:sz w:val="20"/>
    </w:rPr>
  </w:style>
  <w:style w:type="paragraph" w:customStyle="1" w:styleId="CTA2a">
    <w:name w:val="CTA 2(a)"/>
    <w:basedOn w:val="OPCParaBase"/>
    <w:rsid w:val="00F00002"/>
    <w:pPr>
      <w:tabs>
        <w:tab w:val="right" w:pos="482"/>
      </w:tabs>
      <w:spacing w:before="40" w:line="240" w:lineRule="atLeast"/>
      <w:ind w:left="748" w:hanging="748"/>
    </w:pPr>
    <w:rPr>
      <w:sz w:val="20"/>
    </w:rPr>
  </w:style>
  <w:style w:type="paragraph" w:customStyle="1" w:styleId="CTA2ai">
    <w:name w:val="CTA 2(a)(i)"/>
    <w:basedOn w:val="OPCParaBase"/>
    <w:rsid w:val="00F00002"/>
    <w:pPr>
      <w:tabs>
        <w:tab w:val="right" w:pos="1089"/>
      </w:tabs>
      <w:spacing w:before="40" w:line="240" w:lineRule="atLeast"/>
      <w:ind w:left="1327" w:hanging="1327"/>
    </w:pPr>
    <w:rPr>
      <w:sz w:val="20"/>
    </w:rPr>
  </w:style>
  <w:style w:type="paragraph" w:customStyle="1" w:styleId="CTA3a">
    <w:name w:val="CTA 3(a)"/>
    <w:basedOn w:val="OPCParaBase"/>
    <w:rsid w:val="00F00002"/>
    <w:pPr>
      <w:tabs>
        <w:tab w:val="right" w:pos="556"/>
      </w:tabs>
      <w:spacing w:before="40" w:line="240" w:lineRule="atLeast"/>
      <w:ind w:left="805" w:hanging="805"/>
    </w:pPr>
    <w:rPr>
      <w:sz w:val="20"/>
    </w:rPr>
  </w:style>
  <w:style w:type="paragraph" w:customStyle="1" w:styleId="CTA3ai">
    <w:name w:val="CTA 3(a)(i)"/>
    <w:basedOn w:val="OPCParaBase"/>
    <w:rsid w:val="00F00002"/>
    <w:pPr>
      <w:tabs>
        <w:tab w:val="right" w:pos="1140"/>
      </w:tabs>
      <w:spacing w:before="40" w:line="240" w:lineRule="atLeast"/>
      <w:ind w:left="1361" w:hanging="1361"/>
    </w:pPr>
    <w:rPr>
      <w:sz w:val="20"/>
    </w:rPr>
  </w:style>
  <w:style w:type="paragraph" w:customStyle="1" w:styleId="CTA4a">
    <w:name w:val="CTA 4(a)"/>
    <w:basedOn w:val="OPCParaBase"/>
    <w:rsid w:val="00F00002"/>
    <w:pPr>
      <w:tabs>
        <w:tab w:val="right" w:pos="624"/>
      </w:tabs>
      <w:spacing w:before="40" w:line="240" w:lineRule="atLeast"/>
      <w:ind w:left="873" w:hanging="873"/>
    </w:pPr>
    <w:rPr>
      <w:sz w:val="20"/>
    </w:rPr>
  </w:style>
  <w:style w:type="paragraph" w:customStyle="1" w:styleId="CTA4ai">
    <w:name w:val="CTA 4(a)(i)"/>
    <w:basedOn w:val="OPCParaBase"/>
    <w:rsid w:val="00F00002"/>
    <w:pPr>
      <w:tabs>
        <w:tab w:val="right" w:pos="1213"/>
      </w:tabs>
      <w:spacing w:before="40" w:line="240" w:lineRule="atLeast"/>
      <w:ind w:left="1452" w:hanging="1452"/>
    </w:pPr>
    <w:rPr>
      <w:sz w:val="20"/>
    </w:rPr>
  </w:style>
  <w:style w:type="paragraph" w:customStyle="1" w:styleId="CTACAPS">
    <w:name w:val="CTA CAPS"/>
    <w:basedOn w:val="OPCParaBase"/>
    <w:rsid w:val="00F00002"/>
    <w:pPr>
      <w:spacing w:before="60" w:line="240" w:lineRule="atLeast"/>
    </w:pPr>
    <w:rPr>
      <w:sz w:val="20"/>
    </w:rPr>
  </w:style>
  <w:style w:type="paragraph" w:customStyle="1" w:styleId="CTAright">
    <w:name w:val="CTA right"/>
    <w:basedOn w:val="OPCParaBase"/>
    <w:rsid w:val="00F00002"/>
    <w:pPr>
      <w:spacing w:before="60" w:line="240" w:lineRule="auto"/>
      <w:jc w:val="right"/>
    </w:pPr>
    <w:rPr>
      <w:sz w:val="20"/>
    </w:rPr>
  </w:style>
  <w:style w:type="paragraph" w:customStyle="1" w:styleId="Definition">
    <w:name w:val="Definition"/>
    <w:aliases w:val="dd"/>
    <w:basedOn w:val="OPCParaBase"/>
    <w:rsid w:val="00F00002"/>
    <w:pPr>
      <w:spacing w:before="180" w:line="240" w:lineRule="auto"/>
      <w:ind w:left="1134"/>
    </w:pPr>
  </w:style>
  <w:style w:type="character" w:customStyle="1" w:styleId="HeaderChar">
    <w:name w:val="Header Char"/>
    <w:basedOn w:val="DefaultParagraphFont"/>
    <w:link w:val="Header"/>
    <w:rsid w:val="00F00002"/>
    <w:rPr>
      <w:sz w:val="16"/>
    </w:rPr>
  </w:style>
  <w:style w:type="paragraph" w:customStyle="1" w:styleId="House">
    <w:name w:val="House"/>
    <w:basedOn w:val="OPCParaBase"/>
    <w:rsid w:val="00F00002"/>
    <w:pPr>
      <w:spacing w:line="240" w:lineRule="auto"/>
    </w:pPr>
    <w:rPr>
      <w:sz w:val="28"/>
    </w:rPr>
  </w:style>
  <w:style w:type="paragraph" w:customStyle="1" w:styleId="Item">
    <w:name w:val="Item"/>
    <w:aliases w:val="i"/>
    <w:basedOn w:val="OPCParaBase"/>
    <w:next w:val="ItemHead"/>
    <w:rsid w:val="00F00002"/>
    <w:pPr>
      <w:keepLines/>
      <w:spacing w:before="80" w:line="240" w:lineRule="auto"/>
      <w:ind w:left="709"/>
    </w:pPr>
  </w:style>
  <w:style w:type="paragraph" w:customStyle="1" w:styleId="ItemHead">
    <w:name w:val="ItemHead"/>
    <w:aliases w:val="ih"/>
    <w:basedOn w:val="OPCParaBase"/>
    <w:next w:val="Item"/>
    <w:rsid w:val="00F000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0002"/>
    <w:pPr>
      <w:spacing w:line="240" w:lineRule="auto"/>
    </w:pPr>
    <w:rPr>
      <w:b/>
      <w:sz w:val="32"/>
    </w:rPr>
  </w:style>
  <w:style w:type="paragraph" w:customStyle="1" w:styleId="notedraft">
    <w:name w:val="note(draft)"/>
    <w:aliases w:val="nd"/>
    <w:basedOn w:val="OPCParaBase"/>
    <w:rsid w:val="00F00002"/>
    <w:pPr>
      <w:spacing w:before="240" w:line="240" w:lineRule="auto"/>
      <w:ind w:left="284" w:hanging="284"/>
    </w:pPr>
    <w:rPr>
      <w:i/>
      <w:sz w:val="24"/>
    </w:rPr>
  </w:style>
  <w:style w:type="paragraph" w:customStyle="1" w:styleId="notemargin">
    <w:name w:val="note(margin)"/>
    <w:aliases w:val="nm"/>
    <w:basedOn w:val="OPCParaBase"/>
    <w:rsid w:val="00F00002"/>
    <w:pPr>
      <w:tabs>
        <w:tab w:val="left" w:pos="709"/>
      </w:tabs>
      <w:spacing w:before="122" w:line="198" w:lineRule="exact"/>
      <w:ind w:left="709" w:hanging="709"/>
    </w:pPr>
    <w:rPr>
      <w:sz w:val="18"/>
    </w:rPr>
  </w:style>
  <w:style w:type="paragraph" w:customStyle="1" w:styleId="notepara">
    <w:name w:val="note(para)"/>
    <w:aliases w:val="na"/>
    <w:basedOn w:val="OPCParaBase"/>
    <w:rsid w:val="00F00002"/>
    <w:pPr>
      <w:spacing w:before="40" w:line="198" w:lineRule="exact"/>
      <w:ind w:left="2354" w:hanging="369"/>
    </w:pPr>
    <w:rPr>
      <w:sz w:val="18"/>
    </w:rPr>
  </w:style>
  <w:style w:type="paragraph" w:customStyle="1" w:styleId="noteParlAmend">
    <w:name w:val="note(ParlAmend)"/>
    <w:aliases w:val="npp"/>
    <w:basedOn w:val="OPCParaBase"/>
    <w:next w:val="ParlAmend"/>
    <w:rsid w:val="00F00002"/>
    <w:pPr>
      <w:spacing w:line="240" w:lineRule="auto"/>
      <w:jc w:val="right"/>
    </w:pPr>
    <w:rPr>
      <w:rFonts w:ascii="Arial" w:hAnsi="Arial"/>
      <w:b/>
      <w:i/>
    </w:rPr>
  </w:style>
  <w:style w:type="paragraph" w:customStyle="1" w:styleId="notetext">
    <w:name w:val="note(text)"/>
    <w:aliases w:val="n"/>
    <w:basedOn w:val="OPCParaBase"/>
    <w:link w:val="notetextChar"/>
    <w:rsid w:val="00F00002"/>
    <w:pPr>
      <w:spacing w:before="122" w:line="240" w:lineRule="auto"/>
      <w:ind w:left="1985" w:hanging="851"/>
    </w:pPr>
    <w:rPr>
      <w:sz w:val="18"/>
    </w:rPr>
  </w:style>
  <w:style w:type="paragraph" w:customStyle="1" w:styleId="Page1">
    <w:name w:val="Page1"/>
    <w:basedOn w:val="OPCParaBase"/>
    <w:rsid w:val="00F00002"/>
    <w:pPr>
      <w:spacing w:before="5600" w:line="240" w:lineRule="auto"/>
    </w:pPr>
    <w:rPr>
      <w:b/>
      <w:sz w:val="32"/>
    </w:rPr>
  </w:style>
  <w:style w:type="paragraph" w:customStyle="1" w:styleId="paragraphsub">
    <w:name w:val="paragraph(sub)"/>
    <w:aliases w:val="aa"/>
    <w:basedOn w:val="OPCParaBase"/>
    <w:rsid w:val="00F00002"/>
    <w:pPr>
      <w:tabs>
        <w:tab w:val="right" w:pos="1985"/>
      </w:tabs>
      <w:spacing w:before="40" w:line="240" w:lineRule="auto"/>
      <w:ind w:left="2098" w:hanging="2098"/>
    </w:pPr>
  </w:style>
  <w:style w:type="paragraph" w:customStyle="1" w:styleId="paragraphsub-sub">
    <w:name w:val="paragraph(sub-sub)"/>
    <w:aliases w:val="aaa"/>
    <w:basedOn w:val="OPCParaBase"/>
    <w:rsid w:val="00F00002"/>
    <w:pPr>
      <w:tabs>
        <w:tab w:val="right" w:pos="2722"/>
      </w:tabs>
      <w:spacing w:before="40" w:line="240" w:lineRule="auto"/>
      <w:ind w:left="2835" w:hanging="2835"/>
    </w:pPr>
  </w:style>
  <w:style w:type="paragraph" w:customStyle="1" w:styleId="ParlAmend">
    <w:name w:val="ParlAmend"/>
    <w:aliases w:val="pp"/>
    <w:basedOn w:val="OPCParaBase"/>
    <w:rsid w:val="00F00002"/>
    <w:pPr>
      <w:spacing w:before="240" w:line="240" w:lineRule="atLeast"/>
      <w:ind w:hanging="567"/>
    </w:pPr>
    <w:rPr>
      <w:sz w:val="24"/>
    </w:rPr>
  </w:style>
  <w:style w:type="paragraph" w:customStyle="1" w:styleId="Portfolio">
    <w:name w:val="Portfolio"/>
    <w:basedOn w:val="OPCParaBase"/>
    <w:rsid w:val="00F00002"/>
    <w:pPr>
      <w:spacing w:line="240" w:lineRule="auto"/>
    </w:pPr>
    <w:rPr>
      <w:i/>
      <w:sz w:val="20"/>
    </w:rPr>
  </w:style>
  <w:style w:type="paragraph" w:customStyle="1" w:styleId="Preamble">
    <w:name w:val="Preamble"/>
    <w:basedOn w:val="OPCParaBase"/>
    <w:next w:val="Normal"/>
    <w:rsid w:val="00F000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0002"/>
    <w:pPr>
      <w:spacing w:line="240" w:lineRule="auto"/>
    </w:pPr>
    <w:rPr>
      <w:i/>
      <w:sz w:val="20"/>
    </w:rPr>
  </w:style>
  <w:style w:type="paragraph" w:customStyle="1" w:styleId="Session">
    <w:name w:val="Session"/>
    <w:basedOn w:val="OPCParaBase"/>
    <w:rsid w:val="00F00002"/>
    <w:pPr>
      <w:spacing w:line="240" w:lineRule="auto"/>
    </w:pPr>
    <w:rPr>
      <w:sz w:val="28"/>
    </w:rPr>
  </w:style>
  <w:style w:type="paragraph" w:customStyle="1" w:styleId="Sponsor">
    <w:name w:val="Sponsor"/>
    <w:basedOn w:val="OPCParaBase"/>
    <w:rsid w:val="00F00002"/>
    <w:pPr>
      <w:spacing w:line="240" w:lineRule="auto"/>
    </w:pPr>
    <w:rPr>
      <w:i/>
    </w:rPr>
  </w:style>
  <w:style w:type="paragraph" w:customStyle="1" w:styleId="Subitem">
    <w:name w:val="Subitem"/>
    <w:aliases w:val="iss"/>
    <w:basedOn w:val="OPCParaBase"/>
    <w:rsid w:val="00F00002"/>
    <w:pPr>
      <w:spacing w:before="180" w:line="240" w:lineRule="auto"/>
      <w:ind w:left="709" w:hanging="709"/>
    </w:pPr>
  </w:style>
  <w:style w:type="paragraph" w:customStyle="1" w:styleId="SubitemHead">
    <w:name w:val="SubitemHead"/>
    <w:aliases w:val="issh"/>
    <w:basedOn w:val="OPCParaBase"/>
    <w:rsid w:val="00F000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0002"/>
    <w:pPr>
      <w:spacing w:before="40" w:line="240" w:lineRule="auto"/>
      <w:ind w:left="1134"/>
    </w:pPr>
  </w:style>
  <w:style w:type="paragraph" w:customStyle="1" w:styleId="SubsectionHead">
    <w:name w:val="SubsectionHead"/>
    <w:aliases w:val="ssh"/>
    <w:basedOn w:val="OPCParaBase"/>
    <w:next w:val="subsection"/>
    <w:rsid w:val="00F00002"/>
    <w:pPr>
      <w:keepNext/>
      <w:keepLines/>
      <w:spacing w:before="240" w:line="240" w:lineRule="auto"/>
      <w:ind w:left="1134"/>
    </w:pPr>
    <w:rPr>
      <w:i/>
    </w:rPr>
  </w:style>
  <w:style w:type="paragraph" w:customStyle="1" w:styleId="Tablea">
    <w:name w:val="Table(a)"/>
    <w:aliases w:val="ta"/>
    <w:basedOn w:val="OPCParaBase"/>
    <w:rsid w:val="00F00002"/>
    <w:pPr>
      <w:spacing w:before="60" w:line="240" w:lineRule="auto"/>
      <w:ind w:left="284" w:hanging="284"/>
    </w:pPr>
    <w:rPr>
      <w:sz w:val="20"/>
    </w:rPr>
  </w:style>
  <w:style w:type="paragraph" w:customStyle="1" w:styleId="TableAA">
    <w:name w:val="Table(AA)"/>
    <w:aliases w:val="taaa"/>
    <w:basedOn w:val="OPCParaBase"/>
    <w:rsid w:val="00F000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0002"/>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F000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0002"/>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0002"/>
    <w:pPr>
      <w:spacing w:before="122" w:line="198" w:lineRule="exact"/>
      <w:ind w:left="1985" w:hanging="851"/>
      <w:jc w:val="right"/>
    </w:pPr>
    <w:rPr>
      <w:sz w:val="18"/>
    </w:rPr>
  </w:style>
  <w:style w:type="paragraph" w:customStyle="1" w:styleId="TLPTableBullet">
    <w:name w:val="TLPTableBullet"/>
    <w:aliases w:val="ttb"/>
    <w:basedOn w:val="OPCParaBase"/>
    <w:rsid w:val="00F00002"/>
    <w:pPr>
      <w:spacing w:line="240" w:lineRule="exact"/>
      <w:ind w:left="284" w:hanging="284"/>
    </w:pPr>
    <w:rPr>
      <w:sz w:val="20"/>
    </w:rPr>
  </w:style>
  <w:style w:type="paragraph" w:customStyle="1" w:styleId="TofSectsGroupHeading">
    <w:name w:val="TofSects(GroupHeading)"/>
    <w:basedOn w:val="OPCParaBase"/>
    <w:next w:val="TofSectsSection"/>
    <w:rsid w:val="00F00002"/>
    <w:pPr>
      <w:keepLines/>
      <w:spacing w:before="240" w:after="120" w:line="240" w:lineRule="auto"/>
      <w:ind w:left="794"/>
    </w:pPr>
    <w:rPr>
      <w:b/>
      <w:kern w:val="28"/>
      <w:sz w:val="20"/>
    </w:rPr>
  </w:style>
  <w:style w:type="paragraph" w:customStyle="1" w:styleId="TofSectsHeading">
    <w:name w:val="TofSects(Heading)"/>
    <w:basedOn w:val="OPCParaBase"/>
    <w:rsid w:val="00F00002"/>
    <w:pPr>
      <w:spacing w:before="240" w:after="120" w:line="240" w:lineRule="auto"/>
    </w:pPr>
    <w:rPr>
      <w:b/>
      <w:sz w:val="24"/>
    </w:rPr>
  </w:style>
  <w:style w:type="paragraph" w:customStyle="1" w:styleId="TofSectsSection">
    <w:name w:val="TofSects(Section)"/>
    <w:basedOn w:val="OPCParaBase"/>
    <w:rsid w:val="00F00002"/>
    <w:pPr>
      <w:keepLines/>
      <w:spacing w:before="40" w:line="240" w:lineRule="auto"/>
      <w:ind w:left="1588" w:hanging="794"/>
    </w:pPr>
    <w:rPr>
      <w:kern w:val="28"/>
      <w:sz w:val="18"/>
    </w:rPr>
  </w:style>
  <w:style w:type="paragraph" w:customStyle="1" w:styleId="TofSectsSubdiv">
    <w:name w:val="TofSects(Subdiv)"/>
    <w:basedOn w:val="OPCParaBase"/>
    <w:rsid w:val="00F00002"/>
    <w:pPr>
      <w:keepLines/>
      <w:spacing w:before="80" w:line="240" w:lineRule="auto"/>
      <w:ind w:left="1588" w:hanging="794"/>
    </w:pPr>
    <w:rPr>
      <w:kern w:val="28"/>
    </w:rPr>
  </w:style>
  <w:style w:type="paragraph" w:customStyle="1" w:styleId="WRStyle">
    <w:name w:val="WR Style"/>
    <w:aliases w:val="WR"/>
    <w:basedOn w:val="OPCParaBase"/>
    <w:rsid w:val="00F00002"/>
    <w:pPr>
      <w:spacing w:before="240" w:line="240" w:lineRule="auto"/>
      <w:ind w:left="284" w:hanging="284"/>
    </w:pPr>
    <w:rPr>
      <w:b/>
      <w:i/>
      <w:kern w:val="28"/>
      <w:sz w:val="24"/>
    </w:rPr>
  </w:style>
  <w:style w:type="numbering" w:customStyle="1" w:styleId="OPCBodyList">
    <w:name w:val="OPCBodyList"/>
    <w:uiPriority w:val="99"/>
    <w:rsid w:val="00D150ED"/>
    <w:pPr>
      <w:numPr>
        <w:numId w:val="24"/>
      </w:numPr>
    </w:pPr>
  </w:style>
  <w:style w:type="paragraph" w:customStyle="1" w:styleId="noteToPara">
    <w:name w:val="noteToPara"/>
    <w:aliases w:val="ntp"/>
    <w:basedOn w:val="OPCParaBase"/>
    <w:rsid w:val="00F00002"/>
    <w:pPr>
      <w:spacing w:before="122" w:line="198" w:lineRule="exact"/>
      <w:ind w:left="2353" w:hanging="709"/>
    </w:pPr>
    <w:rPr>
      <w:sz w:val="18"/>
    </w:rPr>
  </w:style>
  <w:style w:type="character" w:customStyle="1" w:styleId="FooterChar">
    <w:name w:val="Footer Char"/>
    <w:basedOn w:val="DefaultParagraphFont"/>
    <w:link w:val="Footer"/>
    <w:rsid w:val="00F00002"/>
    <w:rPr>
      <w:sz w:val="22"/>
      <w:szCs w:val="24"/>
    </w:rPr>
  </w:style>
  <w:style w:type="character" w:customStyle="1" w:styleId="BalloonTextChar">
    <w:name w:val="Balloon Text Char"/>
    <w:basedOn w:val="DefaultParagraphFont"/>
    <w:link w:val="BalloonText"/>
    <w:uiPriority w:val="99"/>
    <w:rsid w:val="00F00002"/>
    <w:rPr>
      <w:rFonts w:ascii="Tahoma" w:eastAsiaTheme="minorHAnsi" w:hAnsi="Tahoma" w:cs="Tahoma"/>
      <w:sz w:val="16"/>
      <w:szCs w:val="16"/>
      <w:lang w:eastAsia="en-US"/>
    </w:rPr>
  </w:style>
  <w:style w:type="paragraph" w:customStyle="1" w:styleId="TableHeading">
    <w:name w:val="TableHeading"/>
    <w:aliases w:val="th"/>
    <w:basedOn w:val="OPCParaBase"/>
    <w:next w:val="Tabletext"/>
    <w:link w:val="TableHeadingChar"/>
    <w:rsid w:val="00F00002"/>
    <w:pPr>
      <w:keepNext/>
      <w:spacing w:before="60" w:line="240" w:lineRule="atLeast"/>
    </w:pPr>
    <w:rPr>
      <w:b/>
      <w:sz w:val="20"/>
    </w:rPr>
  </w:style>
  <w:style w:type="table" w:customStyle="1" w:styleId="CFlag">
    <w:name w:val="CFlag"/>
    <w:basedOn w:val="TableNormal"/>
    <w:uiPriority w:val="99"/>
    <w:rsid w:val="00F00002"/>
    <w:tblPr/>
  </w:style>
  <w:style w:type="paragraph" w:customStyle="1" w:styleId="ENotesHeading1">
    <w:name w:val="ENotesHeading 1"/>
    <w:aliases w:val="Enh1"/>
    <w:basedOn w:val="OPCParaBase"/>
    <w:next w:val="Normal"/>
    <w:rsid w:val="00F00002"/>
    <w:pPr>
      <w:spacing w:before="120"/>
      <w:outlineLvl w:val="1"/>
    </w:pPr>
    <w:rPr>
      <w:b/>
      <w:sz w:val="28"/>
      <w:szCs w:val="28"/>
    </w:rPr>
  </w:style>
  <w:style w:type="paragraph" w:customStyle="1" w:styleId="ENotesHeading2">
    <w:name w:val="ENotesHeading 2"/>
    <w:aliases w:val="Enh2"/>
    <w:basedOn w:val="OPCParaBase"/>
    <w:next w:val="Normal"/>
    <w:rsid w:val="00F00002"/>
    <w:pPr>
      <w:spacing w:before="120" w:after="120"/>
      <w:outlineLvl w:val="2"/>
    </w:pPr>
    <w:rPr>
      <w:b/>
      <w:sz w:val="24"/>
      <w:szCs w:val="28"/>
    </w:rPr>
  </w:style>
  <w:style w:type="paragraph" w:customStyle="1" w:styleId="ENotesHeading3">
    <w:name w:val="ENotesHeading 3"/>
    <w:aliases w:val="Enh3"/>
    <w:basedOn w:val="OPCParaBase"/>
    <w:next w:val="Normal"/>
    <w:rsid w:val="00F00002"/>
    <w:pPr>
      <w:keepNext/>
      <w:spacing w:before="120" w:line="240" w:lineRule="auto"/>
      <w:outlineLvl w:val="4"/>
    </w:pPr>
    <w:rPr>
      <w:b/>
      <w:szCs w:val="24"/>
    </w:rPr>
  </w:style>
  <w:style w:type="paragraph" w:customStyle="1" w:styleId="ENotesText">
    <w:name w:val="ENotesText"/>
    <w:aliases w:val="Ent"/>
    <w:basedOn w:val="OPCParaBase"/>
    <w:next w:val="Normal"/>
    <w:rsid w:val="00F00002"/>
    <w:pPr>
      <w:spacing w:before="120"/>
    </w:pPr>
  </w:style>
  <w:style w:type="paragraph" w:customStyle="1" w:styleId="CompiledActNo">
    <w:name w:val="CompiledActNo"/>
    <w:basedOn w:val="OPCParaBase"/>
    <w:next w:val="Normal"/>
    <w:rsid w:val="00F00002"/>
    <w:rPr>
      <w:b/>
      <w:sz w:val="24"/>
      <w:szCs w:val="24"/>
    </w:rPr>
  </w:style>
  <w:style w:type="paragraph" w:customStyle="1" w:styleId="CompiledMadeUnder">
    <w:name w:val="CompiledMadeUnder"/>
    <w:basedOn w:val="OPCParaBase"/>
    <w:next w:val="Normal"/>
    <w:rsid w:val="00F00002"/>
    <w:rPr>
      <w:i/>
      <w:sz w:val="24"/>
      <w:szCs w:val="24"/>
    </w:rPr>
  </w:style>
  <w:style w:type="paragraph" w:customStyle="1" w:styleId="Paragraphsub-sub-sub">
    <w:name w:val="Paragraph(sub-sub-sub)"/>
    <w:aliases w:val="aaaa"/>
    <w:basedOn w:val="OPCParaBase"/>
    <w:rsid w:val="00F000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00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00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00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000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00002"/>
    <w:pPr>
      <w:spacing w:before="60" w:line="240" w:lineRule="auto"/>
    </w:pPr>
    <w:rPr>
      <w:rFonts w:cs="Arial"/>
      <w:sz w:val="20"/>
      <w:szCs w:val="22"/>
    </w:rPr>
  </w:style>
  <w:style w:type="paragraph" w:customStyle="1" w:styleId="NoteToSubpara">
    <w:name w:val="NoteToSubpara"/>
    <w:aliases w:val="nts"/>
    <w:basedOn w:val="OPCParaBase"/>
    <w:rsid w:val="00F00002"/>
    <w:pPr>
      <w:spacing w:before="40" w:line="198" w:lineRule="exact"/>
      <w:ind w:left="2835" w:hanging="709"/>
    </w:pPr>
    <w:rPr>
      <w:sz w:val="18"/>
    </w:rPr>
  </w:style>
  <w:style w:type="paragraph" w:customStyle="1" w:styleId="InstNo">
    <w:name w:val="InstNo"/>
    <w:basedOn w:val="OPCParaBase"/>
    <w:next w:val="Normal"/>
    <w:rsid w:val="00F00002"/>
    <w:rPr>
      <w:b/>
      <w:sz w:val="28"/>
      <w:szCs w:val="32"/>
    </w:rPr>
  </w:style>
  <w:style w:type="paragraph" w:customStyle="1" w:styleId="TerritoryT">
    <w:name w:val="TerritoryT"/>
    <w:basedOn w:val="OPCParaBase"/>
    <w:next w:val="Normal"/>
    <w:rsid w:val="00F00002"/>
    <w:rPr>
      <w:b/>
      <w:sz w:val="32"/>
    </w:rPr>
  </w:style>
  <w:style w:type="paragraph" w:customStyle="1" w:styleId="LegislationMadeUnder">
    <w:name w:val="LegislationMadeUnder"/>
    <w:basedOn w:val="OPCParaBase"/>
    <w:next w:val="Normal"/>
    <w:rsid w:val="00F00002"/>
    <w:rPr>
      <w:i/>
      <w:sz w:val="32"/>
      <w:szCs w:val="32"/>
    </w:rPr>
  </w:style>
  <w:style w:type="paragraph" w:customStyle="1" w:styleId="ActHead10">
    <w:name w:val="ActHead 10"/>
    <w:aliases w:val="sp"/>
    <w:basedOn w:val="OPCParaBase"/>
    <w:next w:val="ActHead3"/>
    <w:rsid w:val="00F00002"/>
    <w:pPr>
      <w:keepNext/>
      <w:spacing w:before="280" w:line="240" w:lineRule="auto"/>
      <w:outlineLvl w:val="1"/>
    </w:pPr>
    <w:rPr>
      <w:b/>
      <w:sz w:val="32"/>
      <w:szCs w:val="30"/>
    </w:rPr>
  </w:style>
  <w:style w:type="paragraph" w:customStyle="1" w:styleId="SignCoverPageEnd">
    <w:name w:val="SignCoverPageEnd"/>
    <w:basedOn w:val="OPCParaBase"/>
    <w:next w:val="Normal"/>
    <w:rsid w:val="00F000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0002"/>
    <w:pPr>
      <w:pBdr>
        <w:top w:val="single" w:sz="4" w:space="1" w:color="auto"/>
      </w:pBdr>
      <w:spacing w:before="360"/>
      <w:ind w:right="397"/>
      <w:jc w:val="both"/>
    </w:pPr>
  </w:style>
  <w:style w:type="paragraph" w:customStyle="1" w:styleId="NotesHeading2">
    <w:name w:val="NotesHeading 2"/>
    <w:basedOn w:val="OPCParaBase"/>
    <w:next w:val="Normal"/>
    <w:rsid w:val="00F00002"/>
    <w:rPr>
      <w:b/>
      <w:sz w:val="28"/>
      <w:szCs w:val="28"/>
    </w:rPr>
  </w:style>
  <w:style w:type="paragraph" w:customStyle="1" w:styleId="NotesHeading1">
    <w:name w:val="NotesHeading 1"/>
    <w:basedOn w:val="OPCParaBase"/>
    <w:next w:val="Normal"/>
    <w:rsid w:val="00F00002"/>
    <w:rPr>
      <w:b/>
      <w:sz w:val="28"/>
      <w:szCs w:val="28"/>
    </w:rPr>
  </w:style>
  <w:style w:type="paragraph" w:customStyle="1" w:styleId="ActHead1">
    <w:name w:val="ActHead 1"/>
    <w:aliases w:val="c"/>
    <w:basedOn w:val="OPCParaBase"/>
    <w:next w:val="Normal"/>
    <w:qFormat/>
    <w:rsid w:val="00F000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0002"/>
    <w:pPr>
      <w:keepNext/>
      <w:keepLines/>
      <w:spacing w:before="280" w:line="240" w:lineRule="auto"/>
      <w:ind w:left="1134" w:hanging="1134"/>
      <w:outlineLvl w:val="1"/>
    </w:pPr>
    <w:rPr>
      <w:b/>
      <w:kern w:val="28"/>
      <w:sz w:val="32"/>
    </w:rPr>
  </w:style>
  <w:style w:type="paragraph" w:customStyle="1" w:styleId="Specials">
    <w:name w:val="Special s"/>
    <w:basedOn w:val="ActHead5"/>
    <w:link w:val="SpecialsChar"/>
    <w:rsid w:val="00F332D5"/>
    <w:pPr>
      <w:outlineLvl w:val="9"/>
    </w:pPr>
  </w:style>
  <w:style w:type="character" w:customStyle="1" w:styleId="OPCParaBaseChar">
    <w:name w:val="OPCParaBase Char"/>
    <w:basedOn w:val="DefaultParagraphFont"/>
    <w:link w:val="OPCParaBase"/>
    <w:rsid w:val="00F332D5"/>
    <w:rPr>
      <w:sz w:val="22"/>
    </w:rPr>
  </w:style>
  <w:style w:type="character" w:customStyle="1" w:styleId="ActHead5Char">
    <w:name w:val="ActHead 5 Char"/>
    <w:aliases w:val="s Char"/>
    <w:basedOn w:val="OPCParaBaseChar"/>
    <w:link w:val="ActHead5"/>
    <w:rsid w:val="00F332D5"/>
    <w:rPr>
      <w:b/>
      <w:kern w:val="28"/>
      <w:sz w:val="24"/>
    </w:rPr>
  </w:style>
  <w:style w:type="character" w:customStyle="1" w:styleId="SpecialsChar">
    <w:name w:val="Special s Char"/>
    <w:basedOn w:val="ActHead5Char"/>
    <w:link w:val="Specials"/>
    <w:rsid w:val="00F332D5"/>
    <w:rPr>
      <w:b/>
      <w:kern w:val="28"/>
      <w:sz w:val="24"/>
    </w:rPr>
  </w:style>
  <w:style w:type="paragraph" w:styleId="Revision">
    <w:name w:val="Revision"/>
    <w:hidden/>
    <w:uiPriority w:val="99"/>
    <w:semiHidden/>
    <w:rsid w:val="00B465F1"/>
    <w:rPr>
      <w:rFonts w:eastAsiaTheme="minorHAnsi" w:cstheme="minorBidi"/>
      <w:sz w:val="22"/>
      <w:lang w:eastAsia="en-US"/>
    </w:rPr>
  </w:style>
  <w:style w:type="paragraph" w:customStyle="1" w:styleId="ENoteTableHeading">
    <w:name w:val="ENoteTableHeading"/>
    <w:aliases w:val="enth"/>
    <w:basedOn w:val="OPCParaBase"/>
    <w:rsid w:val="00F00002"/>
    <w:pPr>
      <w:keepNext/>
      <w:spacing w:before="60" w:line="240" w:lineRule="atLeast"/>
    </w:pPr>
    <w:rPr>
      <w:rFonts w:ascii="Arial" w:hAnsi="Arial"/>
      <w:b/>
      <w:sz w:val="16"/>
    </w:rPr>
  </w:style>
  <w:style w:type="paragraph" w:customStyle="1" w:styleId="ENoteTTi">
    <w:name w:val="ENoteTTi"/>
    <w:aliases w:val="entti"/>
    <w:basedOn w:val="OPCParaBase"/>
    <w:rsid w:val="00F00002"/>
    <w:pPr>
      <w:keepNext/>
      <w:spacing w:before="60" w:line="240" w:lineRule="atLeast"/>
      <w:ind w:left="170"/>
    </w:pPr>
    <w:rPr>
      <w:sz w:val="16"/>
    </w:rPr>
  </w:style>
  <w:style w:type="paragraph" w:customStyle="1" w:styleId="ENoteTTIndentHeading">
    <w:name w:val="ENoteTTIndentHeading"/>
    <w:aliases w:val="enTTHi"/>
    <w:basedOn w:val="OPCParaBase"/>
    <w:rsid w:val="00F000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0002"/>
    <w:pPr>
      <w:spacing w:before="60" w:line="240" w:lineRule="atLeast"/>
    </w:pPr>
    <w:rPr>
      <w:sz w:val="16"/>
    </w:rPr>
  </w:style>
  <w:style w:type="paragraph" w:customStyle="1" w:styleId="MadeunderText">
    <w:name w:val="MadeunderText"/>
    <w:basedOn w:val="OPCParaBase"/>
    <w:next w:val="CompiledMadeUnder"/>
    <w:rsid w:val="00F00002"/>
    <w:pPr>
      <w:spacing w:before="240"/>
    </w:pPr>
    <w:rPr>
      <w:sz w:val="24"/>
      <w:szCs w:val="24"/>
    </w:rPr>
  </w:style>
  <w:style w:type="paragraph" w:customStyle="1" w:styleId="SubPartCASA">
    <w:name w:val="SubPart(CASA)"/>
    <w:aliases w:val="csp"/>
    <w:basedOn w:val="OPCParaBase"/>
    <w:next w:val="ActHead3"/>
    <w:rsid w:val="00F0000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00002"/>
  </w:style>
  <w:style w:type="character" w:customStyle="1" w:styleId="CharSubPartNoCASA">
    <w:name w:val="CharSubPartNo(CASA)"/>
    <w:basedOn w:val="OPCCharBase"/>
    <w:uiPriority w:val="1"/>
    <w:rsid w:val="00F00002"/>
  </w:style>
  <w:style w:type="paragraph" w:customStyle="1" w:styleId="ENoteTTIndentHeadingSub">
    <w:name w:val="ENoteTTIndentHeadingSub"/>
    <w:aliases w:val="enTTHis"/>
    <w:basedOn w:val="OPCParaBase"/>
    <w:rsid w:val="00F00002"/>
    <w:pPr>
      <w:keepNext/>
      <w:spacing w:before="60" w:line="240" w:lineRule="atLeast"/>
      <w:ind w:left="340"/>
    </w:pPr>
    <w:rPr>
      <w:b/>
      <w:sz w:val="16"/>
    </w:rPr>
  </w:style>
  <w:style w:type="paragraph" w:customStyle="1" w:styleId="ENoteTTiSub">
    <w:name w:val="ENoteTTiSub"/>
    <w:aliases w:val="enttis"/>
    <w:basedOn w:val="OPCParaBase"/>
    <w:rsid w:val="00F00002"/>
    <w:pPr>
      <w:keepNext/>
      <w:spacing w:before="60" w:line="240" w:lineRule="atLeast"/>
      <w:ind w:left="340"/>
    </w:pPr>
    <w:rPr>
      <w:sz w:val="16"/>
    </w:rPr>
  </w:style>
  <w:style w:type="paragraph" w:customStyle="1" w:styleId="SubDivisionMigration">
    <w:name w:val="SubDivisionMigration"/>
    <w:aliases w:val="sdm"/>
    <w:basedOn w:val="OPCParaBase"/>
    <w:rsid w:val="00F000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0002"/>
    <w:pPr>
      <w:keepNext/>
      <w:keepLines/>
      <w:spacing w:before="240" w:line="240" w:lineRule="auto"/>
      <w:ind w:left="1134" w:hanging="1134"/>
    </w:pPr>
    <w:rPr>
      <w:b/>
      <w:sz w:val="28"/>
    </w:rPr>
  </w:style>
  <w:style w:type="character" w:customStyle="1" w:styleId="charlegsubtitle1">
    <w:name w:val="charlegsubtitle1"/>
    <w:basedOn w:val="DefaultParagraphFont"/>
    <w:rsid w:val="003C0958"/>
    <w:rPr>
      <w:rFonts w:ascii="Arial" w:hAnsi="Arial" w:cs="Arial" w:hint="default"/>
      <w:b/>
      <w:bCs/>
      <w:sz w:val="28"/>
      <w:szCs w:val="28"/>
    </w:rPr>
  </w:style>
  <w:style w:type="character" w:customStyle="1" w:styleId="subsectionChar">
    <w:name w:val="subsection Char"/>
    <w:aliases w:val="ss Char"/>
    <w:basedOn w:val="DefaultParagraphFont"/>
    <w:link w:val="subsection"/>
    <w:locked/>
    <w:rsid w:val="00781824"/>
    <w:rPr>
      <w:sz w:val="22"/>
    </w:rPr>
  </w:style>
  <w:style w:type="paragraph" w:customStyle="1" w:styleId="SOText">
    <w:name w:val="SO Text"/>
    <w:aliases w:val="sot"/>
    <w:link w:val="SOTextChar"/>
    <w:rsid w:val="00F0000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00002"/>
    <w:rPr>
      <w:rFonts w:eastAsiaTheme="minorHAnsi" w:cstheme="minorBidi"/>
      <w:sz w:val="22"/>
      <w:lang w:eastAsia="en-US"/>
    </w:rPr>
  </w:style>
  <w:style w:type="paragraph" w:customStyle="1" w:styleId="SOTextNote">
    <w:name w:val="SO TextNote"/>
    <w:aliases w:val="sont"/>
    <w:basedOn w:val="SOText"/>
    <w:qFormat/>
    <w:rsid w:val="00F00002"/>
    <w:pPr>
      <w:spacing w:before="122" w:line="198" w:lineRule="exact"/>
      <w:ind w:left="1843" w:hanging="709"/>
    </w:pPr>
    <w:rPr>
      <w:sz w:val="18"/>
    </w:rPr>
  </w:style>
  <w:style w:type="paragraph" w:customStyle="1" w:styleId="SOPara">
    <w:name w:val="SO Para"/>
    <w:aliases w:val="soa"/>
    <w:basedOn w:val="SOText"/>
    <w:link w:val="SOParaChar"/>
    <w:qFormat/>
    <w:rsid w:val="00F00002"/>
    <w:pPr>
      <w:tabs>
        <w:tab w:val="right" w:pos="1786"/>
      </w:tabs>
      <w:spacing w:before="40"/>
      <w:ind w:left="2070" w:hanging="936"/>
    </w:pPr>
  </w:style>
  <w:style w:type="character" w:customStyle="1" w:styleId="SOParaChar">
    <w:name w:val="SO Para Char"/>
    <w:aliases w:val="soa Char"/>
    <w:basedOn w:val="DefaultParagraphFont"/>
    <w:link w:val="SOPara"/>
    <w:rsid w:val="00F00002"/>
    <w:rPr>
      <w:rFonts w:eastAsiaTheme="minorHAnsi" w:cstheme="minorBidi"/>
      <w:sz w:val="22"/>
      <w:lang w:eastAsia="en-US"/>
    </w:rPr>
  </w:style>
  <w:style w:type="paragraph" w:customStyle="1" w:styleId="FileName">
    <w:name w:val="FileName"/>
    <w:basedOn w:val="Normal"/>
    <w:rsid w:val="00F00002"/>
  </w:style>
  <w:style w:type="paragraph" w:customStyle="1" w:styleId="SOHeadBold">
    <w:name w:val="SO HeadBold"/>
    <w:aliases w:val="sohb"/>
    <w:basedOn w:val="SOText"/>
    <w:next w:val="SOText"/>
    <w:link w:val="SOHeadBoldChar"/>
    <w:qFormat/>
    <w:rsid w:val="00F00002"/>
    <w:rPr>
      <w:b/>
    </w:rPr>
  </w:style>
  <w:style w:type="character" w:customStyle="1" w:styleId="SOHeadBoldChar">
    <w:name w:val="SO HeadBold Char"/>
    <w:aliases w:val="sohb Char"/>
    <w:basedOn w:val="DefaultParagraphFont"/>
    <w:link w:val="SOHeadBold"/>
    <w:rsid w:val="00F0000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00002"/>
    <w:rPr>
      <w:i/>
    </w:rPr>
  </w:style>
  <w:style w:type="character" w:customStyle="1" w:styleId="SOHeadItalicChar">
    <w:name w:val="SO HeadItalic Char"/>
    <w:aliases w:val="sohi Char"/>
    <w:basedOn w:val="DefaultParagraphFont"/>
    <w:link w:val="SOHeadItalic"/>
    <w:rsid w:val="00F00002"/>
    <w:rPr>
      <w:rFonts w:eastAsiaTheme="minorHAnsi" w:cstheme="minorBidi"/>
      <w:i/>
      <w:sz w:val="22"/>
      <w:lang w:eastAsia="en-US"/>
    </w:rPr>
  </w:style>
  <w:style w:type="paragraph" w:customStyle="1" w:styleId="SOBullet">
    <w:name w:val="SO Bullet"/>
    <w:aliases w:val="sotb"/>
    <w:basedOn w:val="SOText"/>
    <w:link w:val="SOBulletChar"/>
    <w:qFormat/>
    <w:rsid w:val="00F00002"/>
    <w:pPr>
      <w:ind w:left="1559" w:hanging="425"/>
    </w:pPr>
  </w:style>
  <w:style w:type="character" w:customStyle="1" w:styleId="SOBulletChar">
    <w:name w:val="SO Bullet Char"/>
    <w:aliases w:val="sotb Char"/>
    <w:basedOn w:val="DefaultParagraphFont"/>
    <w:link w:val="SOBullet"/>
    <w:rsid w:val="00F00002"/>
    <w:rPr>
      <w:rFonts w:eastAsiaTheme="minorHAnsi" w:cstheme="minorBidi"/>
      <w:sz w:val="22"/>
      <w:lang w:eastAsia="en-US"/>
    </w:rPr>
  </w:style>
  <w:style w:type="paragraph" w:customStyle="1" w:styleId="SOBulletNote">
    <w:name w:val="SO BulletNote"/>
    <w:aliases w:val="sonb"/>
    <w:basedOn w:val="SOTextNote"/>
    <w:link w:val="SOBulletNoteChar"/>
    <w:qFormat/>
    <w:rsid w:val="00F00002"/>
    <w:pPr>
      <w:tabs>
        <w:tab w:val="left" w:pos="1560"/>
      </w:tabs>
      <w:ind w:left="2268" w:hanging="1134"/>
    </w:pPr>
  </w:style>
  <w:style w:type="character" w:customStyle="1" w:styleId="SOBulletNoteChar">
    <w:name w:val="SO BulletNote Char"/>
    <w:aliases w:val="sonb Char"/>
    <w:basedOn w:val="DefaultParagraphFont"/>
    <w:link w:val="SOBulletNote"/>
    <w:rsid w:val="00F00002"/>
    <w:rPr>
      <w:rFonts w:eastAsiaTheme="minorHAnsi" w:cstheme="minorBidi"/>
      <w:sz w:val="18"/>
      <w:lang w:eastAsia="en-US"/>
    </w:rPr>
  </w:style>
  <w:style w:type="paragraph" w:customStyle="1" w:styleId="Specialth">
    <w:name w:val="Special th"/>
    <w:basedOn w:val="TableHeading"/>
    <w:link w:val="SpecialthChar"/>
    <w:rsid w:val="00350487"/>
    <w:rPr>
      <w:sz w:val="24"/>
      <w:szCs w:val="24"/>
    </w:rPr>
  </w:style>
  <w:style w:type="character" w:customStyle="1" w:styleId="TableHeadingChar">
    <w:name w:val="TableHeading Char"/>
    <w:aliases w:val="th Char"/>
    <w:basedOn w:val="OPCParaBaseChar"/>
    <w:link w:val="TableHeading"/>
    <w:rsid w:val="00350487"/>
    <w:rPr>
      <w:b/>
      <w:sz w:val="22"/>
    </w:rPr>
  </w:style>
  <w:style w:type="character" w:customStyle="1" w:styleId="SpecialthChar">
    <w:name w:val="Special th Char"/>
    <w:basedOn w:val="TableHeadingChar"/>
    <w:link w:val="Specialth"/>
    <w:rsid w:val="00350487"/>
    <w:rPr>
      <w:b/>
      <w:sz w:val="24"/>
      <w:szCs w:val="24"/>
    </w:rPr>
  </w:style>
  <w:style w:type="character" w:customStyle="1" w:styleId="legsubtitle1">
    <w:name w:val="legsubtitle1"/>
    <w:basedOn w:val="DefaultParagraphFont"/>
    <w:rsid w:val="003B0B75"/>
    <w:rPr>
      <w:rFonts w:ascii="Arial" w:hAnsi="Arial" w:cs="Arial" w:hint="default"/>
      <w:b/>
      <w:bCs/>
      <w:sz w:val="28"/>
      <w:szCs w:val="28"/>
    </w:rPr>
  </w:style>
  <w:style w:type="character" w:customStyle="1" w:styleId="notetextChar">
    <w:name w:val="note(text) Char"/>
    <w:aliases w:val="n Char"/>
    <w:basedOn w:val="DefaultParagraphFont"/>
    <w:link w:val="notetext"/>
    <w:rsid w:val="007D6B7B"/>
    <w:rPr>
      <w:sz w:val="18"/>
    </w:rPr>
  </w:style>
  <w:style w:type="character" w:customStyle="1" w:styleId="paragraphChar">
    <w:name w:val="paragraph Char"/>
    <w:aliases w:val="a Char"/>
    <w:link w:val="paragraph"/>
    <w:rsid w:val="002B0BDC"/>
    <w:rPr>
      <w:sz w:val="22"/>
    </w:rPr>
  </w:style>
  <w:style w:type="paragraph" w:customStyle="1" w:styleId="EnStatement">
    <w:name w:val="EnStatement"/>
    <w:basedOn w:val="Normal"/>
    <w:rsid w:val="00F00002"/>
    <w:pPr>
      <w:numPr>
        <w:numId w:val="28"/>
      </w:numPr>
    </w:pPr>
    <w:rPr>
      <w:rFonts w:eastAsia="Times New Roman" w:cs="Times New Roman"/>
      <w:lang w:eastAsia="en-AU"/>
    </w:rPr>
  </w:style>
  <w:style w:type="paragraph" w:customStyle="1" w:styleId="EnStatementHeading">
    <w:name w:val="EnStatementHeading"/>
    <w:basedOn w:val="Normal"/>
    <w:rsid w:val="00F00002"/>
    <w:rPr>
      <w:rFonts w:eastAsia="Times New Roman" w:cs="Times New Roman"/>
      <w:b/>
      <w:lang w:eastAsia="en-AU"/>
    </w:rPr>
  </w:style>
  <w:style w:type="paragraph" w:customStyle="1" w:styleId="Transitional">
    <w:name w:val="Transitional"/>
    <w:aliases w:val="tr"/>
    <w:basedOn w:val="Normal"/>
    <w:next w:val="Normal"/>
    <w:rsid w:val="00F0000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076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0002"/>
    <w:pPr>
      <w:spacing w:line="260" w:lineRule="atLeast"/>
    </w:pPr>
    <w:rPr>
      <w:rFonts w:eastAsiaTheme="minorHAnsi" w:cstheme="minorBidi"/>
      <w:sz w:val="22"/>
      <w:lang w:eastAsia="en-US"/>
    </w:rPr>
  </w:style>
  <w:style w:type="paragraph" w:styleId="Heading1">
    <w:name w:val="heading 1"/>
    <w:basedOn w:val="OPCParaBase"/>
    <w:next w:val="Normal"/>
    <w:qFormat/>
    <w:rsid w:val="00D150ED"/>
    <w:pPr>
      <w:keepNext/>
      <w:keepLines/>
      <w:spacing w:line="240" w:lineRule="auto"/>
      <w:ind w:left="1134" w:hanging="1134"/>
      <w:outlineLvl w:val="0"/>
    </w:pPr>
    <w:rPr>
      <w:b/>
      <w:kern w:val="28"/>
      <w:sz w:val="36"/>
    </w:rPr>
  </w:style>
  <w:style w:type="paragraph" w:styleId="Heading2">
    <w:name w:val="heading 2"/>
    <w:basedOn w:val="OPCParaBase"/>
    <w:next w:val="ActHead3"/>
    <w:link w:val="Heading2Char"/>
    <w:qFormat/>
    <w:rsid w:val="00D150ED"/>
    <w:pPr>
      <w:keepNext/>
      <w:keepLines/>
      <w:spacing w:before="280" w:line="240" w:lineRule="auto"/>
      <w:ind w:left="1134" w:hanging="1134"/>
      <w:outlineLvl w:val="1"/>
    </w:pPr>
    <w:rPr>
      <w:b/>
      <w:kern w:val="28"/>
      <w:sz w:val="32"/>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F0000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F0000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F0000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D150ED"/>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0000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F00002"/>
  </w:style>
  <w:style w:type="character" w:customStyle="1" w:styleId="CharAmSchText">
    <w:name w:val="CharAmSchText"/>
    <w:basedOn w:val="OPCCharBase"/>
    <w:uiPriority w:val="1"/>
    <w:qFormat/>
    <w:rsid w:val="00F00002"/>
  </w:style>
  <w:style w:type="character" w:customStyle="1" w:styleId="CharChapNo">
    <w:name w:val="CharChapNo"/>
    <w:basedOn w:val="OPCCharBase"/>
    <w:qFormat/>
    <w:rsid w:val="00F00002"/>
  </w:style>
  <w:style w:type="character" w:customStyle="1" w:styleId="CharChapText">
    <w:name w:val="CharChapText"/>
    <w:basedOn w:val="OPCCharBase"/>
    <w:qFormat/>
    <w:rsid w:val="00F00002"/>
  </w:style>
  <w:style w:type="character" w:customStyle="1" w:styleId="CharDivNo">
    <w:name w:val="CharDivNo"/>
    <w:basedOn w:val="OPCCharBase"/>
    <w:qFormat/>
    <w:rsid w:val="00F00002"/>
  </w:style>
  <w:style w:type="character" w:customStyle="1" w:styleId="CharDivText">
    <w:name w:val="CharDivText"/>
    <w:basedOn w:val="OPCCharBase"/>
    <w:qFormat/>
    <w:rsid w:val="00F00002"/>
  </w:style>
  <w:style w:type="character" w:customStyle="1" w:styleId="CharPartNo">
    <w:name w:val="CharPartNo"/>
    <w:basedOn w:val="OPCCharBase"/>
    <w:qFormat/>
    <w:rsid w:val="00F00002"/>
  </w:style>
  <w:style w:type="character" w:customStyle="1" w:styleId="CharPartText">
    <w:name w:val="CharPartText"/>
    <w:basedOn w:val="OPCCharBase"/>
    <w:qFormat/>
    <w:rsid w:val="00F00002"/>
  </w:style>
  <w:style w:type="character" w:customStyle="1" w:styleId="OPCCharBase">
    <w:name w:val="OPCCharBase"/>
    <w:uiPriority w:val="1"/>
    <w:qFormat/>
    <w:rsid w:val="00F00002"/>
  </w:style>
  <w:style w:type="paragraph" w:customStyle="1" w:styleId="OPCParaBase">
    <w:name w:val="OPCParaBase"/>
    <w:link w:val="OPCParaBaseChar"/>
    <w:qFormat/>
    <w:rsid w:val="00F00002"/>
    <w:pPr>
      <w:spacing w:line="260" w:lineRule="atLeast"/>
    </w:pPr>
    <w:rPr>
      <w:sz w:val="22"/>
    </w:rPr>
  </w:style>
  <w:style w:type="character" w:customStyle="1" w:styleId="CharSectno">
    <w:name w:val="CharSectno"/>
    <w:basedOn w:val="OPCCharBase"/>
    <w:qFormat/>
    <w:rsid w:val="00F0000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F00002"/>
    <w:pPr>
      <w:spacing w:line="240" w:lineRule="auto"/>
      <w:ind w:left="1134"/>
    </w:pPr>
    <w:rPr>
      <w:sz w:val="20"/>
    </w:rPr>
  </w:style>
  <w:style w:type="paragraph" w:customStyle="1" w:styleId="ShortT">
    <w:name w:val="ShortT"/>
    <w:basedOn w:val="OPCParaBase"/>
    <w:next w:val="Normal"/>
    <w:qFormat/>
    <w:rsid w:val="00F00002"/>
    <w:pPr>
      <w:spacing w:line="240" w:lineRule="auto"/>
    </w:pPr>
    <w:rPr>
      <w:b/>
      <w:sz w:val="40"/>
    </w:rPr>
  </w:style>
  <w:style w:type="paragraph" w:customStyle="1" w:styleId="FreeForm">
    <w:name w:val="FreeForm"/>
    <w:rsid w:val="00F00002"/>
    <w:rPr>
      <w:rFonts w:ascii="Arial" w:eastAsiaTheme="minorHAnsi" w:hAnsi="Arial" w:cstheme="minorBidi"/>
      <w:sz w:val="22"/>
      <w:lang w:eastAsia="en-US"/>
    </w:rPr>
  </w:style>
  <w:style w:type="paragraph" w:customStyle="1" w:styleId="Penalty">
    <w:name w:val="Penalty"/>
    <w:basedOn w:val="OPCParaBase"/>
    <w:rsid w:val="00F00002"/>
    <w:pPr>
      <w:tabs>
        <w:tab w:val="left" w:pos="2977"/>
      </w:tabs>
      <w:spacing w:before="180" w:line="240" w:lineRule="auto"/>
      <w:ind w:left="1985" w:hanging="851"/>
    </w:pPr>
  </w:style>
  <w:style w:type="paragraph" w:customStyle="1" w:styleId="ActHead3">
    <w:name w:val="ActHead 3"/>
    <w:aliases w:val="d"/>
    <w:basedOn w:val="OPCParaBase"/>
    <w:next w:val="ActHead4"/>
    <w:qFormat/>
    <w:rsid w:val="00F00002"/>
    <w:pPr>
      <w:keepNext/>
      <w:keepLines/>
      <w:spacing w:before="240" w:line="240" w:lineRule="auto"/>
      <w:ind w:left="1134" w:hanging="1134"/>
      <w:outlineLvl w:val="2"/>
    </w:pPr>
    <w:rPr>
      <w:b/>
      <w:kern w:val="28"/>
      <w:sz w:val="28"/>
    </w:rPr>
  </w:style>
  <w:style w:type="paragraph" w:styleId="TOC1">
    <w:name w:val="toc 1"/>
    <w:basedOn w:val="OPCParaBase"/>
    <w:next w:val="Normal"/>
    <w:uiPriority w:val="39"/>
    <w:unhideWhenUsed/>
    <w:rsid w:val="00F0000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0000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0000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0000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0000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0000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0000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0000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0000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00002"/>
    <w:pPr>
      <w:spacing w:line="240" w:lineRule="auto"/>
    </w:pPr>
    <w:rPr>
      <w:sz w:val="20"/>
    </w:rPr>
  </w:style>
  <w:style w:type="paragraph" w:customStyle="1" w:styleId="ActHead4">
    <w:name w:val="ActHead 4"/>
    <w:aliases w:val="sd"/>
    <w:basedOn w:val="OPCParaBase"/>
    <w:next w:val="ActHead5"/>
    <w:qFormat/>
    <w:rsid w:val="00F00002"/>
    <w:pPr>
      <w:keepNext/>
      <w:keepLines/>
      <w:spacing w:before="220" w:line="240" w:lineRule="auto"/>
      <w:ind w:left="1134" w:hanging="1134"/>
      <w:outlineLvl w:val="3"/>
    </w:pPr>
    <w:rPr>
      <w:b/>
      <w:kern w:val="28"/>
      <w:sz w:val="26"/>
    </w:rPr>
  </w:style>
  <w:style w:type="paragraph" w:styleId="BalloonText">
    <w:name w:val="Balloon Text"/>
    <w:basedOn w:val="Normal"/>
    <w:link w:val="BalloonTextChar"/>
    <w:uiPriority w:val="99"/>
    <w:unhideWhenUsed/>
    <w:rsid w:val="00F0000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ubsection">
    <w:name w:val="subsection"/>
    <w:aliases w:val="ss"/>
    <w:basedOn w:val="OPCParaBase"/>
    <w:link w:val="subsectionChar"/>
    <w:rsid w:val="00F00002"/>
    <w:pPr>
      <w:tabs>
        <w:tab w:val="right" w:pos="1021"/>
      </w:tabs>
      <w:spacing w:before="180" w:line="240" w:lineRule="auto"/>
      <w:ind w:left="1134" w:hanging="1134"/>
    </w:pPr>
  </w:style>
  <w:style w:type="character" w:customStyle="1" w:styleId="Heading2Char">
    <w:name w:val="Heading 2 Char"/>
    <w:basedOn w:val="DefaultParagraphFont"/>
    <w:link w:val="Heading2"/>
    <w:rsid w:val="00BB4501"/>
    <w:rPr>
      <w:b/>
      <w:kern w:val="28"/>
      <w:sz w:val="32"/>
    </w:rPr>
  </w:style>
  <w:style w:type="character" w:customStyle="1" w:styleId="CharSubdNo">
    <w:name w:val="CharSubdNo"/>
    <w:basedOn w:val="OPCCharBase"/>
    <w:uiPriority w:val="1"/>
    <w:qFormat/>
    <w:rsid w:val="00F00002"/>
  </w:style>
  <w:style w:type="character" w:customStyle="1" w:styleId="CharSubdText">
    <w:name w:val="CharSubdText"/>
    <w:basedOn w:val="OPCCharBase"/>
    <w:uiPriority w:val="1"/>
    <w:qFormat/>
    <w:rsid w:val="00F00002"/>
  </w:style>
  <w:style w:type="paragraph" w:customStyle="1" w:styleId="paragraph">
    <w:name w:val="paragraph"/>
    <w:aliases w:val="a"/>
    <w:basedOn w:val="OPCParaBase"/>
    <w:link w:val="paragraphChar"/>
    <w:rsid w:val="00F00002"/>
    <w:pPr>
      <w:tabs>
        <w:tab w:val="right" w:pos="1531"/>
      </w:tabs>
      <w:spacing w:before="40" w:line="240" w:lineRule="auto"/>
      <w:ind w:left="1644" w:hanging="1644"/>
    </w:pPr>
  </w:style>
  <w:style w:type="paragraph" w:customStyle="1" w:styleId="ActHead5">
    <w:name w:val="ActHead 5"/>
    <w:aliases w:val="s"/>
    <w:basedOn w:val="OPCParaBase"/>
    <w:next w:val="subsection"/>
    <w:link w:val="ActHead5Char"/>
    <w:qFormat/>
    <w:rsid w:val="00F00002"/>
    <w:pPr>
      <w:keepNext/>
      <w:keepLines/>
      <w:spacing w:before="280" w:line="240" w:lineRule="auto"/>
      <w:ind w:left="1134" w:hanging="1134"/>
      <w:outlineLvl w:val="4"/>
    </w:pPr>
    <w:rPr>
      <w:b/>
      <w:kern w:val="28"/>
      <w:sz w:val="24"/>
    </w:rPr>
  </w:style>
  <w:style w:type="paragraph" w:customStyle="1" w:styleId="Tabletext">
    <w:name w:val="Tabletext"/>
    <w:aliases w:val="tt"/>
    <w:basedOn w:val="OPCParaBase"/>
    <w:link w:val="TabletextChar"/>
    <w:rsid w:val="00F00002"/>
    <w:pPr>
      <w:spacing w:before="60" w:line="240" w:lineRule="atLeast"/>
    </w:pPr>
    <w:rPr>
      <w:sz w:val="20"/>
    </w:rPr>
  </w:style>
  <w:style w:type="paragraph" w:customStyle="1" w:styleId="ActHead6">
    <w:name w:val="ActHead 6"/>
    <w:aliases w:val="as"/>
    <w:basedOn w:val="OPCParaBase"/>
    <w:next w:val="ActHead7"/>
    <w:qFormat/>
    <w:rsid w:val="00F0000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000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000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000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0002"/>
  </w:style>
  <w:style w:type="paragraph" w:customStyle="1" w:styleId="Blocks">
    <w:name w:val="Blocks"/>
    <w:aliases w:val="bb"/>
    <w:basedOn w:val="OPCParaBase"/>
    <w:qFormat/>
    <w:rsid w:val="00F00002"/>
    <w:pPr>
      <w:spacing w:line="240" w:lineRule="auto"/>
    </w:pPr>
    <w:rPr>
      <w:sz w:val="24"/>
    </w:rPr>
  </w:style>
  <w:style w:type="paragraph" w:customStyle="1" w:styleId="BoxText">
    <w:name w:val="BoxText"/>
    <w:aliases w:val="bt"/>
    <w:basedOn w:val="OPCParaBase"/>
    <w:qFormat/>
    <w:rsid w:val="00F0000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0002"/>
    <w:rPr>
      <w:b/>
    </w:rPr>
  </w:style>
  <w:style w:type="paragraph" w:customStyle="1" w:styleId="BoxHeadItalic">
    <w:name w:val="BoxHeadItalic"/>
    <w:aliases w:val="bhi"/>
    <w:basedOn w:val="BoxText"/>
    <w:next w:val="BoxStep"/>
    <w:qFormat/>
    <w:rsid w:val="00F00002"/>
    <w:rPr>
      <w:i/>
    </w:rPr>
  </w:style>
  <w:style w:type="paragraph" w:customStyle="1" w:styleId="BoxList">
    <w:name w:val="BoxList"/>
    <w:aliases w:val="bl"/>
    <w:basedOn w:val="BoxText"/>
    <w:qFormat/>
    <w:rsid w:val="00F00002"/>
    <w:pPr>
      <w:ind w:left="1559" w:hanging="425"/>
    </w:pPr>
  </w:style>
  <w:style w:type="paragraph" w:customStyle="1" w:styleId="BoxNote">
    <w:name w:val="BoxNote"/>
    <w:aliases w:val="bn"/>
    <w:basedOn w:val="BoxText"/>
    <w:qFormat/>
    <w:rsid w:val="00F00002"/>
    <w:pPr>
      <w:tabs>
        <w:tab w:val="left" w:pos="1985"/>
      </w:tabs>
      <w:spacing w:before="122" w:line="198" w:lineRule="exact"/>
      <w:ind w:left="2948" w:hanging="1814"/>
    </w:pPr>
    <w:rPr>
      <w:sz w:val="18"/>
    </w:rPr>
  </w:style>
  <w:style w:type="paragraph" w:customStyle="1" w:styleId="BoxPara">
    <w:name w:val="BoxPara"/>
    <w:aliases w:val="bp"/>
    <w:basedOn w:val="BoxText"/>
    <w:qFormat/>
    <w:rsid w:val="00F00002"/>
    <w:pPr>
      <w:tabs>
        <w:tab w:val="right" w:pos="2268"/>
      </w:tabs>
      <w:ind w:left="2552" w:hanging="1418"/>
    </w:pPr>
  </w:style>
  <w:style w:type="paragraph" w:customStyle="1" w:styleId="BoxStep">
    <w:name w:val="BoxStep"/>
    <w:aliases w:val="bs"/>
    <w:basedOn w:val="BoxText"/>
    <w:qFormat/>
    <w:rsid w:val="00F00002"/>
    <w:pPr>
      <w:ind w:left="1985" w:hanging="851"/>
    </w:pPr>
  </w:style>
  <w:style w:type="character" w:customStyle="1" w:styleId="CharAmPartNo">
    <w:name w:val="CharAmPartNo"/>
    <w:basedOn w:val="OPCCharBase"/>
    <w:uiPriority w:val="1"/>
    <w:qFormat/>
    <w:rsid w:val="00F00002"/>
  </w:style>
  <w:style w:type="character" w:customStyle="1" w:styleId="CharAmPartText">
    <w:name w:val="CharAmPartText"/>
    <w:basedOn w:val="OPCCharBase"/>
    <w:uiPriority w:val="1"/>
    <w:qFormat/>
    <w:rsid w:val="00F00002"/>
  </w:style>
  <w:style w:type="character" w:customStyle="1" w:styleId="CharBoldItalic">
    <w:name w:val="CharBoldItalic"/>
    <w:basedOn w:val="OPCCharBase"/>
    <w:uiPriority w:val="1"/>
    <w:qFormat/>
    <w:rsid w:val="00F00002"/>
    <w:rPr>
      <w:b/>
      <w:i/>
    </w:rPr>
  </w:style>
  <w:style w:type="character" w:customStyle="1" w:styleId="CharItalic">
    <w:name w:val="CharItalic"/>
    <w:basedOn w:val="OPCCharBase"/>
    <w:uiPriority w:val="1"/>
    <w:qFormat/>
    <w:rsid w:val="00F00002"/>
    <w:rPr>
      <w:i/>
    </w:rPr>
  </w:style>
  <w:style w:type="paragraph" w:customStyle="1" w:styleId="CTA--">
    <w:name w:val="CTA --"/>
    <w:basedOn w:val="OPCParaBase"/>
    <w:next w:val="Normal"/>
    <w:rsid w:val="00F00002"/>
    <w:pPr>
      <w:spacing w:before="60" w:line="240" w:lineRule="atLeast"/>
      <w:ind w:left="142" w:hanging="142"/>
    </w:pPr>
    <w:rPr>
      <w:sz w:val="20"/>
    </w:rPr>
  </w:style>
  <w:style w:type="paragraph" w:customStyle="1" w:styleId="CTA-">
    <w:name w:val="CTA -"/>
    <w:basedOn w:val="OPCParaBase"/>
    <w:rsid w:val="00F00002"/>
    <w:pPr>
      <w:spacing w:before="60" w:line="240" w:lineRule="atLeast"/>
      <w:ind w:left="85" w:hanging="85"/>
    </w:pPr>
    <w:rPr>
      <w:sz w:val="20"/>
    </w:rPr>
  </w:style>
  <w:style w:type="paragraph" w:customStyle="1" w:styleId="CTA---">
    <w:name w:val="CTA ---"/>
    <w:basedOn w:val="OPCParaBase"/>
    <w:next w:val="Normal"/>
    <w:rsid w:val="00F00002"/>
    <w:pPr>
      <w:spacing w:before="60" w:line="240" w:lineRule="atLeast"/>
      <w:ind w:left="198" w:hanging="198"/>
    </w:pPr>
    <w:rPr>
      <w:sz w:val="20"/>
    </w:rPr>
  </w:style>
  <w:style w:type="paragraph" w:customStyle="1" w:styleId="CTA----">
    <w:name w:val="CTA ----"/>
    <w:basedOn w:val="OPCParaBase"/>
    <w:next w:val="Normal"/>
    <w:rsid w:val="00F00002"/>
    <w:pPr>
      <w:spacing w:before="60" w:line="240" w:lineRule="atLeast"/>
      <w:ind w:left="255" w:hanging="255"/>
    </w:pPr>
    <w:rPr>
      <w:sz w:val="20"/>
    </w:rPr>
  </w:style>
  <w:style w:type="paragraph" w:customStyle="1" w:styleId="CTA1a">
    <w:name w:val="CTA 1(a)"/>
    <w:basedOn w:val="OPCParaBase"/>
    <w:rsid w:val="00F00002"/>
    <w:pPr>
      <w:tabs>
        <w:tab w:val="right" w:pos="414"/>
      </w:tabs>
      <w:spacing w:before="40" w:line="240" w:lineRule="atLeast"/>
      <w:ind w:left="675" w:hanging="675"/>
    </w:pPr>
    <w:rPr>
      <w:sz w:val="20"/>
    </w:rPr>
  </w:style>
  <w:style w:type="paragraph" w:customStyle="1" w:styleId="CTA1ai">
    <w:name w:val="CTA 1(a)(i)"/>
    <w:basedOn w:val="OPCParaBase"/>
    <w:rsid w:val="00F00002"/>
    <w:pPr>
      <w:tabs>
        <w:tab w:val="right" w:pos="1004"/>
      </w:tabs>
      <w:spacing w:before="40" w:line="240" w:lineRule="atLeast"/>
      <w:ind w:left="1253" w:hanging="1253"/>
    </w:pPr>
    <w:rPr>
      <w:sz w:val="20"/>
    </w:rPr>
  </w:style>
  <w:style w:type="paragraph" w:customStyle="1" w:styleId="CTA2a">
    <w:name w:val="CTA 2(a)"/>
    <w:basedOn w:val="OPCParaBase"/>
    <w:rsid w:val="00F00002"/>
    <w:pPr>
      <w:tabs>
        <w:tab w:val="right" w:pos="482"/>
      </w:tabs>
      <w:spacing w:before="40" w:line="240" w:lineRule="atLeast"/>
      <w:ind w:left="748" w:hanging="748"/>
    </w:pPr>
    <w:rPr>
      <w:sz w:val="20"/>
    </w:rPr>
  </w:style>
  <w:style w:type="paragraph" w:customStyle="1" w:styleId="CTA2ai">
    <w:name w:val="CTA 2(a)(i)"/>
    <w:basedOn w:val="OPCParaBase"/>
    <w:rsid w:val="00F00002"/>
    <w:pPr>
      <w:tabs>
        <w:tab w:val="right" w:pos="1089"/>
      </w:tabs>
      <w:spacing w:before="40" w:line="240" w:lineRule="atLeast"/>
      <w:ind w:left="1327" w:hanging="1327"/>
    </w:pPr>
    <w:rPr>
      <w:sz w:val="20"/>
    </w:rPr>
  </w:style>
  <w:style w:type="paragraph" w:customStyle="1" w:styleId="CTA3a">
    <w:name w:val="CTA 3(a)"/>
    <w:basedOn w:val="OPCParaBase"/>
    <w:rsid w:val="00F00002"/>
    <w:pPr>
      <w:tabs>
        <w:tab w:val="right" w:pos="556"/>
      </w:tabs>
      <w:spacing w:before="40" w:line="240" w:lineRule="atLeast"/>
      <w:ind w:left="805" w:hanging="805"/>
    </w:pPr>
    <w:rPr>
      <w:sz w:val="20"/>
    </w:rPr>
  </w:style>
  <w:style w:type="paragraph" w:customStyle="1" w:styleId="CTA3ai">
    <w:name w:val="CTA 3(a)(i)"/>
    <w:basedOn w:val="OPCParaBase"/>
    <w:rsid w:val="00F00002"/>
    <w:pPr>
      <w:tabs>
        <w:tab w:val="right" w:pos="1140"/>
      </w:tabs>
      <w:spacing w:before="40" w:line="240" w:lineRule="atLeast"/>
      <w:ind w:left="1361" w:hanging="1361"/>
    </w:pPr>
    <w:rPr>
      <w:sz w:val="20"/>
    </w:rPr>
  </w:style>
  <w:style w:type="paragraph" w:customStyle="1" w:styleId="CTA4a">
    <w:name w:val="CTA 4(a)"/>
    <w:basedOn w:val="OPCParaBase"/>
    <w:rsid w:val="00F00002"/>
    <w:pPr>
      <w:tabs>
        <w:tab w:val="right" w:pos="624"/>
      </w:tabs>
      <w:spacing w:before="40" w:line="240" w:lineRule="atLeast"/>
      <w:ind w:left="873" w:hanging="873"/>
    </w:pPr>
    <w:rPr>
      <w:sz w:val="20"/>
    </w:rPr>
  </w:style>
  <w:style w:type="paragraph" w:customStyle="1" w:styleId="CTA4ai">
    <w:name w:val="CTA 4(a)(i)"/>
    <w:basedOn w:val="OPCParaBase"/>
    <w:rsid w:val="00F00002"/>
    <w:pPr>
      <w:tabs>
        <w:tab w:val="right" w:pos="1213"/>
      </w:tabs>
      <w:spacing w:before="40" w:line="240" w:lineRule="atLeast"/>
      <w:ind w:left="1452" w:hanging="1452"/>
    </w:pPr>
    <w:rPr>
      <w:sz w:val="20"/>
    </w:rPr>
  </w:style>
  <w:style w:type="paragraph" w:customStyle="1" w:styleId="CTACAPS">
    <w:name w:val="CTA CAPS"/>
    <w:basedOn w:val="OPCParaBase"/>
    <w:rsid w:val="00F00002"/>
    <w:pPr>
      <w:spacing w:before="60" w:line="240" w:lineRule="atLeast"/>
    </w:pPr>
    <w:rPr>
      <w:sz w:val="20"/>
    </w:rPr>
  </w:style>
  <w:style w:type="paragraph" w:customStyle="1" w:styleId="CTAright">
    <w:name w:val="CTA right"/>
    <w:basedOn w:val="OPCParaBase"/>
    <w:rsid w:val="00F00002"/>
    <w:pPr>
      <w:spacing w:before="60" w:line="240" w:lineRule="auto"/>
      <w:jc w:val="right"/>
    </w:pPr>
    <w:rPr>
      <w:sz w:val="20"/>
    </w:rPr>
  </w:style>
  <w:style w:type="paragraph" w:customStyle="1" w:styleId="Definition">
    <w:name w:val="Definition"/>
    <w:aliases w:val="dd"/>
    <w:basedOn w:val="OPCParaBase"/>
    <w:rsid w:val="00F00002"/>
    <w:pPr>
      <w:spacing w:before="180" w:line="240" w:lineRule="auto"/>
      <w:ind w:left="1134"/>
    </w:pPr>
  </w:style>
  <w:style w:type="character" w:customStyle="1" w:styleId="HeaderChar">
    <w:name w:val="Header Char"/>
    <w:basedOn w:val="DefaultParagraphFont"/>
    <w:link w:val="Header"/>
    <w:rsid w:val="00F00002"/>
    <w:rPr>
      <w:sz w:val="16"/>
    </w:rPr>
  </w:style>
  <w:style w:type="paragraph" w:customStyle="1" w:styleId="House">
    <w:name w:val="House"/>
    <w:basedOn w:val="OPCParaBase"/>
    <w:rsid w:val="00F00002"/>
    <w:pPr>
      <w:spacing w:line="240" w:lineRule="auto"/>
    </w:pPr>
    <w:rPr>
      <w:sz w:val="28"/>
    </w:rPr>
  </w:style>
  <w:style w:type="paragraph" w:customStyle="1" w:styleId="Item">
    <w:name w:val="Item"/>
    <w:aliases w:val="i"/>
    <w:basedOn w:val="OPCParaBase"/>
    <w:next w:val="ItemHead"/>
    <w:rsid w:val="00F00002"/>
    <w:pPr>
      <w:keepLines/>
      <w:spacing w:before="80" w:line="240" w:lineRule="auto"/>
      <w:ind w:left="709"/>
    </w:pPr>
  </w:style>
  <w:style w:type="paragraph" w:customStyle="1" w:styleId="ItemHead">
    <w:name w:val="ItemHead"/>
    <w:aliases w:val="ih"/>
    <w:basedOn w:val="OPCParaBase"/>
    <w:next w:val="Item"/>
    <w:rsid w:val="00F0000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0002"/>
    <w:pPr>
      <w:spacing w:line="240" w:lineRule="auto"/>
    </w:pPr>
    <w:rPr>
      <w:b/>
      <w:sz w:val="32"/>
    </w:rPr>
  </w:style>
  <w:style w:type="paragraph" w:customStyle="1" w:styleId="notedraft">
    <w:name w:val="note(draft)"/>
    <w:aliases w:val="nd"/>
    <w:basedOn w:val="OPCParaBase"/>
    <w:rsid w:val="00F00002"/>
    <w:pPr>
      <w:spacing w:before="240" w:line="240" w:lineRule="auto"/>
      <w:ind w:left="284" w:hanging="284"/>
    </w:pPr>
    <w:rPr>
      <w:i/>
      <w:sz w:val="24"/>
    </w:rPr>
  </w:style>
  <w:style w:type="paragraph" w:customStyle="1" w:styleId="notemargin">
    <w:name w:val="note(margin)"/>
    <w:aliases w:val="nm"/>
    <w:basedOn w:val="OPCParaBase"/>
    <w:rsid w:val="00F00002"/>
    <w:pPr>
      <w:tabs>
        <w:tab w:val="left" w:pos="709"/>
      </w:tabs>
      <w:spacing w:before="122" w:line="198" w:lineRule="exact"/>
      <w:ind w:left="709" w:hanging="709"/>
    </w:pPr>
    <w:rPr>
      <w:sz w:val="18"/>
    </w:rPr>
  </w:style>
  <w:style w:type="paragraph" w:customStyle="1" w:styleId="notepara">
    <w:name w:val="note(para)"/>
    <w:aliases w:val="na"/>
    <w:basedOn w:val="OPCParaBase"/>
    <w:rsid w:val="00F00002"/>
    <w:pPr>
      <w:spacing w:before="40" w:line="198" w:lineRule="exact"/>
      <w:ind w:left="2354" w:hanging="369"/>
    </w:pPr>
    <w:rPr>
      <w:sz w:val="18"/>
    </w:rPr>
  </w:style>
  <w:style w:type="paragraph" w:customStyle="1" w:styleId="noteParlAmend">
    <w:name w:val="note(ParlAmend)"/>
    <w:aliases w:val="npp"/>
    <w:basedOn w:val="OPCParaBase"/>
    <w:next w:val="ParlAmend"/>
    <w:rsid w:val="00F00002"/>
    <w:pPr>
      <w:spacing w:line="240" w:lineRule="auto"/>
      <w:jc w:val="right"/>
    </w:pPr>
    <w:rPr>
      <w:rFonts w:ascii="Arial" w:hAnsi="Arial"/>
      <w:b/>
      <w:i/>
    </w:rPr>
  </w:style>
  <w:style w:type="paragraph" w:customStyle="1" w:styleId="notetext">
    <w:name w:val="note(text)"/>
    <w:aliases w:val="n"/>
    <w:basedOn w:val="OPCParaBase"/>
    <w:link w:val="notetextChar"/>
    <w:rsid w:val="00F00002"/>
    <w:pPr>
      <w:spacing w:before="122" w:line="240" w:lineRule="auto"/>
      <w:ind w:left="1985" w:hanging="851"/>
    </w:pPr>
    <w:rPr>
      <w:sz w:val="18"/>
    </w:rPr>
  </w:style>
  <w:style w:type="paragraph" w:customStyle="1" w:styleId="Page1">
    <w:name w:val="Page1"/>
    <w:basedOn w:val="OPCParaBase"/>
    <w:rsid w:val="00F00002"/>
    <w:pPr>
      <w:spacing w:before="5600" w:line="240" w:lineRule="auto"/>
    </w:pPr>
    <w:rPr>
      <w:b/>
      <w:sz w:val="32"/>
    </w:rPr>
  </w:style>
  <w:style w:type="paragraph" w:customStyle="1" w:styleId="paragraphsub">
    <w:name w:val="paragraph(sub)"/>
    <w:aliases w:val="aa"/>
    <w:basedOn w:val="OPCParaBase"/>
    <w:rsid w:val="00F00002"/>
    <w:pPr>
      <w:tabs>
        <w:tab w:val="right" w:pos="1985"/>
      </w:tabs>
      <w:spacing w:before="40" w:line="240" w:lineRule="auto"/>
      <w:ind w:left="2098" w:hanging="2098"/>
    </w:pPr>
  </w:style>
  <w:style w:type="paragraph" w:customStyle="1" w:styleId="paragraphsub-sub">
    <w:name w:val="paragraph(sub-sub)"/>
    <w:aliases w:val="aaa"/>
    <w:basedOn w:val="OPCParaBase"/>
    <w:rsid w:val="00F00002"/>
    <w:pPr>
      <w:tabs>
        <w:tab w:val="right" w:pos="2722"/>
      </w:tabs>
      <w:spacing w:before="40" w:line="240" w:lineRule="auto"/>
      <w:ind w:left="2835" w:hanging="2835"/>
    </w:pPr>
  </w:style>
  <w:style w:type="paragraph" w:customStyle="1" w:styleId="ParlAmend">
    <w:name w:val="ParlAmend"/>
    <w:aliases w:val="pp"/>
    <w:basedOn w:val="OPCParaBase"/>
    <w:rsid w:val="00F00002"/>
    <w:pPr>
      <w:spacing w:before="240" w:line="240" w:lineRule="atLeast"/>
      <w:ind w:hanging="567"/>
    </w:pPr>
    <w:rPr>
      <w:sz w:val="24"/>
    </w:rPr>
  </w:style>
  <w:style w:type="paragraph" w:customStyle="1" w:styleId="Portfolio">
    <w:name w:val="Portfolio"/>
    <w:basedOn w:val="OPCParaBase"/>
    <w:rsid w:val="00F00002"/>
    <w:pPr>
      <w:spacing w:line="240" w:lineRule="auto"/>
    </w:pPr>
    <w:rPr>
      <w:i/>
      <w:sz w:val="20"/>
    </w:rPr>
  </w:style>
  <w:style w:type="paragraph" w:customStyle="1" w:styleId="Preamble">
    <w:name w:val="Preamble"/>
    <w:basedOn w:val="OPCParaBase"/>
    <w:next w:val="Normal"/>
    <w:rsid w:val="00F0000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0002"/>
    <w:pPr>
      <w:spacing w:line="240" w:lineRule="auto"/>
    </w:pPr>
    <w:rPr>
      <w:i/>
      <w:sz w:val="20"/>
    </w:rPr>
  </w:style>
  <w:style w:type="paragraph" w:customStyle="1" w:styleId="Session">
    <w:name w:val="Session"/>
    <w:basedOn w:val="OPCParaBase"/>
    <w:rsid w:val="00F00002"/>
    <w:pPr>
      <w:spacing w:line="240" w:lineRule="auto"/>
    </w:pPr>
    <w:rPr>
      <w:sz w:val="28"/>
    </w:rPr>
  </w:style>
  <w:style w:type="paragraph" w:customStyle="1" w:styleId="Sponsor">
    <w:name w:val="Sponsor"/>
    <w:basedOn w:val="OPCParaBase"/>
    <w:rsid w:val="00F00002"/>
    <w:pPr>
      <w:spacing w:line="240" w:lineRule="auto"/>
    </w:pPr>
    <w:rPr>
      <w:i/>
    </w:rPr>
  </w:style>
  <w:style w:type="paragraph" w:customStyle="1" w:styleId="Subitem">
    <w:name w:val="Subitem"/>
    <w:aliases w:val="iss"/>
    <w:basedOn w:val="OPCParaBase"/>
    <w:rsid w:val="00F00002"/>
    <w:pPr>
      <w:spacing w:before="180" w:line="240" w:lineRule="auto"/>
      <w:ind w:left="709" w:hanging="709"/>
    </w:pPr>
  </w:style>
  <w:style w:type="paragraph" w:customStyle="1" w:styleId="SubitemHead">
    <w:name w:val="SubitemHead"/>
    <w:aliases w:val="issh"/>
    <w:basedOn w:val="OPCParaBase"/>
    <w:rsid w:val="00F0000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0002"/>
    <w:pPr>
      <w:spacing w:before="40" w:line="240" w:lineRule="auto"/>
      <w:ind w:left="1134"/>
    </w:pPr>
  </w:style>
  <w:style w:type="paragraph" w:customStyle="1" w:styleId="SubsectionHead">
    <w:name w:val="SubsectionHead"/>
    <w:aliases w:val="ssh"/>
    <w:basedOn w:val="OPCParaBase"/>
    <w:next w:val="subsection"/>
    <w:rsid w:val="00F00002"/>
    <w:pPr>
      <w:keepNext/>
      <w:keepLines/>
      <w:spacing w:before="240" w:line="240" w:lineRule="auto"/>
      <w:ind w:left="1134"/>
    </w:pPr>
    <w:rPr>
      <w:i/>
    </w:rPr>
  </w:style>
  <w:style w:type="paragraph" w:customStyle="1" w:styleId="Tablea">
    <w:name w:val="Table(a)"/>
    <w:aliases w:val="ta"/>
    <w:basedOn w:val="OPCParaBase"/>
    <w:rsid w:val="00F00002"/>
    <w:pPr>
      <w:spacing w:before="60" w:line="240" w:lineRule="auto"/>
      <w:ind w:left="284" w:hanging="284"/>
    </w:pPr>
    <w:rPr>
      <w:sz w:val="20"/>
    </w:rPr>
  </w:style>
  <w:style w:type="paragraph" w:customStyle="1" w:styleId="TableAA">
    <w:name w:val="Table(AA)"/>
    <w:aliases w:val="taaa"/>
    <w:basedOn w:val="OPCParaBase"/>
    <w:rsid w:val="00F0000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0002"/>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F0000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0002"/>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0002"/>
    <w:pPr>
      <w:spacing w:before="122" w:line="198" w:lineRule="exact"/>
      <w:ind w:left="1985" w:hanging="851"/>
      <w:jc w:val="right"/>
    </w:pPr>
    <w:rPr>
      <w:sz w:val="18"/>
    </w:rPr>
  </w:style>
  <w:style w:type="paragraph" w:customStyle="1" w:styleId="TLPTableBullet">
    <w:name w:val="TLPTableBullet"/>
    <w:aliases w:val="ttb"/>
    <w:basedOn w:val="OPCParaBase"/>
    <w:rsid w:val="00F00002"/>
    <w:pPr>
      <w:spacing w:line="240" w:lineRule="exact"/>
      <w:ind w:left="284" w:hanging="284"/>
    </w:pPr>
    <w:rPr>
      <w:sz w:val="20"/>
    </w:rPr>
  </w:style>
  <w:style w:type="paragraph" w:customStyle="1" w:styleId="TofSectsGroupHeading">
    <w:name w:val="TofSects(GroupHeading)"/>
    <w:basedOn w:val="OPCParaBase"/>
    <w:next w:val="TofSectsSection"/>
    <w:rsid w:val="00F00002"/>
    <w:pPr>
      <w:keepLines/>
      <w:spacing w:before="240" w:after="120" w:line="240" w:lineRule="auto"/>
      <w:ind w:left="794"/>
    </w:pPr>
    <w:rPr>
      <w:b/>
      <w:kern w:val="28"/>
      <w:sz w:val="20"/>
    </w:rPr>
  </w:style>
  <w:style w:type="paragraph" w:customStyle="1" w:styleId="TofSectsHeading">
    <w:name w:val="TofSects(Heading)"/>
    <w:basedOn w:val="OPCParaBase"/>
    <w:rsid w:val="00F00002"/>
    <w:pPr>
      <w:spacing w:before="240" w:after="120" w:line="240" w:lineRule="auto"/>
    </w:pPr>
    <w:rPr>
      <w:b/>
      <w:sz w:val="24"/>
    </w:rPr>
  </w:style>
  <w:style w:type="paragraph" w:customStyle="1" w:styleId="TofSectsSection">
    <w:name w:val="TofSects(Section)"/>
    <w:basedOn w:val="OPCParaBase"/>
    <w:rsid w:val="00F00002"/>
    <w:pPr>
      <w:keepLines/>
      <w:spacing w:before="40" w:line="240" w:lineRule="auto"/>
      <w:ind w:left="1588" w:hanging="794"/>
    </w:pPr>
    <w:rPr>
      <w:kern w:val="28"/>
      <w:sz w:val="18"/>
    </w:rPr>
  </w:style>
  <w:style w:type="paragraph" w:customStyle="1" w:styleId="TofSectsSubdiv">
    <w:name w:val="TofSects(Subdiv)"/>
    <w:basedOn w:val="OPCParaBase"/>
    <w:rsid w:val="00F00002"/>
    <w:pPr>
      <w:keepLines/>
      <w:spacing w:before="80" w:line="240" w:lineRule="auto"/>
      <w:ind w:left="1588" w:hanging="794"/>
    </w:pPr>
    <w:rPr>
      <w:kern w:val="28"/>
    </w:rPr>
  </w:style>
  <w:style w:type="paragraph" w:customStyle="1" w:styleId="WRStyle">
    <w:name w:val="WR Style"/>
    <w:aliases w:val="WR"/>
    <w:basedOn w:val="OPCParaBase"/>
    <w:rsid w:val="00F00002"/>
    <w:pPr>
      <w:spacing w:before="240" w:line="240" w:lineRule="auto"/>
      <w:ind w:left="284" w:hanging="284"/>
    </w:pPr>
    <w:rPr>
      <w:b/>
      <w:i/>
      <w:kern w:val="28"/>
      <w:sz w:val="24"/>
    </w:rPr>
  </w:style>
  <w:style w:type="numbering" w:customStyle="1" w:styleId="OPCBodyList">
    <w:name w:val="OPCBodyList"/>
    <w:uiPriority w:val="99"/>
    <w:rsid w:val="00D150ED"/>
    <w:pPr>
      <w:numPr>
        <w:numId w:val="24"/>
      </w:numPr>
    </w:pPr>
  </w:style>
  <w:style w:type="paragraph" w:customStyle="1" w:styleId="noteToPara">
    <w:name w:val="noteToPara"/>
    <w:aliases w:val="ntp"/>
    <w:basedOn w:val="OPCParaBase"/>
    <w:rsid w:val="00F00002"/>
    <w:pPr>
      <w:spacing w:before="122" w:line="198" w:lineRule="exact"/>
      <w:ind w:left="2353" w:hanging="709"/>
    </w:pPr>
    <w:rPr>
      <w:sz w:val="18"/>
    </w:rPr>
  </w:style>
  <w:style w:type="character" w:customStyle="1" w:styleId="FooterChar">
    <w:name w:val="Footer Char"/>
    <w:basedOn w:val="DefaultParagraphFont"/>
    <w:link w:val="Footer"/>
    <w:rsid w:val="00F00002"/>
    <w:rPr>
      <w:sz w:val="22"/>
      <w:szCs w:val="24"/>
    </w:rPr>
  </w:style>
  <w:style w:type="character" w:customStyle="1" w:styleId="BalloonTextChar">
    <w:name w:val="Balloon Text Char"/>
    <w:basedOn w:val="DefaultParagraphFont"/>
    <w:link w:val="BalloonText"/>
    <w:uiPriority w:val="99"/>
    <w:rsid w:val="00F00002"/>
    <w:rPr>
      <w:rFonts w:ascii="Tahoma" w:eastAsiaTheme="minorHAnsi" w:hAnsi="Tahoma" w:cs="Tahoma"/>
      <w:sz w:val="16"/>
      <w:szCs w:val="16"/>
      <w:lang w:eastAsia="en-US"/>
    </w:rPr>
  </w:style>
  <w:style w:type="paragraph" w:customStyle="1" w:styleId="TableHeading">
    <w:name w:val="TableHeading"/>
    <w:aliases w:val="th"/>
    <w:basedOn w:val="OPCParaBase"/>
    <w:next w:val="Tabletext"/>
    <w:link w:val="TableHeadingChar"/>
    <w:rsid w:val="00F00002"/>
    <w:pPr>
      <w:keepNext/>
      <w:spacing w:before="60" w:line="240" w:lineRule="atLeast"/>
    </w:pPr>
    <w:rPr>
      <w:b/>
      <w:sz w:val="20"/>
    </w:rPr>
  </w:style>
  <w:style w:type="table" w:customStyle="1" w:styleId="CFlag">
    <w:name w:val="CFlag"/>
    <w:basedOn w:val="TableNormal"/>
    <w:uiPriority w:val="99"/>
    <w:rsid w:val="00F00002"/>
    <w:tblPr/>
  </w:style>
  <w:style w:type="paragraph" w:customStyle="1" w:styleId="ENotesHeading1">
    <w:name w:val="ENotesHeading 1"/>
    <w:aliases w:val="Enh1"/>
    <w:basedOn w:val="OPCParaBase"/>
    <w:next w:val="Normal"/>
    <w:rsid w:val="00F00002"/>
    <w:pPr>
      <w:spacing w:before="120"/>
      <w:outlineLvl w:val="1"/>
    </w:pPr>
    <w:rPr>
      <w:b/>
      <w:sz w:val="28"/>
      <w:szCs w:val="28"/>
    </w:rPr>
  </w:style>
  <w:style w:type="paragraph" w:customStyle="1" w:styleId="ENotesHeading2">
    <w:name w:val="ENotesHeading 2"/>
    <w:aliases w:val="Enh2"/>
    <w:basedOn w:val="OPCParaBase"/>
    <w:next w:val="Normal"/>
    <w:rsid w:val="00F00002"/>
    <w:pPr>
      <w:spacing w:before="120" w:after="120"/>
      <w:outlineLvl w:val="2"/>
    </w:pPr>
    <w:rPr>
      <w:b/>
      <w:sz w:val="24"/>
      <w:szCs w:val="28"/>
    </w:rPr>
  </w:style>
  <w:style w:type="paragraph" w:customStyle="1" w:styleId="ENotesHeading3">
    <w:name w:val="ENotesHeading 3"/>
    <w:aliases w:val="Enh3"/>
    <w:basedOn w:val="OPCParaBase"/>
    <w:next w:val="Normal"/>
    <w:rsid w:val="00F00002"/>
    <w:pPr>
      <w:keepNext/>
      <w:spacing w:before="120" w:line="240" w:lineRule="auto"/>
      <w:outlineLvl w:val="4"/>
    </w:pPr>
    <w:rPr>
      <w:b/>
      <w:szCs w:val="24"/>
    </w:rPr>
  </w:style>
  <w:style w:type="paragraph" w:customStyle="1" w:styleId="ENotesText">
    <w:name w:val="ENotesText"/>
    <w:aliases w:val="Ent"/>
    <w:basedOn w:val="OPCParaBase"/>
    <w:next w:val="Normal"/>
    <w:rsid w:val="00F00002"/>
    <w:pPr>
      <w:spacing w:before="120"/>
    </w:pPr>
  </w:style>
  <w:style w:type="paragraph" w:customStyle="1" w:styleId="CompiledActNo">
    <w:name w:val="CompiledActNo"/>
    <w:basedOn w:val="OPCParaBase"/>
    <w:next w:val="Normal"/>
    <w:rsid w:val="00F00002"/>
    <w:rPr>
      <w:b/>
      <w:sz w:val="24"/>
      <w:szCs w:val="24"/>
    </w:rPr>
  </w:style>
  <w:style w:type="paragraph" w:customStyle="1" w:styleId="CompiledMadeUnder">
    <w:name w:val="CompiledMadeUnder"/>
    <w:basedOn w:val="OPCParaBase"/>
    <w:next w:val="Normal"/>
    <w:rsid w:val="00F00002"/>
    <w:rPr>
      <w:i/>
      <w:sz w:val="24"/>
      <w:szCs w:val="24"/>
    </w:rPr>
  </w:style>
  <w:style w:type="paragraph" w:customStyle="1" w:styleId="Paragraphsub-sub-sub">
    <w:name w:val="Paragraph(sub-sub-sub)"/>
    <w:aliases w:val="aaaa"/>
    <w:basedOn w:val="OPCParaBase"/>
    <w:rsid w:val="00F0000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000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000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000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000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00002"/>
    <w:pPr>
      <w:spacing w:before="60" w:line="240" w:lineRule="auto"/>
    </w:pPr>
    <w:rPr>
      <w:rFonts w:cs="Arial"/>
      <w:sz w:val="20"/>
      <w:szCs w:val="22"/>
    </w:rPr>
  </w:style>
  <w:style w:type="paragraph" w:customStyle="1" w:styleId="NoteToSubpara">
    <w:name w:val="NoteToSubpara"/>
    <w:aliases w:val="nts"/>
    <w:basedOn w:val="OPCParaBase"/>
    <w:rsid w:val="00F00002"/>
    <w:pPr>
      <w:spacing w:before="40" w:line="198" w:lineRule="exact"/>
      <w:ind w:left="2835" w:hanging="709"/>
    </w:pPr>
    <w:rPr>
      <w:sz w:val="18"/>
    </w:rPr>
  </w:style>
  <w:style w:type="paragraph" w:customStyle="1" w:styleId="InstNo">
    <w:name w:val="InstNo"/>
    <w:basedOn w:val="OPCParaBase"/>
    <w:next w:val="Normal"/>
    <w:rsid w:val="00F00002"/>
    <w:rPr>
      <w:b/>
      <w:sz w:val="28"/>
      <w:szCs w:val="32"/>
    </w:rPr>
  </w:style>
  <w:style w:type="paragraph" w:customStyle="1" w:styleId="TerritoryT">
    <w:name w:val="TerritoryT"/>
    <w:basedOn w:val="OPCParaBase"/>
    <w:next w:val="Normal"/>
    <w:rsid w:val="00F00002"/>
    <w:rPr>
      <w:b/>
      <w:sz w:val="32"/>
    </w:rPr>
  </w:style>
  <w:style w:type="paragraph" w:customStyle="1" w:styleId="LegislationMadeUnder">
    <w:name w:val="LegislationMadeUnder"/>
    <w:basedOn w:val="OPCParaBase"/>
    <w:next w:val="Normal"/>
    <w:rsid w:val="00F00002"/>
    <w:rPr>
      <w:i/>
      <w:sz w:val="32"/>
      <w:szCs w:val="32"/>
    </w:rPr>
  </w:style>
  <w:style w:type="paragraph" w:customStyle="1" w:styleId="ActHead10">
    <w:name w:val="ActHead 10"/>
    <w:aliases w:val="sp"/>
    <w:basedOn w:val="OPCParaBase"/>
    <w:next w:val="ActHead3"/>
    <w:rsid w:val="00F00002"/>
    <w:pPr>
      <w:keepNext/>
      <w:spacing w:before="280" w:line="240" w:lineRule="auto"/>
      <w:outlineLvl w:val="1"/>
    </w:pPr>
    <w:rPr>
      <w:b/>
      <w:sz w:val="32"/>
      <w:szCs w:val="30"/>
    </w:rPr>
  </w:style>
  <w:style w:type="paragraph" w:customStyle="1" w:styleId="SignCoverPageEnd">
    <w:name w:val="SignCoverPageEnd"/>
    <w:basedOn w:val="OPCParaBase"/>
    <w:next w:val="Normal"/>
    <w:rsid w:val="00F0000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0002"/>
    <w:pPr>
      <w:pBdr>
        <w:top w:val="single" w:sz="4" w:space="1" w:color="auto"/>
      </w:pBdr>
      <w:spacing w:before="360"/>
      <w:ind w:right="397"/>
      <w:jc w:val="both"/>
    </w:pPr>
  </w:style>
  <w:style w:type="paragraph" w:customStyle="1" w:styleId="NotesHeading2">
    <w:name w:val="NotesHeading 2"/>
    <w:basedOn w:val="OPCParaBase"/>
    <w:next w:val="Normal"/>
    <w:rsid w:val="00F00002"/>
    <w:rPr>
      <w:b/>
      <w:sz w:val="28"/>
      <w:szCs w:val="28"/>
    </w:rPr>
  </w:style>
  <w:style w:type="paragraph" w:customStyle="1" w:styleId="NotesHeading1">
    <w:name w:val="NotesHeading 1"/>
    <w:basedOn w:val="OPCParaBase"/>
    <w:next w:val="Normal"/>
    <w:rsid w:val="00F00002"/>
    <w:rPr>
      <w:b/>
      <w:sz w:val="28"/>
      <w:szCs w:val="28"/>
    </w:rPr>
  </w:style>
  <w:style w:type="paragraph" w:customStyle="1" w:styleId="ActHead1">
    <w:name w:val="ActHead 1"/>
    <w:aliases w:val="c"/>
    <w:basedOn w:val="OPCParaBase"/>
    <w:next w:val="Normal"/>
    <w:qFormat/>
    <w:rsid w:val="00F0000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0002"/>
    <w:pPr>
      <w:keepNext/>
      <w:keepLines/>
      <w:spacing w:before="280" w:line="240" w:lineRule="auto"/>
      <w:ind w:left="1134" w:hanging="1134"/>
      <w:outlineLvl w:val="1"/>
    </w:pPr>
    <w:rPr>
      <w:b/>
      <w:kern w:val="28"/>
      <w:sz w:val="32"/>
    </w:rPr>
  </w:style>
  <w:style w:type="paragraph" w:customStyle="1" w:styleId="Specials">
    <w:name w:val="Special s"/>
    <w:basedOn w:val="ActHead5"/>
    <w:link w:val="SpecialsChar"/>
    <w:rsid w:val="00F332D5"/>
    <w:pPr>
      <w:outlineLvl w:val="9"/>
    </w:pPr>
  </w:style>
  <w:style w:type="character" w:customStyle="1" w:styleId="OPCParaBaseChar">
    <w:name w:val="OPCParaBase Char"/>
    <w:basedOn w:val="DefaultParagraphFont"/>
    <w:link w:val="OPCParaBase"/>
    <w:rsid w:val="00F332D5"/>
    <w:rPr>
      <w:sz w:val="22"/>
    </w:rPr>
  </w:style>
  <w:style w:type="character" w:customStyle="1" w:styleId="ActHead5Char">
    <w:name w:val="ActHead 5 Char"/>
    <w:aliases w:val="s Char"/>
    <w:basedOn w:val="OPCParaBaseChar"/>
    <w:link w:val="ActHead5"/>
    <w:rsid w:val="00F332D5"/>
    <w:rPr>
      <w:b/>
      <w:kern w:val="28"/>
      <w:sz w:val="24"/>
    </w:rPr>
  </w:style>
  <w:style w:type="character" w:customStyle="1" w:styleId="SpecialsChar">
    <w:name w:val="Special s Char"/>
    <w:basedOn w:val="ActHead5Char"/>
    <w:link w:val="Specials"/>
    <w:rsid w:val="00F332D5"/>
    <w:rPr>
      <w:b/>
      <w:kern w:val="28"/>
      <w:sz w:val="24"/>
    </w:rPr>
  </w:style>
  <w:style w:type="paragraph" w:styleId="Revision">
    <w:name w:val="Revision"/>
    <w:hidden/>
    <w:uiPriority w:val="99"/>
    <w:semiHidden/>
    <w:rsid w:val="00B465F1"/>
    <w:rPr>
      <w:rFonts w:eastAsiaTheme="minorHAnsi" w:cstheme="minorBidi"/>
      <w:sz w:val="22"/>
      <w:lang w:eastAsia="en-US"/>
    </w:rPr>
  </w:style>
  <w:style w:type="paragraph" w:customStyle="1" w:styleId="ENoteTableHeading">
    <w:name w:val="ENoteTableHeading"/>
    <w:aliases w:val="enth"/>
    <w:basedOn w:val="OPCParaBase"/>
    <w:rsid w:val="00F00002"/>
    <w:pPr>
      <w:keepNext/>
      <w:spacing w:before="60" w:line="240" w:lineRule="atLeast"/>
    </w:pPr>
    <w:rPr>
      <w:rFonts w:ascii="Arial" w:hAnsi="Arial"/>
      <w:b/>
      <w:sz w:val="16"/>
    </w:rPr>
  </w:style>
  <w:style w:type="paragraph" w:customStyle="1" w:styleId="ENoteTTi">
    <w:name w:val="ENoteTTi"/>
    <w:aliases w:val="entti"/>
    <w:basedOn w:val="OPCParaBase"/>
    <w:rsid w:val="00F00002"/>
    <w:pPr>
      <w:keepNext/>
      <w:spacing w:before="60" w:line="240" w:lineRule="atLeast"/>
      <w:ind w:left="170"/>
    </w:pPr>
    <w:rPr>
      <w:sz w:val="16"/>
    </w:rPr>
  </w:style>
  <w:style w:type="paragraph" w:customStyle="1" w:styleId="ENoteTTIndentHeading">
    <w:name w:val="ENoteTTIndentHeading"/>
    <w:aliases w:val="enTTHi"/>
    <w:basedOn w:val="OPCParaBase"/>
    <w:rsid w:val="00F0000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0002"/>
    <w:pPr>
      <w:spacing w:before="60" w:line="240" w:lineRule="atLeast"/>
    </w:pPr>
    <w:rPr>
      <w:sz w:val="16"/>
    </w:rPr>
  </w:style>
  <w:style w:type="paragraph" w:customStyle="1" w:styleId="MadeunderText">
    <w:name w:val="MadeunderText"/>
    <w:basedOn w:val="OPCParaBase"/>
    <w:next w:val="CompiledMadeUnder"/>
    <w:rsid w:val="00F00002"/>
    <w:pPr>
      <w:spacing w:before="240"/>
    </w:pPr>
    <w:rPr>
      <w:sz w:val="24"/>
      <w:szCs w:val="24"/>
    </w:rPr>
  </w:style>
  <w:style w:type="paragraph" w:customStyle="1" w:styleId="SubPartCASA">
    <w:name w:val="SubPart(CASA)"/>
    <w:aliases w:val="csp"/>
    <w:basedOn w:val="OPCParaBase"/>
    <w:next w:val="ActHead3"/>
    <w:rsid w:val="00F0000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00002"/>
  </w:style>
  <w:style w:type="character" w:customStyle="1" w:styleId="CharSubPartNoCASA">
    <w:name w:val="CharSubPartNo(CASA)"/>
    <w:basedOn w:val="OPCCharBase"/>
    <w:uiPriority w:val="1"/>
    <w:rsid w:val="00F00002"/>
  </w:style>
  <w:style w:type="paragraph" w:customStyle="1" w:styleId="ENoteTTIndentHeadingSub">
    <w:name w:val="ENoteTTIndentHeadingSub"/>
    <w:aliases w:val="enTTHis"/>
    <w:basedOn w:val="OPCParaBase"/>
    <w:rsid w:val="00F00002"/>
    <w:pPr>
      <w:keepNext/>
      <w:spacing w:before="60" w:line="240" w:lineRule="atLeast"/>
      <w:ind w:left="340"/>
    </w:pPr>
    <w:rPr>
      <w:b/>
      <w:sz w:val="16"/>
    </w:rPr>
  </w:style>
  <w:style w:type="paragraph" w:customStyle="1" w:styleId="ENoteTTiSub">
    <w:name w:val="ENoteTTiSub"/>
    <w:aliases w:val="enttis"/>
    <w:basedOn w:val="OPCParaBase"/>
    <w:rsid w:val="00F00002"/>
    <w:pPr>
      <w:keepNext/>
      <w:spacing w:before="60" w:line="240" w:lineRule="atLeast"/>
      <w:ind w:left="340"/>
    </w:pPr>
    <w:rPr>
      <w:sz w:val="16"/>
    </w:rPr>
  </w:style>
  <w:style w:type="paragraph" w:customStyle="1" w:styleId="SubDivisionMigration">
    <w:name w:val="SubDivisionMigration"/>
    <w:aliases w:val="sdm"/>
    <w:basedOn w:val="OPCParaBase"/>
    <w:rsid w:val="00F0000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0002"/>
    <w:pPr>
      <w:keepNext/>
      <w:keepLines/>
      <w:spacing w:before="240" w:line="240" w:lineRule="auto"/>
      <w:ind w:left="1134" w:hanging="1134"/>
    </w:pPr>
    <w:rPr>
      <w:b/>
      <w:sz w:val="28"/>
    </w:rPr>
  </w:style>
  <w:style w:type="character" w:customStyle="1" w:styleId="charlegsubtitle1">
    <w:name w:val="charlegsubtitle1"/>
    <w:basedOn w:val="DefaultParagraphFont"/>
    <w:rsid w:val="003C0958"/>
    <w:rPr>
      <w:rFonts w:ascii="Arial" w:hAnsi="Arial" w:cs="Arial" w:hint="default"/>
      <w:b/>
      <w:bCs/>
      <w:sz w:val="28"/>
      <w:szCs w:val="28"/>
    </w:rPr>
  </w:style>
  <w:style w:type="character" w:customStyle="1" w:styleId="subsectionChar">
    <w:name w:val="subsection Char"/>
    <w:aliases w:val="ss Char"/>
    <w:basedOn w:val="DefaultParagraphFont"/>
    <w:link w:val="subsection"/>
    <w:locked/>
    <w:rsid w:val="00781824"/>
    <w:rPr>
      <w:sz w:val="22"/>
    </w:rPr>
  </w:style>
  <w:style w:type="paragraph" w:customStyle="1" w:styleId="SOText">
    <w:name w:val="SO Text"/>
    <w:aliases w:val="sot"/>
    <w:link w:val="SOTextChar"/>
    <w:rsid w:val="00F0000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00002"/>
    <w:rPr>
      <w:rFonts w:eastAsiaTheme="minorHAnsi" w:cstheme="minorBidi"/>
      <w:sz w:val="22"/>
      <w:lang w:eastAsia="en-US"/>
    </w:rPr>
  </w:style>
  <w:style w:type="paragraph" w:customStyle="1" w:styleId="SOTextNote">
    <w:name w:val="SO TextNote"/>
    <w:aliases w:val="sont"/>
    <w:basedOn w:val="SOText"/>
    <w:qFormat/>
    <w:rsid w:val="00F00002"/>
    <w:pPr>
      <w:spacing w:before="122" w:line="198" w:lineRule="exact"/>
      <w:ind w:left="1843" w:hanging="709"/>
    </w:pPr>
    <w:rPr>
      <w:sz w:val="18"/>
    </w:rPr>
  </w:style>
  <w:style w:type="paragraph" w:customStyle="1" w:styleId="SOPara">
    <w:name w:val="SO Para"/>
    <w:aliases w:val="soa"/>
    <w:basedOn w:val="SOText"/>
    <w:link w:val="SOParaChar"/>
    <w:qFormat/>
    <w:rsid w:val="00F00002"/>
    <w:pPr>
      <w:tabs>
        <w:tab w:val="right" w:pos="1786"/>
      </w:tabs>
      <w:spacing w:before="40"/>
      <w:ind w:left="2070" w:hanging="936"/>
    </w:pPr>
  </w:style>
  <w:style w:type="character" w:customStyle="1" w:styleId="SOParaChar">
    <w:name w:val="SO Para Char"/>
    <w:aliases w:val="soa Char"/>
    <w:basedOn w:val="DefaultParagraphFont"/>
    <w:link w:val="SOPara"/>
    <w:rsid w:val="00F00002"/>
    <w:rPr>
      <w:rFonts w:eastAsiaTheme="minorHAnsi" w:cstheme="minorBidi"/>
      <w:sz w:val="22"/>
      <w:lang w:eastAsia="en-US"/>
    </w:rPr>
  </w:style>
  <w:style w:type="paragraph" w:customStyle="1" w:styleId="FileName">
    <w:name w:val="FileName"/>
    <w:basedOn w:val="Normal"/>
    <w:rsid w:val="00F00002"/>
  </w:style>
  <w:style w:type="paragraph" w:customStyle="1" w:styleId="SOHeadBold">
    <w:name w:val="SO HeadBold"/>
    <w:aliases w:val="sohb"/>
    <w:basedOn w:val="SOText"/>
    <w:next w:val="SOText"/>
    <w:link w:val="SOHeadBoldChar"/>
    <w:qFormat/>
    <w:rsid w:val="00F00002"/>
    <w:rPr>
      <w:b/>
    </w:rPr>
  </w:style>
  <w:style w:type="character" w:customStyle="1" w:styleId="SOHeadBoldChar">
    <w:name w:val="SO HeadBold Char"/>
    <w:aliases w:val="sohb Char"/>
    <w:basedOn w:val="DefaultParagraphFont"/>
    <w:link w:val="SOHeadBold"/>
    <w:rsid w:val="00F0000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00002"/>
    <w:rPr>
      <w:i/>
    </w:rPr>
  </w:style>
  <w:style w:type="character" w:customStyle="1" w:styleId="SOHeadItalicChar">
    <w:name w:val="SO HeadItalic Char"/>
    <w:aliases w:val="sohi Char"/>
    <w:basedOn w:val="DefaultParagraphFont"/>
    <w:link w:val="SOHeadItalic"/>
    <w:rsid w:val="00F00002"/>
    <w:rPr>
      <w:rFonts w:eastAsiaTheme="minorHAnsi" w:cstheme="minorBidi"/>
      <w:i/>
      <w:sz w:val="22"/>
      <w:lang w:eastAsia="en-US"/>
    </w:rPr>
  </w:style>
  <w:style w:type="paragraph" w:customStyle="1" w:styleId="SOBullet">
    <w:name w:val="SO Bullet"/>
    <w:aliases w:val="sotb"/>
    <w:basedOn w:val="SOText"/>
    <w:link w:val="SOBulletChar"/>
    <w:qFormat/>
    <w:rsid w:val="00F00002"/>
    <w:pPr>
      <w:ind w:left="1559" w:hanging="425"/>
    </w:pPr>
  </w:style>
  <w:style w:type="character" w:customStyle="1" w:styleId="SOBulletChar">
    <w:name w:val="SO Bullet Char"/>
    <w:aliases w:val="sotb Char"/>
    <w:basedOn w:val="DefaultParagraphFont"/>
    <w:link w:val="SOBullet"/>
    <w:rsid w:val="00F00002"/>
    <w:rPr>
      <w:rFonts w:eastAsiaTheme="minorHAnsi" w:cstheme="minorBidi"/>
      <w:sz w:val="22"/>
      <w:lang w:eastAsia="en-US"/>
    </w:rPr>
  </w:style>
  <w:style w:type="paragraph" w:customStyle="1" w:styleId="SOBulletNote">
    <w:name w:val="SO BulletNote"/>
    <w:aliases w:val="sonb"/>
    <w:basedOn w:val="SOTextNote"/>
    <w:link w:val="SOBulletNoteChar"/>
    <w:qFormat/>
    <w:rsid w:val="00F00002"/>
    <w:pPr>
      <w:tabs>
        <w:tab w:val="left" w:pos="1560"/>
      </w:tabs>
      <w:ind w:left="2268" w:hanging="1134"/>
    </w:pPr>
  </w:style>
  <w:style w:type="character" w:customStyle="1" w:styleId="SOBulletNoteChar">
    <w:name w:val="SO BulletNote Char"/>
    <w:aliases w:val="sonb Char"/>
    <w:basedOn w:val="DefaultParagraphFont"/>
    <w:link w:val="SOBulletNote"/>
    <w:rsid w:val="00F00002"/>
    <w:rPr>
      <w:rFonts w:eastAsiaTheme="minorHAnsi" w:cstheme="minorBidi"/>
      <w:sz w:val="18"/>
      <w:lang w:eastAsia="en-US"/>
    </w:rPr>
  </w:style>
  <w:style w:type="paragraph" w:customStyle="1" w:styleId="Specialth">
    <w:name w:val="Special th"/>
    <w:basedOn w:val="TableHeading"/>
    <w:link w:val="SpecialthChar"/>
    <w:rsid w:val="00350487"/>
    <w:rPr>
      <w:sz w:val="24"/>
      <w:szCs w:val="24"/>
    </w:rPr>
  </w:style>
  <w:style w:type="character" w:customStyle="1" w:styleId="TableHeadingChar">
    <w:name w:val="TableHeading Char"/>
    <w:aliases w:val="th Char"/>
    <w:basedOn w:val="OPCParaBaseChar"/>
    <w:link w:val="TableHeading"/>
    <w:rsid w:val="00350487"/>
    <w:rPr>
      <w:b/>
      <w:sz w:val="22"/>
    </w:rPr>
  </w:style>
  <w:style w:type="character" w:customStyle="1" w:styleId="SpecialthChar">
    <w:name w:val="Special th Char"/>
    <w:basedOn w:val="TableHeadingChar"/>
    <w:link w:val="Specialth"/>
    <w:rsid w:val="00350487"/>
    <w:rPr>
      <w:b/>
      <w:sz w:val="24"/>
      <w:szCs w:val="24"/>
    </w:rPr>
  </w:style>
  <w:style w:type="character" w:customStyle="1" w:styleId="legsubtitle1">
    <w:name w:val="legsubtitle1"/>
    <w:basedOn w:val="DefaultParagraphFont"/>
    <w:rsid w:val="003B0B75"/>
    <w:rPr>
      <w:rFonts w:ascii="Arial" w:hAnsi="Arial" w:cs="Arial" w:hint="default"/>
      <w:b/>
      <w:bCs/>
      <w:sz w:val="28"/>
      <w:szCs w:val="28"/>
    </w:rPr>
  </w:style>
  <w:style w:type="character" w:customStyle="1" w:styleId="notetextChar">
    <w:name w:val="note(text) Char"/>
    <w:aliases w:val="n Char"/>
    <w:basedOn w:val="DefaultParagraphFont"/>
    <w:link w:val="notetext"/>
    <w:rsid w:val="007D6B7B"/>
    <w:rPr>
      <w:sz w:val="18"/>
    </w:rPr>
  </w:style>
  <w:style w:type="character" w:customStyle="1" w:styleId="paragraphChar">
    <w:name w:val="paragraph Char"/>
    <w:aliases w:val="a Char"/>
    <w:link w:val="paragraph"/>
    <w:rsid w:val="002B0BDC"/>
    <w:rPr>
      <w:sz w:val="22"/>
    </w:rPr>
  </w:style>
  <w:style w:type="paragraph" w:customStyle="1" w:styleId="EnStatement">
    <w:name w:val="EnStatement"/>
    <w:basedOn w:val="Normal"/>
    <w:rsid w:val="00F00002"/>
    <w:pPr>
      <w:numPr>
        <w:numId w:val="28"/>
      </w:numPr>
    </w:pPr>
    <w:rPr>
      <w:rFonts w:eastAsia="Times New Roman" w:cs="Times New Roman"/>
      <w:lang w:eastAsia="en-AU"/>
    </w:rPr>
  </w:style>
  <w:style w:type="paragraph" w:customStyle="1" w:styleId="EnStatementHeading">
    <w:name w:val="EnStatementHeading"/>
    <w:basedOn w:val="Normal"/>
    <w:rsid w:val="00F00002"/>
    <w:rPr>
      <w:rFonts w:eastAsia="Times New Roman" w:cs="Times New Roman"/>
      <w:b/>
      <w:lang w:eastAsia="en-AU"/>
    </w:rPr>
  </w:style>
  <w:style w:type="paragraph" w:customStyle="1" w:styleId="Transitional">
    <w:name w:val="Transitional"/>
    <w:aliases w:val="tr"/>
    <w:basedOn w:val="Normal"/>
    <w:next w:val="Normal"/>
    <w:rsid w:val="00F0000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07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89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image" Target="media/image8.wmf"/><Relationship Id="rId42" Type="http://schemas.openxmlformats.org/officeDocument/2006/relationships/image" Target="media/image10.wmf"/><Relationship Id="rId47" Type="http://schemas.openxmlformats.org/officeDocument/2006/relationships/footer" Target="footer13.xml"/><Relationship Id="rId50" Type="http://schemas.openxmlformats.org/officeDocument/2006/relationships/header" Target="header16.xml"/><Relationship Id="rId55" Type="http://schemas.openxmlformats.org/officeDocument/2006/relationships/header" Target="header1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41" Type="http://schemas.openxmlformats.org/officeDocument/2006/relationships/image" Target="media/image9.wmf"/><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oter" Target="footer8.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oter" Target="footer14.xml"/><Relationship Id="rId57" Type="http://schemas.openxmlformats.org/officeDocument/2006/relationships/footer" Target="footer18.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footer" Target="footer15.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image" Target="media/image11.wmf"/><Relationship Id="rId48" Type="http://schemas.openxmlformats.org/officeDocument/2006/relationships/header" Target="header15.xml"/><Relationship Id="rId56"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7.wmf"/><Relationship Id="rId38" Type="http://schemas.openxmlformats.org/officeDocument/2006/relationships/footer" Target="footer10.xml"/><Relationship Id="rId46" Type="http://schemas.openxmlformats.org/officeDocument/2006/relationships/footer" Target="footer12.xml"/><Relationship Id="rId59"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57C9-7238-44E5-A083-616D9444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159</Pages>
  <Words>45569</Words>
  <Characters>225077</Characters>
  <Application>Microsoft Office Word</Application>
  <DocSecurity>0</DocSecurity>
  <PresentationFormat/>
  <Lines>7244</Lines>
  <Paragraphs>4746</Paragraphs>
  <ScaleCrop>false</ScaleCrop>
  <HeadingPairs>
    <vt:vector size="2" baseType="variant">
      <vt:variant>
        <vt:lpstr>Title</vt:lpstr>
      </vt:variant>
      <vt:variant>
        <vt:i4>1</vt:i4>
      </vt:variant>
    </vt:vector>
  </HeadingPairs>
  <TitlesOfParts>
    <vt:vector size="1" baseType="lpstr">
      <vt:lpstr>Income Tax Assessment Regulations 1997</vt:lpstr>
    </vt:vector>
  </TitlesOfParts>
  <Manager/>
  <Company/>
  <LinksUpToDate>false</LinksUpToDate>
  <CharactersWithSpaces>267383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Regulations 1997</dc:title>
  <dc:subject/>
  <dc:creator/>
  <cp:keywords/>
  <dc:description/>
  <cp:lastModifiedBy/>
  <cp:revision>1</cp:revision>
  <cp:lastPrinted>2013-04-22T03:21:00Z</cp:lastPrinted>
  <dcterms:created xsi:type="dcterms:W3CDTF">2020-01-30T04:35:00Z</dcterms:created>
  <dcterms:modified xsi:type="dcterms:W3CDTF">2020-01-30T04:35:00Z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Income Tax Assessment Regulations 1997</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84</vt:lpwstr>
  </property>
  <property fmtid="{D5CDD505-2E9C-101B-9397-08002B2CF9AE}" pid="19" name="StartDate">
    <vt:filetime>2019-12-17T13:00:00Z</vt:filetime>
  </property>
  <property fmtid="{D5CDD505-2E9C-101B-9397-08002B2CF9AE}" pid="20" name="PreparedDate">
    <vt:filetime>2016-03-14T13:00:00Z</vt:filetime>
  </property>
  <property fmtid="{D5CDD505-2E9C-101B-9397-08002B2CF9AE}" pid="21" name="RegisteredDate">
    <vt:filetime>2020-01-29T13:00:00Z</vt:filetime>
  </property>
  <property fmtid="{D5CDD505-2E9C-101B-9397-08002B2CF9AE}" pid="22" name="IncludesUpTo">
    <vt:lpwstr>F2019L01641</vt:lpwstr>
  </property>
</Properties>
</file>